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89E2" w14:textId="6B71AC8F" w:rsidR="00B155FE" w:rsidRPr="00377D59" w:rsidRDefault="7C285CBA" w:rsidP="7C285CBA">
      <w:pPr>
        <w:tabs>
          <w:tab w:val="center" w:pos="4536"/>
        </w:tabs>
        <w:bidi/>
        <w:spacing w:after="120" w:line="240" w:lineRule="auto"/>
        <w:ind w:left="-142" w:right="-1" w:firstLine="142"/>
        <w:rPr>
          <w:rFonts w:ascii="Times New Roman" w:eastAsia="Times New Roman" w:hAnsi="Times New Roman" w:cs="Times New Roman"/>
          <w:b/>
          <w:bCs/>
          <w:smallCaps/>
          <w:sz w:val="32"/>
          <w:szCs w:val="32"/>
          <w:lang w:eastAsia="hu-HU"/>
        </w:rPr>
      </w:pPr>
      <w:r w:rsidRPr="7C285CBA">
        <w:rPr>
          <w:rFonts w:ascii="Times New Roman" w:eastAsia="Times New Roman" w:hAnsi="Times New Roman" w:cs="Times New Roman"/>
          <w:b/>
          <w:bCs/>
          <w:smallCaps/>
          <w:sz w:val="32"/>
          <w:szCs w:val="32"/>
          <w:lang w:eastAsia="hu-HU"/>
        </w:rPr>
        <w:t>Nemzetgazdasági Minisztérium</w:t>
      </w:r>
    </w:p>
    <w:p w14:paraId="7B7689E4"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36F33C9C" w14:textId="77777777" w:rsidR="001E689B" w:rsidRPr="00377D59" w:rsidRDefault="001E689B"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5"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6"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7"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8"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9"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26"/>
          <w:szCs w:val="26"/>
          <w:lang w:eastAsia="hu-HU"/>
        </w:rPr>
      </w:pPr>
    </w:p>
    <w:p w14:paraId="7B7689EB" w14:textId="74BA5630" w:rsidR="00B155FE" w:rsidRDefault="00B155FE" w:rsidP="000A4839">
      <w:pPr>
        <w:keepNext/>
        <w:widowControl w:val="0"/>
        <w:tabs>
          <w:tab w:val="left" w:pos="1995"/>
        </w:tabs>
        <w:spacing w:after="120" w:line="240" w:lineRule="auto"/>
        <w:jc w:val="center"/>
        <w:rPr>
          <w:rFonts w:ascii="Times New Roman" w:eastAsia="Times New Roman" w:hAnsi="Times New Roman" w:cs="Times New Roman"/>
          <w:caps/>
          <w:spacing w:val="60"/>
          <w:sz w:val="32"/>
          <w:szCs w:val="20"/>
          <w:lang w:eastAsia="hu-HU"/>
        </w:rPr>
      </w:pPr>
    </w:p>
    <w:p w14:paraId="4EE6826E" w14:textId="77777777" w:rsidR="000A4839" w:rsidRPr="00377D59" w:rsidRDefault="000A4839" w:rsidP="000A4839">
      <w:pPr>
        <w:keepNext/>
        <w:widowControl w:val="0"/>
        <w:tabs>
          <w:tab w:val="left" w:pos="1995"/>
        </w:tabs>
        <w:spacing w:after="120" w:line="240" w:lineRule="auto"/>
        <w:jc w:val="center"/>
        <w:rPr>
          <w:rFonts w:ascii="Times New Roman" w:eastAsia="Times New Roman" w:hAnsi="Times New Roman" w:cs="Times New Roman"/>
          <w:caps/>
          <w:spacing w:val="60"/>
          <w:sz w:val="32"/>
          <w:szCs w:val="20"/>
          <w:lang w:eastAsia="hu-HU"/>
        </w:rPr>
      </w:pPr>
    </w:p>
    <w:p w14:paraId="7B7689EC"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D"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E"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F" w14:textId="77777777" w:rsidR="00B155FE" w:rsidRPr="00377D59" w:rsidRDefault="00B155FE" w:rsidP="7C285CBA">
      <w:pPr>
        <w:keepNext/>
        <w:widowControl w:val="0"/>
        <w:spacing w:after="120" w:line="240" w:lineRule="auto"/>
        <w:jc w:val="center"/>
        <w:rPr>
          <w:rFonts w:ascii="Times New Roman" w:eastAsia="Times New Roman" w:hAnsi="Times New Roman" w:cs="Times New Roman"/>
          <w:b/>
          <w:bCs/>
          <w:caps/>
          <w:sz w:val="32"/>
          <w:szCs w:val="32"/>
          <w:lang w:eastAsia="hu-HU"/>
        </w:rPr>
      </w:pPr>
      <w:r w:rsidRPr="00377D59">
        <w:rPr>
          <w:rFonts w:ascii="Times New Roman" w:eastAsia="Times New Roman" w:hAnsi="Times New Roman" w:cs="Times New Roman"/>
          <w:b/>
          <w:bCs/>
          <w:caps/>
          <w:spacing w:val="60"/>
          <w:sz w:val="32"/>
          <w:szCs w:val="32"/>
          <w:lang w:eastAsia="hu-HU"/>
        </w:rPr>
        <w:t>Tájékoztató</w:t>
      </w:r>
    </w:p>
    <w:p w14:paraId="5AE02B14" w14:textId="4199477B" w:rsidR="00B94CCA" w:rsidRPr="00377D59" w:rsidRDefault="7C285CBA" w:rsidP="7C285CBA">
      <w:pPr>
        <w:keepNext/>
        <w:tabs>
          <w:tab w:val="left" w:pos="2694"/>
        </w:tabs>
        <w:spacing w:after="120" w:line="240" w:lineRule="auto"/>
        <w:ind w:right="-1"/>
        <w:jc w:val="center"/>
        <w:outlineLvl w:val="1"/>
        <w:rPr>
          <w:rFonts w:ascii="Times New Roman" w:eastAsia="Times New Roman" w:hAnsi="Times New Roman" w:cs="Times New Roman"/>
          <w:b/>
          <w:bCs/>
          <w:i/>
          <w:iCs/>
          <w:sz w:val="26"/>
          <w:szCs w:val="26"/>
          <w:lang w:eastAsia="hu-HU"/>
        </w:rPr>
      </w:pPr>
      <w:r w:rsidRPr="7C285CBA">
        <w:rPr>
          <w:rFonts w:ascii="Times New Roman" w:eastAsia="Times New Roman" w:hAnsi="Times New Roman" w:cs="Times New Roman"/>
          <w:b/>
          <w:bCs/>
          <w:i/>
          <w:iCs/>
          <w:sz w:val="26"/>
          <w:szCs w:val="26"/>
          <w:lang w:eastAsia="hu-HU"/>
        </w:rPr>
        <w:t>az államháztartás központi alrendszerének</w:t>
      </w:r>
      <w:r w:rsidR="74CD2655">
        <w:br/>
      </w:r>
      <w:r w:rsidRPr="7C285CBA">
        <w:rPr>
          <w:rFonts w:ascii="Times New Roman" w:eastAsia="Times New Roman" w:hAnsi="Times New Roman" w:cs="Times New Roman"/>
          <w:b/>
          <w:bCs/>
          <w:i/>
          <w:iCs/>
          <w:sz w:val="26"/>
          <w:szCs w:val="26"/>
          <w:lang w:eastAsia="hu-HU"/>
        </w:rPr>
        <w:t>2025. augusztus végi helyzetéről</w:t>
      </w:r>
    </w:p>
    <w:p w14:paraId="7B7689F2" w14:textId="2D4563EC" w:rsidR="00B155FE" w:rsidRPr="00377D59" w:rsidRDefault="00B155FE"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4A2F8C9F"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D327E5D"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35267E04"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20BD3D31"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6E13D32"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59F56A13"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7B7689F4"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6"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7"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8" w14:textId="7C3BEFF0" w:rsidR="00B155FE" w:rsidRPr="00377D59" w:rsidRDefault="00B155FE" w:rsidP="00EA1F58">
      <w:pPr>
        <w:tabs>
          <w:tab w:val="left" w:pos="5685"/>
        </w:tabs>
        <w:spacing w:after="120" w:line="240" w:lineRule="auto"/>
        <w:jc w:val="both"/>
        <w:rPr>
          <w:rFonts w:ascii="Times New Roman" w:eastAsia="Times New Roman" w:hAnsi="Times New Roman" w:cs="Times New Roman"/>
          <w:sz w:val="26"/>
          <w:szCs w:val="20"/>
          <w:lang w:eastAsia="hu-HU"/>
        </w:rPr>
      </w:pPr>
    </w:p>
    <w:p w14:paraId="7B7689F9"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A"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B"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1CF999E6" w14:textId="52137B62" w:rsidR="00E97147" w:rsidRPr="00377D59" w:rsidRDefault="00B155FE" w:rsidP="7C285CBA">
      <w:pPr>
        <w:tabs>
          <w:tab w:val="left" w:pos="2694"/>
        </w:tabs>
        <w:spacing w:after="120" w:line="240" w:lineRule="auto"/>
        <w:jc w:val="center"/>
        <w:rPr>
          <w:rFonts w:ascii="Times New Roman" w:eastAsia="Times New Roman" w:hAnsi="Times New Roman" w:cs="Times New Roman"/>
          <w:b/>
          <w:bCs/>
          <w:lang w:eastAsia="hu-HU"/>
        </w:rPr>
        <w:sectPr w:rsidR="00E97147" w:rsidRPr="00377D59" w:rsidSect="007449BF">
          <w:headerReference w:type="default" r:id="rId11"/>
          <w:footerReference w:type="default" r:id="rId12"/>
          <w:footerReference w:type="first" r:id="rId13"/>
          <w:footnotePr>
            <w:numRestart w:val="eachPage"/>
          </w:footnotePr>
          <w:pgSz w:w="11907" w:h="16840" w:code="9"/>
          <w:pgMar w:top="1134" w:right="1134" w:bottom="1418" w:left="1418" w:header="709" w:footer="709" w:gutter="0"/>
          <w:pgNumType w:fmt="numberInDash" w:start="0"/>
          <w:cols w:space="708"/>
          <w:docGrid w:linePitch="354"/>
        </w:sectPr>
      </w:pPr>
      <w:r w:rsidRPr="00377D59">
        <w:rPr>
          <w:rFonts w:ascii="Times New Roman" w:eastAsia="Times New Roman" w:hAnsi="Times New Roman" w:cs="Times New Roman"/>
          <w:b/>
          <w:bCs/>
          <w:noProof/>
          <w:lang w:eastAsia="hu-HU"/>
        </w:rPr>
        <mc:AlternateContent>
          <mc:Choice Requires="wps">
            <w:drawing>
              <wp:anchor distT="0" distB="0" distL="114300" distR="114300" simplePos="0" relativeHeight="251658240" behindDoc="0" locked="0" layoutInCell="1" allowOverlap="1" wp14:anchorId="7B768C6C" wp14:editId="7B768C6D">
                <wp:simplePos x="0" y="0"/>
                <wp:positionH relativeFrom="column">
                  <wp:posOffset>2336732</wp:posOffset>
                </wp:positionH>
                <wp:positionV relativeFrom="paragraph">
                  <wp:posOffset>980217</wp:posOffset>
                </wp:positionV>
                <wp:extent cx="971550" cy="393065"/>
                <wp:effectExtent l="0" t="0" r="0"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fl="http://schemas.microsoft.com/office/word/2024/wordml/sdtformatlock" xmlns:w16du="http://schemas.microsoft.com/office/word/2023/wordml/word16du">
            <w:pict w14:anchorId="0D87395B">
              <v:rect id="Rectangle 2" style="position:absolute;margin-left:184pt;margin-top:77.2pt;width:76.5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7986F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zDew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"/>
            </w:pict>
          </mc:Fallback>
        </mc:AlternateContent>
      </w:r>
      <w:r w:rsidRPr="00377D59">
        <w:rPr>
          <w:rFonts w:ascii="Times New Roman" w:eastAsia="Times New Roman" w:hAnsi="Times New Roman" w:cs="Times New Roman"/>
          <w:b/>
          <w:bCs/>
          <w:lang w:eastAsia="hu-HU"/>
        </w:rPr>
        <w:t>202</w:t>
      </w:r>
      <w:r w:rsidR="002107FF">
        <w:rPr>
          <w:rFonts w:ascii="Times New Roman" w:eastAsia="Times New Roman" w:hAnsi="Times New Roman" w:cs="Times New Roman"/>
          <w:b/>
          <w:bCs/>
          <w:lang w:eastAsia="hu-HU"/>
        </w:rPr>
        <w:t>5</w:t>
      </w:r>
      <w:r w:rsidRPr="00377D59">
        <w:rPr>
          <w:rFonts w:ascii="Times New Roman" w:eastAsia="Times New Roman" w:hAnsi="Times New Roman" w:cs="Times New Roman"/>
          <w:b/>
          <w:bCs/>
          <w:lang w:eastAsia="hu-HU"/>
        </w:rPr>
        <w:t xml:space="preserve">. </w:t>
      </w:r>
      <w:r w:rsidR="00686075">
        <w:rPr>
          <w:rFonts w:ascii="Times New Roman" w:eastAsia="Times New Roman" w:hAnsi="Times New Roman" w:cs="Times New Roman"/>
          <w:b/>
          <w:bCs/>
          <w:lang w:eastAsia="hu-HU"/>
        </w:rPr>
        <w:t>szeptember</w:t>
      </w:r>
    </w:p>
    <w:p w14:paraId="7B7689FF" w14:textId="77777777" w:rsidR="00B155FE" w:rsidRPr="00377D59" w:rsidRDefault="7C285CBA" w:rsidP="00B3244C">
      <w:pPr>
        <w:keepNext/>
        <w:spacing w:before="240" w:after="120" w:line="360" w:lineRule="auto"/>
        <w:ind w:left="425" w:hanging="425"/>
        <w:jc w:val="center"/>
        <w:outlineLvl w:val="3"/>
        <w:rPr>
          <w:rFonts w:ascii="Times New Roman" w:eastAsia="Times New Roman" w:hAnsi="Times New Roman" w:cs="Times New Roman"/>
          <w:b/>
          <w:bCs/>
          <w:caps/>
          <w:color w:val="000000" w:themeColor="text1"/>
          <w:sz w:val="26"/>
          <w:szCs w:val="26"/>
          <w:lang w:eastAsia="hu-HU"/>
        </w:rPr>
      </w:pPr>
      <w:r w:rsidRPr="7C285CBA">
        <w:rPr>
          <w:rFonts w:ascii="Times New Roman" w:eastAsia="Times New Roman" w:hAnsi="Times New Roman" w:cs="Times New Roman"/>
          <w:b/>
          <w:bCs/>
          <w:caps/>
          <w:color w:val="000000" w:themeColor="text1"/>
          <w:sz w:val="26"/>
          <w:szCs w:val="26"/>
          <w:lang w:eastAsia="hu-HU"/>
        </w:rPr>
        <w:lastRenderedPageBreak/>
        <w:t>Összefoglalás</w:t>
      </w:r>
    </w:p>
    <w:p w14:paraId="279CB9D2" w14:textId="77777777" w:rsidR="00A55AA0" w:rsidRPr="00A55AA0" w:rsidRDefault="00A55AA0" w:rsidP="00A55AA0">
      <w:pPr>
        <w:widowControl w:val="0"/>
        <w:spacing w:after="120" w:line="254" w:lineRule="auto"/>
        <w:jc w:val="both"/>
        <w:rPr>
          <w:rFonts w:ascii="Times New Roman" w:eastAsia="Times New Roman" w:hAnsi="Times New Roman" w:cs="Times New Roman"/>
          <w:b/>
          <w:bCs/>
          <w:color w:val="000000" w:themeColor="text1"/>
          <w:sz w:val="26"/>
          <w:szCs w:val="26"/>
          <w:lang w:eastAsia="hu-HU"/>
        </w:rPr>
      </w:pPr>
      <w:r w:rsidRPr="00A55AA0">
        <w:rPr>
          <w:rFonts w:ascii="Times New Roman" w:eastAsia="Times New Roman" w:hAnsi="Times New Roman" w:cs="Times New Roman"/>
          <w:b/>
          <w:bCs/>
          <w:color w:val="000000" w:themeColor="text1"/>
          <w:sz w:val="26"/>
          <w:szCs w:val="26"/>
          <w:lang w:eastAsia="hu-HU"/>
        </w:rPr>
        <w:t>Magyarország pénzügyei rendezettek, a költségvetés garantálja a magyar gazdaság, a családok és a nyugdíjasok védelmét.</w:t>
      </w:r>
    </w:p>
    <w:p w14:paraId="28DA143D" w14:textId="77777777" w:rsidR="00A55AA0" w:rsidRDefault="00A55AA0" w:rsidP="00A55AA0">
      <w:pPr>
        <w:widowControl w:val="0"/>
        <w:spacing w:after="120" w:line="254" w:lineRule="auto"/>
        <w:jc w:val="both"/>
        <w:rPr>
          <w:rFonts w:ascii="Times New Roman" w:eastAsia="Times New Roman" w:hAnsi="Times New Roman" w:cs="Times New Roman"/>
          <w:b/>
          <w:bCs/>
          <w:color w:val="000000" w:themeColor="text1"/>
          <w:sz w:val="26"/>
          <w:szCs w:val="26"/>
          <w:lang w:eastAsia="hu-HU"/>
        </w:rPr>
      </w:pPr>
      <w:r w:rsidRPr="00A55AA0">
        <w:rPr>
          <w:rFonts w:ascii="Times New Roman" w:eastAsia="Times New Roman" w:hAnsi="Times New Roman" w:cs="Times New Roman"/>
          <w:b/>
          <w:bCs/>
          <w:color w:val="000000" w:themeColor="text1"/>
          <w:sz w:val="26"/>
          <w:szCs w:val="26"/>
          <w:lang w:eastAsia="hu-HU"/>
        </w:rPr>
        <w:t>A kormány Európa legnagyobb adócsökkentési programját hajtja végre, miközben négy szabályt tart szem előtt a fiskális fegyelem megőrzése érdekében: 1. A hiánynak évről évre csökkennie kell. 2. Az államadósságnak fenntartható pályán kell maradnia. 3. Nem szabad visszakerülni a túlzottdeficit-eljárás alá. 4. Az elsődleges egyenlegnek pedig nullaközeli szinten kell maradnia.</w:t>
      </w:r>
    </w:p>
    <w:p w14:paraId="414017C4" w14:textId="0532C194" w:rsidR="00A55AA0" w:rsidRPr="00A55AA0" w:rsidRDefault="00A55AA0" w:rsidP="00A55AA0">
      <w:pPr>
        <w:widowControl w:val="0"/>
        <w:spacing w:after="120" w:line="254" w:lineRule="auto"/>
        <w:jc w:val="both"/>
        <w:rPr>
          <w:rFonts w:ascii="Times New Roman" w:eastAsia="Times New Roman" w:hAnsi="Times New Roman" w:cs="Times New Roman"/>
          <w:color w:val="000000" w:themeColor="text1"/>
          <w:sz w:val="26"/>
          <w:szCs w:val="26"/>
          <w:lang w:eastAsia="hu-HU"/>
        </w:rPr>
      </w:pPr>
      <w:r w:rsidRPr="00A55AA0">
        <w:rPr>
          <w:rFonts w:ascii="Times New Roman" w:eastAsia="Times New Roman" w:hAnsi="Times New Roman" w:cs="Times New Roman"/>
          <w:color w:val="000000" w:themeColor="text1"/>
          <w:sz w:val="26"/>
          <w:szCs w:val="26"/>
          <w:lang w:eastAsia="hu-HU"/>
        </w:rPr>
        <w:t>Augusztus végéig az államháztartás központi alrendszere 3025,5 milliárd forintos hiánnyal zárt. Ez az egész éves várható pénzforgalmi hiány (4774,0 milliárd forint) 63,4</w:t>
      </w:r>
      <w:r w:rsidR="00B3244C">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százaléka, ami azt jelenti, hogy az időarányosnál (66,6</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százalék) kedvezőbb az éves hiány eddigi teljesülése.</w:t>
      </w:r>
    </w:p>
    <w:p w14:paraId="52DC9311" w14:textId="23662F3E" w:rsidR="00A55AA0" w:rsidRPr="00A55AA0" w:rsidRDefault="00A55AA0" w:rsidP="00A55AA0">
      <w:pPr>
        <w:widowControl w:val="0"/>
        <w:spacing w:after="120" w:line="254" w:lineRule="auto"/>
        <w:jc w:val="both"/>
        <w:rPr>
          <w:rFonts w:ascii="Times New Roman" w:eastAsia="Times New Roman" w:hAnsi="Times New Roman" w:cs="Times New Roman"/>
          <w:color w:val="000000" w:themeColor="text1"/>
          <w:sz w:val="26"/>
          <w:szCs w:val="26"/>
          <w:lang w:eastAsia="hu-HU"/>
        </w:rPr>
      </w:pPr>
      <w:r w:rsidRPr="00A55AA0">
        <w:rPr>
          <w:rFonts w:ascii="Times New Roman" w:eastAsia="Times New Roman" w:hAnsi="Times New Roman" w:cs="Times New Roman"/>
          <w:color w:val="000000" w:themeColor="text1"/>
          <w:sz w:val="26"/>
          <w:szCs w:val="26"/>
          <w:lang w:eastAsia="hu-HU"/>
        </w:rPr>
        <w:t>A központi alrendszer hiányán belül a központi költségvetés 3012,7</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milliárd</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forintos hiányt, az elkülönített állami pénzalapok 109,8</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milliárd</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forintos többletet, a</w:t>
      </w:r>
      <w:r w:rsidR="00B3244C">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társadalombiztosítás pénzügyi alapjai pedig 122,6 milliárd forintos hiányt mutattak.</w:t>
      </w:r>
    </w:p>
    <w:p w14:paraId="7302DD59" w14:textId="77777777" w:rsidR="00A55AA0" w:rsidRPr="00A55AA0" w:rsidRDefault="00A55AA0" w:rsidP="00A55AA0">
      <w:pPr>
        <w:widowControl w:val="0"/>
        <w:spacing w:after="120" w:line="254" w:lineRule="auto"/>
        <w:jc w:val="both"/>
        <w:rPr>
          <w:rFonts w:ascii="Times New Roman" w:eastAsia="Times New Roman" w:hAnsi="Times New Roman" w:cs="Times New Roman"/>
          <w:color w:val="000000" w:themeColor="text1"/>
          <w:sz w:val="26"/>
          <w:szCs w:val="26"/>
          <w:lang w:eastAsia="hu-HU"/>
        </w:rPr>
      </w:pPr>
      <w:r w:rsidRPr="00A55AA0">
        <w:rPr>
          <w:rFonts w:ascii="Times New Roman" w:eastAsia="Times New Roman" w:hAnsi="Times New Roman" w:cs="Times New Roman"/>
          <w:color w:val="000000" w:themeColor="text1"/>
          <w:sz w:val="26"/>
          <w:szCs w:val="26"/>
          <w:lang w:eastAsia="hu-HU"/>
        </w:rPr>
        <w:t>Az előző év azonos időszakához viszonyítva a központi alrendszer adó- és járulékbevételei 8,7 százalékkal magasabban alakultak. Ezen belül a fogyasztáshoz kapcsolódó adók esetében megközelítőleg 10 százalékos növekedés történt.</w:t>
      </w:r>
    </w:p>
    <w:p w14:paraId="4FF287EE" w14:textId="53ACA8D8" w:rsidR="00A55AA0" w:rsidRPr="00A55AA0" w:rsidRDefault="00A55AA0" w:rsidP="00A55AA0">
      <w:pPr>
        <w:widowControl w:val="0"/>
        <w:spacing w:after="120" w:line="254" w:lineRule="auto"/>
        <w:jc w:val="both"/>
        <w:rPr>
          <w:rFonts w:ascii="Times New Roman" w:eastAsia="Times New Roman" w:hAnsi="Times New Roman" w:cs="Times New Roman"/>
          <w:color w:val="000000" w:themeColor="text1"/>
          <w:sz w:val="26"/>
          <w:szCs w:val="26"/>
          <w:lang w:eastAsia="hu-HU"/>
        </w:rPr>
      </w:pPr>
      <w:r w:rsidRPr="00A55AA0">
        <w:rPr>
          <w:rFonts w:ascii="Times New Roman" w:eastAsia="Times New Roman" w:hAnsi="Times New Roman" w:cs="Times New Roman"/>
          <w:color w:val="000000" w:themeColor="text1"/>
          <w:sz w:val="26"/>
          <w:szCs w:val="26"/>
          <w:lang w:eastAsia="hu-HU"/>
        </w:rPr>
        <w:t>Kamatkiadásokra augusztus végéig 2928,3</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milliárd</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forint került kifizetésre, ami 514,5</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milliárd</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forinttal magasabb az előző év azonos időszakához képest. Ezt egyes lejáratok eltérő kamatfizetési időpontja, valamint az államadósság eltérő szerkezete okozza.</w:t>
      </w:r>
    </w:p>
    <w:p w14:paraId="2655A52E" w14:textId="1E13BB93" w:rsidR="00A55AA0" w:rsidRPr="00A55AA0" w:rsidRDefault="00A55AA0" w:rsidP="00A55AA0">
      <w:pPr>
        <w:widowControl w:val="0"/>
        <w:spacing w:after="120" w:line="254" w:lineRule="auto"/>
        <w:jc w:val="both"/>
        <w:rPr>
          <w:rFonts w:ascii="Times New Roman" w:eastAsia="Times New Roman" w:hAnsi="Times New Roman" w:cs="Times New Roman"/>
          <w:color w:val="000000" w:themeColor="text1"/>
          <w:sz w:val="26"/>
          <w:szCs w:val="26"/>
          <w:lang w:eastAsia="hu-HU"/>
        </w:rPr>
      </w:pPr>
      <w:r w:rsidRPr="00A55AA0">
        <w:rPr>
          <w:rFonts w:ascii="Times New Roman" w:eastAsia="Times New Roman" w:hAnsi="Times New Roman" w:cs="Times New Roman"/>
          <w:color w:val="000000" w:themeColor="text1"/>
          <w:sz w:val="26"/>
          <w:szCs w:val="26"/>
          <w:lang w:eastAsia="hu-HU"/>
        </w:rPr>
        <w:t>Az állami közlekedési és közüzemi szolgáltatásokra fordított, összesen 1654,5</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milliárd forint kifizetés 172,8</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milliárd</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forinttal magasabb az előző év azonos időszakánál.</w:t>
      </w:r>
    </w:p>
    <w:p w14:paraId="3EAEA8E2" w14:textId="7E55BC44" w:rsidR="00A55AA0" w:rsidRPr="00A55AA0" w:rsidRDefault="00A55AA0" w:rsidP="00A55AA0">
      <w:pPr>
        <w:widowControl w:val="0"/>
        <w:spacing w:after="120" w:line="254" w:lineRule="auto"/>
        <w:jc w:val="both"/>
        <w:rPr>
          <w:rFonts w:ascii="Times New Roman" w:eastAsia="Times New Roman" w:hAnsi="Times New Roman" w:cs="Times New Roman"/>
          <w:color w:val="000000" w:themeColor="text1"/>
          <w:sz w:val="26"/>
          <w:szCs w:val="26"/>
          <w:lang w:eastAsia="hu-HU"/>
        </w:rPr>
      </w:pPr>
      <w:r w:rsidRPr="00A55AA0">
        <w:rPr>
          <w:rFonts w:ascii="Times New Roman" w:eastAsia="Times New Roman" w:hAnsi="Times New Roman" w:cs="Times New Roman"/>
          <w:color w:val="000000" w:themeColor="text1"/>
          <w:sz w:val="26"/>
          <w:szCs w:val="26"/>
          <w:lang w:eastAsia="hu-HU"/>
        </w:rPr>
        <w:t>Meghaladták a tavalyi összeget a nyugellátásokra és gyógyító-megelőző ellátásokra fordított kiadások is. Augusztus végéig – a 13. havi nyugdíjjal és ellátással együtt – nyugellátásokra és nyugdíjszerű ellátásokra összesen 4954,6</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milliárd</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forint, míg gyógyító-megelőző ellátásokra 1969,5</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milliárd</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forint kifizetése történt meg.</w:t>
      </w:r>
    </w:p>
    <w:p w14:paraId="4D91B167" w14:textId="60E23D34" w:rsidR="00A55AA0" w:rsidRPr="00A55AA0" w:rsidRDefault="00A55AA0" w:rsidP="00A55AA0">
      <w:pPr>
        <w:widowControl w:val="0"/>
        <w:spacing w:after="120" w:line="254" w:lineRule="auto"/>
        <w:jc w:val="both"/>
        <w:rPr>
          <w:rFonts w:ascii="Times New Roman" w:eastAsia="Times New Roman" w:hAnsi="Times New Roman" w:cs="Times New Roman"/>
          <w:color w:val="000000" w:themeColor="text1"/>
          <w:sz w:val="26"/>
          <w:szCs w:val="26"/>
          <w:lang w:eastAsia="hu-HU"/>
        </w:rPr>
      </w:pPr>
      <w:r w:rsidRPr="00A55AA0">
        <w:rPr>
          <w:rFonts w:ascii="Times New Roman" w:eastAsia="Times New Roman" w:hAnsi="Times New Roman" w:cs="Times New Roman"/>
          <w:color w:val="000000" w:themeColor="text1"/>
          <w:sz w:val="26"/>
          <w:szCs w:val="26"/>
          <w:lang w:eastAsia="hu-HU"/>
        </w:rPr>
        <w:t>Augusztusban, egy hónap alatt, a központi alrendszer 239,1</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milliárd</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forint hiánnyal zárt, szemben az előző évi azonos havi 414,3</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milliárd</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forintos hiánnyal.</w:t>
      </w:r>
    </w:p>
    <w:p w14:paraId="694FAB4F" w14:textId="7D46E380" w:rsidR="00A55AA0" w:rsidRPr="00A55AA0" w:rsidRDefault="00A55AA0" w:rsidP="00A55AA0">
      <w:pPr>
        <w:widowControl w:val="0"/>
        <w:spacing w:after="120" w:line="254" w:lineRule="auto"/>
        <w:jc w:val="both"/>
        <w:rPr>
          <w:rFonts w:ascii="Times New Roman" w:eastAsia="Times New Roman" w:hAnsi="Times New Roman" w:cs="Times New Roman"/>
          <w:color w:val="000000" w:themeColor="text1"/>
          <w:sz w:val="26"/>
          <w:szCs w:val="26"/>
          <w:lang w:eastAsia="hu-HU"/>
        </w:rPr>
      </w:pPr>
      <w:r w:rsidRPr="00A55AA0">
        <w:rPr>
          <w:rFonts w:ascii="Times New Roman" w:eastAsia="Times New Roman" w:hAnsi="Times New Roman" w:cs="Times New Roman"/>
          <w:color w:val="000000" w:themeColor="text1"/>
          <w:sz w:val="26"/>
          <w:szCs w:val="26"/>
          <w:lang w:eastAsia="hu-HU"/>
        </w:rPr>
        <w:t>Ebben a hónapban a költségvetés uniós programokhoz kapcsolódó bevételei 311,3</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milliárd forinttal, 436,8</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milliárd</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forintra emelkedtek. Ez legnagyobb részt annak köszönhető, hogy az Európai Bizottság átutalta a pedagógusbér-emelés kapcsán kitűzött mérföldkövek teljesítéséhez kapcsolódó, mintegy 587</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millió</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eurónyi forrást, valamint visszatérítette a</w:t>
      </w:r>
      <w:r w:rsidR="004012A0">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KAP Stratégiai Terv vidékfejlesztési intézkedések 2025. II. negyedévi kiadásainak uniós részét (131 millió euró).</w:t>
      </w:r>
    </w:p>
    <w:p w14:paraId="7B768A0B" w14:textId="40E70281" w:rsidR="005171E0" w:rsidRDefault="00A55AA0" w:rsidP="00A55AA0">
      <w:pPr>
        <w:widowControl w:val="0"/>
        <w:spacing w:after="120" w:line="254" w:lineRule="auto"/>
        <w:jc w:val="both"/>
        <w:rPr>
          <w:rFonts w:ascii="Times New Roman" w:eastAsia="Times New Roman" w:hAnsi="Times New Roman" w:cs="Times New Roman"/>
          <w:sz w:val="26"/>
          <w:szCs w:val="26"/>
          <w:lang w:eastAsia="hu-HU"/>
        </w:rPr>
      </w:pPr>
      <w:r w:rsidRPr="00A55AA0">
        <w:rPr>
          <w:rFonts w:ascii="Times New Roman" w:eastAsia="Times New Roman" w:hAnsi="Times New Roman" w:cs="Times New Roman"/>
          <w:color w:val="000000" w:themeColor="text1"/>
          <w:sz w:val="26"/>
          <w:szCs w:val="26"/>
          <w:lang w:eastAsia="hu-HU"/>
        </w:rPr>
        <w:t>Figyelembe véve az év első felében a költségvetésen kívül érkezett 535,1 milliárd forint közvetlen agrártámogatások visszatérítéseit is, 2025 első nyolc hónapjában összesen már 971,9</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milliárd</w:t>
      </w:r>
      <w:r w:rsidR="00547A9D">
        <w:rPr>
          <w:rFonts w:ascii="Times New Roman" w:eastAsia="Times New Roman" w:hAnsi="Times New Roman" w:cs="Times New Roman"/>
          <w:color w:val="000000" w:themeColor="text1"/>
          <w:sz w:val="26"/>
          <w:szCs w:val="26"/>
          <w:lang w:eastAsia="hu-HU"/>
        </w:rPr>
        <w:t> </w:t>
      </w:r>
      <w:r w:rsidRPr="00A55AA0">
        <w:rPr>
          <w:rFonts w:ascii="Times New Roman" w:eastAsia="Times New Roman" w:hAnsi="Times New Roman" w:cs="Times New Roman"/>
          <w:color w:val="000000" w:themeColor="text1"/>
          <w:sz w:val="26"/>
          <w:szCs w:val="26"/>
          <w:lang w:eastAsia="hu-HU"/>
        </w:rPr>
        <w:t xml:space="preserve">forint uniós forrás érkezett Magyarországra, ami meghaladja </w:t>
      </w:r>
      <w:r w:rsidR="00B3244C">
        <w:rPr>
          <w:rFonts w:ascii="Times New Roman" w:eastAsia="Times New Roman" w:hAnsi="Times New Roman" w:cs="Times New Roman"/>
          <w:color w:val="000000" w:themeColor="text1"/>
          <w:sz w:val="26"/>
          <w:szCs w:val="26"/>
          <w:lang w:eastAsia="hu-HU"/>
        </w:rPr>
        <w:br/>
      </w:r>
      <w:r w:rsidRPr="00A55AA0">
        <w:rPr>
          <w:rFonts w:ascii="Times New Roman" w:eastAsia="Times New Roman" w:hAnsi="Times New Roman" w:cs="Times New Roman"/>
          <w:color w:val="000000" w:themeColor="text1"/>
          <w:sz w:val="26"/>
          <w:szCs w:val="26"/>
          <w:lang w:eastAsia="hu-HU"/>
        </w:rPr>
        <w:t>a GDP 1,1 százalékát.</w:t>
      </w:r>
      <w:r w:rsidR="00920F4D">
        <w:rPr>
          <w:rFonts w:ascii="Times New Roman" w:eastAsia="Times New Roman" w:hAnsi="Times New Roman" w:cs="Times New Roman"/>
          <w:sz w:val="26"/>
          <w:szCs w:val="26"/>
          <w:lang w:eastAsia="hu-HU"/>
        </w:rPr>
        <w:br w:type="column"/>
      </w:r>
      <w:r w:rsidR="639E9B9B" w:rsidRPr="639E9B9B">
        <w:rPr>
          <w:rFonts w:ascii="Times New Roman" w:eastAsia="Times New Roman" w:hAnsi="Times New Roman" w:cs="Times New Roman"/>
          <w:sz w:val="26"/>
          <w:szCs w:val="26"/>
          <w:lang w:eastAsia="hu-HU"/>
        </w:rPr>
        <w:lastRenderedPageBreak/>
        <w:t>Az államháztartás központi alrendszerének 202</w:t>
      </w:r>
      <w:r w:rsidR="005171E0">
        <w:rPr>
          <w:rFonts w:ascii="Times New Roman" w:eastAsia="Times New Roman" w:hAnsi="Times New Roman" w:cs="Times New Roman"/>
          <w:sz w:val="26"/>
          <w:szCs w:val="26"/>
          <w:lang w:eastAsia="hu-HU"/>
        </w:rPr>
        <w:t>5</w:t>
      </w:r>
      <w:r w:rsidR="639E9B9B" w:rsidRPr="639E9B9B">
        <w:rPr>
          <w:rFonts w:ascii="Times New Roman" w:eastAsia="Times New Roman" w:hAnsi="Times New Roman" w:cs="Times New Roman"/>
          <w:sz w:val="26"/>
          <w:szCs w:val="26"/>
          <w:lang w:eastAsia="hu-HU"/>
        </w:rPr>
        <w:t xml:space="preserve">. </w:t>
      </w:r>
      <w:r>
        <w:rPr>
          <w:rFonts w:ascii="Times New Roman" w:eastAsia="Times New Roman" w:hAnsi="Times New Roman" w:cs="Times New Roman"/>
          <w:sz w:val="26"/>
          <w:szCs w:val="26"/>
          <w:lang w:eastAsia="hu-HU"/>
        </w:rPr>
        <w:t>auguszt</w:t>
      </w:r>
      <w:r w:rsidR="00873644">
        <w:rPr>
          <w:rFonts w:ascii="Times New Roman" w:eastAsia="Times New Roman" w:hAnsi="Times New Roman" w:cs="Times New Roman"/>
          <w:sz w:val="26"/>
          <w:szCs w:val="26"/>
          <w:lang w:eastAsia="hu-HU"/>
        </w:rPr>
        <w:t>us</w:t>
      </w:r>
      <w:r w:rsidR="639E9B9B" w:rsidRPr="639E9B9B">
        <w:rPr>
          <w:rFonts w:ascii="Times New Roman" w:eastAsia="Times New Roman" w:hAnsi="Times New Roman" w:cs="Times New Roman"/>
          <w:sz w:val="26"/>
          <w:szCs w:val="26"/>
          <w:lang w:eastAsia="hu-HU"/>
        </w:rPr>
        <w:t xml:space="preserve"> végi főbb pé</w:t>
      </w:r>
      <w:r w:rsidR="006D5492">
        <w:rPr>
          <w:rFonts w:ascii="Times New Roman" w:eastAsia="Times New Roman" w:hAnsi="Times New Roman" w:cs="Times New Roman"/>
          <w:sz w:val="26"/>
          <w:szCs w:val="26"/>
          <w:lang w:eastAsia="hu-HU"/>
        </w:rPr>
        <w:t>nzforgalmi adatai a következők:</w:t>
      </w:r>
    </w:p>
    <w:tbl>
      <w:tblPr>
        <w:tblW w:w="10064" w:type="dxa"/>
        <w:jc w:val="center"/>
        <w:tblLayout w:type="fixed"/>
        <w:tblCellMar>
          <w:left w:w="70" w:type="dxa"/>
          <w:right w:w="70" w:type="dxa"/>
        </w:tblCellMar>
        <w:tblLook w:val="04A0" w:firstRow="1" w:lastRow="0" w:firstColumn="1" w:lastColumn="0" w:noHBand="0" w:noVBand="1"/>
      </w:tblPr>
      <w:tblGrid>
        <w:gridCol w:w="2047"/>
        <w:gridCol w:w="1067"/>
        <w:gridCol w:w="1276"/>
        <w:gridCol w:w="1075"/>
        <w:gridCol w:w="1103"/>
        <w:gridCol w:w="1224"/>
        <w:gridCol w:w="1159"/>
        <w:gridCol w:w="1113"/>
      </w:tblGrid>
      <w:tr w:rsidR="00935118" w:rsidRPr="003D514A" w14:paraId="7C2CBF88" w14:textId="77777777" w:rsidTr="7C285CBA">
        <w:trPr>
          <w:trHeight w:val="1440"/>
          <w:jc w:val="center"/>
        </w:trPr>
        <w:tc>
          <w:tcPr>
            <w:tcW w:w="204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66847C39" w14:textId="77777777" w:rsidR="00935118" w:rsidRPr="00602E3C" w:rsidRDefault="7C285CBA" w:rsidP="7C285CBA">
            <w:pPr>
              <w:keepNext/>
              <w:keepLines/>
              <w:rPr>
                <w:rFonts w:ascii="Times New Roman" w:hAnsi="Times New Roman" w:cs="Times New Roman"/>
                <w:sz w:val="20"/>
                <w:szCs w:val="20"/>
              </w:rPr>
            </w:pPr>
            <w:r w:rsidRPr="7C285CBA">
              <w:rPr>
                <w:rFonts w:ascii="Times New Roman" w:hAnsi="Times New Roman" w:cs="Times New Roman"/>
                <w:sz w:val="20"/>
                <w:szCs w:val="20"/>
              </w:rPr>
              <w:t> </w:t>
            </w:r>
          </w:p>
        </w:tc>
        <w:tc>
          <w:tcPr>
            <w:tcW w:w="1067"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6A30138" w14:textId="77777777" w:rsidR="00B6763B" w:rsidRPr="00602E3C" w:rsidRDefault="7C285CBA" w:rsidP="7C285CBA">
            <w:pPr>
              <w:keepNext/>
              <w:keepLines/>
              <w:spacing w:after="0"/>
              <w:jc w:val="center"/>
              <w:rPr>
                <w:rFonts w:ascii="Times New Roman" w:hAnsi="Times New Roman" w:cs="Times New Roman"/>
                <w:sz w:val="20"/>
                <w:szCs w:val="20"/>
              </w:rPr>
            </w:pPr>
            <w:r w:rsidRPr="7C285CBA">
              <w:rPr>
                <w:rFonts w:ascii="Times New Roman" w:hAnsi="Times New Roman" w:cs="Times New Roman"/>
                <w:b/>
                <w:bCs/>
                <w:sz w:val="20"/>
                <w:szCs w:val="20"/>
              </w:rPr>
              <w:t>2024. évi előzetes</w:t>
            </w:r>
            <w:r w:rsidR="74CD2655">
              <w:br/>
            </w:r>
            <w:r w:rsidRPr="7C285CBA">
              <w:rPr>
                <w:rFonts w:ascii="Times New Roman" w:hAnsi="Times New Roman" w:cs="Times New Roman"/>
                <w:b/>
                <w:bCs/>
                <w:sz w:val="20"/>
                <w:szCs w:val="20"/>
              </w:rPr>
              <w:t>tény</w:t>
            </w:r>
            <w:r w:rsidR="74CD2655">
              <w:br/>
            </w:r>
            <w:r w:rsidRPr="7C285CBA">
              <w:rPr>
                <w:rFonts w:ascii="Times New Roman" w:hAnsi="Times New Roman" w:cs="Times New Roman"/>
                <w:sz w:val="20"/>
                <w:szCs w:val="20"/>
              </w:rPr>
              <w:t>milliárd forintban</w:t>
            </w:r>
          </w:p>
          <w:p w14:paraId="36F5C342" w14:textId="76728DC5" w:rsidR="00935118" w:rsidRPr="00602E3C" w:rsidRDefault="7C285CBA" w:rsidP="7C285CBA">
            <w:pPr>
              <w:keepNext/>
              <w:keepLines/>
              <w:spacing w:after="0"/>
              <w:jc w:val="center"/>
              <w:rPr>
                <w:rFonts w:ascii="Times New Roman" w:hAnsi="Times New Roman" w:cs="Times New Roman"/>
                <w:sz w:val="20"/>
                <w:szCs w:val="20"/>
              </w:rPr>
            </w:pPr>
            <w:r w:rsidRPr="7C285CBA">
              <w:rPr>
                <w:rFonts w:ascii="Times New Roman" w:hAnsi="Times New Roman" w:cs="Times New Roman"/>
                <w:sz w:val="20"/>
                <w:szCs w:val="20"/>
              </w:rPr>
              <w:t>(1)</w:t>
            </w:r>
          </w:p>
        </w:tc>
        <w:tc>
          <w:tcPr>
            <w:tcW w:w="127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FDF4E03" w14:textId="3ABF4C65" w:rsidR="00935118" w:rsidRPr="00602E3C" w:rsidRDefault="7C285CBA" w:rsidP="7C285CBA">
            <w:pPr>
              <w:keepNext/>
              <w:keepLines/>
              <w:spacing w:after="0"/>
              <w:jc w:val="center"/>
              <w:rPr>
                <w:rFonts w:ascii="Times New Roman" w:hAnsi="Times New Roman" w:cs="Times New Roman"/>
                <w:sz w:val="20"/>
                <w:szCs w:val="20"/>
              </w:rPr>
            </w:pPr>
            <w:r w:rsidRPr="7C285CBA">
              <w:rPr>
                <w:rFonts w:ascii="Times New Roman" w:hAnsi="Times New Roman" w:cs="Times New Roman"/>
                <w:b/>
                <w:bCs/>
                <w:sz w:val="20"/>
                <w:szCs w:val="20"/>
              </w:rPr>
              <w:t>2024. I-VI</w:t>
            </w:r>
            <w:r w:rsidR="00A55AA0">
              <w:rPr>
                <w:rFonts w:ascii="Times New Roman" w:hAnsi="Times New Roman" w:cs="Times New Roman"/>
                <w:b/>
                <w:bCs/>
                <w:sz w:val="20"/>
                <w:szCs w:val="20"/>
              </w:rPr>
              <w:t>I</w:t>
            </w:r>
            <w:r w:rsidRPr="7C285CBA">
              <w:rPr>
                <w:rFonts w:ascii="Times New Roman" w:hAnsi="Times New Roman" w:cs="Times New Roman"/>
                <w:b/>
                <w:bCs/>
                <w:sz w:val="20"/>
                <w:szCs w:val="20"/>
              </w:rPr>
              <w:t>I. hó tény</w:t>
            </w:r>
            <w:r w:rsidR="74CD2655">
              <w:br/>
            </w:r>
            <w:r w:rsidRPr="7C285CBA">
              <w:rPr>
                <w:rFonts w:ascii="Times New Roman" w:hAnsi="Times New Roman" w:cs="Times New Roman"/>
                <w:sz w:val="20"/>
                <w:szCs w:val="20"/>
              </w:rPr>
              <w:t>milliárd forintban</w:t>
            </w:r>
          </w:p>
          <w:p w14:paraId="547D8DD1" w14:textId="77777777" w:rsidR="00B6763B" w:rsidRPr="00602E3C" w:rsidRDefault="00B6763B" w:rsidP="00B6763B">
            <w:pPr>
              <w:keepNext/>
              <w:keepLines/>
              <w:spacing w:after="0"/>
              <w:jc w:val="center"/>
              <w:rPr>
                <w:rFonts w:ascii="Times New Roman" w:hAnsi="Times New Roman" w:cs="Times New Roman"/>
                <w:sz w:val="20"/>
                <w:szCs w:val="20"/>
              </w:rPr>
            </w:pPr>
          </w:p>
          <w:p w14:paraId="080A44C1" w14:textId="4CBA2534" w:rsidR="00935118" w:rsidRPr="00602E3C" w:rsidRDefault="7C285CBA" w:rsidP="7C285CBA">
            <w:pPr>
              <w:keepNext/>
              <w:keepLines/>
              <w:spacing w:after="0"/>
              <w:jc w:val="center"/>
              <w:rPr>
                <w:rFonts w:ascii="Times New Roman" w:hAnsi="Times New Roman" w:cs="Times New Roman"/>
                <w:sz w:val="20"/>
                <w:szCs w:val="20"/>
              </w:rPr>
            </w:pPr>
            <w:r w:rsidRPr="7C285CBA">
              <w:rPr>
                <w:rFonts w:ascii="Times New Roman" w:hAnsi="Times New Roman" w:cs="Times New Roman"/>
                <w:sz w:val="20"/>
                <w:szCs w:val="20"/>
              </w:rPr>
              <w:t>(2)</w:t>
            </w:r>
          </w:p>
        </w:tc>
        <w:tc>
          <w:tcPr>
            <w:tcW w:w="107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9E2A84F" w14:textId="77777777" w:rsidR="00935118" w:rsidRPr="00602E3C" w:rsidRDefault="7C285CBA" w:rsidP="7C285CBA">
            <w:pPr>
              <w:keepNext/>
              <w:keepLines/>
              <w:spacing w:after="0"/>
              <w:jc w:val="center"/>
              <w:rPr>
                <w:rFonts w:ascii="Times New Roman" w:hAnsi="Times New Roman" w:cs="Times New Roman"/>
                <w:sz w:val="20"/>
                <w:szCs w:val="20"/>
              </w:rPr>
            </w:pPr>
            <w:r w:rsidRPr="7C285CBA">
              <w:rPr>
                <w:rFonts w:ascii="Times New Roman" w:hAnsi="Times New Roman" w:cs="Times New Roman"/>
                <w:sz w:val="20"/>
                <w:szCs w:val="20"/>
              </w:rPr>
              <w:t>éves előzetes tény=100%</w:t>
            </w:r>
            <w:r w:rsidR="74CD2655">
              <w:br/>
            </w:r>
            <w:r w:rsidRPr="7C285CBA">
              <w:rPr>
                <w:rFonts w:ascii="Times New Roman" w:hAnsi="Times New Roman" w:cs="Times New Roman"/>
                <w:sz w:val="20"/>
                <w:szCs w:val="20"/>
              </w:rPr>
              <w:t>Index (%)</w:t>
            </w:r>
          </w:p>
          <w:p w14:paraId="03379603" w14:textId="77777777" w:rsidR="00CD1AD4" w:rsidRPr="00602E3C" w:rsidRDefault="00CD1AD4" w:rsidP="00B6763B">
            <w:pPr>
              <w:keepNext/>
              <w:keepLines/>
              <w:spacing w:after="0"/>
              <w:jc w:val="center"/>
              <w:rPr>
                <w:rFonts w:ascii="Times New Roman" w:hAnsi="Times New Roman" w:cs="Times New Roman"/>
                <w:sz w:val="20"/>
                <w:szCs w:val="20"/>
              </w:rPr>
            </w:pPr>
          </w:p>
          <w:p w14:paraId="7EA042FF" w14:textId="50D239CD" w:rsidR="00935118" w:rsidRPr="00602E3C" w:rsidRDefault="7C285CBA" w:rsidP="7C285CBA">
            <w:pPr>
              <w:keepNext/>
              <w:keepLines/>
              <w:spacing w:after="0"/>
              <w:jc w:val="center"/>
              <w:rPr>
                <w:rFonts w:ascii="Times New Roman" w:hAnsi="Times New Roman" w:cs="Times New Roman"/>
                <w:sz w:val="20"/>
                <w:szCs w:val="20"/>
              </w:rPr>
            </w:pPr>
            <w:r w:rsidRPr="7C285CBA">
              <w:rPr>
                <w:rFonts w:ascii="Times New Roman" w:hAnsi="Times New Roman" w:cs="Times New Roman"/>
                <w:sz w:val="20"/>
                <w:szCs w:val="20"/>
              </w:rPr>
              <w:t>(2/1)</w:t>
            </w:r>
          </w:p>
        </w:tc>
        <w:tc>
          <w:tcPr>
            <w:tcW w:w="110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21E5557" w14:textId="77777777" w:rsidR="00935118" w:rsidRPr="00602E3C" w:rsidRDefault="7C285CBA" w:rsidP="7C285CBA">
            <w:pPr>
              <w:keepNext/>
              <w:keepLines/>
              <w:spacing w:after="0"/>
              <w:jc w:val="center"/>
              <w:rPr>
                <w:rFonts w:ascii="Times New Roman" w:hAnsi="Times New Roman" w:cs="Times New Roman"/>
                <w:sz w:val="20"/>
                <w:szCs w:val="20"/>
              </w:rPr>
            </w:pPr>
            <w:r w:rsidRPr="7C285CBA">
              <w:rPr>
                <w:rFonts w:ascii="Times New Roman" w:hAnsi="Times New Roman" w:cs="Times New Roman"/>
                <w:b/>
                <w:bCs/>
                <w:sz w:val="20"/>
                <w:szCs w:val="20"/>
              </w:rPr>
              <w:t>2025. évi előirányzat</w:t>
            </w:r>
            <w:r w:rsidR="74CD2655">
              <w:br/>
            </w:r>
            <w:r w:rsidRPr="7C285CBA">
              <w:rPr>
                <w:rFonts w:ascii="Times New Roman" w:hAnsi="Times New Roman" w:cs="Times New Roman"/>
                <w:sz w:val="20"/>
                <w:szCs w:val="20"/>
              </w:rPr>
              <w:t>milliárd forintban</w:t>
            </w:r>
          </w:p>
          <w:p w14:paraId="6FB67AB7" w14:textId="77777777" w:rsidR="00B6763B" w:rsidRPr="00602E3C" w:rsidRDefault="00B6763B" w:rsidP="00B6763B">
            <w:pPr>
              <w:keepNext/>
              <w:keepLines/>
              <w:spacing w:after="0"/>
              <w:jc w:val="center"/>
              <w:rPr>
                <w:rFonts w:ascii="Times New Roman" w:hAnsi="Times New Roman" w:cs="Times New Roman"/>
                <w:sz w:val="20"/>
                <w:szCs w:val="20"/>
              </w:rPr>
            </w:pPr>
          </w:p>
          <w:p w14:paraId="2C87F662" w14:textId="5B799A38" w:rsidR="00935118" w:rsidRPr="00602E3C" w:rsidRDefault="7C285CBA" w:rsidP="7C285CBA">
            <w:pPr>
              <w:keepNext/>
              <w:keepLines/>
              <w:spacing w:after="0"/>
              <w:jc w:val="center"/>
              <w:rPr>
                <w:rFonts w:ascii="Times New Roman" w:hAnsi="Times New Roman" w:cs="Times New Roman"/>
                <w:sz w:val="20"/>
                <w:szCs w:val="20"/>
              </w:rPr>
            </w:pPr>
            <w:r w:rsidRPr="7C285CBA">
              <w:rPr>
                <w:rFonts w:ascii="Times New Roman" w:hAnsi="Times New Roman" w:cs="Times New Roman"/>
                <w:sz w:val="20"/>
                <w:szCs w:val="20"/>
              </w:rPr>
              <w:t>(3)</w:t>
            </w:r>
          </w:p>
        </w:tc>
        <w:tc>
          <w:tcPr>
            <w:tcW w:w="122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D4190CD" w14:textId="57E2A052" w:rsidR="00B6763B" w:rsidRPr="00602E3C" w:rsidRDefault="7C285CBA" w:rsidP="7C285CBA">
            <w:pPr>
              <w:keepNext/>
              <w:keepLines/>
              <w:spacing w:after="0"/>
              <w:jc w:val="center"/>
              <w:rPr>
                <w:rFonts w:ascii="Times New Roman" w:hAnsi="Times New Roman" w:cs="Times New Roman"/>
                <w:sz w:val="20"/>
                <w:szCs w:val="20"/>
              </w:rPr>
            </w:pPr>
            <w:r w:rsidRPr="7C285CBA">
              <w:rPr>
                <w:rFonts w:ascii="Times New Roman" w:hAnsi="Times New Roman" w:cs="Times New Roman"/>
                <w:b/>
                <w:bCs/>
                <w:sz w:val="20"/>
                <w:szCs w:val="20"/>
              </w:rPr>
              <w:t>2025. I-VI</w:t>
            </w:r>
            <w:r w:rsidR="00A55AA0">
              <w:rPr>
                <w:rFonts w:ascii="Times New Roman" w:hAnsi="Times New Roman" w:cs="Times New Roman"/>
                <w:b/>
                <w:bCs/>
                <w:sz w:val="20"/>
                <w:szCs w:val="20"/>
              </w:rPr>
              <w:t>I</w:t>
            </w:r>
            <w:r w:rsidRPr="7C285CBA">
              <w:rPr>
                <w:rFonts w:ascii="Times New Roman" w:hAnsi="Times New Roman" w:cs="Times New Roman"/>
                <w:b/>
                <w:bCs/>
                <w:sz w:val="20"/>
                <w:szCs w:val="20"/>
              </w:rPr>
              <w:t>I. hó tény</w:t>
            </w:r>
            <w:r w:rsidR="74CD2655">
              <w:br/>
            </w:r>
            <w:r w:rsidRPr="7C285CBA">
              <w:rPr>
                <w:rFonts w:ascii="Times New Roman" w:hAnsi="Times New Roman" w:cs="Times New Roman"/>
                <w:sz w:val="20"/>
                <w:szCs w:val="20"/>
              </w:rPr>
              <w:t>milliárd forintban</w:t>
            </w:r>
          </w:p>
          <w:p w14:paraId="15A457DF" w14:textId="77777777" w:rsidR="00B6763B" w:rsidRPr="00602E3C" w:rsidRDefault="00B6763B" w:rsidP="00B6763B">
            <w:pPr>
              <w:keepNext/>
              <w:keepLines/>
              <w:spacing w:after="0"/>
              <w:jc w:val="center"/>
              <w:rPr>
                <w:rFonts w:ascii="Times New Roman" w:hAnsi="Times New Roman" w:cs="Times New Roman"/>
                <w:sz w:val="20"/>
                <w:szCs w:val="20"/>
              </w:rPr>
            </w:pPr>
          </w:p>
          <w:p w14:paraId="3C073C3C" w14:textId="075CFEB7" w:rsidR="00935118" w:rsidRPr="00602E3C" w:rsidRDefault="7C285CBA" w:rsidP="7C285CBA">
            <w:pPr>
              <w:keepNext/>
              <w:keepLines/>
              <w:spacing w:after="0"/>
              <w:jc w:val="center"/>
              <w:rPr>
                <w:rFonts w:ascii="Times New Roman" w:hAnsi="Times New Roman" w:cs="Times New Roman"/>
                <w:sz w:val="20"/>
                <w:szCs w:val="20"/>
              </w:rPr>
            </w:pPr>
            <w:r w:rsidRPr="7C285CBA">
              <w:rPr>
                <w:rFonts w:ascii="Times New Roman" w:hAnsi="Times New Roman" w:cs="Times New Roman"/>
                <w:sz w:val="20"/>
                <w:szCs w:val="20"/>
              </w:rPr>
              <w:t>(4)</w:t>
            </w:r>
          </w:p>
        </w:tc>
        <w:tc>
          <w:tcPr>
            <w:tcW w:w="115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CCBD1FD" w14:textId="77777777" w:rsidR="00B6763B" w:rsidRPr="00602E3C" w:rsidRDefault="7C285CBA" w:rsidP="7C285CBA">
            <w:pPr>
              <w:keepNext/>
              <w:keepLines/>
              <w:spacing w:after="0"/>
              <w:jc w:val="center"/>
              <w:rPr>
                <w:rFonts w:ascii="Times New Roman" w:hAnsi="Times New Roman" w:cs="Times New Roman"/>
                <w:sz w:val="20"/>
                <w:szCs w:val="20"/>
              </w:rPr>
            </w:pPr>
            <w:r w:rsidRPr="7C285CBA">
              <w:rPr>
                <w:rFonts w:ascii="Times New Roman" w:hAnsi="Times New Roman" w:cs="Times New Roman"/>
                <w:sz w:val="20"/>
                <w:szCs w:val="20"/>
              </w:rPr>
              <w:t>előirányzat=</w:t>
            </w:r>
            <w:r w:rsidR="74CD2655">
              <w:br/>
            </w:r>
            <w:r w:rsidRPr="7C285CBA">
              <w:rPr>
                <w:rFonts w:ascii="Times New Roman" w:hAnsi="Times New Roman" w:cs="Times New Roman"/>
                <w:sz w:val="20"/>
                <w:szCs w:val="20"/>
              </w:rPr>
              <w:t>100%</w:t>
            </w:r>
            <w:r w:rsidR="74CD2655">
              <w:br/>
            </w:r>
            <w:r w:rsidRPr="7C285CBA">
              <w:rPr>
                <w:rFonts w:ascii="Times New Roman" w:hAnsi="Times New Roman" w:cs="Times New Roman"/>
                <w:sz w:val="20"/>
                <w:szCs w:val="20"/>
              </w:rPr>
              <w:t>Index (%)</w:t>
            </w:r>
          </w:p>
          <w:p w14:paraId="4AEEBB44" w14:textId="77777777" w:rsidR="00B6763B" w:rsidRDefault="00B6763B" w:rsidP="00B6763B">
            <w:pPr>
              <w:keepNext/>
              <w:keepLines/>
              <w:spacing w:after="0"/>
              <w:jc w:val="center"/>
              <w:rPr>
                <w:rFonts w:ascii="Times New Roman" w:hAnsi="Times New Roman" w:cs="Times New Roman"/>
                <w:sz w:val="20"/>
                <w:szCs w:val="20"/>
              </w:rPr>
            </w:pPr>
          </w:p>
          <w:p w14:paraId="594C63D7" w14:textId="77777777" w:rsidR="00602E3C" w:rsidRPr="00602E3C" w:rsidRDefault="00602E3C" w:rsidP="00B6763B">
            <w:pPr>
              <w:keepNext/>
              <w:keepLines/>
              <w:spacing w:after="0"/>
              <w:jc w:val="center"/>
              <w:rPr>
                <w:rFonts w:ascii="Times New Roman" w:hAnsi="Times New Roman" w:cs="Times New Roman"/>
                <w:sz w:val="20"/>
                <w:szCs w:val="20"/>
              </w:rPr>
            </w:pPr>
          </w:p>
          <w:p w14:paraId="6886B04A" w14:textId="0682B2A8" w:rsidR="00935118" w:rsidRPr="00602E3C" w:rsidRDefault="7C285CBA" w:rsidP="7C285CBA">
            <w:pPr>
              <w:keepNext/>
              <w:keepLines/>
              <w:spacing w:after="0"/>
              <w:jc w:val="center"/>
              <w:rPr>
                <w:rFonts w:ascii="Times New Roman" w:hAnsi="Times New Roman" w:cs="Times New Roman"/>
                <w:sz w:val="20"/>
                <w:szCs w:val="20"/>
              </w:rPr>
            </w:pPr>
            <w:r w:rsidRPr="7C285CBA">
              <w:rPr>
                <w:rFonts w:ascii="Times New Roman" w:hAnsi="Times New Roman" w:cs="Times New Roman"/>
                <w:sz w:val="20"/>
                <w:szCs w:val="20"/>
              </w:rPr>
              <w:t>(4/3)</w:t>
            </w:r>
          </w:p>
        </w:tc>
        <w:tc>
          <w:tcPr>
            <w:tcW w:w="111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392F559" w14:textId="77777777" w:rsidR="00B6763B" w:rsidRPr="00602E3C" w:rsidRDefault="7C285CBA" w:rsidP="7C285CBA">
            <w:pPr>
              <w:keepNext/>
              <w:keepLines/>
              <w:spacing w:after="0"/>
              <w:jc w:val="center"/>
              <w:rPr>
                <w:rFonts w:ascii="Times New Roman" w:hAnsi="Times New Roman" w:cs="Times New Roman"/>
                <w:sz w:val="20"/>
                <w:szCs w:val="20"/>
              </w:rPr>
            </w:pPr>
            <w:r w:rsidRPr="7C285CBA">
              <w:rPr>
                <w:rFonts w:ascii="Times New Roman" w:hAnsi="Times New Roman" w:cs="Times New Roman"/>
                <w:sz w:val="20"/>
                <w:szCs w:val="20"/>
              </w:rPr>
              <w:t>előző év=</w:t>
            </w:r>
            <w:r w:rsidR="74CD2655">
              <w:br/>
            </w:r>
            <w:r w:rsidRPr="7C285CBA">
              <w:rPr>
                <w:rFonts w:ascii="Times New Roman" w:hAnsi="Times New Roman" w:cs="Times New Roman"/>
                <w:sz w:val="20"/>
                <w:szCs w:val="20"/>
              </w:rPr>
              <w:t>100%</w:t>
            </w:r>
            <w:r w:rsidR="74CD2655">
              <w:br/>
            </w:r>
            <w:r w:rsidRPr="7C285CBA">
              <w:rPr>
                <w:rFonts w:ascii="Times New Roman" w:hAnsi="Times New Roman" w:cs="Times New Roman"/>
                <w:sz w:val="20"/>
                <w:szCs w:val="20"/>
              </w:rPr>
              <w:t>Index (%)</w:t>
            </w:r>
          </w:p>
          <w:p w14:paraId="2CC3F023" w14:textId="77777777" w:rsidR="00B6763B" w:rsidRPr="00602E3C" w:rsidRDefault="00B6763B" w:rsidP="00B6763B">
            <w:pPr>
              <w:keepNext/>
              <w:keepLines/>
              <w:spacing w:after="0"/>
              <w:jc w:val="center"/>
              <w:rPr>
                <w:rFonts w:ascii="Times New Roman" w:hAnsi="Times New Roman" w:cs="Times New Roman"/>
                <w:sz w:val="20"/>
                <w:szCs w:val="20"/>
              </w:rPr>
            </w:pPr>
          </w:p>
          <w:p w14:paraId="1414C741" w14:textId="77DB2268" w:rsidR="00935118" w:rsidRPr="00602E3C" w:rsidRDefault="00935118" w:rsidP="7C285CBA">
            <w:pPr>
              <w:keepNext/>
              <w:keepLines/>
              <w:spacing w:after="0"/>
              <w:jc w:val="center"/>
              <w:rPr>
                <w:rFonts w:ascii="Times New Roman" w:hAnsi="Times New Roman" w:cs="Times New Roman"/>
                <w:sz w:val="20"/>
                <w:szCs w:val="20"/>
              </w:rPr>
            </w:pPr>
            <w:r>
              <w:br/>
            </w:r>
            <w:r w:rsidR="7C285CBA" w:rsidRPr="7C285CBA">
              <w:rPr>
                <w:rFonts w:ascii="Times New Roman" w:hAnsi="Times New Roman" w:cs="Times New Roman"/>
                <w:sz w:val="20"/>
                <w:szCs w:val="20"/>
              </w:rPr>
              <w:t>(4/2)</w:t>
            </w:r>
          </w:p>
        </w:tc>
      </w:tr>
      <w:tr w:rsidR="00A55AA0" w:rsidRPr="003D514A" w14:paraId="272C1797" w14:textId="77777777" w:rsidTr="7C285CBA">
        <w:trPr>
          <w:trHeight w:val="170"/>
          <w:jc w:val="center"/>
        </w:trPr>
        <w:tc>
          <w:tcPr>
            <w:tcW w:w="2047" w:type="dxa"/>
            <w:tcBorders>
              <w:top w:val="nil"/>
              <w:left w:val="single" w:sz="4" w:space="0" w:color="auto"/>
              <w:bottom w:val="single" w:sz="4" w:space="0" w:color="auto"/>
              <w:right w:val="single" w:sz="4" w:space="0" w:color="auto"/>
            </w:tcBorders>
            <w:vAlign w:val="center"/>
            <w:hideMark/>
          </w:tcPr>
          <w:p w14:paraId="5BBCCA14" w14:textId="77777777" w:rsidR="00A55AA0" w:rsidRPr="00602E3C" w:rsidRDefault="00A55AA0" w:rsidP="00A55AA0">
            <w:pPr>
              <w:keepNext/>
              <w:keepLines/>
              <w:spacing w:before="120" w:after="120"/>
              <w:rPr>
                <w:rFonts w:ascii="Times New Roman" w:hAnsi="Times New Roman" w:cs="Times New Roman"/>
                <w:b/>
                <w:bCs/>
                <w:sz w:val="20"/>
                <w:szCs w:val="20"/>
              </w:rPr>
            </w:pPr>
            <w:r w:rsidRPr="7C285CBA">
              <w:rPr>
                <w:rFonts w:ascii="Times New Roman" w:hAnsi="Times New Roman" w:cs="Times New Roman"/>
                <w:b/>
                <w:bCs/>
                <w:sz w:val="20"/>
                <w:szCs w:val="20"/>
              </w:rPr>
              <w:t>Központi költségvetés egyenlege</w:t>
            </w:r>
          </w:p>
        </w:tc>
        <w:tc>
          <w:tcPr>
            <w:tcW w:w="1067" w:type="dxa"/>
            <w:tcBorders>
              <w:top w:val="single" w:sz="4" w:space="0" w:color="auto"/>
              <w:left w:val="single" w:sz="4" w:space="0" w:color="auto"/>
              <w:bottom w:val="single" w:sz="4" w:space="0" w:color="auto"/>
              <w:right w:val="single" w:sz="4" w:space="0" w:color="auto"/>
            </w:tcBorders>
            <w:noWrap/>
            <w:vAlign w:val="center"/>
          </w:tcPr>
          <w:p w14:paraId="74A13CE6" w14:textId="5DCB3547" w:rsidR="00A55AA0" w:rsidRPr="007007A3" w:rsidRDefault="00A55AA0" w:rsidP="00A55AA0">
            <w:pPr>
              <w:spacing w:before="120" w:after="120"/>
              <w:jc w:val="right"/>
              <w:rPr>
                <w:rFonts w:ascii="Times New Roman" w:hAnsi="Times New Roman" w:cs="Times New Roman"/>
                <w:b/>
                <w:bCs/>
                <w:sz w:val="20"/>
                <w:szCs w:val="20"/>
              </w:rPr>
            </w:pPr>
            <w:r w:rsidRPr="002B2FFB">
              <w:rPr>
                <w:rFonts w:ascii="Garamond" w:hAnsi="Garamond"/>
                <w:b/>
                <w:bCs/>
                <w:szCs w:val="20"/>
              </w:rPr>
              <w:t>-4 003,9</w:t>
            </w:r>
          </w:p>
        </w:tc>
        <w:tc>
          <w:tcPr>
            <w:tcW w:w="1276" w:type="dxa"/>
            <w:tcBorders>
              <w:top w:val="single" w:sz="4" w:space="0" w:color="auto"/>
              <w:left w:val="nil"/>
              <w:bottom w:val="single" w:sz="4" w:space="0" w:color="auto"/>
              <w:right w:val="single" w:sz="4" w:space="0" w:color="auto"/>
            </w:tcBorders>
            <w:noWrap/>
            <w:vAlign w:val="center"/>
          </w:tcPr>
          <w:p w14:paraId="68AA4960" w14:textId="2772C14C" w:rsidR="00A55AA0" w:rsidRPr="007007A3" w:rsidRDefault="00A55AA0" w:rsidP="00A55AA0">
            <w:pPr>
              <w:spacing w:before="120" w:after="120"/>
              <w:jc w:val="right"/>
              <w:rPr>
                <w:rFonts w:ascii="Times New Roman" w:hAnsi="Times New Roman" w:cs="Times New Roman"/>
                <w:b/>
                <w:bCs/>
                <w:sz w:val="20"/>
                <w:szCs w:val="20"/>
              </w:rPr>
            </w:pPr>
            <w:r w:rsidRPr="002B2FFB">
              <w:rPr>
                <w:rFonts w:ascii="Garamond" w:hAnsi="Garamond"/>
                <w:b/>
                <w:bCs/>
              </w:rPr>
              <w:t>-2 862,1</w:t>
            </w:r>
          </w:p>
        </w:tc>
        <w:tc>
          <w:tcPr>
            <w:tcW w:w="1075" w:type="dxa"/>
            <w:tcBorders>
              <w:top w:val="single" w:sz="4" w:space="0" w:color="auto"/>
              <w:left w:val="nil"/>
              <w:bottom w:val="single" w:sz="4" w:space="0" w:color="auto"/>
              <w:right w:val="single" w:sz="4" w:space="0" w:color="auto"/>
            </w:tcBorders>
            <w:noWrap/>
            <w:vAlign w:val="center"/>
          </w:tcPr>
          <w:p w14:paraId="67CDD199" w14:textId="3AE75297"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71,5</w:t>
            </w:r>
          </w:p>
        </w:tc>
        <w:tc>
          <w:tcPr>
            <w:tcW w:w="1103" w:type="dxa"/>
            <w:tcBorders>
              <w:top w:val="single" w:sz="4" w:space="0" w:color="auto"/>
              <w:left w:val="nil"/>
              <w:bottom w:val="single" w:sz="4" w:space="0" w:color="auto"/>
              <w:right w:val="single" w:sz="4" w:space="0" w:color="auto"/>
            </w:tcBorders>
            <w:noWrap/>
            <w:vAlign w:val="center"/>
          </w:tcPr>
          <w:p w14:paraId="5DEEBFBC" w14:textId="6FAF3993" w:rsidR="00A55AA0" w:rsidRPr="007007A3" w:rsidRDefault="00A55AA0" w:rsidP="00A55AA0">
            <w:pPr>
              <w:spacing w:before="120" w:after="120"/>
              <w:jc w:val="right"/>
              <w:rPr>
                <w:rFonts w:ascii="Times New Roman" w:hAnsi="Times New Roman" w:cs="Times New Roman"/>
                <w:b/>
                <w:bCs/>
                <w:sz w:val="20"/>
                <w:szCs w:val="20"/>
              </w:rPr>
            </w:pPr>
            <w:r w:rsidRPr="002B2FFB">
              <w:rPr>
                <w:rFonts w:ascii="Garamond" w:hAnsi="Garamond"/>
                <w:b/>
                <w:bCs/>
                <w:szCs w:val="20"/>
              </w:rPr>
              <w:t>-4 211,6</w:t>
            </w:r>
          </w:p>
        </w:tc>
        <w:tc>
          <w:tcPr>
            <w:tcW w:w="1224" w:type="dxa"/>
            <w:tcBorders>
              <w:top w:val="single" w:sz="4" w:space="0" w:color="auto"/>
              <w:left w:val="nil"/>
              <w:bottom w:val="single" w:sz="4" w:space="0" w:color="auto"/>
              <w:right w:val="single" w:sz="4" w:space="0" w:color="auto"/>
            </w:tcBorders>
            <w:noWrap/>
            <w:vAlign w:val="center"/>
          </w:tcPr>
          <w:p w14:paraId="2B3E7161" w14:textId="3E9617CC" w:rsidR="00A55AA0" w:rsidRPr="007007A3" w:rsidRDefault="00A55AA0" w:rsidP="00A55AA0">
            <w:pPr>
              <w:spacing w:before="120" w:after="120"/>
              <w:jc w:val="right"/>
              <w:rPr>
                <w:rFonts w:ascii="Times New Roman" w:hAnsi="Times New Roman" w:cs="Times New Roman"/>
                <w:b/>
                <w:bCs/>
                <w:sz w:val="20"/>
                <w:szCs w:val="20"/>
              </w:rPr>
            </w:pPr>
            <w:r w:rsidRPr="002B2FFB">
              <w:rPr>
                <w:rFonts w:ascii="Garamond" w:hAnsi="Garamond"/>
                <w:b/>
                <w:bCs/>
                <w:szCs w:val="20"/>
              </w:rPr>
              <w:t>-3 012,7</w:t>
            </w:r>
          </w:p>
        </w:tc>
        <w:tc>
          <w:tcPr>
            <w:tcW w:w="1159" w:type="dxa"/>
            <w:tcBorders>
              <w:top w:val="single" w:sz="4" w:space="0" w:color="auto"/>
              <w:left w:val="nil"/>
              <w:bottom w:val="single" w:sz="4" w:space="0" w:color="auto"/>
              <w:right w:val="single" w:sz="4" w:space="0" w:color="auto"/>
            </w:tcBorders>
            <w:noWrap/>
            <w:vAlign w:val="center"/>
          </w:tcPr>
          <w:p w14:paraId="1590672A" w14:textId="076A0CED"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71,5</w:t>
            </w:r>
          </w:p>
        </w:tc>
        <w:tc>
          <w:tcPr>
            <w:tcW w:w="1113" w:type="dxa"/>
            <w:tcBorders>
              <w:top w:val="single" w:sz="4" w:space="0" w:color="auto"/>
              <w:left w:val="nil"/>
              <w:bottom w:val="single" w:sz="4" w:space="0" w:color="auto"/>
              <w:right w:val="single" w:sz="4" w:space="0" w:color="auto"/>
            </w:tcBorders>
            <w:noWrap/>
            <w:vAlign w:val="center"/>
          </w:tcPr>
          <w:p w14:paraId="5FD27053" w14:textId="3793C1AF"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105,3</w:t>
            </w:r>
          </w:p>
        </w:tc>
      </w:tr>
      <w:tr w:rsidR="00A55AA0" w:rsidRPr="003D514A" w14:paraId="43DB1C6B" w14:textId="77777777" w:rsidTr="7C285CBA">
        <w:trPr>
          <w:trHeight w:val="170"/>
          <w:jc w:val="center"/>
        </w:trPr>
        <w:tc>
          <w:tcPr>
            <w:tcW w:w="2047" w:type="dxa"/>
            <w:tcBorders>
              <w:top w:val="nil"/>
              <w:left w:val="single" w:sz="4" w:space="0" w:color="auto"/>
              <w:bottom w:val="single" w:sz="4" w:space="0" w:color="auto"/>
              <w:right w:val="single" w:sz="4" w:space="0" w:color="auto"/>
            </w:tcBorders>
            <w:vAlign w:val="center"/>
            <w:hideMark/>
          </w:tcPr>
          <w:p w14:paraId="6191C3DC" w14:textId="77777777" w:rsidR="00A55AA0" w:rsidRPr="00602E3C" w:rsidRDefault="00A55AA0" w:rsidP="00A55AA0">
            <w:pPr>
              <w:keepNext/>
              <w:keepLines/>
              <w:spacing w:before="120" w:after="120"/>
              <w:jc w:val="right"/>
              <w:rPr>
                <w:rFonts w:ascii="Times New Roman" w:hAnsi="Times New Roman" w:cs="Times New Roman"/>
                <w:sz w:val="20"/>
                <w:szCs w:val="20"/>
              </w:rPr>
            </w:pPr>
            <w:r w:rsidRPr="7C285CBA">
              <w:rPr>
                <w:rFonts w:ascii="Times New Roman" w:hAnsi="Times New Roman" w:cs="Times New Roman"/>
                <w:sz w:val="20"/>
                <w:szCs w:val="20"/>
              </w:rPr>
              <w:t>bevétel:</w:t>
            </w:r>
          </w:p>
        </w:tc>
        <w:tc>
          <w:tcPr>
            <w:tcW w:w="1067" w:type="dxa"/>
            <w:tcBorders>
              <w:top w:val="nil"/>
              <w:left w:val="single" w:sz="4" w:space="0" w:color="auto"/>
              <w:bottom w:val="single" w:sz="4" w:space="0" w:color="auto"/>
              <w:right w:val="single" w:sz="4" w:space="0" w:color="auto"/>
            </w:tcBorders>
            <w:noWrap/>
            <w:vAlign w:val="center"/>
          </w:tcPr>
          <w:p w14:paraId="3013BE1E" w14:textId="7B27951E"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26 655,6</w:t>
            </w:r>
          </w:p>
        </w:tc>
        <w:tc>
          <w:tcPr>
            <w:tcW w:w="1276" w:type="dxa"/>
            <w:tcBorders>
              <w:top w:val="nil"/>
              <w:left w:val="nil"/>
              <w:bottom w:val="single" w:sz="4" w:space="0" w:color="auto"/>
              <w:right w:val="single" w:sz="4" w:space="0" w:color="auto"/>
            </w:tcBorders>
            <w:noWrap/>
            <w:vAlign w:val="center"/>
          </w:tcPr>
          <w:p w14:paraId="00714DA8" w14:textId="1FB3F343"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rPr>
              <w:t>16 889,2</w:t>
            </w:r>
          </w:p>
        </w:tc>
        <w:tc>
          <w:tcPr>
            <w:tcW w:w="1075" w:type="dxa"/>
            <w:tcBorders>
              <w:top w:val="nil"/>
              <w:left w:val="nil"/>
              <w:bottom w:val="single" w:sz="4" w:space="0" w:color="auto"/>
              <w:right w:val="single" w:sz="4" w:space="0" w:color="auto"/>
            </w:tcBorders>
            <w:noWrap/>
            <w:vAlign w:val="center"/>
          </w:tcPr>
          <w:p w14:paraId="15BCE7D2" w14:textId="5E4D362C"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63,4</w:t>
            </w:r>
          </w:p>
        </w:tc>
        <w:tc>
          <w:tcPr>
            <w:tcW w:w="1103" w:type="dxa"/>
            <w:tcBorders>
              <w:top w:val="nil"/>
              <w:left w:val="nil"/>
              <w:bottom w:val="single" w:sz="4" w:space="0" w:color="auto"/>
              <w:right w:val="single" w:sz="4" w:space="0" w:color="auto"/>
            </w:tcBorders>
            <w:noWrap/>
            <w:vAlign w:val="center"/>
          </w:tcPr>
          <w:p w14:paraId="0B162934" w14:textId="2E230DEA"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26 622,0</w:t>
            </w:r>
          </w:p>
        </w:tc>
        <w:tc>
          <w:tcPr>
            <w:tcW w:w="1224" w:type="dxa"/>
            <w:tcBorders>
              <w:top w:val="nil"/>
              <w:left w:val="nil"/>
              <w:bottom w:val="single" w:sz="4" w:space="0" w:color="auto"/>
              <w:right w:val="single" w:sz="4" w:space="0" w:color="auto"/>
            </w:tcBorders>
            <w:noWrap/>
            <w:vAlign w:val="center"/>
          </w:tcPr>
          <w:p w14:paraId="6C375A8F" w14:textId="6344C676"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18 095,7</w:t>
            </w:r>
          </w:p>
        </w:tc>
        <w:tc>
          <w:tcPr>
            <w:tcW w:w="1159" w:type="dxa"/>
            <w:tcBorders>
              <w:top w:val="nil"/>
              <w:left w:val="nil"/>
              <w:bottom w:val="single" w:sz="4" w:space="0" w:color="auto"/>
              <w:right w:val="single" w:sz="4" w:space="0" w:color="auto"/>
            </w:tcBorders>
            <w:noWrap/>
            <w:vAlign w:val="center"/>
          </w:tcPr>
          <w:p w14:paraId="229A1E05" w14:textId="72C17FB4"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68,0</w:t>
            </w:r>
          </w:p>
        </w:tc>
        <w:tc>
          <w:tcPr>
            <w:tcW w:w="1113" w:type="dxa"/>
            <w:tcBorders>
              <w:top w:val="nil"/>
              <w:left w:val="nil"/>
              <w:bottom w:val="single" w:sz="4" w:space="0" w:color="auto"/>
              <w:right w:val="single" w:sz="4" w:space="0" w:color="auto"/>
            </w:tcBorders>
            <w:noWrap/>
            <w:vAlign w:val="center"/>
          </w:tcPr>
          <w:p w14:paraId="0D7E5DA4" w14:textId="1991901C"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107,1</w:t>
            </w:r>
          </w:p>
        </w:tc>
      </w:tr>
      <w:tr w:rsidR="00A55AA0" w:rsidRPr="003D514A" w14:paraId="576245F4" w14:textId="77777777" w:rsidTr="7C285CBA">
        <w:trPr>
          <w:trHeight w:val="170"/>
          <w:jc w:val="center"/>
        </w:trPr>
        <w:tc>
          <w:tcPr>
            <w:tcW w:w="2047" w:type="dxa"/>
            <w:tcBorders>
              <w:top w:val="nil"/>
              <w:left w:val="single" w:sz="4" w:space="0" w:color="auto"/>
              <w:bottom w:val="single" w:sz="4" w:space="0" w:color="auto"/>
              <w:right w:val="single" w:sz="4" w:space="0" w:color="auto"/>
            </w:tcBorders>
            <w:vAlign w:val="center"/>
            <w:hideMark/>
          </w:tcPr>
          <w:p w14:paraId="47DE056B" w14:textId="77777777" w:rsidR="00A55AA0" w:rsidRPr="00602E3C" w:rsidRDefault="00A55AA0" w:rsidP="00A55AA0">
            <w:pPr>
              <w:keepNext/>
              <w:keepLines/>
              <w:spacing w:before="120" w:after="120"/>
              <w:jc w:val="right"/>
              <w:rPr>
                <w:rFonts w:ascii="Times New Roman" w:hAnsi="Times New Roman" w:cs="Times New Roman"/>
                <w:sz w:val="20"/>
                <w:szCs w:val="20"/>
              </w:rPr>
            </w:pPr>
            <w:r w:rsidRPr="7C285CBA">
              <w:rPr>
                <w:rFonts w:ascii="Times New Roman" w:hAnsi="Times New Roman" w:cs="Times New Roman"/>
                <w:sz w:val="20"/>
                <w:szCs w:val="20"/>
              </w:rPr>
              <w:t>kiadás:</w:t>
            </w:r>
          </w:p>
        </w:tc>
        <w:tc>
          <w:tcPr>
            <w:tcW w:w="1067" w:type="dxa"/>
            <w:tcBorders>
              <w:top w:val="nil"/>
              <w:left w:val="single" w:sz="4" w:space="0" w:color="auto"/>
              <w:bottom w:val="single" w:sz="4" w:space="0" w:color="auto"/>
              <w:right w:val="single" w:sz="4" w:space="0" w:color="auto"/>
            </w:tcBorders>
            <w:noWrap/>
            <w:vAlign w:val="center"/>
          </w:tcPr>
          <w:p w14:paraId="2B82BDD4" w14:textId="6D960AD4"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30 659,5</w:t>
            </w:r>
          </w:p>
        </w:tc>
        <w:tc>
          <w:tcPr>
            <w:tcW w:w="1276" w:type="dxa"/>
            <w:tcBorders>
              <w:top w:val="nil"/>
              <w:left w:val="nil"/>
              <w:bottom w:val="single" w:sz="4" w:space="0" w:color="auto"/>
              <w:right w:val="single" w:sz="4" w:space="0" w:color="auto"/>
            </w:tcBorders>
            <w:noWrap/>
            <w:vAlign w:val="center"/>
          </w:tcPr>
          <w:p w14:paraId="51B92D54" w14:textId="614BC300"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rPr>
              <w:t>19 751,3</w:t>
            </w:r>
          </w:p>
        </w:tc>
        <w:tc>
          <w:tcPr>
            <w:tcW w:w="1075" w:type="dxa"/>
            <w:tcBorders>
              <w:top w:val="nil"/>
              <w:left w:val="nil"/>
              <w:bottom w:val="single" w:sz="4" w:space="0" w:color="auto"/>
              <w:right w:val="single" w:sz="4" w:space="0" w:color="auto"/>
            </w:tcBorders>
            <w:noWrap/>
            <w:vAlign w:val="center"/>
          </w:tcPr>
          <w:p w14:paraId="480CDC03" w14:textId="2BAB69CD"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64,4</w:t>
            </w:r>
          </w:p>
        </w:tc>
        <w:tc>
          <w:tcPr>
            <w:tcW w:w="1103" w:type="dxa"/>
            <w:tcBorders>
              <w:top w:val="nil"/>
              <w:left w:val="nil"/>
              <w:bottom w:val="single" w:sz="4" w:space="0" w:color="auto"/>
              <w:right w:val="single" w:sz="4" w:space="0" w:color="auto"/>
            </w:tcBorders>
            <w:noWrap/>
            <w:vAlign w:val="center"/>
          </w:tcPr>
          <w:p w14:paraId="30613988" w14:textId="19B9E307"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30 833,5</w:t>
            </w:r>
          </w:p>
        </w:tc>
        <w:tc>
          <w:tcPr>
            <w:tcW w:w="1224" w:type="dxa"/>
            <w:tcBorders>
              <w:top w:val="nil"/>
              <w:left w:val="nil"/>
              <w:bottom w:val="single" w:sz="4" w:space="0" w:color="auto"/>
              <w:right w:val="single" w:sz="4" w:space="0" w:color="auto"/>
            </w:tcBorders>
            <w:noWrap/>
            <w:vAlign w:val="center"/>
          </w:tcPr>
          <w:p w14:paraId="1CE8D31A" w14:textId="49668656"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21 108,4</w:t>
            </w:r>
          </w:p>
        </w:tc>
        <w:tc>
          <w:tcPr>
            <w:tcW w:w="1159" w:type="dxa"/>
            <w:tcBorders>
              <w:top w:val="nil"/>
              <w:left w:val="nil"/>
              <w:bottom w:val="single" w:sz="4" w:space="0" w:color="auto"/>
              <w:right w:val="single" w:sz="4" w:space="0" w:color="auto"/>
            </w:tcBorders>
            <w:noWrap/>
            <w:vAlign w:val="center"/>
          </w:tcPr>
          <w:p w14:paraId="2AF744DE" w14:textId="139CA284"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68,5</w:t>
            </w:r>
          </w:p>
        </w:tc>
        <w:tc>
          <w:tcPr>
            <w:tcW w:w="1113" w:type="dxa"/>
            <w:tcBorders>
              <w:top w:val="nil"/>
              <w:left w:val="nil"/>
              <w:bottom w:val="single" w:sz="4" w:space="0" w:color="auto"/>
              <w:right w:val="single" w:sz="4" w:space="0" w:color="auto"/>
            </w:tcBorders>
            <w:noWrap/>
            <w:vAlign w:val="center"/>
          </w:tcPr>
          <w:p w14:paraId="6B19C9DE" w14:textId="32F189E8"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106,9</w:t>
            </w:r>
          </w:p>
        </w:tc>
      </w:tr>
      <w:tr w:rsidR="00A55AA0" w:rsidRPr="003D514A" w14:paraId="5D1AF47D" w14:textId="77777777" w:rsidTr="7C285CBA">
        <w:trPr>
          <w:trHeight w:val="170"/>
          <w:jc w:val="center"/>
        </w:trPr>
        <w:tc>
          <w:tcPr>
            <w:tcW w:w="2047" w:type="dxa"/>
            <w:tcBorders>
              <w:top w:val="nil"/>
              <w:left w:val="single" w:sz="4" w:space="0" w:color="auto"/>
              <w:bottom w:val="single" w:sz="4" w:space="0" w:color="auto"/>
              <w:right w:val="single" w:sz="4" w:space="0" w:color="auto"/>
            </w:tcBorders>
            <w:vAlign w:val="center"/>
            <w:hideMark/>
          </w:tcPr>
          <w:p w14:paraId="702288AA" w14:textId="77777777" w:rsidR="00A55AA0" w:rsidRPr="00602E3C" w:rsidRDefault="00A55AA0" w:rsidP="00A55AA0">
            <w:pPr>
              <w:keepNext/>
              <w:keepLines/>
              <w:spacing w:before="120" w:after="120"/>
              <w:rPr>
                <w:rFonts w:ascii="Times New Roman" w:hAnsi="Times New Roman" w:cs="Times New Roman"/>
                <w:b/>
                <w:bCs/>
                <w:sz w:val="20"/>
                <w:szCs w:val="20"/>
              </w:rPr>
            </w:pPr>
            <w:r w:rsidRPr="7C285CBA">
              <w:rPr>
                <w:rFonts w:ascii="Times New Roman" w:hAnsi="Times New Roman" w:cs="Times New Roman"/>
                <w:b/>
                <w:bCs/>
                <w:sz w:val="20"/>
                <w:szCs w:val="20"/>
              </w:rPr>
              <w:t>Elkülönített állami pénzalapok egyenlege</w:t>
            </w:r>
          </w:p>
        </w:tc>
        <w:tc>
          <w:tcPr>
            <w:tcW w:w="1067" w:type="dxa"/>
            <w:tcBorders>
              <w:top w:val="nil"/>
              <w:left w:val="single" w:sz="4" w:space="0" w:color="auto"/>
              <w:bottom w:val="single" w:sz="4" w:space="0" w:color="auto"/>
              <w:right w:val="single" w:sz="4" w:space="0" w:color="auto"/>
            </w:tcBorders>
            <w:noWrap/>
            <w:vAlign w:val="center"/>
          </w:tcPr>
          <w:p w14:paraId="77E1D897" w14:textId="12A49014" w:rsidR="00A55AA0" w:rsidRPr="007007A3" w:rsidRDefault="00A55AA0" w:rsidP="00A55AA0">
            <w:pPr>
              <w:spacing w:before="120" w:after="120"/>
              <w:jc w:val="right"/>
              <w:rPr>
                <w:rFonts w:ascii="Times New Roman" w:hAnsi="Times New Roman" w:cs="Times New Roman"/>
                <w:b/>
                <w:bCs/>
                <w:sz w:val="20"/>
                <w:szCs w:val="20"/>
              </w:rPr>
            </w:pPr>
            <w:r w:rsidRPr="002B2FFB">
              <w:rPr>
                <w:rFonts w:ascii="Garamond" w:hAnsi="Garamond"/>
                <w:b/>
                <w:bCs/>
                <w:szCs w:val="20"/>
              </w:rPr>
              <w:t>138,2</w:t>
            </w:r>
          </w:p>
        </w:tc>
        <w:tc>
          <w:tcPr>
            <w:tcW w:w="1276" w:type="dxa"/>
            <w:tcBorders>
              <w:top w:val="nil"/>
              <w:left w:val="nil"/>
              <w:bottom w:val="single" w:sz="4" w:space="0" w:color="auto"/>
              <w:right w:val="single" w:sz="4" w:space="0" w:color="auto"/>
            </w:tcBorders>
            <w:noWrap/>
            <w:vAlign w:val="center"/>
          </w:tcPr>
          <w:p w14:paraId="2E3F1C5B" w14:textId="57D36D6A" w:rsidR="00A55AA0" w:rsidRPr="007007A3" w:rsidRDefault="00A55AA0" w:rsidP="00A55AA0">
            <w:pPr>
              <w:spacing w:before="120" w:after="120"/>
              <w:jc w:val="right"/>
              <w:rPr>
                <w:rFonts w:ascii="Times New Roman" w:hAnsi="Times New Roman" w:cs="Times New Roman"/>
                <w:b/>
                <w:bCs/>
                <w:sz w:val="20"/>
                <w:szCs w:val="20"/>
              </w:rPr>
            </w:pPr>
            <w:r w:rsidRPr="002B2FFB">
              <w:rPr>
                <w:rFonts w:ascii="Garamond" w:hAnsi="Garamond"/>
                <w:b/>
                <w:bCs/>
              </w:rPr>
              <w:t>172,8</w:t>
            </w:r>
          </w:p>
        </w:tc>
        <w:tc>
          <w:tcPr>
            <w:tcW w:w="1075" w:type="dxa"/>
            <w:tcBorders>
              <w:top w:val="nil"/>
              <w:left w:val="nil"/>
              <w:bottom w:val="single" w:sz="4" w:space="0" w:color="auto"/>
              <w:right w:val="single" w:sz="4" w:space="0" w:color="auto"/>
            </w:tcBorders>
            <w:noWrap/>
            <w:vAlign w:val="center"/>
          </w:tcPr>
          <w:p w14:paraId="462FA081" w14:textId="1BAC1DD0"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125,0</w:t>
            </w:r>
          </w:p>
        </w:tc>
        <w:tc>
          <w:tcPr>
            <w:tcW w:w="1103" w:type="dxa"/>
            <w:tcBorders>
              <w:top w:val="nil"/>
              <w:left w:val="nil"/>
              <w:bottom w:val="single" w:sz="4" w:space="0" w:color="auto"/>
              <w:right w:val="single" w:sz="4" w:space="0" w:color="auto"/>
            </w:tcBorders>
            <w:noWrap/>
            <w:vAlign w:val="center"/>
          </w:tcPr>
          <w:p w14:paraId="2C2D5FB6" w14:textId="6C45120F" w:rsidR="00A55AA0" w:rsidRPr="007007A3" w:rsidRDefault="00A55AA0" w:rsidP="00A55AA0">
            <w:pPr>
              <w:spacing w:before="120" w:after="120"/>
              <w:jc w:val="right"/>
              <w:rPr>
                <w:rFonts w:ascii="Times New Roman" w:hAnsi="Times New Roman" w:cs="Times New Roman"/>
                <w:b/>
                <w:bCs/>
                <w:sz w:val="20"/>
                <w:szCs w:val="20"/>
              </w:rPr>
            </w:pPr>
            <w:r w:rsidRPr="002B2FFB">
              <w:rPr>
                <w:rFonts w:ascii="Garamond" w:hAnsi="Garamond"/>
                <w:b/>
                <w:bCs/>
                <w:szCs w:val="20"/>
              </w:rPr>
              <w:t>88,6</w:t>
            </w:r>
          </w:p>
        </w:tc>
        <w:tc>
          <w:tcPr>
            <w:tcW w:w="1224" w:type="dxa"/>
            <w:tcBorders>
              <w:top w:val="nil"/>
              <w:left w:val="nil"/>
              <w:bottom w:val="single" w:sz="4" w:space="0" w:color="auto"/>
              <w:right w:val="single" w:sz="4" w:space="0" w:color="auto"/>
            </w:tcBorders>
            <w:noWrap/>
            <w:vAlign w:val="center"/>
          </w:tcPr>
          <w:p w14:paraId="63BDA3B4" w14:textId="21669F3A" w:rsidR="00A55AA0" w:rsidRPr="007007A3" w:rsidRDefault="00A55AA0" w:rsidP="00A55AA0">
            <w:pPr>
              <w:spacing w:before="120" w:after="120"/>
              <w:jc w:val="right"/>
              <w:rPr>
                <w:rFonts w:ascii="Times New Roman" w:hAnsi="Times New Roman" w:cs="Times New Roman"/>
                <w:b/>
                <w:bCs/>
                <w:sz w:val="20"/>
                <w:szCs w:val="20"/>
              </w:rPr>
            </w:pPr>
            <w:r w:rsidRPr="002B2FFB">
              <w:rPr>
                <w:rFonts w:ascii="Garamond" w:hAnsi="Garamond"/>
                <w:b/>
                <w:bCs/>
                <w:szCs w:val="20"/>
              </w:rPr>
              <w:t>109,</w:t>
            </w:r>
            <w:r>
              <w:rPr>
                <w:rFonts w:ascii="Garamond" w:hAnsi="Garamond"/>
                <w:b/>
                <w:bCs/>
                <w:szCs w:val="20"/>
              </w:rPr>
              <w:t>8</w:t>
            </w:r>
          </w:p>
        </w:tc>
        <w:tc>
          <w:tcPr>
            <w:tcW w:w="1159" w:type="dxa"/>
            <w:tcBorders>
              <w:top w:val="nil"/>
              <w:left w:val="nil"/>
              <w:bottom w:val="single" w:sz="4" w:space="0" w:color="auto"/>
              <w:right w:val="single" w:sz="4" w:space="0" w:color="auto"/>
            </w:tcBorders>
            <w:noWrap/>
            <w:vAlign w:val="center"/>
          </w:tcPr>
          <w:p w14:paraId="7D3E2161" w14:textId="4094AAEA"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12</w:t>
            </w:r>
            <w:r>
              <w:rPr>
                <w:rFonts w:ascii="Garamond" w:hAnsi="Garamond"/>
                <w:szCs w:val="20"/>
              </w:rPr>
              <w:t>3,9</w:t>
            </w:r>
          </w:p>
        </w:tc>
        <w:tc>
          <w:tcPr>
            <w:tcW w:w="1113" w:type="dxa"/>
            <w:tcBorders>
              <w:top w:val="nil"/>
              <w:left w:val="nil"/>
              <w:bottom w:val="single" w:sz="4" w:space="0" w:color="auto"/>
              <w:right w:val="single" w:sz="4" w:space="0" w:color="auto"/>
            </w:tcBorders>
            <w:noWrap/>
            <w:vAlign w:val="center"/>
          </w:tcPr>
          <w:p w14:paraId="53938325" w14:textId="64255728"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63,</w:t>
            </w:r>
            <w:r>
              <w:rPr>
                <w:rFonts w:ascii="Garamond" w:hAnsi="Garamond"/>
                <w:szCs w:val="20"/>
              </w:rPr>
              <w:t>5</w:t>
            </w:r>
          </w:p>
        </w:tc>
      </w:tr>
      <w:tr w:rsidR="00A55AA0" w:rsidRPr="003D514A" w14:paraId="28F7F28C" w14:textId="77777777" w:rsidTr="7C285CBA">
        <w:trPr>
          <w:trHeight w:val="170"/>
          <w:jc w:val="center"/>
        </w:trPr>
        <w:tc>
          <w:tcPr>
            <w:tcW w:w="2047" w:type="dxa"/>
            <w:tcBorders>
              <w:top w:val="nil"/>
              <w:left w:val="single" w:sz="4" w:space="0" w:color="auto"/>
              <w:bottom w:val="single" w:sz="4" w:space="0" w:color="auto"/>
              <w:right w:val="single" w:sz="4" w:space="0" w:color="auto"/>
            </w:tcBorders>
            <w:vAlign w:val="center"/>
            <w:hideMark/>
          </w:tcPr>
          <w:p w14:paraId="6E223547" w14:textId="77777777" w:rsidR="00A55AA0" w:rsidRPr="00602E3C" w:rsidRDefault="00A55AA0" w:rsidP="00A55AA0">
            <w:pPr>
              <w:keepNext/>
              <w:keepLines/>
              <w:spacing w:before="120" w:after="120"/>
              <w:jc w:val="right"/>
              <w:rPr>
                <w:rFonts w:ascii="Times New Roman" w:hAnsi="Times New Roman" w:cs="Times New Roman"/>
                <w:sz w:val="20"/>
                <w:szCs w:val="20"/>
              </w:rPr>
            </w:pPr>
            <w:r w:rsidRPr="7C285CBA">
              <w:rPr>
                <w:rFonts w:ascii="Times New Roman" w:hAnsi="Times New Roman" w:cs="Times New Roman"/>
                <w:sz w:val="20"/>
                <w:szCs w:val="20"/>
              </w:rPr>
              <w:t>bevétel:</w:t>
            </w:r>
          </w:p>
        </w:tc>
        <w:tc>
          <w:tcPr>
            <w:tcW w:w="1067" w:type="dxa"/>
            <w:tcBorders>
              <w:top w:val="nil"/>
              <w:left w:val="single" w:sz="4" w:space="0" w:color="auto"/>
              <w:bottom w:val="single" w:sz="4" w:space="0" w:color="auto"/>
              <w:right w:val="single" w:sz="4" w:space="0" w:color="auto"/>
            </w:tcBorders>
            <w:noWrap/>
            <w:vAlign w:val="center"/>
          </w:tcPr>
          <w:p w14:paraId="3162C4C7" w14:textId="5D7ADC8A"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856,5</w:t>
            </w:r>
          </w:p>
        </w:tc>
        <w:tc>
          <w:tcPr>
            <w:tcW w:w="1276" w:type="dxa"/>
            <w:tcBorders>
              <w:top w:val="nil"/>
              <w:left w:val="nil"/>
              <w:bottom w:val="single" w:sz="4" w:space="0" w:color="auto"/>
              <w:right w:val="single" w:sz="4" w:space="0" w:color="auto"/>
            </w:tcBorders>
            <w:noWrap/>
            <w:vAlign w:val="center"/>
          </w:tcPr>
          <w:p w14:paraId="3523D3FF" w14:textId="2DF0ED45"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rPr>
              <w:t>599,8</w:t>
            </w:r>
          </w:p>
        </w:tc>
        <w:tc>
          <w:tcPr>
            <w:tcW w:w="1075" w:type="dxa"/>
            <w:tcBorders>
              <w:top w:val="nil"/>
              <w:left w:val="nil"/>
              <w:bottom w:val="single" w:sz="4" w:space="0" w:color="auto"/>
              <w:right w:val="single" w:sz="4" w:space="0" w:color="auto"/>
            </w:tcBorders>
            <w:noWrap/>
            <w:vAlign w:val="center"/>
          </w:tcPr>
          <w:p w14:paraId="3A889EFA" w14:textId="249200FA"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70,0</w:t>
            </w:r>
          </w:p>
        </w:tc>
        <w:tc>
          <w:tcPr>
            <w:tcW w:w="1103" w:type="dxa"/>
            <w:tcBorders>
              <w:top w:val="nil"/>
              <w:left w:val="nil"/>
              <w:bottom w:val="single" w:sz="4" w:space="0" w:color="auto"/>
              <w:right w:val="single" w:sz="4" w:space="0" w:color="auto"/>
            </w:tcBorders>
            <w:noWrap/>
            <w:vAlign w:val="center"/>
          </w:tcPr>
          <w:p w14:paraId="26479F49" w14:textId="7276D184"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845,7</w:t>
            </w:r>
          </w:p>
        </w:tc>
        <w:tc>
          <w:tcPr>
            <w:tcW w:w="1224" w:type="dxa"/>
            <w:tcBorders>
              <w:top w:val="nil"/>
              <w:left w:val="nil"/>
              <w:bottom w:val="single" w:sz="4" w:space="0" w:color="auto"/>
              <w:right w:val="single" w:sz="4" w:space="0" w:color="auto"/>
            </w:tcBorders>
            <w:noWrap/>
            <w:vAlign w:val="center"/>
          </w:tcPr>
          <w:p w14:paraId="24B66B6B" w14:textId="5814EA5E"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591,</w:t>
            </w:r>
            <w:r>
              <w:rPr>
                <w:rFonts w:ascii="Garamond" w:hAnsi="Garamond"/>
                <w:szCs w:val="20"/>
              </w:rPr>
              <w:t>4</w:t>
            </w:r>
          </w:p>
        </w:tc>
        <w:tc>
          <w:tcPr>
            <w:tcW w:w="1159" w:type="dxa"/>
            <w:tcBorders>
              <w:top w:val="nil"/>
              <w:left w:val="nil"/>
              <w:bottom w:val="single" w:sz="4" w:space="0" w:color="auto"/>
              <w:right w:val="single" w:sz="4" w:space="0" w:color="auto"/>
            </w:tcBorders>
            <w:noWrap/>
            <w:vAlign w:val="center"/>
          </w:tcPr>
          <w:p w14:paraId="0543AEAF" w14:textId="22B1A7F0"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69,9</w:t>
            </w:r>
          </w:p>
        </w:tc>
        <w:tc>
          <w:tcPr>
            <w:tcW w:w="1113" w:type="dxa"/>
            <w:tcBorders>
              <w:top w:val="nil"/>
              <w:left w:val="nil"/>
              <w:bottom w:val="single" w:sz="4" w:space="0" w:color="auto"/>
              <w:right w:val="single" w:sz="4" w:space="0" w:color="auto"/>
            </w:tcBorders>
            <w:noWrap/>
            <w:vAlign w:val="center"/>
          </w:tcPr>
          <w:p w14:paraId="109115A4" w14:textId="366F2E8E"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98,6</w:t>
            </w:r>
          </w:p>
        </w:tc>
      </w:tr>
      <w:tr w:rsidR="00A55AA0" w:rsidRPr="00190176" w14:paraId="1E40C612" w14:textId="77777777" w:rsidTr="7C285CBA">
        <w:trPr>
          <w:trHeight w:val="170"/>
          <w:jc w:val="center"/>
        </w:trPr>
        <w:tc>
          <w:tcPr>
            <w:tcW w:w="2047" w:type="dxa"/>
            <w:tcBorders>
              <w:top w:val="nil"/>
              <w:left w:val="single" w:sz="4" w:space="0" w:color="auto"/>
              <w:bottom w:val="single" w:sz="4" w:space="0" w:color="auto"/>
              <w:right w:val="single" w:sz="4" w:space="0" w:color="auto"/>
            </w:tcBorders>
            <w:vAlign w:val="center"/>
            <w:hideMark/>
          </w:tcPr>
          <w:p w14:paraId="4B20A0A7" w14:textId="77777777" w:rsidR="00A55AA0" w:rsidRPr="00602E3C" w:rsidRDefault="00A55AA0" w:rsidP="00A55AA0">
            <w:pPr>
              <w:keepNext/>
              <w:keepLines/>
              <w:spacing w:before="120" w:after="120"/>
              <w:jc w:val="right"/>
              <w:rPr>
                <w:rFonts w:ascii="Times New Roman" w:hAnsi="Times New Roman" w:cs="Times New Roman"/>
                <w:sz w:val="20"/>
                <w:szCs w:val="20"/>
              </w:rPr>
            </w:pPr>
            <w:r w:rsidRPr="7C285CBA">
              <w:rPr>
                <w:rFonts w:ascii="Times New Roman" w:hAnsi="Times New Roman" w:cs="Times New Roman"/>
                <w:sz w:val="20"/>
                <w:szCs w:val="20"/>
              </w:rPr>
              <w:t>kiadás:</w:t>
            </w:r>
          </w:p>
        </w:tc>
        <w:tc>
          <w:tcPr>
            <w:tcW w:w="1067" w:type="dxa"/>
            <w:tcBorders>
              <w:top w:val="nil"/>
              <w:left w:val="single" w:sz="4" w:space="0" w:color="auto"/>
              <w:bottom w:val="single" w:sz="4" w:space="0" w:color="auto"/>
              <w:right w:val="single" w:sz="4" w:space="0" w:color="auto"/>
            </w:tcBorders>
            <w:noWrap/>
            <w:vAlign w:val="center"/>
          </w:tcPr>
          <w:p w14:paraId="3DBFFE8F" w14:textId="2CAA16C3"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718,3</w:t>
            </w:r>
          </w:p>
        </w:tc>
        <w:tc>
          <w:tcPr>
            <w:tcW w:w="1276" w:type="dxa"/>
            <w:tcBorders>
              <w:top w:val="nil"/>
              <w:left w:val="nil"/>
              <w:bottom w:val="single" w:sz="4" w:space="0" w:color="auto"/>
              <w:right w:val="single" w:sz="4" w:space="0" w:color="auto"/>
            </w:tcBorders>
            <w:noWrap/>
            <w:vAlign w:val="center"/>
          </w:tcPr>
          <w:p w14:paraId="09959044" w14:textId="429A7AC7"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rPr>
              <w:t>427,0</w:t>
            </w:r>
          </w:p>
        </w:tc>
        <w:tc>
          <w:tcPr>
            <w:tcW w:w="1075" w:type="dxa"/>
            <w:tcBorders>
              <w:top w:val="nil"/>
              <w:left w:val="nil"/>
              <w:bottom w:val="single" w:sz="4" w:space="0" w:color="auto"/>
              <w:right w:val="single" w:sz="4" w:space="0" w:color="auto"/>
            </w:tcBorders>
            <w:noWrap/>
            <w:vAlign w:val="center"/>
          </w:tcPr>
          <w:p w14:paraId="49CC2BC9" w14:textId="295FB397"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59,4</w:t>
            </w:r>
          </w:p>
        </w:tc>
        <w:tc>
          <w:tcPr>
            <w:tcW w:w="1103" w:type="dxa"/>
            <w:tcBorders>
              <w:top w:val="nil"/>
              <w:left w:val="nil"/>
              <w:bottom w:val="single" w:sz="4" w:space="0" w:color="auto"/>
              <w:right w:val="single" w:sz="4" w:space="0" w:color="auto"/>
            </w:tcBorders>
            <w:noWrap/>
            <w:vAlign w:val="center"/>
          </w:tcPr>
          <w:p w14:paraId="38B8A8DE" w14:textId="68BC9A80"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757,2</w:t>
            </w:r>
          </w:p>
        </w:tc>
        <w:tc>
          <w:tcPr>
            <w:tcW w:w="1224" w:type="dxa"/>
            <w:tcBorders>
              <w:top w:val="nil"/>
              <w:left w:val="nil"/>
              <w:bottom w:val="single" w:sz="4" w:space="0" w:color="auto"/>
              <w:right w:val="single" w:sz="4" w:space="0" w:color="auto"/>
            </w:tcBorders>
            <w:noWrap/>
            <w:vAlign w:val="center"/>
          </w:tcPr>
          <w:p w14:paraId="1F33273D" w14:textId="1BBE5336"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481,6</w:t>
            </w:r>
          </w:p>
        </w:tc>
        <w:tc>
          <w:tcPr>
            <w:tcW w:w="1159" w:type="dxa"/>
            <w:tcBorders>
              <w:top w:val="nil"/>
              <w:left w:val="nil"/>
              <w:bottom w:val="single" w:sz="4" w:space="0" w:color="auto"/>
              <w:right w:val="single" w:sz="4" w:space="0" w:color="auto"/>
            </w:tcBorders>
            <w:noWrap/>
            <w:vAlign w:val="center"/>
          </w:tcPr>
          <w:p w14:paraId="087519CB" w14:textId="44CEC257"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63,6</w:t>
            </w:r>
          </w:p>
        </w:tc>
        <w:tc>
          <w:tcPr>
            <w:tcW w:w="1113" w:type="dxa"/>
            <w:tcBorders>
              <w:top w:val="nil"/>
              <w:left w:val="nil"/>
              <w:bottom w:val="single" w:sz="4" w:space="0" w:color="auto"/>
              <w:right w:val="single" w:sz="4" w:space="0" w:color="auto"/>
            </w:tcBorders>
            <w:noWrap/>
            <w:vAlign w:val="center"/>
          </w:tcPr>
          <w:p w14:paraId="0F6B30EE" w14:textId="372ED469"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112,8</w:t>
            </w:r>
          </w:p>
        </w:tc>
      </w:tr>
      <w:tr w:rsidR="00A55AA0" w:rsidRPr="003D514A" w14:paraId="76328518" w14:textId="77777777" w:rsidTr="7C285CBA">
        <w:trPr>
          <w:trHeight w:val="170"/>
          <w:jc w:val="center"/>
        </w:trPr>
        <w:tc>
          <w:tcPr>
            <w:tcW w:w="2047" w:type="dxa"/>
            <w:tcBorders>
              <w:top w:val="nil"/>
              <w:left w:val="single" w:sz="4" w:space="0" w:color="auto"/>
              <w:bottom w:val="single" w:sz="4" w:space="0" w:color="auto"/>
              <w:right w:val="single" w:sz="4" w:space="0" w:color="auto"/>
            </w:tcBorders>
            <w:vAlign w:val="center"/>
            <w:hideMark/>
          </w:tcPr>
          <w:p w14:paraId="35FB6F71" w14:textId="77777777" w:rsidR="00A55AA0" w:rsidRPr="00602E3C" w:rsidRDefault="00A55AA0" w:rsidP="00A55AA0">
            <w:pPr>
              <w:keepNext/>
              <w:keepLines/>
              <w:spacing w:before="120" w:after="120"/>
              <w:rPr>
                <w:rFonts w:ascii="Times New Roman" w:hAnsi="Times New Roman" w:cs="Times New Roman"/>
                <w:b/>
                <w:bCs/>
                <w:sz w:val="20"/>
                <w:szCs w:val="20"/>
              </w:rPr>
            </w:pPr>
            <w:r w:rsidRPr="7C285CBA">
              <w:rPr>
                <w:rFonts w:ascii="Times New Roman" w:hAnsi="Times New Roman" w:cs="Times New Roman"/>
                <w:b/>
                <w:bCs/>
                <w:sz w:val="20"/>
                <w:szCs w:val="20"/>
              </w:rPr>
              <w:t>Társadalombiztosítás pénzügyi alapjainak egyenlege</w:t>
            </w:r>
          </w:p>
        </w:tc>
        <w:tc>
          <w:tcPr>
            <w:tcW w:w="1067" w:type="dxa"/>
            <w:tcBorders>
              <w:top w:val="nil"/>
              <w:left w:val="single" w:sz="4" w:space="0" w:color="auto"/>
              <w:bottom w:val="single" w:sz="4" w:space="0" w:color="auto"/>
              <w:right w:val="single" w:sz="4" w:space="0" w:color="auto"/>
            </w:tcBorders>
            <w:noWrap/>
            <w:vAlign w:val="center"/>
          </w:tcPr>
          <w:p w14:paraId="09EEFFCC" w14:textId="44FB2A38" w:rsidR="00A55AA0" w:rsidRPr="007007A3" w:rsidRDefault="00A55AA0" w:rsidP="00A55AA0">
            <w:pPr>
              <w:spacing w:before="120" w:after="120"/>
              <w:jc w:val="right"/>
              <w:rPr>
                <w:rFonts w:ascii="Times New Roman" w:hAnsi="Times New Roman" w:cs="Times New Roman"/>
                <w:b/>
                <w:bCs/>
                <w:sz w:val="20"/>
                <w:szCs w:val="20"/>
              </w:rPr>
            </w:pPr>
            <w:r w:rsidRPr="002B2FFB">
              <w:rPr>
                <w:rFonts w:ascii="Garamond" w:hAnsi="Garamond"/>
                <w:b/>
                <w:bCs/>
                <w:szCs w:val="20"/>
              </w:rPr>
              <w:t>-230,1</w:t>
            </w:r>
          </w:p>
        </w:tc>
        <w:tc>
          <w:tcPr>
            <w:tcW w:w="1276" w:type="dxa"/>
            <w:tcBorders>
              <w:top w:val="nil"/>
              <w:left w:val="nil"/>
              <w:bottom w:val="single" w:sz="4" w:space="0" w:color="auto"/>
              <w:right w:val="single" w:sz="4" w:space="0" w:color="auto"/>
            </w:tcBorders>
            <w:noWrap/>
            <w:vAlign w:val="center"/>
          </w:tcPr>
          <w:p w14:paraId="30D7DC00" w14:textId="06241D87" w:rsidR="00A55AA0" w:rsidRPr="007007A3" w:rsidRDefault="00A55AA0" w:rsidP="00A55AA0">
            <w:pPr>
              <w:spacing w:before="120" w:after="120"/>
              <w:jc w:val="right"/>
              <w:rPr>
                <w:rFonts w:ascii="Times New Roman" w:hAnsi="Times New Roman" w:cs="Times New Roman"/>
                <w:b/>
                <w:bCs/>
                <w:sz w:val="20"/>
                <w:szCs w:val="20"/>
              </w:rPr>
            </w:pPr>
            <w:r w:rsidRPr="002B2FFB">
              <w:rPr>
                <w:rFonts w:ascii="Garamond" w:hAnsi="Garamond"/>
                <w:b/>
                <w:bCs/>
              </w:rPr>
              <w:t>-168,4</w:t>
            </w:r>
          </w:p>
        </w:tc>
        <w:tc>
          <w:tcPr>
            <w:tcW w:w="1075" w:type="dxa"/>
            <w:tcBorders>
              <w:top w:val="nil"/>
              <w:left w:val="nil"/>
              <w:bottom w:val="single" w:sz="4" w:space="0" w:color="auto"/>
              <w:right w:val="single" w:sz="4" w:space="0" w:color="auto"/>
            </w:tcBorders>
            <w:noWrap/>
            <w:vAlign w:val="center"/>
          </w:tcPr>
          <w:p w14:paraId="641FA9E4" w14:textId="7612934C"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73,2</w:t>
            </w:r>
          </w:p>
        </w:tc>
        <w:tc>
          <w:tcPr>
            <w:tcW w:w="1103" w:type="dxa"/>
            <w:tcBorders>
              <w:top w:val="nil"/>
              <w:left w:val="nil"/>
              <w:bottom w:val="single" w:sz="4" w:space="0" w:color="auto"/>
              <w:right w:val="single" w:sz="4" w:space="0" w:color="auto"/>
            </w:tcBorders>
            <w:noWrap/>
            <w:vAlign w:val="center"/>
          </w:tcPr>
          <w:p w14:paraId="2DC56B04" w14:textId="2AE49327" w:rsidR="00A55AA0" w:rsidRPr="007007A3" w:rsidRDefault="00A55AA0" w:rsidP="00A55AA0">
            <w:pPr>
              <w:spacing w:before="120" w:after="120"/>
              <w:jc w:val="right"/>
              <w:rPr>
                <w:rFonts w:ascii="Times New Roman" w:hAnsi="Times New Roman" w:cs="Times New Roman"/>
                <w:b/>
                <w:bCs/>
                <w:sz w:val="20"/>
                <w:szCs w:val="20"/>
              </w:rPr>
            </w:pPr>
            <w:r w:rsidRPr="002B2FFB">
              <w:rPr>
                <w:rFonts w:ascii="Garamond" w:hAnsi="Garamond"/>
                <w:b/>
                <w:bCs/>
                <w:szCs w:val="20"/>
              </w:rPr>
              <w:t>0,0</w:t>
            </w:r>
          </w:p>
        </w:tc>
        <w:tc>
          <w:tcPr>
            <w:tcW w:w="1224" w:type="dxa"/>
            <w:tcBorders>
              <w:top w:val="nil"/>
              <w:left w:val="nil"/>
              <w:bottom w:val="single" w:sz="4" w:space="0" w:color="auto"/>
              <w:right w:val="single" w:sz="4" w:space="0" w:color="auto"/>
            </w:tcBorders>
            <w:noWrap/>
            <w:vAlign w:val="center"/>
          </w:tcPr>
          <w:p w14:paraId="09A75478" w14:textId="52AC8E9D" w:rsidR="00A55AA0" w:rsidRPr="007007A3" w:rsidRDefault="00A55AA0" w:rsidP="00A55AA0">
            <w:pPr>
              <w:spacing w:before="120" w:after="120"/>
              <w:jc w:val="right"/>
              <w:rPr>
                <w:rFonts w:ascii="Times New Roman" w:hAnsi="Times New Roman" w:cs="Times New Roman"/>
                <w:b/>
                <w:bCs/>
                <w:sz w:val="20"/>
                <w:szCs w:val="20"/>
              </w:rPr>
            </w:pPr>
            <w:r w:rsidRPr="002B2FFB">
              <w:rPr>
                <w:rFonts w:ascii="Garamond" w:hAnsi="Garamond"/>
                <w:b/>
                <w:bCs/>
                <w:szCs w:val="20"/>
              </w:rPr>
              <w:t>-122,6</w:t>
            </w:r>
          </w:p>
        </w:tc>
        <w:tc>
          <w:tcPr>
            <w:tcW w:w="1159" w:type="dxa"/>
            <w:tcBorders>
              <w:top w:val="nil"/>
              <w:left w:val="nil"/>
              <w:bottom w:val="single" w:sz="4" w:space="0" w:color="auto"/>
              <w:right w:val="single" w:sz="4" w:space="0" w:color="auto"/>
            </w:tcBorders>
            <w:noWrap/>
            <w:vAlign w:val="center"/>
          </w:tcPr>
          <w:p w14:paraId="7360352A" w14:textId="1E0AE025"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 </w:t>
            </w:r>
          </w:p>
        </w:tc>
        <w:tc>
          <w:tcPr>
            <w:tcW w:w="1113" w:type="dxa"/>
            <w:tcBorders>
              <w:top w:val="nil"/>
              <w:left w:val="nil"/>
              <w:bottom w:val="single" w:sz="4" w:space="0" w:color="auto"/>
              <w:right w:val="single" w:sz="4" w:space="0" w:color="auto"/>
            </w:tcBorders>
            <w:noWrap/>
            <w:vAlign w:val="center"/>
          </w:tcPr>
          <w:p w14:paraId="4CE48797" w14:textId="654A3F64"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72,8</w:t>
            </w:r>
          </w:p>
        </w:tc>
      </w:tr>
      <w:tr w:rsidR="00A55AA0" w:rsidRPr="003D514A" w14:paraId="019242A3" w14:textId="77777777" w:rsidTr="7C285CBA">
        <w:trPr>
          <w:trHeight w:val="170"/>
          <w:jc w:val="center"/>
        </w:trPr>
        <w:tc>
          <w:tcPr>
            <w:tcW w:w="2047" w:type="dxa"/>
            <w:tcBorders>
              <w:top w:val="nil"/>
              <w:left w:val="single" w:sz="4" w:space="0" w:color="auto"/>
              <w:bottom w:val="single" w:sz="4" w:space="0" w:color="auto"/>
              <w:right w:val="single" w:sz="4" w:space="0" w:color="auto"/>
            </w:tcBorders>
            <w:vAlign w:val="center"/>
            <w:hideMark/>
          </w:tcPr>
          <w:p w14:paraId="0B28D060" w14:textId="77777777" w:rsidR="00A55AA0" w:rsidRPr="00602E3C" w:rsidRDefault="00A55AA0" w:rsidP="00A55AA0">
            <w:pPr>
              <w:keepNext/>
              <w:keepLines/>
              <w:spacing w:before="120" w:after="120"/>
              <w:jc w:val="right"/>
              <w:rPr>
                <w:rFonts w:ascii="Times New Roman" w:hAnsi="Times New Roman" w:cs="Times New Roman"/>
                <w:sz w:val="20"/>
                <w:szCs w:val="20"/>
              </w:rPr>
            </w:pPr>
            <w:r w:rsidRPr="7C285CBA">
              <w:rPr>
                <w:rFonts w:ascii="Times New Roman" w:hAnsi="Times New Roman" w:cs="Times New Roman"/>
                <w:sz w:val="20"/>
                <w:szCs w:val="20"/>
              </w:rPr>
              <w:t>bevétel:</w:t>
            </w:r>
          </w:p>
        </w:tc>
        <w:tc>
          <w:tcPr>
            <w:tcW w:w="1067" w:type="dxa"/>
            <w:tcBorders>
              <w:top w:val="nil"/>
              <w:left w:val="single" w:sz="4" w:space="0" w:color="auto"/>
              <w:bottom w:val="single" w:sz="4" w:space="0" w:color="auto"/>
              <w:right w:val="single" w:sz="4" w:space="0" w:color="auto"/>
            </w:tcBorders>
            <w:noWrap/>
            <w:vAlign w:val="center"/>
          </w:tcPr>
          <w:p w14:paraId="37CEA0A8" w14:textId="7473D6B9"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10 526,1</w:t>
            </w:r>
          </w:p>
        </w:tc>
        <w:tc>
          <w:tcPr>
            <w:tcW w:w="1276" w:type="dxa"/>
            <w:tcBorders>
              <w:top w:val="nil"/>
              <w:left w:val="nil"/>
              <w:bottom w:val="single" w:sz="4" w:space="0" w:color="auto"/>
              <w:right w:val="single" w:sz="4" w:space="0" w:color="auto"/>
            </w:tcBorders>
            <w:noWrap/>
            <w:vAlign w:val="center"/>
          </w:tcPr>
          <w:p w14:paraId="0CF62633" w14:textId="1F972831"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rPr>
              <w:t>7 125,7</w:t>
            </w:r>
          </w:p>
        </w:tc>
        <w:tc>
          <w:tcPr>
            <w:tcW w:w="1075" w:type="dxa"/>
            <w:tcBorders>
              <w:top w:val="nil"/>
              <w:left w:val="nil"/>
              <w:bottom w:val="single" w:sz="4" w:space="0" w:color="auto"/>
              <w:right w:val="single" w:sz="4" w:space="0" w:color="auto"/>
            </w:tcBorders>
            <w:noWrap/>
            <w:vAlign w:val="center"/>
          </w:tcPr>
          <w:p w14:paraId="5A242BD9" w14:textId="2A2C3179"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67,7</w:t>
            </w:r>
          </w:p>
        </w:tc>
        <w:tc>
          <w:tcPr>
            <w:tcW w:w="1103" w:type="dxa"/>
            <w:tcBorders>
              <w:top w:val="nil"/>
              <w:left w:val="nil"/>
              <w:bottom w:val="single" w:sz="4" w:space="0" w:color="auto"/>
              <w:right w:val="single" w:sz="4" w:space="0" w:color="auto"/>
            </w:tcBorders>
            <w:noWrap/>
            <w:vAlign w:val="center"/>
          </w:tcPr>
          <w:p w14:paraId="38B2FBF3" w14:textId="59BC3539"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11 261,1</w:t>
            </w:r>
          </w:p>
        </w:tc>
        <w:tc>
          <w:tcPr>
            <w:tcW w:w="1224" w:type="dxa"/>
            <w:tcBorders>
              <w:top w:val="nil"/>
              <w:left w:val="nil"/>
              <w:bottom w:val="single" w:sz="4" w:space="0" w:color="auto"/>
              <w:right w:val="single" w:sz="4" w:space="0" w:color="auto"/>
            </w:tcBorders>
            <w:noWrap/>
            <w:vAlign w:val="center"/>
          </w:tcPr>
          <w:p w14:paraId="45786421" w14:textId="10AE88A8"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7 664,9</w:t>
            </w:r>
          </w:p>
        </w:tc>
        <w:tc>
          <w:tcPr>
            <w:tcW w:w="1159" w:type="dxa"/>
            <w:tcBorders>
              <w:top w:val="nil"/>
              <w:left w:val="nil"/>
              <w:bottom w:val="single" w:sz="4" w:space="0" w:color="auto"/>
              <w:right w:val="single" w:sz="4" w:space="0" w:color="auto"/>
            </w:tcBorders>
            <w:noWrap/>
            <w:vAlign w:val="center"/>
          </w:tcPr>
          <w:p w14:paraId="36A63170" w14:textId="03E0E5E7"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68,1</w:t>
            </w:r>
          </w:p>
        </w:tc>
        <w:tc>
          <w:tcPr>
            <w:tcW w:w="1113" w:type="dxa"/>
            <w:tcBorders>
              <w:top w:val="nil"/>
              <w:left w:val="nil"/>
              <w:bottom w:val="single" w:sz="4" w:space="0" w:color="auto"/>
              <w:right w:val="single" w:sz="4" w:space="0" w:color="auto"/>
            </w:tcBorders>
            <w:noWrap/>
            <w:vAlign w:val="center"/>
          </w:tcPr>
          <w:p w14:paraId="20C35B4C" w14:textId="6E3F8DA8"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107,6</w:t>
            </w:r>
          </w:p>
        </w:tc>
      </w:tr>
      <w:tr w:rsidR="00A55AA0" w:rsidRPr="003D514A" w14:paraId="57754C66" w14:textId="77777777" w:rsidTr="7C285CBA">
        <w:trPr>
          <w:trHeight w:val="170"/>
          <w:jc w:val="center"/>
        </w:trPr>
        <w:tc>
          <w:tcPr>
            <w:tcW w:w="2047" w:type="dxa"/>
            <w:tcBorders>
              <w:top w:val="nil"/>
              <w:left w:val="single" w:sz="4" w:space="0" w:color="auto"/>
              <w:bottom w:val="single" w:sz="4" w:space="0" w:color="auto"/>
              <w:right w:val="single" w:sz="4" w:space="0" w:color="auto"/>
            </w:tcBorders>
            <w:vAlign w:val="center"/>
            <w:hideMark/>
          </w:tcPr>
          <w:p w14:paraId="63131A64" w14:textId="77777777" w:rsidR="00A55AA0" w:rsidRPr="00602E3C" w:rsidRDefault="00A55AA0" w:rsidP="00A55AA0">
            <w:pPr>
              <w:keepNext/>
              <w:keepLines/>
              <w:spacing w:before="120" w:after="120"/>
              <w:jc w:val="right"/>
              <w:rPr>
                <w:rFonts w:ascii="Times New Roman" w:hAnsi="Times New Roman" w:cs="Times New Roman"/>
                <w:sz w:val="20"/>
                <w:szCs w:val="20"/>
              </w:rPr>
            </w:pPr>
            <w:r w:rsidRPr="7C285CBA">
              <w:rPr>
                <w:rFonts w:ascii="Times New Roman" w:hAnsi="Times New Roman" w:cs="Times New Roman"/>
                <w:sz w:val="20"/>
                <w:szCs w:val="20"/>
              </w:rPr>
              <w:t>kiadás:</w:t>
            </w:r>
          </w:p>
        </w:tc>
        <w:tc>
          <w:tcPr>
            <w:tcW w:w="1067" w:type="dxa"/>
            <w:tcBorders>
              <w:top w:val="nil"/>
              <w:left w:val="single" w:sz="4" w:space="0" w:color="auto"/>
              <w:bottom w:val="single" w:sz="4" w:space="0" w:color="auto"/>
              <w:right w:val="single" w:sz="4" w:space="0" w:color="auto"/>
            </w:tcBorders>
            <w:noWrap/>
            <w:vAlign w:val="center"/>
          </w:tcPr>
          <w:p w14:paraId="6EE84A7D" w14:textId="5089DE94"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10 756,2</w:t>
            </w:r>
          </w:p>
        </w:tc>
        <w:tc>
          <w:tcPr>
            <w:tcW w:w="1276" w:type="dxa"/>
            <w:tcBorders>
              <w:top w:val="nil"/>
              <w:left w:val="nil"/>
              <w:bottom w:val="single" w:sz="4" w:space="0" w:color="auto"/>
              <w:right w:val="single" w:sz="4" w:space="0" w:color="auto"/>
            </w:tcBorders>
            <w:noWrap/>
            <w:vAlign w:val="center"/>
          </w:tcPr>
          <w:p w14:paraId="607E92BF" w14:textId="5138030A"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rPr>
              <w:t>7 294,1</w:t>
            </w:r>
          </w:p>
        </w:tc>
        <w:tc>
          <w:tcPr>
            <w:tcW w:w="1075" w:type="dxa"/>
            <w:tcBorders>
              <w:top w:val="nil"/>
              <w:left w:val="nil"/>
              <w:bottom w:val="single" w:sz="4" w:space="0" w:color="auto"/>
              <w:right w:val="single" w:sz="4" w:space="0" w:color="auto"/>
            </w:tcBorders>
            <w:noWrap/>
            <w:vAlign w:val="center"/>
          </w:tcPr>
          <w:p w14:paraId="72D0949B" w14:textId="6EE76AAB"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67,8</w:t>
            </w:r>
          </w:p>
        </w:tc>
        <w:tc>
          <w:tcPr>
            <w:tcW w:w="1103" w:type="dxa"/>
            <w:tcBorders>
              <w:top w:val="nil"/>
              <w:left w:val="nil"/>
              <w:bottom w:val="single" w:sz="4" w:space="0" w:color="auto"/>
              <w:right w:val="single" w:sz="4" w:space="0" w:color="auto"/>
            </w:tcBorders>
            <w:noWrap/>
            <w:vAlign w:val="center"/>
          </w:tcPr>
          <w:p w14:paraId="46E1FBBD" w14:textId="32914D0B"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11 261,1</w:t>
            </w:r>
          </w:p>
        </w:tc>
        <w:tc>
          <w:tcPr>
            <w:tcW w:w="1224" w:type="dxa"/>
            <w:tcBorders>
              <w:top w:val="nil"/>
              <w:left w:val="nil"/>
              <w:bottom w:val="single" w:sz="4" w:space="0" w:color="auto"/>
              <w:right w:val="single" w:sz="4" w:space="0" w:color="auto"/>
            </w:tcBorders>
            <w:noWrap/>
            <w:vAlign w:val="center"/>
          </w:tcPr>
          <w:p w14:paraId="66835E32" w14:textId="032B1C11"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7 787,5</w:t>
            </w:r>
          </w:p>
        </w:tc>
        <w:tc>
          <w:tcPr>
            <w:tcW w:w="1159" w:type="dxa"/>
            <w:tcBorders>
              <w:top w:val="nil"/>
              <w:left w:val="nil"/>
              <w:bottom w:val="single" w:sz="4" w:space="0" w:color="auto"/>
              <w:right w:val="single" w:sz="4" w:space="0" w:color="auto"/>
            </w:tcBorders>
            <w:noWrap/>
            <w:vAlign w:val="center"/>
          </w:tcPr>
          <w:p w14:paraId="58C18A84" w14:textId="64D436C4"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69,2</w:t>
            </w:r>
          </w:p>
        </w:tc>
        <w:tc>
          <w:tcPr>
            <w:tcW w:w="1113" w:type="dxa"/>
            <w:tcBorders>
              <w:top w:val="nil"/>
              <w:left w:val="nil"/>
              <w:bottom w:val="single" w:sz="4" w:space="0" w:color="auto"/>
              <w:right w:val="single" w:sz="4" w:space="0" w:color="auto"/>
            </w:tcBorders>
            <w:noWrap/>
            <w:vAlign w:val="center"/>
          </w:tcPr>
          <w:p w14:paraId="13EBC871" w14:textId="625124E3"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106,8</w:t>
            </w:r>
          </w:p>
        </w:tc>
      </w:tr>
      <w:tr w:rsidR="00A55AA0" w:rsidRPr="003D514A" w14:paraId="0BB4AC6A" w14:textId="77777777" w:rsidTr="7C285CBA">
        <w:trPr>
          <w:trHeight w:val="170"/>
          <w:jc w:val="center"/>
        </w:trPr>
        <w:tc>
          <w:tcPr>
            <w:tcW w:w="2047" w:type="dxa"/>
            <w:tcBorders>
              <w:top w:val="nil"/>
              <w:left w:val="single" w:sz="4" w:space="0" w:color="auto"/>
              <w:bottom w:val="single" w:sz="4" w:space="0" w:color="auto"/>
              <w:right w:val="single" w:sz="4" w:space="0" w:color="auto"/>
            </w:tcBorders>
            <w:vAlign w:val="center"/>
            <w:hideMark/>
          </w:tcPr>
          <w:p w14:paraId="4A00CB7B" w14:textId="77777777" w:rsidR="00A55AA0" w:rsidRPr="00602E3C" w:rsidRDefault="00A55AA0" w:rsidP="00A55AA0">
            <w:pPr>
              <w:keepNext/>
              <w:keepLines/>
              <w:spacing w:before="120" w:after="120"/>
              <w:rPr>
                <w:rFonts w:ascii="Times New Roman" w:hAnsi="Times New Roman" w:cs="Times New Roman"/>
                <w:b/>
                <w:bCs/>
                <w:sz w:val="20"/>
                <w:szCs w:val="20"/>
              </w:rPr>
            </w:pPr>
            <w:r w:rsidRPr="7C285CBA">
              <w:rPr>
                <w:rFonts w:ascii="Times New Roman" w:hAnsi="Times New Roman" w:cs="Times New Roman"/>
                <w:b/>
                <w:bCs/>
                <w:sz w:val="20"/>
                <w:szCs w:val="20"/>
              </w:rPr>
              <w:t>Egyenleg összesen</w:t>
            </w:r>
          </w:p>
        </w:tc>
        <w:tc>
          <w:tcPr>
            <w:tcW w:w="1067" w:type="dxa"/>
            <w:tcBorders>
              <w:top w:val="nil"/>
              <w:left w:val="single" w:sz="4" w:space="0" w:color="auto"/>
              <w:bottom w:val="single" w:sz="4" w:space="0" w:color="auto"/>
              <w:right w:val="single" w:sz="4" w:space="0" w:color="auto"/>
            </w:tcBorders>
            <w:noWrap/>
            <w:vAlign w:val="center"/>
          </w:tcPr>
          <w:p w14:paraId="1B8B1324" w14:textId="6522EE98" w:rsidR="00A55AA0" w:rsidRPr="007007A3" w:rsidRDefault="00A55AA0" w:rsidP="00A55AA0">
            <w:pPr>
              <w:spacing w:before="120" w:after="120"/>
              <w:jc w:val="right"/>
              <w:rPr>
                <w:rFonts w:ascii="Times New Roman" w:hAnsi="Times New Roman" w:cs="Times New Roman"/>
                <w:b/>
                <w:bCs/>
                <w:sz w:val="20"/>
                <w:szCs w:val="20"/>
              </w:rPr>
            </w:pPr>
            <w:r w:rsidRPr="002B2FFB">
              <w:rPr>
                <w:rFonts w:ascii="Garamond" w:hAnsi="Garamond"/>
                <w:b/>
                <w:bCs/>
                <w:szCs w:val="20"/>
              </w:rPr>
              <w:t>-4 095,8</w:t>
            </w:r>
          </w:p>
        </w:tc>
        <w:tc>
          <w:tcPr>
            <w:tcW w:w="1276" w:type="dxa"/>
            <w:tcBorders>
              <w:top w:val="nil"/>
              <w:left w:val="nil"/>
              <w:bottom w:val="single" w:sz="4" w:space="0" w:color="auto"/>
              <w:right w:val="single" w:sz="4" w:space="0" w:color="auto"/>
            </w:tcBorders>
            <w:noWrap/>
            <w:vAlign w:val="center"/>
          </w:tcPr>
          <w:p w14:paraId="4169FD4E" w14:textId="05D2A312" w:rsidR="00A55AA0" w:rsidRPr="007007A3" w:rsidRDefault="00A55AA0" w:rsidP="00A55AA0">
            <w:pPr>
              <w:spacing w:before="120" w:after="120"/>
              <w:jc w:val="right"/>
              <w:rPr>
                <w:rFonts w:ascii="Times New Roman" w:hAnsi="Times New Roman" w:cs="Times New Roman"/>
                <w:b/>
                <w:bCs/>
                <w:sz w:val="20"/>
                <w:szCs w:val="20"/>
              </w:rPr>
            </w:pPr>
            <w:r w:rsidRPr="002B2FFB">
              <w:rPr>
                <w:rFonts w:ascii="Garamond" w:hAnsi="Garamond"/>
                <w:b/>
                <w:bCs/>
              </w:rPr>
              <w:t>-2 857,7</w:t>
            </w:r>
          </w:p>
        </w:tc>
        <w:tc>
          <w:tcPr>
            <w:tcW w:w="1075" w:type="dxa"/>
            <w:tcBorders>
              <w:top w:val="nil"/>
              <w:left w:val="nil"/>
              <w:bottom w:val="single" w:sz="4" w:space="0" w:color="auto"/>
              <w:right w:val="single" w:sz="4" w:space="0" w:color="auto"/>
            </w:tcBorders>
            <w:noWrap/>
            <w:vAlign w:val="center"/>
          </w:tcPr>
          <w:p w14:paraId="1A278024" w14:textId="6D345516"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69,8</w:t>
            </w:r>
          </w:p>
        </w:tc>
        <w:tc>
          <w:tcPr>
            <w:tcW w:w="1103" w:type="dxa"/>
            <w:tcBorders>
              <w:top w:val="nil"/>
              <w:left w:val="nil"/>
              <w:bottom w:val="single" w:sz="4" w:space="0" w:color="auto"/>
              <w:right w:val="single" w:sz="4" w:space="0" w:color="auto"/>
            </w:tcBorders>
            <w:noWrap/>
            <w:vAlign w:val="center"/>
          </w:tcPr>
          <w:p w14:paraId="786BA0A5" w14:textId="22965D29" w:rsidR="00A55AA0" w:rsidRPr="007007A3" w:rsidRDefault="00A55AA0" w:rsidP="00A55AA0">
            <w:pPr>
              <w:spacing w:before="120" w:after="120"/>
              <w:jc w:val="right"/>
              <w:rPr>
                <w:rFonts w:ascii="Times New Roman" w:hAnsi="Times New Roman" w:cs="Times New Roman"/>
                <w:b/>
                <w:bCs/>
                <w:sz w:val="20"/>
                <w:szCs w:val="20"/>
              </w:rPr>
            </w:pPr>
            <w:r w:rsidRPr="002B2FFB">
              <w:rPr>
                <w:rFonts w:ascii="Garamond" w:hAnsi="Garamond"/>
                <w:b/>
                <w:bCs/>
                <w:szCs w:val="20"/>
              </w:rPr>
              <w:t>-4 123,0</w:t>
            </w:r>
          </w:p>
        </w:tc>
        <w:tc>
          <w:tcPr>
            <w:tcW w:w="1224" w:type="dxa"/>
            <w:tcBorders>
              <w:top w:val="nil"/>
              <w:left w:val="nil"/>
              <w:bottom w:val="single" w:sz="4" w:space="0" w:color="auto"/>
              <w:right w:val="single" w:sz="4" w:space="0" w:color="auto"/>
            </w:tcBorders>
            <w:noWrap/>
            <w:vAlign w:val="center"/>
          </w:tcPr>
          <w:p w14:paraId="53FEC34A" w14:textId="4E00058D" w:rsidR="00A55AA0" w:rsidRPr="007007A3" w:rsidRDefault="00A55AA0" w:rsidP="00A55AA0">
            <w:pPr>
              <w:spacing w:before="120" w:after="120"/>
              <w:jc w:val="right"/>
              <w:rPr>
                <w:rFonts w:ascii="Times New Roman" w:hAnsi="Times New Roman" w:cs="Times New Roman"/>
                <w:b/>
                <w:bCs/>
                <w:sz w:val="20"/>
                <w:szCs w:val="20"/>
              </w:rPr>
            </w:pPr>
            <w:r w:rsidRPr="002B2FFB">
              <w:rPr>
                <w:rFonts w:ascii="Garamond" w:hAnsi="Garamond"/>
                <w:b/>
                <w:bCs/>
                <w:szCs w:val="20"/>
              </w:rPr>
              <w:t>-3 025,5</w:t>
            </w:r>
          </w:p>
        </w:tc>
        <w:tc>
          <w:tcPr>
            <w:tcW w:w="1159" w:type="dxa"/>
            <w:tcBorders>
              <w:top w:val="nil"/>
              <w:left w:val="nil"/>
              <w:bottom w:val="single" w:sz="4" w:space="0" w:color="auto"/>
              <w:right w:val="single" w:sz="4" w:space="0" w:color="auto"/>
            </w:tcBorders>
            <w:noWrap/>
            <w:vAlign w:val="center"/>
          </w:tcPr>
          <w:p w14:paraId="6F96D6B4" w14:textId="7CD1A554"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73,4</w:t>
            </w:r>
          </w:p>
        </w:tc>
        <w:tc>
          <w:tcPr>
            <w:tcW w:w="1113" w:type="dxa"/>
            <w:tcBorders>
              <w:top w:val="nil"/>
              <w:left w:val="nil"/>
              <w:bottom w:val="single" w:sz="4" w:space="0" w:color="auto"/>
              <w:right w:val="single" w:sz="4" w:space="0" w:color="auto"/>
            </w:tcBorders>
            <w:noWrap/>
            <w:vAlign w:val="center"/>
          </w:tcPr>
          <w:p w14:paraId="08B7BC04" w14:textId="210F7C02"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105,9</w:t>
            </w:r>
          </w:p>
        </w:tc>
      </w:tr>
      <w:tr w:rsidR="00A55AA0" w:rsidRPr="003D514A" w14:paraId="54A89CE6" w14:textId="77777777" w:rsidTr="7C285CBA">
        <w:trPr>
          <w:trHeight w:val="170"/>
          <w:jc w:val="center"/>
        </w:trPr>
        <w:tc>
          <w:tcPr>
            <w:tcW w:w="2047" w:type="dxa"/>
            <w:tcBorders>
              <w:top w:val="nil"/>
              <w:left w:val="single" w:sz="4" w:space="0" w:color="auto"/>
              <w:bottom w:val="single" w:sz="4" w:space="0" w:color="auto"/>
              <w:right w:val="single" w:sz="4" w:space="0" w:color="auto"/>
            </w:tcBorders>
            <w:vAlign w:val="center"/>
            <w:hideMark/>
          </w:tcPr>
          <w:p w14:paraId="2D471282" w14:textId="77777777" w:rsidR="00A55AA0" w:rsidRPr="00602E3C" w:rsidRDefault="00A55AA0" w:rsidP="00A55AA0">
            <w:pPr>
              <w:keepNext/>
              <w:keepLines/>
              <w:spacing w:before="120" w:after="120"/>
              <w:jc w:val="right"/>
              <w:rPr>
                <w:rFonts w:ascii="Times New Roman" w:hAnsi="Times New Roman" w:cs="Times New Roman"/>
                <w:sz w:val="20"/>
                <w:szCs w:val="20"/>
              </w:rPr>
            </w:pPr>
            <w:r w:rsidRPr="7C285CBA">
              <w:rPr>
                <w:rFonts w:ascii="Times New Roman" w:hAnsi="Times New Roman" w:cs="Times New Roman"/>
                <w:sz w:val="20"/>
                <w:szCs w:val="20"/>
              </w:rPr>
              <w:t>bevétel:</w:t>
            </w:r>
          </w:p>
        </w:tc>
        <w:tc>
          <w:tcPr>
            <w:tcW w:w="1067" w:type="dxa"/>
            <w:tcBorders>
              <w:top w:val="nil"/>
              <w:left w:val="single" w:sz="4" w:space="0" w:color="auto"/>
              <w:bottom w:val="single" w:sz="4" w:space="0" w:color="auto"/>
              <w:right w:val="single" w:sz="4" w:space="0" w:color="auto"/>
            </w:tcBorders>
            <w:noWrap/>
            <w:vAlign w:val="center"/>
          </w:tcPr>
          <w:p w14:paraId="1A9DE151" w14:textId="4747F89E"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38 038,2</w:t>
            </w:r>
          </w:p>
        </w:tc>
        <w:tc>
          <w:tcPr>
            <w:tcW w:w="1276" w:type="dxa"/>
            <w:tcBorders>
              <w:top w:val="nil"/>
              <w:left w:val="nil"/>
              <w:bottom w:val="single" w:sz="4" w:space="0" w:color="auto"/>
              <w:right w:val="single" w:sz="4" w:space="0" w:color="auto"/>
            </w:tcBorders>
            <w:noWrap/>
            <w:vAlign w:val="center"/>
          </w:tcPr>
          <w:p w14:paraId="35D99CF8" w14:textId="079C7AB4"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rPr>
              <w:t>24 614,7</w:t>
            </w:r>
          </w:p>
        </w:tc>
        <w:tc>
          <w:tcPr>
            <w:tcW w:w="1075" w:type="dxa"/>
            <w:tcBorders>
              <w:top w:val="nil"/>
              <w:left w:val="nil"/>
              <w:bottom w:val="single" w:sz="4" w:space="0" w:color="auto"/>
              <w:right w:val="single" w:sz="4" w:space="0" w:color="auto"/>
            </w:tcBorders>
            <w:noWrap/>
            <w:vAlign w:val="center"/>
          </w:tcPr>
          <w:p w14:paraId="7867A6F0" w14:textId="61D0FF09"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64,7</w:t>
            </w:r>
          </w:p>
        </w:tc>
        <w:tc>
          <w:tcPr>
            <w:tcW w:w="1103" w:type="dxa"/>
            <w:tcBorders>
              <w:top w:val="nil"/>
              <w:left w:val="nil"/>
              <w:bottom w:val="single" w:sz="4" w:space="0" w:color="auto"/>
              <w:right w:val="single" w:sz="4" w:space="0" w:color="auto"/>
            </w:tcBorders>
            <w:noWrap/>
            <w:vAlign w:val="center"/>
          </w:tcPr>
          <w:p w14:paraId="3B7C4504" w14:textId="668E11AD"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38 728,8</w:t>
            </w:r>
          </w:p>
        </w:tc>
        <w:tc>
          <w:tcPr>
            <w:tcW w:w="1224" w:type="dxa"/>
            <w:tcBorders>
              <w:top w:val="nil"/>
              <w:left w:val="nil"/>
              <w:bottom w:val="single" w:sz="4" w:space="0" w:color="auto"/>
              <w:right w:val="single" w:sz="4" w:space="0" w:color="auto"/>
            </w:tcBorders>
            <w:noWrap/>
            <w:vAlign w:val="center"/>
          </w:tcPr>
          <w:p w14:paraId="29707FCC" w14:textId="53F2737E"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26 352,0</w:t>
            </w:r>
          </w:p>
        </w:tc>
        <w:tc>
          <w:tcPr>
            <w:tcW w:w="1159" w:type="dxa"/>
            <w:tcBorders>
              <w:top w:val="nil"/>
              <w:left w:val="nil"/>
              <w:bottom w:val="single" w:sz="4" w:space="0" w:color="auto"/>
              <w:right w:val="single" w:sz="4" w:space="0" w:color="auto"/>
            </w:tcBorders>
            <w:noWrap/>
            <w:vAlign w:val="center"/>
          </w:tcPr>
          <w:p w14:paraId="5BE38AAD" w14:textId="619C481A"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68,0</w:t>
            </w:r>
          </w:p>
        </w:tc>
        <w:tc>
          <w:tcPr>
            <w:tcW w:w="1113" w:type="dxa"/>
            <w:tcBorders>
              <w:top w:val="nil"/>
              <w:left w:val="nil"/>
              <w:bottom w:val="single" w:sz="4" w:space="0" w:color="auto"/>
              <w:right w:val="single" w:sz="4" w:space="0" w:color="auto"/>
            </w:tcBorders>
            <w:noWrap/>
            <w:vAlign w:val="center"/>
          </w:tcPr>
          <w:p w14:paraId="434BF952" w14:textId="2A6C214C"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107,1</w:t>
            </w:r>
          </w:p>
        </w:tc>
      </w:tr>
      <w:tr w:rsidR="00A55AA0" w:rsidRPr="0096527E" w14:paraId="7BAEDA41" w14:textId="77777777" w:rsidTr="7C285CBA">
        <w:trPr>
          <w:trHeight w:val="170"/>
          <w:jc w:val="center"/>
        </w:trPr>
        <w:tc>
          <w:tcPr>
            <w:tcW w:w="2047" w:type="dxa"/>
            <w:tcBorders>
              <w:top w:val="nil"/>
              <w:left w:val="single" w:sz="4" w:space="0" w:color="auto"/>
              <w:bottom w:val="single" w:sz="4" w:space="0" w:color="auto"/>
              <w:right w:val="single" w:sz="4" w:space="0" w:color="auto"/>
            </w:tcBorders>
            <w:vAlign w:val="center"/>
            <w:hideMark/>
          </w:tcPr>
          <w:p w14:paraId="639802C9" w14:textId="77777777" w:rsidR="00A55AA0" w:rsidRPr="00602E3C" w:rsidRDefault="00A55AA0" w:rsidP="00A55AA0">
            <w:pPr>
              <w:keepNext/>
              <w:keepLines/>
              <w:spacing w:before="120" w:after="120"/>
              <w:jc w:val="right"/>
              <w:rPr>
                <w:rFonts w:ascii="Times New Roman" w:hAnsi="Times New Roman" w:cs="Times New Roman"/>
                <w:sz w:val="20"/>
                <w:szCs w:val="20"/>
              </w:rPr>
            </w:pPr>
            <w:r w:rsidRPr="7C285CBA">
              <w:rPr>
                <w:rFonts w:ascii="Times New Roman" w:hAnsi="Times New Roman" w:cs="Times New Roman"/>
                <w:sz w:val="20"/>
                <w:szCs w:val="20"/>
              </w:rPr>
              <w:t>kiadás:</w:t>
            </w:r>
          </w:p>
        </w:tc>
        <w:tc>
          <w:tcPr>
            <w:tcW w:w="1067" w:type="dxa"/>
            <w:tcBorders>
              <w:top w:val="nil"/>
              <w:left w:val="single" w:sz="4" w:space="0" w:color="auto"/>
              <w:bottom w:val="single" w:sz="4" w:space="0" w:color="auto"/>
              <w:right w:val="single" w:sz="4" w:space="0" w:color="auto"/>
            </w:tcBorders>
            <w:noWrap/>
            <w:vAlign w:val="center"/>
          </w:tcPr>
          <w:p w14:paraId="59AFD40D" w14:textId="49189AAE"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42 134,0</w:t>
            </w:r>
          </w:p>
        </w:tc>
        <w:tc>
          <w:tcPr>
            <w:tcW w:w="1276" w:type="dxa"/>
            <w:tcBorders>
              <w:top w:val="nil"/>
              <w:left w:val="nil"/>
              <w:bottom w:val="single" w:sz="4" w:space="0" w:color="auto"/>
              <w:right w:val="single" w:sz="4" w:space="0" w:color="auto"/>
            </w:tcBorders>
            <w:noWrap/>
            <w:vAlign w:val="center"/>
          </w:tcPr>
          <w:p w14:paraId="4966DA4D" w14:textId="3477BAFB"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rPr>
              <w:t>27 472,4</w:t>
            </w:r>
          </w:p>
        </w:tc>
        <w:tc>
          <w:tcPr>
            <w:tcW w:w="1075" w:type="dxa"/>
            <w:tcBorders>
              <w:top w:val="nil"/>
              <w:left w:val="nil"/>
              <w:bottom w:val="single" w:sz="4" w:space="0" w:color="auto"/>
              <w:right w:val="single" w:sz="4" w:space="0" w:color="auto"/>
            </w:tcBorders>
            <w:noWrap/>
            <w:vAlign w:val="center"/>
          </w:tcPr>
          <w:p w14:paraId="09D1A52D" w14:textId="5482D252"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65,2</w:t>
            </w:r>
          </w:p>
        </w:tc>
        <w:tc>
          <w:tcPr>
            <w:tcW w:w="1103" w:type="dxa"/>
            <w:tcBorders>
              <w:top w:val="nil"/>
              <w:left w:val="nil"/>
              <w:bottom w:val="single" w:sz="4" w:space="0" w:color="auto"/>
              <w:right w:val="single" w:sz="4" w:space="0" w:color="auto"/>
            </w:tcBorders>
            <w:noWrap/>
            <w:vAlign w:val="center"/>
          </w:tcPr>
          <w:p w14:paraId="4ABA63B9" w14:textId="4B31170F"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42 851,8</w:t>
            </w:r>
          </w:p>
        </w:tc>
        <w:tc>
          <w:tcPr>
            <w:tcW w:w="1224" w:type="dxa"/>
            <w:tcBorders>
              <w:top w:val="nil"/>
              <w:left w:val="nil"/>
              <w:bottom w:val="single" w:sz="4" w:space="0" w:color="auto"/>
              <w:right w:val="single" w:sz="4" w:space="0" w:color="auto"/>
            </w:tcBorders>
            <w:noWrap/>
            <w:vAlign w:val="center"/>
          </w:tcPr>
          <w:p w14:paraId="6B9088C5" w14:textId="1D125518"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29 377,5</w:t>
            </w:r>
          </w:p>
        </w:tc>
        <w:tc>
          <w:tcPr>
            <w:tcW w:w="1159" w:type="dxa"/>
            <w:tcBorders>
              <w:top w:val="nil"/>
              <w:left w:val="nil"/>
              <w:bottom w:val="single" w:sz="4" w:space="0" w:color="auto"/>
              <w:right w:val="single" w:sz="4" w:space="0" w:color="auto"/>
            </w:tcBorders>
            <w:noWrap/>
            <w:vAlign w:val="center"/>
          </w:tcPr>
          <w:p w14:paraId="22DBE23B" w14:textId="22E0A3AA"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68,6</w:t>
            </w:r>
          </w:p>
        </w:tc>
        <w:tc>
          <w:tcPr>
            <w:tcW w:w="1113" w:type="dxa"/>
            <w:tcBorders>
              <w:top w:val="nil"/>
              <w:left w:val="nil"/>
              <w:bottom w:val="single" w:sz="4" w:space="0" w:color="auto"/>
              <w:right w:val="single" w:sz="4" w:space="0" w:color="auto"/>
            </w:tcBorders>
            <w:noWrap/>
            <w:vAlign w:val="center"/>
          </w:tcPr>
          <w:p w14:paraId="6882C43A" w14:textId="7E52B5AF" w:rsidR="00A55AA0" w:rsidRPr="007007A3" w:rsidRDefault="00A55AA0" w:rsidP="00A55AA0">
            <w:pPr>
              <w:spacing w:before="120" w:after="120"/>
              <w:jc w:val="right"/>
              <w:rPr>
                <w:rFonts w:ascii="Times New Roman" w:hAnsi="Times New Roman" w:cs="Times New Roman"/>
                <w:sz w:val="20"/>
                <w:szCs w:val="20"/>
              </w:rPr>
            </w:pPr>
            <w:r w:rsidRPr="002B2FFB">
              <w:rPr>
                <w:rFonts w:ascii="Garamond" w:hAnsi="Garamond"/>
                <w:szCs w:val="20"/>
              </w:rPr>
              <w:t>106,9</w:t>
            </w:r>
          </w:p>
        </w:tc>
      </w:tr>
    </w:tbl>
    <w:p w14:paraId="651BA2DD" w14:textId="77777777" w:rsidR="005171E0" w:rsidRDefault="005171E0" w:rsidP="00794A5E">
      <w:pPr>
        <w:jc w:val="both"/>
        <w:rPr>
          <w:rFonts w:ascii="Times New Roman" w:eastAsia="Times New Roman" w:hAnsi="Times New Roman" w:cs="Times New Roman"/>
          <w:sz w:val="26"/>
          <w:szCs w:val="26"/>
          <w:lang w:eastAsia="hu-HU"/>
        </w:rPr>
      </w:pPr>
    </w:p>
    <w:p w14:paraId="6530C941" w14:textId="77777777" w:rsidR="00794A5E" w:rsidRDefault="00794A5E" w:rsidP="00794A5E">
      <w:pPr>
        <w:jc w:val="both"/>
        <w:rPr>
          <w:rFonts w:ascii="Times New Roman" w:eastAsia="Times New Roman" w:hAnsi="Times New Roman" w:cs="Times New Roman"/>
          <w:sz w:val="26"/>
          <w:szCs w:val="26"/>
          <w:lang w:eastAsia="hu-HU"/>
        </w:rPr>
      </w:pPr>
    </w:p>
    <w:p w14:paraId="47665E44" w14:textId="77777777" w:rsidR="00794A5E" w:rsidRPr="00377D59" w:rsidRDefault="7C285CBA" w:rsidP="7C285CBA">
      <w:pPr>
        <w:keepNext/>
        <w:spacing w:line="240" w:lineRule="auto"/>
        <w:ind w:left="425" w:hanging="425"/>
        <w:jc w:val="center"/>
        <w:outlineLvl w:val="3"/>
        <w:rPr>
          <w:rFonts w:ascii="Times New Roman" w:eastAsia="Times New Roman" w:hAnsi="Times New Roman" w:cs="Times New Roman"/>
          <w:b/>
          <w:bCs/>
          <w:caps/>
          <w:sz w:val="26"/>
          <w:szCs w:val="26"/>
          <w:lang w:eastAsia="hu-HU"/>
        </w:rPr>
      </w:pPr>
      <w:r w:rsidRPr="7C285CBA">
        <w:rPr>
          <w:rFonts w:ascii="Times New Roman" w:eastAsia="Times New Roman" w:hAnsi="Times New Roman" w:cs="Times New Roman"/>
          <w:b/>
          <w:bCs/>
          <w:caps/>
          <w:sz w:val="26"/>
          <w:szCs w:val="26"/>
          <w:lang w:eastAsia="hu-HU"/>
        </w:rPr>
        <w:t>Az államháztartás központi alrendszerének HIÁNYA</w:t>
      </w:r>
    </w:p>
    <w:p w14:paraId="48257848" w14:textId="075C0814" w:rsidR="00794A5E" w:rsidRPr="00794A5E" w:rsidRDefault="7C285CBA" w:rsidP="7C285CBA">
      <w:pPr>
        <w:jc w:val="both"/>
        <w:rPr>
          <w:rFonts w:ascii="Times New Roman" w:eastAsia="Times New Roman" w:hAnsi="Times New Roman" w:cs="Times New Roman"/>
          <w:color w:val="000000" w:themeColor="text1"/>
          <w:sz w:val="26"/>
          <w:szCs w:val="26"/>
          <w:lang w:eastAsia="hu-HU"/>
        </w:rPr>
      </w:pPr>
      <w:r w:rsidRPr="7C285CBA">
        <w:rPr>
          <w:rFonts w:ascii="Times New Roman" w:eastAsia="Times New Roman" w:hAnsi="Times New Roman" w:cs="Times New Roman"/>
          <w:color w:val="000000" w:themeColor="text1"/>
          <w:sz w:val="26"/>
          <w:szCs w:val="26"/>
          <w:lang w:eastAsia="hu-HU"/>
        </w:rPr>
        <w:t>Az államháztartás központi alrendszerének az elfogadott költségvetési törvényben szereplő 3,7%-os ESA-hiányhoz tartozó pénzforgalmi hiánya 4123,0 milliárd forint.</w:t>
      </w:r>
    </w:p>
    <w:p w14:paraId="60844057" w14:textId="0ADE84E3" w:rsidR="00794A5E" w:rsidRPr="00794A5E" w:rsidRDefault="7C285CBA" w:rsidP="7C285CBA">
      <w:pPr>
        <w:jc w:val="both"/>
        <w:rPr>
          <w:rFonts w:ascii="Times New Roman" w:eastAsia="Times New Roman" w:hAnsi="Times New Roman" w:cs="Times New Roman"/>
          <w:color w:val="000000" w:themeColor="text1"/>
          <w:sz w:val="26"/>
          <w:szCs w:val="26"/>
          <w:lang w:eastAsia="hu-HU"/>
        </w:rPr>
      </w:pPr>
      <w:r w:rsidRPr="7C285CBA">
        <w:rPr>
          <w:rFonts w:ascii="Times New Roman" w:eastAsia="Times New Roman" w:hAnsi="Times New Roman" w:cs="Times New Roman"/>
          <w:color w:val="000000" w:themeColor="text1"/>
          <w:sz w:val="26"/>
          <w:szCs w:val="26"/>
          <w:lang w:eastAsia="hu-HU"/>
        </w:rPr>
        <w:t xml:space="preserve">A várható ESA-hiányhoz tartozó várható éves pénzforgalmi hiány ugyanakkor 4774,0 milliárd forint. A központi alrendszer </w:t>
      </w:r>
      <w:r w:rsidR="00A55AA0">
        <w:rPr>
          <w:rFonts w:ascii="Times New Roman" w:eastAsia="Times New Roman" w:hAnsi="Times New Roman" w:cs="Times New Roman"/>
          <w:color w:val="000000" w:themeColor="text1"/>
          <w:sz w:val="26"/>
          <w:szCs w:val="26"/>
          <w:lang w:eastAsia="hu-HU"/>
        </w:rPr>
        <w:t>auguszt</w:t>
      </w:r>
      <w:r w:rsidRPr="7C285CBA">
        <w:rPr>
          <w:rFonts w:ascii="Times New Roman" w:eastAsia="Times New Roman" w:hAnsi="Times New Roman" w:cs="Times New Roman"/>
          <w:color w:val="000000" w:themeColor="text1"/>
          <w:sz w:val="26"/>
          <w:szCs w:val="26"/>
          <w:lang w:eastAsia="hu-HU"/>
        </w:rPr>
        <w:t>us végi hiánya (</w:t>
      </w:r>
      <w:r w:rsidR="00A55AA0">
        <w:rPr>
          <w:rFonts w:ascii="Times New Roman" w:eastAsia="Times New Roman" w:hAnsi="Times New Roman" w:cs="Times New Roman"/>
          <w:color w:val="000000" w:themeColor="text1"/>
          <w:sz w:val="26"/>
          <w:szCs w:val="26"/>
          <w:lang w:eastAsia="hu-HU"/>
        </w:rPr>
        <w:t>3025,5</w:t>
      </w:r>
      <w:r w:rsidRPr="7C285CBA">
        <w:rPr>
          <w:rFonts w:ascii="Times New Roman" w:eastAsia="Times New Roman" w:hAnsi="Times New Roman" w:cs="Times New Roman"/>
          <w:color w:val="000000" w:themeColor="text1"/>
          <w:sz w:val="26"/>
          <w:szCs w:val="26"/>
          <w:lang w:eastAsia="hu-HU"/>
        </w:rPr>
        <w:t xml:space="preserve"> milliárd forint) ennek </w:t>
      </w:r>
      <w:r w:rsidR="00A55AA0">
        <w:rPr>
          <w:rFonts w:ascii="Times New Roman" w:eastAsia="Times New Roman" w:hAnsi="Times New Roman" w:cs="Times New Roman"/>
          <w:color w:val="000000" w:themeColor="text1"/>
          <w:sz w:val="26"/>
          <w:szCs w:val="26"/>
          <w:lang w:eastAsia="hu-HU"/>
        </w:rPr>
        <w:t>63</w:t>
      </w:r>
      <w:r w:rsidRPr="7C285CBA">
        <w:rPr>
          <w:rFonts w:ascii="Times New Roman" w:eastAsia="Times New Roman" w:hAnsi="Times New Roman" w:cs="Times New Roman"/>
          <w:color w:val="000000" w:themeColor="text1"/>
          <w:sz w:val="26"/>
          <w:szCs w:val="26"/>
          <w:lang w:eastAsia="hu-HU"/>
        </w:rPr>
        <w:t>,4%-a.</w:t>
      </w:r>
    </w:p>
    <w:p w14:paraId="1A0A9898" w14:textId="77777777" w:rsidR="00794A5E" w:rsidRDefault="00794A5E" w:rsidP="00794A5E">
      <w:pPr>
        <w:jc w:val="both"/>
        <w:rPr>
          <w:rFonts w:ascii="Times New Roman" w:eastAsia="Times New Roman" w:hAnsi="Times New Roman" w:cs="Times New Roman"/>
          <w:sz w:val="26"/>
          <w:szCs w:val="26"/>
          <w:lang w:eastAsia="hu-HU"/>
        </w:rPr>
      </w:pPr>
    </w:p>
    <w:p w14:paraId="5D2837F8" w14:textId="77777777" w:rsidR="006D5492" w:rsidRDefault="006D5492" w:rsidP="006D5492">
      <w:pPr>
        <w:pageBreakBefore/>
        <w:spacing w:after="120" w:line="240" w:lineRule="auto"/>
        <w:jc w:val="center"/>
        <w:rPr>
          <w:rFonts w:ascii="Times New Roman" w:eastAsia="Times New Roman" w:hAnsi="Times New Roman" w:cs="Times New Roman"/>
          <w:b/>
          <w:bCs/>
          <w:sz w:val="26"/>
          <w:szCs w:val="26"/>
          <w:lang w:eastAsia="hu-HU"/>
        </w:rPr>
      </w:pPr>
    </w:p>
    <w:p w14:paraId="7B768A93" w14:textId="77777777" w:rsidR="00B155FE" w:rsidRPr="00377D59" w:rsidRDefault="7C285CBA" w:rsidP="7C285CBA">
      <w:pPr>
        <w:spacing w:after="120" w:line="240" w:lineRule="auto"/>
        <w:jc w:val="center"/>
        <w:rPr>
          <w:rFonts w:ascii="Times New Roman" w:eastAsia="Times New Roman" w:hAnsi="Times New Roman" w:cs="Times New Roman"/>
          <w:b/>
          <w:bCs/>
          <w:sz w:val="26"/>
          <w:szCs w:val="26"/>
          <w:lang w:eastAsia="hu-HU"/>
        </w:rPr>
      </w:pPr>
      <w:r w:rsidRPr="7C285CBA">
        <w:rPr>
          <w:rFonts w:ascii="Times New Roman" w:eastAsia="Times New Roman" w:hAnsi="Times New Roman" w:cs="Times New Roman"/>
          <w:b/>
          <w:bCs/>
          <w:sz w:val="26"/>
          <w:szCs w:val="26"/>
          <w:lang w:eastAsia="hu-HU"/>
        </w:rPr>
        <w:t>I.</w:t>
      </w:r>
    </w:p>
    <w:p w14:paraId="7B768A94" w14:textId="77777777" w:rsidR="00B155FE" w:rsidRPr="00377D59" w:rsidRDefault="7C285CBA" w:rsidP="7C285CBA">
      <w:pPr>
        <w:keepNext/>
        <w:spacing w:after="120" w:line="240" w:lineRule="auto"/>
        <w:jc w:val="center"/>
        <w:outlineLvl w:val="1"/>
        <w:rPr>
          <w:rFonts w:ascii="Times New Roman" w:eastAsia="Times New Roman" w:hAnsi="Times New Roman" w:cs="Times New Roman"/>
          <w:b/>
          <w:bCs/>
          <w:caps/>
          <w:sz w:val="26"/>
          <w:szCs w:val="26"/>
          <w:lang w:eastAsia="hu-HU"/>
        </w:rPr>
      </w:pPr>
      <w:r w:rsidRPr="7C285CBA">
        <w:rPr>
          <w:rFonts w:ascii="Times New Roman" w:eastAsia="Times New Roman" w:hAnsi="Times New Roman" w:cs="Times New Roman"/>
          <w:b/>
          <w:bCs/>
          <w:caps/>
          <w:sz w:val="26"/>
          <w:szCs w:val="26"/>
          <w:lang w:eastAsia="hu-HU"/>
        </w:rPr>
        <w:t xml:space="preserve">A központi alrendszer pénzügyi folyamatainak </w:t>
      </w:r>
      <w:r w:rsidR="74CD2655">
        <w:br/>
      </w:r>
      <w:r w:rsidRPr="7C285CBA">
        <w:rPr>
          <w:rFonts w:ascii="Times New Roman" w:eastAsia="Times New Roman" w:hAnsi="Times New Roman" w:cs="Times New Roman"/>
          <w:b/>
          <w:bCs/>
          <w:caps/>
          <w:sz w:val="26"/>
          <w:szCs w:val="26"/>
          <w:lang w:eastAsia="hu-HU"/>
        </w:rPr>
        <w:t>alakulása</w:t>
      </w:r>
    </w:p>
    <w:p w14:paraId="6D461365" w14:textId="08DC9FC2" w:rsidR="0004032B" w:rsidRPr="00377D59" w:rsidRDefault="7C285CBA" w:rsidP="7C285CBA">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7C285CBA">
        <w:rPr>
          <w:rFonts w:ascii="Times New Roman" w:eastAsia="Times New Roman" w:hAnsi="Times New Roman" w:cs="Times New Roman"/>
          <w:b/>
          <w:bCs/>
          <w:smallCaps/>
          <w:sz w:val="28"/>
          <w:szCs w:val="28"/>
          <w:lang w:eastAsia="hu-HU"/>
        </w:rPr>
        <w:t>A főbb bevételek</w:t>
      </w:r>
    </w:p>
    <w:p w14:paraId="1618CD2C" w14:textId="58B0AB51" w:rsidR="00C561BC" w:rsidRDefault="7C285CBA" w:rsidP="7C285CBA">
      <w:pPr>
        <w:jc w:val="both"/>
        <w:rPr>
          <w:rFonts w:ascii="Times New Roman" w:eastAsia="Times New Roman" w:hAnsi="Times New Roman" w:cs="Times New Roman"/>
          <w:b/>
          <w:bCs/>
          <w:sz w:val="26"/>
          <w:szCs w:val="26"/>
        </w:rPr>
      </w:pPr>
      <w:r w:rsidRPr="7C285CBA">
        <w:rPr>
          <w:rFonts w:ascii="Times New Roman" w:eastAsia="Times New Roman" w:hAnsi="Times New Roman" w:cs="Times New Roman"/>
          <w:b/>
          <w:bCs/>
          <w:sz w:val="26"/>
          <w:szCs w:val="26"/>
        </w:rPr>
        <w:t xml:space="preserve">A központi alrendszer </w:t>
      </w:r>
      <w:r w:rsidR="00A55AA0">
        <w:rPr>
          <w:rFonts w:ascii="Times New Roman" w:eastAsia="Times New Roman" w:hAnsi="Times New Roman" w:cs="Times New Roman"/>
          <w:b/>
          <w:bCs/>
          <w:sz w:val="26"/>
          <w:szCs w:val="26"/>
        </w:rPr>
        <w:t>auguszt</w:t>
      </w:r>
      <w:r w:rsidRPr="7C285CBA">
        <w:rPr>
          <w:rFonts w:ascii="Times New Roman" w:eastAsia="Times New Roman" w:hAnsi="Times New Roman" w:cs="Times New Roman"/>
          <w:b/>
          <w:bCs/>
          <w:sz w:val="26"/>
          <w:szCs w:val="26"/>
        </w:rPr>
        <w:t>us végi 2</w:t>
      </w:r>
      <w:r w:rsidR="00A55AA0">
        <w:rPr>
          <w:rFonts w:ascii="Times New Roman" w:eastAsia="Times New Roman" w:hAnsi="Times New Roman" w:cs="Times New Roman"/>
          <w:b/>
          <w:bCs/>
          <w:sz w:val="26"/>
          <w:szCs w:val="26"/>
        </w:rPr>
        <w:t>6 </w:t>
      </w:r>
      <w:r w:rsidRPr="7C285CBA">
        <w:rPr>
          <w:rFonts w:ascii="Times New Roman" w:eastAsia="Times New Roman" w:hAnsi="Times New Roman" w:cs="Times New Roman"/>
          <w:b/>
          <w:bCs/>
          <w:sz w:val="26"/>
          <w:szCs w:val="26"/>
        </w:rPr>
        <w:t>3</w:t>
      </w:r>
      <w:r w:rsidR="00A55AA0">
        <w:rPr>
          <w:rFonts w:ascii="Times New Roman" w:eastAsia="Times New Roman" w:hAnsi="Times New Roman" w:cs="Times New Roman"/>
          <w:b/>
          <w:bCs/>
          <w:sz w:val="26"/>
          <w:szCs w:val="26"/>
        </w:rPr>
        <w:t>52,0</w:t>
      </w:r>
      <w:r w:rsidRPr="7C285CBA">
        <w:rPr>
          <w:rFonts w:ascii="Times New Roman" w:eastAsia="Times New Roman" w:hAnsi="Times New Roman" w:cs="Times New Roman"/>
          <w:b/>
          <w:bCs/>
          <w:sz w:val="26"/>
          <w:szCs w:val="26"/>
        </w:rPr>
        <w:t xml:space="preserve"> milliárd forint összegű bevételei az</w:t>
      </w:r>
      <w:r w:rsidR="00D33920">
        <w:rPr>
          <w:rFonts w:ascii="Times New Roman" w:eastAsia="Times New Roman" w:hAnsi="Times New Roman" w:cs="Times New Roman"/>
          <w:b/>
          <w:bCs/>
          <w:sz w:val="26"/>
          <w:szCs w:val="26"/>
        </w:rPr>
        <w:t> </w:t>
      </w:r>
      <w:r w:rsidRPr="7C285CBA">
        <w:rPr>
          <w:rFonts w:ascii="Times New Roman" w:eastAsia="Times New Roman" w:hAnsi="Times New Roman" w:cs="Times New Roman"/>
          <w:b/>
          <w:bCs/>
          <w:sz w:val="26"/>
          <w:szCs w:val="26"/>
        </w:rPr>
        <w:t>előző év azonos időszakához képest 1</w:t>
      </w:r>
      <w:r w:rsidR="00A55AA0">
        <w:rPr>
          <w:rFonts w:ascii="Times New Roman" w:eastAsia="Times New Roman" w:hAnsi="Times New Roman" w:cs="Times New Roman"/>
          <w:b/>
          <w:bCs/>
          <w:sz w:val="26"/>
          <w:szCs w:val="26"/>
        </w:rPr>
        <w:t>737,3</w:t>
      </w:r>
      <w:r w:rsidRPr="7C285CBA">
        <w:rPr>
          <w:rFonts w:ascii="Times New Roman" w:eastAsia="Times New Roman" w:hAnsi="Times New Roman" w:cs="Times New Roman"/>
          <w:b/>
          <w:bCs/>
          <w:sz w:val="26"/>
          <w:szCs w:val="26"/>
        </w:rPr>
        <w:t xml:space="preserve"> milliárd forinttal, </w:t>
      </w:r>
      <w:r w:rsidR="00A55AA0">
        <w:rPr>
          <w:rFonts w:ascii="Times New Roman" w:eastAsia="Times New Roman" w:hAnsi="Times New Roman" w:cs="Times New Roman"/>
          <w:b/>
          <w:bCs/>
          <w:sz w:val="26"/>
          <w:szCs w:val="26"/>
        </w:rPr>
        <w:t>7,1</w:t>
      </w:r>
      <w:r w:rsidRPr="7C285CBA">
        <w:rPr>
          <w:rFonts w:ascii="Times New Roman" w:eastAsia="Times New Roman" w:hAnsi="Times New Roman" w:cs="Times New Roman"/>
          <w:b/>
          <w:bCs/>
          <w:sz w:val="26"/>
          <w:szCs w:val="26"/>
        </w:rPr>
        <w:t>%-kal magasabb összegben alakultak.</w:t>
      </w:r>
    </w:p>
    <w:p w14:paraId="6BBE59DE" w14:textId="14C75215" w:rsidR="00CF551C" w:rsidRDefault="00B3244C" w:rsidP="00C11940">
      <w:pPr>
        <w:pStyle w:val="NormlWeb"/>
        <w:spacing w:before="0" w:beforeAutospacing="0" w:after="120" w:afterAutospacing="0"/>
        <w:jc w:val="center"/>
      </w:pPr>
      <w:r>
        <w:rPr>
          <w:noProof/>
        </w:rPr>
        <w:drawing>
          <wp:inline distT="0" distB="0" distL="0" distR="0" wp14:anchorId="3DA4B96F" wp14:editId="10AD6AD1">
            <wp:extent cx="5940425" cy="2449195"/>
            <wp:effectExtent l="0" t="0" r="3175" b="8255"/>
            <wp:docPr id="97871098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10981" name=""/>
                    <pic:cNvPicPr/>
                  </pic:nvPicPr>
                  <pic:blipFill>
                    <a:blip r:embed="rId14"/>
                    <a:stretch>
                      <a:fillRect/>
                    </a:stretch>
                  </pic:blipFill>
                  <pic:spPr>
                    <a:xfrm>
                      <a:off x="0" y="0"/>
                      <a:ext cx="5940425" cy="2449195"/>
                    </a:xfrm>
                    <a:prstGeom prst="rect">
                      <a:avLst/>
                    </a:prstGeom>
                  </pic:spPr>
                </pic:pic>
              </a:graphicData>
            </a:graphic>
          </wp:inline>
        </w:drawing>
      </w:r>
    </w:p>
    <w:p w14:paraId="2B3DEDF0" w14:textId="2497CB55" w:rsidR="00980E56" w:rsidRPr="00980E56" w:rsidRDefault="00980E56" w:rsidP="003D4300">
      <w:pPr>
        <w:jc w:val="both"/>
        <w:rPr>
          <w:rFonts w:ascii="Times New Roman" w:eastAsia="Times New Roman" w:hAnsi="Times New Roman" w:cs="Times New Roman"/>
          <w:sz w:val="26"/>
          <w:szCs w:val="20"/>
          <w:lang w:eastAsia="hu-HU"/>
        </w:rPr>
      </w:pPr>
      <w:r w:rsidRPr="00980E56">
        <w:rPr>
          <w:rFonts w:ascii="Times New Roman" w:eastAsia="Times New Roman" w:hAnsi="Times New Roman" w:cs="Times New Roman"/>
          <w:b/>
          <w:bCs/>
          <w:sz w:val="26"/>
          <w:szCs w:val="20"/>
          <w:lang w:eastAsia="hu-HU"/>
        </w:rPr>
        <w:t xml:space="preserve">Társasági adó </w:t>
      </w:r>
      <w:r w:rsidRPr="00980E56">
        <w:rPr>
          <w:rFonts w:ascii="Times New Roman" w:eastAsia="Times New Roman" w:hAnsi="Times New Roman" w:cs="Times New Roman"/>
          <w:sz w:val="26"/>
          <w:szCs w:val="20"/>
          <w:lang w:eastAsia="hu-HU"/>
        </w:rPr>
        <w:t>jogcímen a 2025. év első nyolc hónapjában 717,1</w:t>
      </w:r>
      <w:r w:rsidR="00E03905">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sz w:val="26"/>
          <w:szCs w:val="20"/>
          <w:lang w:eastAsia="hu-HU"/>
        </w:rPr>
        <w:t>milliárd forint realizálódott, amely az előző év egyenlegétől 27,2</w:t>
      </w:r>
      <w:r w:rsidR="00E03905">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sz w:val="26"/>
          <w:szCs w:val="20"/>
          <w:lang w:eastAsia="hu-HU"/>
        </w:rPr>
        <w:t>milliárd forinttal maradt el. A</w:t>
      </w:r>
      <w:r w:rsidR="00A01BFF">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sz w:val="26"/>
          <w:szCs w:val="20"/>
          <w:lang w:eastAsia="hu-HU"/>
        </w:rPr>
        <w:t>bázisévhez viszonyítva az eltérést az előlegfizetések előző évinél alacsonyabb szintje magyarázza, amelyet az egyéb kiutalások rontanak.</w:t>
      </w:r>
    </w:p>
    <w:p w14:paraId="01DDC9E3" w14:textId="79B4E21D" w:rsidR="00980E56" w:rsidRPr="00980E56" w:rsidRDefault="00980E56" w:rsidP="003D4300">
      <w:pPr>
        <w:jc w:val="both"/>
        <w:rPr>
          <w:rFonts w:ascii="Times New Roman" w:eastAsia="Times New Roman" w:hAnsi="Times New Roman" w:cs="Times New Roman"/>
          <w:sz w:val="26"/>
          <w:szCs w:val="20"/>
          <w:lang w:eastAsia="hu-HU"/>
        </w:rPr>
      </w:pPr>
      <w:r w:rsidRPr="00980E56">
        <w:rPr>
          <w:rFonts w:ascii="Times New Roman" w:eastAsia="Times New Roman" w:hAnsi="Times New Roman" w:cs="Times New Roman"/>
          <w:bCs/>
          <w:sz w:val="26"/>
          <w:szCs w:val="20"/>
          <w:lang w:eastAsia="hu-HU"/>
        </w:rPr>
        <w:t>A</w:t>
      </w:r>
      <w:r w:rsidRPr="00980E56">
        <w:rPr>
          <w:rFonts w:ascii="Times New Roman" w:eastAsia="Times New Roman" w:hAnsi="Times New Roman" w:cs="Times New Roman"/>
          <w:b/>
          <w:bCs/>
          <w:sz w:val="26"/>
          <w:szCs w:val="20"/>
          <w:lang w:eastAsia="hu-HU"/>
        </w:rPr>
        <w:t xml:space="preserve"> pénzügyi szervezetek befizetései</w:t>
      </w:r>
      <w:r w:rsidRPr="00980E56">
        <w:rPr>
          <w:rFonts w:ascii="Times New Roman" w:eastAsia="Times New Roman" w:hAnsi="Times New Roman" w:cs="Times New Roman"/>
          <w:sz w:val="26"/>
          <w:szCs w:val="20"/>
          <w:lang w:eastAsia="hu-HU"/>
        </w:rPr>
        <w:t xml:space="preserve"> mérlegsoron a 2025. év első nyolc hónapjában 218,8 milliárd forint teljesült, amely az előző év egyenlegét 43,9 milliárd forinttal haladja meg. Ennek oka az előírt magasabb előlegkötelezettségek a pénzügyi szervezetek különadója esetén</w:t>
      </w:r>
      <w:r w:rsidR="00837F7C">
        <w:rPr>
          <w:rFonts w:ascii="Times New Roman" w:eastAsia="Times New Roman" w:hAnsi="Times New Roman" w:cs="Times New Roman"/>
          <w:sz w:val="26"/>
          <w:szCs w:val="20"/>
          <w:lang w:eastAsia="hu-HU"/>
        </w:rPr>
        <w:t>, valamint</w:t>
      </w:r>
      <w:r w:rsidRPr="00980E56">
        <w:rPr>
          <w:rFonts w:ascii="Times New Roman" w:eastAsia="Times New Roman" w:hAnsi="Times New Roman" w:cs="Times New Roman"/>
          <w:sz w:val="26"/>
          <w:szCs w:val="20"/>
          <w:lang w:eastAsia="hu-HU"/>
        </w:rPr>
        <w:t xml:space="preserve"> a magasabb előírt hitelintézeti extraprofitadó bevétel.</w:t>
      </w:r>
    </w:p>
    <w:p w14:paraId="3496B7B2" w14:textId="77777777" w:rsidR="00980E56" w:rsidRPr="00980E56" w:rsidRDefault="00980E56" w:rsidP="003D4300">
      <w:pPr>
        <w:jc w:val="both"/>
        <w:rPr>
          <w:rFonts w:ascii="Times New Roman" w:eastAsia="Times New Roman" w:hAnsi="Times New Roman" w:cs="Times New Roman"/>
          <w:sz w:val="26"/>
          <w:szCs w:val="20"/>
          <w:lang w:eastAsia="hu-HU"/>
        </w:rPr>
      </w:pPr>
      <w:r w:rsidRPr="00980E56">
        <w:rPr>
          <w:rFonts w:ascii="Times New Roman" w:eastAsia="Times New Roman" w:hAnsi="Times New Roman" w:cs="Times New Roman"/>
          <w:bCs/>
          <w:sz w:val="26"/>
          <w:szCs w:val="20"/>
          <w:lang w:eastAsia="hu-HU"/>
        </w:rPr>
        <w:t>A</w:t>
      </w:r>
      <w:r w:rsidRPr="00980E56">
        <w:rPr>
          <w:rFonts w:ascii="Times New Roman" w:eastAsia="Times New Roman" w:hAnsi="Times New Roman" w:cs="Times New Roman"/>
          <w:b/>
          <w:bCs/>
          <w:sz w:val="26"/>
          <w:szCs w:val="20"/>
          <w:lang w:eastAsia="hu-HU"/>
        </w:rPr>
        <w:t xml:space="preserve"> kisadózók tételes adójából</w:t>
      </w:r>
      <w:r w:rsidRPr="00980E56">
        <w:rPr>
          <w:rFonts w:ascii="Times New Roman" w:eastAsia="Times New Roman" w:hAnsi="Times New Roman" w:cs="Times New Roman"/>
          <w:sz w:val="26"/>
          <w:szCs w:val="20"/>
          <w:lang w:eastAsia="hu-HU"/>
        </w:rPr>
        <w:t xml:space="preserve"> 2025 első nyolc hónapjában a költségvetésnek 46,7 milliárd forint bevétele keletkezett, amely 2,2 milliárd forinttal több az egy évvel korábbinál. Ennek oka az adónemet választók magasabb létszáma.</w:t>
      </w:r>
    </w:p>
    <w:p w14:paraId="2B763A6A" w14:textId="418B8728" w:rsidR="006A6F7F" w:rsidRPr="002A41A8" w:rsidRDefault="00980E56" w:rsidP="003D4300">
      <w:pPr>
        <w:jc w:val="both"/>
        <w:rPr>
          <w:rFonts w:ascii="Times New Roman" w:eastAsia="Times New Roman" w:hAnsi="Times New Roman" w:cs="Times New Roman"/>
          <w:sz w:val="26"/>
          <w:szCs w:val="26"/>
          <w:highlight w:val="yellow"/>
          <w:lang w:eastAsia="hu-HU"/>
        </w:rPr>
      </w:pPr>
      <w:r w:rsidRPr="00980E56">
        <w:rPr>
          <w:rFonts w:ascii="Times New Roman" w:eastAsia="Times New Roman" w:hAnsi="Times New Roman" w:cs="Times New Roman"/>
          <w:bCs/>
          <w:sz w:val="26"/>
          <w:szCs w:val="20"/>
          <w:lang w:eastAsia="hu-HU"/>
        </w:rPr>
        <w:t>A</w:t>
      </w:r>
      <w:r w:rsidRPr="00980E56">
        <w:rPr>
          <w:rFonts w:ascii="Times New Roman" w:eastAsia="Times New Roman" w:hAnsi="Times New Roman" w:cs="Times New Roman"/>
          <w:b/>
          <w:bCs/>
          <w:sz w:val="26"/>
          <w:szCs w:val="20"/>
          <w:lang w:eastAsia="hu-HU"/>
        </w:rPr>
        <w:t xml:space="preserve"> kisvállalati adóból</w:t>
      </w:r>
      <w:r w:rsidRPr="00980E56">
        <w:rPr>
          <w:rFonts w:ascii="Times New Roman" w:eastAsia="Times New Roman" w:hAnsi="Times New Roman" w:cs="Times New Roman"/>
          <w:sz w:val="26"/>
          <w:szCs w:val="20"/>
          <w:lang w:eastAsia="hu-HU"/>
        </w:rPr>
        <w:t xml:space="preserve"> származó bevétel a 2025. év első nyolc hónapjában 181,0 milliárd forint</w:t>
      </w:r>
      <w:r w:rsidR="00837F7C">
        <w:rPr>
          <w:rFonts w:ascii="Times New Roman" w:eastAsia="Times New Roman" w:hAnsi="Times New Roman" w:cs="Times New Roman"/>
          <w:sz w:val="26"/>
          <w:szCs w:val="20"/>
          <w:lang w:eastAsia="hu-HU"/>
        </w:rPr>
        <w:t xml:space="preserve"> </w:t>
      </w:r>
      <w:r w:rsidRPr="00980E56">
        <w:rPr>
          <w:rFonts w:ascii="Times New Roman" w:eastAsia="Times New Roman" w:hAnsi="Times New Roman" w:cs="Times New Roman"/>
          <w:sz w:val="26"/>
          <w:szCs w:val="20"/>
          <w:lang w:eastAsia="hu-HU"/>
        </w:rPr>
        <w:t>volt, amely 20,8</w:t>
      </w:r>
      <w:r w:rsidR="00837F7C">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sz w:val="26"/>
          <w:szCs w:val="20"/>
          <w:lang w:eastAsia="hu-HU"/>
        </w:rPr>
        <w:t>milliárd forinttal magasabb az előző év egyenlegénél. Ennek oka az adóalanyok számának jelentős mértékű bővülése.</w:t>
      </w:r>
      <w:r w:rsidR="00837F7C">
        <w:rPr>
          <w:rFonts w:ascii="Times New Roman" w:eastAsia="Times New Roman" w:hAnsi="Times New Roman" w:cs="Times New Roman"/>
          <w:sz w:val="26"/>
          <w:szCs w:val="20"/>
          <w:lang w:eastAsia="hu-HU"/>
        </w:rPr>
        <w:t xml:space="preserve"> </w:t>
      </w:r>
      <w:r w:rsidRPr="00980E56">
        <w:rPr>
          <w:rFonts w:ascii="Times New Roman" w:eastAsia="Times New Roman" w:hAnsi="Times New Roman" w:cs="Times New Roman"/>
          <w:sz w:val="26"/>
          <w:szCs w:val="20"/>
          <w:lang w:eastAsia="hu-HU"/>
        </w:rPr>
        <w:t>2025</w:t>
      </w:r>
      <w:r w:rsidR="00837F7C">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sz w:val="26"/>
          <w:szCs w:val="20"/>
          <w:lang w:eastAsia="hu-HU"/>
        </w:rPr>
        <w:t>augusztus</w:t>
      </w:r>
      <w:r w:rsidR="00837F7C">
        <w:rPr>
          <w:rFonts w:ascii="Times New Roman" w:eastAsia="Times New Roman" w:hAnsi="Times New Roman" w:cs="Times New Roman"/>
          <w:sz w:val="26"/>
          <w:szCs w:val="20"/>
          <w:lang w:eastAsia="hu-HU"/>
        </w:rPr>
        <w:t>á</w:t>
      </w:r>
      <w:r w:rsidRPr="00980E56">
        <w:rPr>
          <w:rFonts w:ascii="Times New Roman" w:eastAsia="Times New Roman" w:hAnsi="Times New Roman" w:cs="Times New Roman"/>
          <w:sz w:val="26"/>
          <w:szCs w:val="20"/>
          <w:lang w:eastAsia="hu-HU"/>
        </w:rPr>
        <w:t>ban a KIVA alanyok száma 99,0 ezer</w:t>
      </w:r>
      <w:r w:rsidR="00837F7C">
        <w:rPr>
          <w:rFonts w:ascii="Times New Roman" w:eastAsia="Times New Roman" w:hAnsi="Times New Roman" w:cs="Times New Roman"/>
          <w:sz w:val="26"/>
          <w:szCs w:val="20"/>
          <w:lang w:eastAsia="hu-HU"/>
        </w:rPr>
        <w:t xml:space="preserve"> volt</w:t>
      </w:r>
      <w:r w:rsidR="7C285CBA" w:rsidRPr="7C285CBA">
        <w:rPr>
          <w:rFonts w:ascii="Times New Roman" w:eastAsia="Times New Roman" w:hAnsi="Times New Roman" w:cs="Times New Roman"/>
          <w:sz w:val="26"/>
          <w:szCs w:val="26"/>
          <w:lang w:eastAsia="hu-HU"/>
        </w:rPr>
        <w:t>.</w:t>
      </w:r>
    </w:p>
    <w:p w14:paraId="05A0FCFD" w14:textId="0C770BF9" w:rsidR="00640595" w:rsidRDefault="7C285CBA" w:rsidP="003D4300">
      <w:pPr>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 xml:space="preserve">A </w:t>
      </w:r>
      <w:r w:rsidRPr="7C285CBA">
        <w:rPr>
          <w:rFonts w:ascii="Times New Roman" w:eastAsia="Times New Roman" w:hAnsi="Times New Roman" w:cs="Times New Roman"/>
          <w:b/>
          <w:bCs/>
          <w:sz w:val="26"/>
          <w:szCs w:val="26"/>
        </w:rPr>
        <w:t>bányajáradék-bevétel</w:t>
      </w:r>
      <w:r w:rsidRPr="7C285CBA">
        <w:rPr>
          <w:rFonts w:ascii="Times New Roman" w:eastAsia="Times New Roman" w:hAnsi="Times New Roman" w:cs="Times New Roman"/>
          <w:sz w:val="26"/>
          <w:szCs w:val="26"/>
        </w:rPr>
        <w:t xml:space="preserve"> 2025 első nyolc hónapjában 79,4 milliárd forint volt, amely 1,7 milliárd forinttal teljesült magasabban az előző év azonos időszakához képest, amelynek fő oka a számítási szabályok év eleji kisebb változása és a bányajáradék számításához kapcsolódó </w:t>
      </w:r>
      <w:proofErr w:type="spellStart"/>
      <w:r w:rsidRPr="7C285CBA">
        <w:rPr>
          <w:rFonts w:ascii="Times New Roman" w:eastAsia="Times New Roman" w:hAnsi="Times New Roman" w:cs="Times New Roman"/>
          <w:sz w:val="26"/>
          <w:szCs w:val="26"/>
        </w:rPr>
        <w:t>makroparaméterek</w:t>
      </w:r>
      <w:proofErr w:type="spellEnd"/>
      <w:r w:rsidRPr="7C285CBA">
        <w:rPr>
          <w:rFonts w:ascii="Times New Roman" w:eastAsia="Times New Roman" w:hAnsi="Times New Roman" w:cs="Times New Roman"/>
          <w:sz w:val="26"/>
          <w:szCs w:val="26"/>
        </w:rPr>
        <w:t xml:space="preserve"> (olajár, </w:t>
      </w:r>
      <w:proofErr w:type="spellStart"/>
      <w:r w:rsidRPr="7C285CBA">
        <w:rPr>
          <w:rFonts w:ascii="Times New Roman" w:eastAsia="Times New Roman" w:hAnsi="Times New Roman" w:cs="Times New Roman"/>
          <w:sz w:val="26"/>
          <w:szCs w:val="26"/>
        </w:rPr>
        <w:t>gázár</w:t>
      </w:r>
      <w:proofErr w:type="spellEnd"/>
      <w:r w:rsidRPr="7C285CBA">
        <w:rPr>
          <w:rFonts w:ascii="Times New Roman" w:eastAsia="Times New Roman" w:hAnsi="Times New Roman" w:cs="Times New Roman"/>
          <w:sz w:val="26"/>
          <w:szCs w:val="26"/>
        </w:rPr>
        <w:t>, árfolyamok) alakulásának együttes eredője.</w:t>
      </w:r>
    </w:p>
    <w:p w14:paraId="5322C39E" w14:textId="2F5E4401" w:rsidR="72AFD5C4" w:rsidRPr="00377D59" w:rsidRDefault="7C285CBA" w:rsidP="003D4300">
      <w:pPr>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lastRenderedPageBreak/>
        <w:t xml:space="preserve">Az </w:t>
      </w:r>
      <w:r w:rsidRPr="7C285CBA">
        <w:rPr>
          <w:rFonts w:ascii="Times New Roman" w:eastAsia="Times New Roman" w:hAnsi="Times New Roman" w:cs="Times New Roman"/>
          <w:b/>
          <w:bCs/>
          <w:sz w:val="26"/>
          <w:szCs w:val="26"/>
        </w:rPr>
        <w:t>útdíjakból származó bevétel</w:t>
      </w:r>
      <w:r w:rsidRPr="7C285CBA">
        <w:rPr>
          <w:rFonts w:ascii="Times New Roman" w:eastAsia="Times New Roman" w:hAnsi="Times New Roman" w:cs="Times New Roman"/>
          <w:sz w:val="26"/>
          <w:szCs w:val="26"/>
        </w:rPr>
        <w:t xml:space="preserve"> 2024-től külön mérlegsoron jelenik meg, mely az elektronikus útdíj rendszer és az időalapú útdíj rendszer bevételeinek együttes összegét tartalmazza. Az útdíjakból 2025 augusztusáig 419,2 milliárd forint költségvetési bevétel teljesült ezen a mérlegsoron, amely 20,1 milliárd forinttal magasabb az előző év azonos időszakához viszonyítva. A magasabb teljesülést alapvetően a forgalmi viszonyok, valamint a díjrendszereket érintő jogszabályi keretek változása okozza.</w:t>
      </w:r>
    </w:p>
    <w:p w14:paraId="685BE235" w14:textId="504CE7BC" w:rsidR="008A66DB" w:rsidRDefault="7C285CBA" w:rsidP="003D4300">
      <w:pPr>
        <w:jc w:val="both"/>
        <w:rPr>
          <w:rFonts w:ascii="Times New Roman" w:eastAsia="Times New Roman" w:hAnsi="Times New Roman" w:cs="Times New Roman"/>
          <w:sz w:val="26"/>
          <w:szCs w:val="26"/>
        </w:rPr>
      </w:pPr>
      <w:r w:rsidRPr="7C285CBA">
        <w:rPr>
          <w:rFonts w:ascii="Times New Roman" w:eastAsia="Times New Roman" w:hAnsi="Times New Roman" w:cs="Times New Roman"/>
          <w:b/>
          <w:bCs/>
          <w:sz w:val="26"/>
          <w:szCs w:val="26"/>
        </w:rPr>
        <w:t xml:space="preserve">Egyéb központosított bevételekből </w:t>
      </w:r>
      <w:r w:rsidRPr="7C285CBA">
        <w:rPr>
          <w:rFonts w:ascii="Times New Roman" w:eastAsia="Times New Roman" w:hAnsi="Times New Roman" w:cs="Times New Roman"/>
          <w:sz w:val="26"/>
          <w:szCs w:val="26"/>
        </w:rPr>
        <w:t xml:space="preserve">az év első nyolc hónapjában 127,2 milliárd forint bevétel teljesült, amely a törvényi előirányzat 70,0%-ának felel meg. Ezen belül kiemelkedő a </w:t>
      </w:r>
      <w:r w:rsidRPr="00224466">
        <w:rPr>
          <w:rFonts w:ascii="Times New Roman" w:eastAsia="Times New Roman" w:hAnsi="Times New Roman" w:cs="Times New Roman"/>
          <w:sz w:val="26"/>
          <w:szCs w:val="26"/>
        </w:rPr>
        <w:t>bírságbevételekből befolyt 65,9 milliárd forint.</w:t>
      </w:r>
    </w:p>
    <w:p w14:paraId="7F98E272" w14:textId="6A38328E" w:rsidR="00980E56" w:rsidRPr="00980E56" w:rsidRDefault="00980E56" w:rsidP="003D4300">
      <w:pPr>
        <w:jc w:val="both"/>
        <w:rPr>
          <w:rFonts w:ascii="Times New Roman" w:eastAsia="Times New Roman" w:hAnsi="Times New Roman" w:cs="Times New Roman"/>
          <w:b/>
          <w:sz w:val="26"/>
          <w:szCs w:val="20"/>
          <w:lang w:eastAsia="hu-HU"/>
        </w:rPr>
      </w:pPr>
      <w:r w:rsidRPr="00980E56">
        <w:rPr>
          <w:rFonts w:ascii="Times New Roman" w:eastAsia="Times New Roman" w:hAnsi="Times New Roman" w:cs="Times New Roman"/>
          <w:sz w:val="26"/>
          <w:szCs w:val="20"/>
          <w:lang w:eastAsia="hu-HU"/>
        </w:rPr>
        <w:t>Az</w:t>
      </w:r>
      <w:r w:rsidRPr="00980E56">
        <w:rPr>
          <w:rFonts w:ascii="Times New Roman" w:eastAsia="Times New Roman" w:hAnsi="Times New Roman" w:cs="Times New Roman"/>
          <w:b/>
          <w:sz w:val="26"/>
          <w:szCs w:val="20"/>
          <w:lang w:eastAsia="hu-HU"/>
        </w:rPr>
        <w:t xml:space="preserve"> energia ágazat befizetései </w:t>
      </w:r>
      <w:r w:rsidRPr="00980E56">
        <w:rPr>
          <w:rFonts w:ascii="Times New Roman" w:eastAsia="Times New Roman" w:hAnsi="Times New Roman" w:cs="Times New Roman"/>
          <w:sz w:val="26"/>
          <w:szCs w:val="20"/>
          <w:lang w:eastAsia="hu-HU"/>
        </w:rPr>
        <w:t xml:space="preserve">jogcímen </w:t>
      </w:r>
      <w:r w:rsidR="00A01BFF">
        <w:rPr>
          <w:rFonts w:ascii="Times New Roman" w:eastAsia="Times New Roman" w:hAnsi="Times New Roman" w:cs="Times New Roman"/>
          <w:sz w:val="26"/>
          <w:szCs w:val="20"/>
          <w:lang w:eastAsia="hu-HU"/>
        </w:rPr>
        <w:t xml:space="preserve">a </w:t>
      </w:r>
      <w:r w:rsidRPr="00980E56">
        <w:rPr>
          <w:rFonts w:ascii="Times New Roman" w:eastAsia="Times New Roman" w:hAnsi="Times New Roman" w:cs="Times New Roman"/>
          <w:sz w:val="26"/>
          <w:szCs w:val="20"/>
          <w:lang w:eastAsia="hu-HU"/>
        </w:rPr>
        <w:t>2025. év első nyolc hónapjában 175,2 milliárd forint pénzforgalom teljesült, amely az előző év egyenlegétől 28,1 milliárd forinttal maradt el. A bázisévhez viszonyított eltérés oka az Ural-</w:t>
      </w:r>
      <w:proofErr w:type="spellStart"/>
      <w:r w:rsidRPr="00980E56">
        <w:rPr>
          <w:rFonts w:ascii="Times New Roman" w:eastAsia="Times New Roman" w:hAnsi="Times New Roman" w:cs="Times New Roman"/>
          <w:sz w:val="26"/>
          <w:szCs w:val="20"/>
          <w:lang w:eastAsia="hu-HU"/>
        </w:rPr>
        <w:t>Brent</w:t>
      </w:r>
      <w:proofErr w:type="spellEnd"/>
      <w:r w:rsidRPr="00980E56">
        <w:rPr>
          <w:rFonts w:ascii="Times New Roman" w:eastAsia="Times New Roman" w:hAnsi="Times New Roman" w:cs="Times New Roman"/>
          <w:sz w:val="26"/>
          <w:szCs w:val="20"/>
          <w:lang w:eastAsia="hu-HU"/>
        </w:rPr>
        <w:t xml:space="preserve"> </w:t>
      </w:r>
      <w:proofErr w:type="spellStart"/>
      <w:r w:rsidRPr="00980E56">
        <w:rPr>
          <w:rFonts w:ascii="Times New Roman" w:eastAsia="Times New Roman" w:hAnsi="Times New Roman" w:cs="Times New Roman"/>
          <w:sz w:val="26"/>
          <w:szCs w:val="20"/>
          <w:lang w:eastAsia="hu-HU"/>
        </w:rPr>
        <w:t>spread</w:t>
      </w:r>
      <w:proofErr w:type="spellEnd"/>
      <w:r w:rsidRPr="00980E56">
        <w:rPr>
          <w:rFonts w:ascii="Times New Roman" w:eastAsia="Times New Roman" w:hAnsi="Times New Roman" w:cs="Times New Roman"/>
          <w:sz w:val="26"/>
          <w:szCs w:val="20"/>
          <w:lang w:eastAsia="hu-HU"/>
        </w:rPr>
        <w:t xml:space="preserve"> különadó </w:t>
      </w:r>
      <w:r w:rsidR="00A01BFF" w:rsidRPr="00A01BFF">
        <w:rPr>
          <w:rFonts w:ascii="Times New Roman" w:eastAsia="Times New Roman" w:hAnsi="Times New Roman" w:cs="Times New Roman"/>
          <w:sz w:val="26"/>
          <w:szCs w:val="20"/>
          <w:lang w:eastAsia="hu-HU"/>
        </w:rPr>
        <w:t xml:space="preserve">alacsonyabb mértékű teljesüléséhez </w:t>
      </w:r>
      <w:r w:rsidRPr="00980E56">
        <w:rPr>
          <w:rFonts w:ascii="Times New Roman" w:eastAsia="Times New Roman" w:hAnsi="Times New Roman" w:cs="Times New Roman"/>
          <w:sz w:val="26"/>
          <w:szCs w:val="20"/>
          <w:lang w:eastAsia="hu-HU"/>
        </w:rPr>
        <w:t>köthető.</w:t>
      </w:r>
    </w:p>
    <w:p w14:paraId="273422C5" w14:textId="7C86B666" w:rsidR="00980E56" w:rsidRPr="00980E56" w:rsidRDefault="00980E56" w:rsidP="003D4300">
      <w:pPr>
        <w:jc w:val="both"/>
        <w:rPr>
          <w:rFonts w:ascii="Times New Roman" w:eastAsia="Times New Roman" w:hAnsi="Times New Roman" w:cs="Times New Roman"/>
          <w:sz w:val="26"/>
          <w:szCs w:val="20"/>
          <w:highlight w:val="yellow"/>
          <w:lang w:eastAsia="hu-HU"/>
        </w:rPr>
      </w:pPr>
      <w:r w:rsidRPr="00980E56">
        <w:rPr>
          <w:rFonts w:ascii="Times New Roman" w:eastAsia="Times New Roman" w:hAnsi="Times New Roman" w:cs="Times New Roman"/>
          <w:b/>
          <w:sz w:val="26"/>
          <w:szCs w:val="20"/>
          <w:lang w:eastAsia="hu-HU"/>
        </w:rPr>
        <w:t>K</w:t>
      </w:r>
      <w:r w:rsidRPr="00980E56">
        <w:rPr>
          <w:rFonts w:ascii="Times New Roman" w:eastAsia="Times New Roman" w:hAnsi="Times New Roman" w:cs="Times New Roman"/>
          <w:b/>
          <w:bCs/>
          <w:sz w:val="26"/>
          <w:szCs w:val="20"/>
          <w:lang w:eastAsia="hu-HU"/>
        </w:rPr>
        <w:t xml:space="preserve">iskereskedelmi adó </w:t>
      </w:r>
      <w:r w:rsidRPr="00980E56">
        <w:rPr>
          <w:rFonts w:ascii="Times New Roman" w:eastAsia="Times New Roman" w:hAnsi="Times New Roman" w:cs="Times New Roman"/>
          <w:sz w:val="26"/>
          <w:szCs w:val="20"/>
          <w:lang w:eastAsia="hu-HU"/>
        </w:rPr>
        <w:t>jogcímen a 2025. év első nyolc hónapjában 117,5 milliárd forint bevétel teljesült, amely a 2024. évi egyenlegénél 4,2 milliárd forinttal magasabb. A</w:t>
      </w:r>
      <w:r w:rsidR="00A01BFF">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sz w:val="26"/>
          <w:szCs w:val="20"/>
          <w:lang w:eastAsia="hu-HU"/>
        </w:rPr>
        <w:t>bevételek alakulásának hátterében a júliusi első előlegfizetés, valamint az</w:t>
      </w:r>
      <w:r w:rsidR="00A01BFF">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sz w:val="26"/>
          <w:szCs w:val="20"/>
          <w:lang w:eastAsia="hu-HU"/>
        </w:rPr>
        <w:t>elszámolásokhoz köthető befizetések állnak.</w:t>
      </w:r>
    </w:p>
    <w:p w14:paraId="1626984A" w14:textId="258529C4" w:rsidR="00980E56" w:rsidRPr="00980E56" w:rsidRDefault="00980E56" w:rsidP="003D4300">
      <w:pPr>
        <w:jc w:val="both"/>
        <w:rPr>
          <w:rFonts w:ascii="Times New Roman" w:eastAsia="Times New Roman" w:hAnsi="Times New Roman" w:cs="Times New Roman"/>
          <w:b/>
          <w:sz w:val="26"/>
          <w:szCs w:val="20"/>
          <w:lang w:eastAsia="hu-HU"/>
        </w:rPr>
      </w:pPr>
      <w:r w:rsidRPr="00980E56">
        <w:rPr>
          <w:rFonts w:ascii="Times New Roman" w:eastAsia="Times New Roman" w:hAnsi="Times New Roman" w:cs="Times New Roman"/>
          <w:b/>
          <w:sz w:val="26"/>
          <w:szCs w:val="20"/>
          <w:lang w:eastAsia="hu-HU"/>
        </w:rPr>
        <w:t xml:space="preserve">Gyógyszergyártói adó </w:t>
      </w:r>
      <w:r w:rsidRPr="00980E56">
        <w:rPr>
          <w:rFonts w:ascii="Times New Roman" w:eastAsia="Times New Roman" w:hAnsi="Times New Roman" w:cs="Times New Roman"/>
          <w:sz w:val="26"/>
          <w:szCs w:val="20"/>
          <w:lang w:eastAsia="hu-HU"/>
        </w:rPr>
        <w:t xml:space="preserve">jogcímen </w:t>
      </w:r>
      <w:r w:rsidR="00A01BFF">
        <w:rPr>
          <w:rFonts w:ascii="Times New Roman" w:eastAsia="Times New Roman" w:hAnsi="Times New Roman" w:cs="Times New Roman"/>
          <w:sz w:val="26"/>
          <w:szCs w:val="20"/>
          <w:lang w:eastAsia="hu-HU"/>
        </w:rPr>
        <w:t xml:space="preserve">a </w:t>
      </w:r>
      <w:r w:rsidRPr="00980E56">
        <w:rPr>
          <w:rFonts w:ascii="Times New Roman" w:eastAsia="Times New Roman" w:hAnsi="Times New Roman" w:cs="Times New Roman"/>
          <w:sz w:val="26"/>
          <w:szCs w:val="20"/>
          <w:lang w:eastAsia="hu-HU"/>
        </w:rPr>
        <w:t xml:space="preserve">2025. év első nyolc hónapjában 0,4 milliárd forint pénzforgalom teljesült, amely 16,3 milliárd forinttal maradt el az előző év azonos időszakához képest. Ennek oka, hogy az eltérő üzleti éves adózói kör már az előző évben megfizette a 2024. évi adókötelezettségét. Az adónem </w:t>
      </w:r>
      <w:r w:rsidR="00A01BFF">
        <w:rPr>
          <w:rFonts w:ascii="Times New Roman" w:eastAsia="Times New Roman" w:hAnsi="Times New Roman" w:cs="Times New Roman"/>
          <w:sz w:val="26"/>
          <w:szCs w:val="20"/>
          <w:lang w:eastAsia="hu-HU"/>
        </w:rPr>
        <w:t xml:space="preserve">a </w:t>
      </w:r>
      <w:r w:rsidRPr="00980E56">
        <w:rPr>
          <w:rFonts w:ascii="Times New Roman" w:eastAsia="Times New Roman" w:hAnsi="Times New Roman" w:cs="Times New Roman"/>
          <w:sz w:val="26"/>
          <w:szCs w:val="20"/>
          <w:lang w:eastAsia="hu-HU"/>
        </w:rPr>
        <w:t>2025. évben megszűnt.</w:t>
      </w:r>
    </w:p>
    <w:p w14:paraId="61AD159D" w14:textId="77777777" w:rsidR="00980E56" w:rsidRPr="00980E56" w:rsidRDefault="00980E56" w:rsidP="003D4300">
      <w:pPr>
        <w:widowControl w:val="0"/>
        <w:jc w:val="both"/>
        <w:rPr>
          <w:rFonts w:ascii="Times New Roman" w:eastAsia="Times New Roman" w:hAnsi="Times New Roman" w:cs="Times New Roman"/>
          <w:sz w:val="26"/>
          <w:szCs w:val="20"/>
          <w:lang w:eastAsia="hu-HU"/>
        </w:rPr>
      </w:pPr>
      <w:r w:rsidRPr="00980E56">
        <w:rPr>
          <w:rFonts w:ascii="Times New Roman" w:eastAsia="Times New Roman" w:hAnsi="Times New Roman" w:cs="Times New Roman"/>
          <w:sz w:val="26"/>
          <w:szCs w:val="20"/>
          <w:lang w:eastAsia="hu-HU"/>
        </w:rPr>
        <w:t xml:space="preserve">A </w:t>
      </w:r>
      <w:r w:rsidRPr="00980E56">
        <w:rPr>
          <w:rFonts w:ascii="Times New Roman" w:eastAsia="Times New Roman" w:hAnsi="Times New Roman" w:cs="Times New Roman"/>
          <w:b/>
          <w:bCs/>
          <w:sz w:val="26"/>
          <w:szCs w:val="20"/>
          <w:lang w:eastAsia="hu-HU"/>
        </w:rPr>
        <w:t xml:space="preserve">rehabilitációs hozzájárulásból </w:t>
      </w:r>
      <w:r w:rsidRPr="00980E56">
        <w:rPr>
          <w:rFonts w:ascii="Times New Roman" w:eastAsia="Times New Roman" w:hAnsi="Times New Roman" w:cs="Times New Roman"/>
          <w:bCs/>
          <w:sz w:val="26"/>
          <w:szCs w:val="20"/>
          <w:lang w:eastAsia="hu-HU"/>
        </w:rPr>
        <w:t>származó bevétel az év első nyolc hónapjában</w:t>
      </w:r>
      <w:r w:rsidRPr="00980E56">
        <w:rPr>
          <w:rFonts w:ascii="Times New Roman" w:eastAsia="Times New Roman" w:hAnsi="Times New Roman" w:cs="Times New Roman"/>
          <w:sz w:val="26"/>
          <w:szCs w:val="20"/>
          <w:lang w:eastAsia="hu-HU"/>
        </w:rPr>
        <w:t xml:space="preserve"> 147,7 milliárd forint volt, amely 12,8 milliárd forinttal magasabb az egy évvel korábbi összegnél. Ennek oka a minimálbérnek, így az adó mértékének az emelkedése.</w:t>
      </w:r>
    </w:p>
    <w:p w14:paraId="54046E48" w14:textId="04F9750A" w:rsidR="006330AD" w:rsidRDefault="00980E56" w:rsidP="003D4300">
      <w:pPr>
        <w:widowControl w:val="0"/>
        <w:tabs>
          <w:tab w:val="left" w:pos="3105"/>
        </w:tabs>
        <w:jc w:val="both"/>
        <w:rPr>
          <w:rFonts w:ascii="Times New Roman" w:eastAsia="Times New Roman" w:hAnsi="Times New Roman" w:cs="Times New Roman"/>
          <w:sz w:val="26"/>
          <w:szCs w:val="26"/>
          <w:lang w:eastAsia="hu-HU"/>
        </w:rPr>
      </w:pPr>
      <w:r w:rsidRPr="00980E56">
        <w:rPr>
          <w:rFonts w:ascii="Times New Roman" w:eastAsia="Times New Roman" w:hAnsi="Times New Roman" w:cs="Times New Roman"/>
          <w:sz w:val="26"/>
          <w:szCs w:val="20"/>
          <w:lang w:eastAsia="hu-HU"/>
        </w:rPr>
        <w:t>A</w:t>
      </w:r>
      <w:r w:rsidR="0019060B">
        <w:rPr>
          <w:rFonts w:ascii="Times New Roman" w:eastAsia="Times New Roman" w:hAnsi="Times New Roman" w:cs="Times New Roman"/>
          <w:sz w:val="26"/>
          <w:szCs w:val="20"/>
          <w:lang w:eastAsia="hu-HU"/>
        </w:rPr>
        <w:t xml:space="preserve">z </w:t>
      </w:r>
      <w:r w:rsidRPr="00980E56">
        <w:rPr>
          <w:rFonts w:ascii="Times New Roman" w:eastAsia="Times New Roman" w:hAnsi="Times New Roman" w:cs="Times New Roman"/>
          <w:sz w:val="26"/>
          <w:szCs w:val="20"/>
          <w:lang w:eastAsia="hu-HU"/>
        </w:rPr>
        <w:t xml:space="preserve">év első nyolc hónapjában az </w:t>
      </w:r>
      <w:r w:rsidRPr="00980E56">
        <w:rPr>
          <w:rFonts w:ascii="Times New Roman" w:eastAsia="Times New Roman" w:hAnsi="Times New Roman" w:cs="Times New Roman"/>
          <w:b/>
          <w:bCs/>
          <w:sz w:val="26"/>
          <w:szCs w:val="20"/>
          <w:lang w:eastAsia="hu-HU"/>
        </w:rPr>
        <w:t>általános forgalmi adóból</w:t>
      </w:r>
      <w:r w:rsidRPr="00980E56">
        <w:rPr>
          <w:rFonts w:ascii="Times New Roman" w:eastAsia="Times New Roman" w:hAnsi="Times New Roman" w:cs="Times New Roman"/>
          <w:sz w:val="26"/>
          <w:szCs w:val="20"/>
          <w:lang w:eastAsia="hu-HU"/>
        </w:rPr>
        <w:t xml:space="preserve"> 5370,1</w:t>
      </w:r>
      <w:r w:rsidRPr="00980E56">
        <w:rPr>
          <w:rFonts w:ascii="Times New Roman" w:eastAsia="Times New Roman" w:hAnsi="Times New Roman" w:cs="Times New Roman"/>
          <w:color w:val="000000"/>
          <w:sz w:val="26"/>
          <w:szCs w:val="20"/>
          <w:lang w:eastAsia="hu-HU"/>
        </w:rPr>
        <w:t> </w:t>
      </w:r>
      <w:r w:rsidRPr="00980E56">
        <w:rPr>
          <w:rFonts w:ascii="Times New Roman" w:eastAsia="Times New Roman" w:hAnsi="Times New Roman" w:cs="Times New Roman"/>
          <w:sz w:val="26"/>
          <w:szCs w:val="20"/>
          <w:lang w:eastAsia="hu-HU"/>
        </w:rPr>
        <w:t>milliárd forint bevétele keletkezett a költségvetésnek, ami az egy évvel korábbi bevételt 615,2</w:t>
      </w:r>
      <w:r w:rsidRPr="00980E56">
        <w:rPr>
          <w:rFonts w:ascii="Times New Roman" w:eastAsia="Times New Roman" w:hAnsi="Times New Roman" w:cs="Times New Roman"/>
          <w:color w:val="000000"/>
          <w:sz w:val="26"/>
          <w:szCs w:val="20"/>
          <w:lang w:eastAsia="hu-HU"/>
        </w:rPr>
        <w:t> </w:t>
      </w:r>
      <w:r w:rsidRPr="00980E56">
        <w:rPr>
          <w:rFonts w:ascii="Times New Roman" w:eastAsia="Times New Roman" w:hAnsi="Times New Roman" w:cs="Times New Roman"/>
          <w:sz w:val="26"/>
          <w:szCs w:val="20"/>
          <w:lang w:eastAsia="hu-HU"/>
        </w:rPr>
        <w:t>milliárd forinttal haladja meg</w:t>
      </w:r>
      <w:r w:rsidR="7C285CBA" w:rsidRPr="7C285CBA">
        <w:rPr>
          <w:rFonts w:ascii="Times New Roman" w:eastAsia="Times New Roman" w:hAnsi="Times New Roman" w:cs="Times New Roman"/>
          <w:sz w:val="26"/>
          <w:szCs w:val="26"/>
          <w:lang w:eastAsia="hu-HU"/>
        </w:rPr>
        <w:t>.</w:t>
      </w:r>
    </w:p>
    <w:tbl>
      <w:tblPr>
        <w:tblW w:w="6905" w:type="dxa"/>
        <w:jc w:val="center"/>
        <w:tblCellMar>
          <w:left w:w="70" w:type="dxa"/>
          <w:right w:w="70" w:type="dxa"/>
        </w:tblCellMar>
        <w:tblLook w:val="04A0" w:firstRow="1" w:lastRow="0" w:firstColumn="1" w:lastColumn="0" w:noHBand="0" w:noVBand="1"/>
      </w:tblPr>
      <w:tblGrid>
        <w:gridCol w:w="1537"/>
        <w:gridCol w:w="1724"/>
        <w:gridCol w:w="1700"/>
        <w:gridCol w:w="993"/>
        <w:gridCol w:w="951"/>
      </w:tblGrid>
      <w:tr w:rsidR="00980E56" w:rsidRPr="00980E56" w14:paraId="141925D5" w14:textId="77777777" w:rsidTr="00841821">
        <w:trPr>
          <w:trHeight w:val="255"/>
          <w:jc w:val="center"/>
        </w:trPr>
        <w:tc>
          <w:tcPr>
            <w:tcW w:w="6905" w:type="dxa"/>
            <w:gridSpan w:val="5"/>
            <w:tcBorders>
              <w:top w:val="nil"/>
              <w:left w:val="nil"/>
              <w:bottom w:val="nil"/>
              <w:right w:val="nil"/>
            </w:tcBorders>
            <w:noWrap/>
            <w:vAlign w:val="bottom"/>
            <w:hideMark/>
          </w:tcPr>
          <w:p w14:paraId="32C03E0C" w14:textId="77777777" w:rsidR="00980E56" w:rsidRPr="00980E56" w:rsidRDefault="00980E56" w:rsidP="00980E56">
            <w:pPr>
              <w:widowControl w:val="0"/>
              <w:spacing w:before="120" w:after="12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 xml:space="preserve">Általános forgalmi adó bevétel alakulása (milliárd forint) </w:t>
            </w:r>
          </w:p>
        </w:tc>
      </w:tr>
      <w:tr w:rsidR="00980E56" w:rsidRPr="00980E56" w14:paraId="1CF02021" w14:textId="77777777" w:rsidTr="003D4300">
        <w:trPr>
          <w:trHeight w:val="340"/>
          <w:jc w:val="center"/>
        </w:trPr>
        <w:tc>
          <w:tcPr>
            <w:tcW w:w="153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3CD1D32" w14:textId="77777777"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Megnevezés</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E5BF37" w14:textId="77777777"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2024.</w:t>
            </w:r>
          </w:p>
          <w:p w14:paraId="1EE54F5D" w14:textId="4B1B0110"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I-VIII. hó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2266F8" w14:textId="77777777"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2025.</w:t>
            </w:r>
          </w:p>
          <w:p w14:paraId="68D51D2B" w14:textId="23BC924D"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I-VIII. hó</w:t>
            </w:r>
          </w:p>
        </w:tc>
        <w:tc>
          <w:tcPr>
            <w:tcW w:w="194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2CCFC19" w14:textId="77777777"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Eltérés</w:t>
            </w:r>
          </w:p>
        </w:tc>
      </w:tr>
      <w:tr w:rsidR="00980E56" w:rsidRPr="00980E56" w14:paraId="16B25969" w14:textId="77777777" w:rsidTr="003D4300">
        <w:trPr>
          <w:trHeight w:val="340"/>
          <w:jc w:val="center"/>
        </w:trPr>
        <w:tc>
          <w:tcPr>
            <w:tcW w:w="153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30D4BAF" w14:textId="77777777" w:rsidR="00980E56" w:rsidRPr="00980E56" w:rsidRDefault="00980E56" w:rsidP="00980E56">
            <w:pPr>
              <w:spacing w:after="0" w:line="240" w:lineRule="auto"/>
              <w:jc w:val="both"/>
              <w:rPr>
                <w:rFonts w:ascii="Times New Roman" w:eastAsia="Times New Roman" w:hAnsi="Times New Roman" w:cs="Times New Roman"/>
                <w:b/>
                <w:bCs/>
                <w:szCs w:val="20"/>
                <w:lang w:eastAsia="hu-HU"/>
              </w:rPr>
            </w:pPr>
          </w:p>
        </w:tc>
        <w:tc>
          <w:tcPr>
            <w:tcW w:w="172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1D4D2A" w14:textId="77777777" w:rsidR="00980E56" w:rsidRPr="00980E56" w:rsidRDefault="00980E56" w:rsidP="00980E56">
            <w:pPr>
              <w:spacing w:after="0" w:line="240" w:lineRule="auto"/>
              <w:jc w:val="both"/>
              <w:rPr>
                <w:rFonts w:ascii="Times New Roman" w:eastAsia="Times New Roman" w:hAnsi="Times New Roman" w:cs="Times New Roman"/>
                <w:b/>
                <w:bCs/>
                <w:szCs w:val="20"/>
                <w:lang w:eastAsia="hu-HU"/>
              </w:rPr>
            </w:pPr>
          </w:p>
        </w:tc>
        <w:tc>
          <w:tcPr>
            <w:tcW w:w="170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F26473C" w14:textId="77777777" w:rsidR="00980E56" w:rsidRPr="00980E56" w:rsidRDefault="00980E56" w:rsidP="00980E56">
            <w:pPr>
              <w:spacing w:after="0" w:line="240" w:lineRule="auto"/>
              <w:jc w:val="both"/>
              <w:rPr>
                <w:rFonts w:ascii="Times New Roman" w:eastAsia="Times New Roman" w:hAnsi="Times New Roman" w:cs="Times New Roman"/>
                <w:b/>
                <w:bCs/>
                <w:szCs w:val="20"/>
                <w:lang w:eastAsia="hu-HU"/>
              </w:rPr>
            </w:pP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A878FC0" w14:textId="77777777"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Mrd Ft</w:t>
            </w:r>
          </w:p>
        </w:tc>
        <w:tc>
          <w:tcPr>
            <w:tcW w:w="95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DA2B979" w14:textId="77777777"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w:t>
            </w:r>
          </w:p>
        </w:tc>
      </w:tr>
      <w:tr w:rsidR="00980E56" w:rsidRPr="00980E56" w14:paraId="7330A2C9" w14:textId="77777777" w:rsidTr="00841821">
        <w:trPr>
          <w:trHeight w:val="340"/>
          <w:jc w:val="center"/>
        </w:trPr>
        <w:tc>
          <w:tcPr>
            <w:tcW w:w="1537" w:type="dxa"/>
            <w:tcBorders>
              <w:top w:val="single" w:sz="4" w:space="0" w:color="auto"/>
              <w:left w:val="single" w:sz="4" w:space="0" w:color="auto"/>
              <w:bottom w:val="single" w:sz="4" w:space="0" w:color="auto"/>
              <w:right w:val="single" w:sz="4" w:space="0" w:color="auto"/>
            </w:tcBorders>
            <w:noWrap/>
            <w:vAlign w:val="center"/>
            <w:hideMark/>
          </w:tcPr>
          <w:p w14:paraId="531CCDC3" w14:textId="77777777" w:rsidR="00980E56" w:rsidRPr="00980E56" w:rsidRDefault="00980E56" w:rsidP="00980E56">
            <w:pPr>
              <w:spacing w:after="0" w:line="240" w:lineRule="auto"/>
              <w:jc w:val="both"/>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Befizetés</w:t>
            </w:r>
          </w:p>
        </w:tc>
        <w:tc>
          <w:tcPr>
            <w:tcW w:w="1724" w:type="dxa"/>
            <w:tcBorders>
              <w:top w:val="single" w:sz="4" w:space="0" w:color="auto"/>
              <w:left w:val="single" w:sz="4" w:space="0" w:color="auto"/>
              <w:bottom w:val="single" w:sz="4" w:space="0" w:color="auto"/>
              <w:right w:val="single" w:sz="4" w:space="0" w:color="auto"/>
            </w:tcBorders>
            <w:noWrap/>
            <w:vAlign w:val="center"/>
          </w:tcPr>
          <w:p w14:paraId="130E89A9" w14:textId="77777777" w:rsidR="00980E56" w:rsidRPr="00980E56" w:rsidRDefault="00980E56" w:rsidP="00980E56">
            <w:pPr>
              <w:spacing w:after="0" w:line="240" w:lineRule="auto"/>
              <w:jc w:val="right"/>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8 528,9</w:t>
            </w:r>
          </w:p>
        </w:tc>
        <w:tc>
          <w:tcPr>
            <w:tcW w:w="1700" w:type="dxa"/>
            <w:tcBorders>
              <w:top w:val="single" w:sz="4" w:space="0" w:color="auto"/>
              <w:left w:val="single" w:sz="4" w:space="0" w:color="auto"/>
              <w:bottom w:val="single" w:sz="4" w:space="0" w:color="auto"/>
              <w:right w:val="single" w:sz="4" w:space="0" w:color="auto"/>
            </w:tcBorders>
            <w:noWrap/>
            <w:vAlign w:val="center"/>
          </w:tcPr>
          <w:p w14:paraId="2FC3C760" w14:textId="77777777" w:rsidR="00980E56" w:rsidRPr="00980E56" w:rsidRDefault="00980E56" w:rsidP="00980E56">
            <w:pPr>
              <w:spacing w:after="0" w:line="240" w:lineRule="auto"/>
              <w:jc w:val="right"/>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9 080,0</w:t>
            </w:r>
          </w:p>
        </w:tc>
        <w:tc>
          <w:tcPr>
            <w:tcW w:w="993" w:type="dxa"/>
            <w:tcBorders>
              <w:top w:val="single" w:sz="4" w:space="0" w:color="auto"/>
              <w:left w:val="single" w:sz="4" w:space="0" w:color="auto"/>
              <w:bottom w:val="single" w:sz="4" w:space="0" w:color="auto"/>
              <w:right w:val="single" w:sz="4" w:space="0" w:color="auto"/>
            </w:tcBorders>
            <w:noWrap/>
            <w:vAlign w:val="center"/>
          </w:tcPr>
          <w:p w14:paraId="04C48372" w14:textId="77777777" w:rsidR="00980E56" w:rsidRPr="00980E56" w:rsidRDefault="00980E56" w:rsidP="00980E56">
            <w:pPr>
              <w:spacing w:after="0" w:line="240" w:lineRule="auto"/>
              <w:jc w:val="right"/>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551,1</w:t>
            </w:r>
          </w:p>
        </w:tc>
        <w:tc>
          <w:tcPr>
            <w:tcW w:w="951" w:type="dxa"/>
            <w:tcBorders>
              <w:top w:val="single" w:sz="4" w:space="0" w:color="auto"/>
              <w:left w:val="single" w:sz="4" w:space="0" w:color="auto"/>
              <w:bottom w:val="single" w:sz="4" w:space="0" w:color="auto"/>
              <w:right w:val="single" w:sz="4" w:space="0" w:color="auto"/>
            </w:tcBorders>
            <w:noWrap/>
            <w:vAlign w:val="center"/>
          </w:tcPr>
          <w:p w14:paraId="01F37087" w14:textId="77777777" w:rsidR="00980E56" w:rsidRPr="00980E56" w:rsidRDefault="00980E56" w:rsidP="00980E56">
            <w:pPr>
              <w:spacing w:after="0" w:line="240" w:lineRule="auto"/>
              <w:jc w:val="right"/>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106,5</w:t>
            </w:r>
          </w:p>
        </w:tc>
      </w:tr>
      <w:tr w:rsidR="00980E56" w:rsidRPr="00980E56" w14:paraId="1DF8A279" w14:textId="77777777" w:rsidTr="00841821">
        <w:trPr>
          <w:trHeight w:val="340"/>
          <w:jc w:val="center"/>
        </w:trPr>
        <w:tc>
          <w:tcPr>
            <w:tcW w:w="1537" w:type="dxa"/>
            <w:tcBorders>
              <w:top w:val="single" w:sz="4" w:space="0" w:color="auto"/>
              <w:left w:val="single" w:sz="4" w:space="0" w:color="auto"/>
              <w:bottom w:val="single" w:sz="4" w:space="0" w:color="auto"/>
              <w:right w:val="single" w:sz="4" w:space="0" w:color="auto"/>
            </w:tcBorders>
            <w:noWrap/>
            <w:vAlign w:val="center"/>
            <w:hideMark/>
          </w:tcPr>
          <w:p w14:paraId="2BE1FE9F" w14:textId="77777777" w:rsidR="00980E56" w:rsidRPr="00980E56" w:rsidRDefault="00980E56" w:rsidP="00980E56">
            <w:pPr>
              <w:spacing w:after="0" w:line="240" w:lineRule="auto"/>
              <w:jc w:val="both"/>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Kiutalás</w:t>
            </w:r>
          </w:p>
        </w:tc>
        <w:tc>
          <w:tcPr>
            <w:tcW w:w="1724" w:type="dxa"/>
            <w:tcBorders>
              <w:top w:val="single" w:sz="4" w:space="0" w:color="auto"/>
              <w:left w:val="single" w:sz="4" w:space="0" w:color="auto"/>
              <w:bottom w:val="single" w:sz="4" w:space="0" w:color="auto"/>
              <w:right w:val="single" w:sz="4" w:space="0" w:color="auto"/>
            </w:tcBorders>
            <w:noWrap/>
            <w:vAlign w:val="center"/>
          </w:tcPr>
          <w:p w14:paraId="17F1DF13" w14:textId="77777777" w:rsidR="00980E56" w:rsidRPr="00980E56" w:rsidRDefault="00980E56" w:rsidP="00980E56">
            <w:pPr>
              <w:spacing w:after="0" w:line="240" w:lineRule="auto"/>
              <w:jc w:val="right"/>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3 774,0</w:t>
            </w:r>
          </w:p>
        </w:tc>
        <w:tc>
          <w:tcPr>
            <w:tcW w:w="1700" w:type="dxa"/>
            <w:tcBorders>
              <w:top w:val="single" w:sz="4" w:space="0" w:color="auto"/>
              <w:left w:val="single" w:sz="4" w:space="0" w:color="auto"/>
              <w:bottom w:val="single" w:sz="4" w:space="0" w:color="auto"/>
              <w:right w:val="single" w:sz="4" w:space="0" w:color="auto"/>
            </w:tcBorders>
            <w:noWrap/>
            <w:vAlign w:val="center"/>
          </w:tcPr>
          <w:p w14:paraId="3507900E" w14:textId="77777777" w:rsidR="00980E56" w:rsidRPr="00980E56" w:rsidRDefault="00980E56" w:rsidP="00980E56">
            <w:pPr>
              <w:spacing w:after="0" w:line="240" w:lineRule="auto"/>
              <w:jc w:val="right"/>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3 709,9</w:t>
            </w:r>
          </w:p>
        </w:tc>
        <w:tc>
          <w:tcPr>
            <w:tcW w:w="993" w:type="dxa"/>
            <w:tcBorders>
              <w:top w:val="single" w:sz="4" w:space="0" w:color="auto"/>
              <w:left w:val="single" w:sz="4" w:space="0" w:color="auto"/>
              <w:bottom w:val="single" w:sz="4" w:space="0" w:color="auto"/>
              <w:right w:val="single" w:sz="4" w:space="0" w:color="auto"/>
            </w:tcBorders>
            <w:noWrap/>
            <w:vAlign w:val="center"/>
          </w:tcPr>
          <w:p w14:paraId="7E2E2CBE" w14:textId="77777777" w:rsidR="00980E56" w:rsidRPr="00980E56" w:rsidRDefault="00980E56" w:rsidP="00980E56">
            <w:pPr>
              <w:spacing w:after="0" w:line="240" w:lineRule="auto"/>
              <w:jc w:val="right"/>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-64,1</w:t>
            </w:r>
          </w:p>
        </w:tc>
        <w:tc>
          <w:tcPr>
            <w:tcW w:w="951" w:type="dxa"/>
            <w:tcBorders>
              <w:top w:val="single" w:sz="4" w:space="0" w:color="auto"/>
              <w:left w:val="single" w:sz="4" w:space="0" w:color="auto"/>
              <w:bottom w:val="single" w:sz="4" w:space="0" w:color="auto"/>
              <w:right w:val="single" w:sz="4" w:space="0" w:color="auto"/>
            </w:tcBorders>
            <w:noWrap/>
            <w:vAlign w:val="center"/>
          </w:tcPr>
          <w:p w14:paraId="4C77760D" w14:textId="77777777" w:rsidR="00980E56" w:rsidRPr="00980E56" w:rsidRDefault="00980E56" w:rsidP="00980E56">
            <w:pPr>
              <w:spacing w:after="0" w:line="240" w:lineRule="auto"/>
              <w:jc w:val="right"/>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98,3</w:t>
            </w:r>
          </w:p>
        </w:tc>
      </w:tr>
      <w:tr w:rsidR="00980E56" w:rsidRPr="00980E56" w14:paraId="13BF9FC8" w14:textId="77777777" w:rsidTr="00841821">
        <w:trPr>
          <w:trHeight w:val="340"/>
          <w:jc w:val="center"/>
        </w:trPr>
        <w:tc>
          <w:tcPr>
            <w:tcW w:w="1537" w:type="dxa"/>
            <w:tcBorders>
              <w:top w:val="single" w:sz="4" w:space="0" w:color="auto"/>
              <w:left w:val="single" w:sz="4" w:space="0" w:color="auto"/>
              <w:bottom w:val="single" w:sz="4" w:space="0" w:color="auto"/>
              <w:right w:val="single" w:sz="4" w:space="0" w:color="auto"/>
            </w:tcBorders>
            <w:noWrap/>
            <w:vAlign w:val="center"/>
            <w:hideMark/>
          </w:tcPr>
          <w:p w14:paraId="667DB5F3" w14:textId="77777777" w:rsidR="00980E56" w:rsidRPr="00980E56" w:rsidRDefault="00980E56" w:rsidP="00980E56">
            <w:pPr>
              <w:spacing w:after="0" w:line="240" w:lineRule="auto"/>
              <w:jc w:val="both"/>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Egyenleg</w:t>
            </w:r>
          </w:p>
        </w:tc>
        <w:tc>
          <w:tcPr>
            <w:tcW w:w="1724" w:type="dxa"/>
            <w:tcBorders>
              <w:top w:val="single" w:sz="4" w:space="0" w:color="auto"/>
              <w:left w:val="single" w:sz="4" w:space="0" w:color="auto"/>
              <w:bottom w:val="single" w:sz="4" w:space="0" w:color="auto"/>
              <w:right w:val="single" w:sz="4" w:space="0" w:color="auto"/>
            </w:tcBorders>
            <w:noWrap/>
            <w:vAlign w:val="center"/>
          </w:tcPr>
          <w:p w14:paraId="7FBA1BBE" w14:textId="77777777" w:rsidR="00980E56" w:rsidRPr="00980E56" w:rsidRDefault="00980E56" w:rsidP="00980E56">
            <w:pPr>
              <w:spacing w:after="0" w:line="240" w:lineRule="auto"/>
              <w:jc w:val="right"/>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4 754,9</w:t>
            </w:r>
          </w:p>
        </w:tc>
        <w:tc>
          <w:tcPr>
            <w:tcW w:w="1700" w:type="dxa"/>
            <w:tcBorders>
              <w:top w:val="single" w:sz="4" w:space="0" w:color="auto"/>
              <w:left w:val="single" w:sz="4" w:space="0" w:color="auto"/>
              <w:bottom w:val="single" w:sz="4" w:space="0" w:color="auto"/>
              <w:right w:val="single" w:sz="4" w:space="0" w:color="auto"/>
            </w:tcBorders>
            <w:noWrap/>
            <w:vAlign w:val="center"/>
          </w:tcPr>
          <w:p w14:paraId="21C73A84" w14:textId="77777777" w:rsidR="00980E56" w:rsidRPr="00980E56" w:rsidRDefault="00980E56" w:rsidP="00980E56">
            <w:pPr>
              <w:spacing w:after="0" w:line="240" w:lineRule="auto"/>
              <w:jc w:val="right"/>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5 370,1</w:t>
            </w:r>
          </w:p>
        </w:tc>
        <w:tc>
          <w:tcPr>
            <w:tcW w:w="993" w:type="dxa"/>
            <w:tcBorders>
              <w:top w:val="single" w:sz="4" w:space="0" w:color="auto"/>
              <w:left w:val="single" w:sz="4" w:space="0" w:color="auto"/>
              <w:bottom w:val="single" w:sz="4" w:space="0" w:color="auto"/>
              <w:right w:val="single" w:sz="4" w:space="0" w:color="auto"/>
            </w:tcBorders>
            <w:noWrap/>
            <w:vAlign w:val="center"/>
          </w:tcPr>
          <w:p w14:paraId="731CA268" w14:textId="77777777" w:rsidR="00980E56" w:rsidRPr="00980E56" w:rsidRDefault="00980E56" w:rsidP="00980E56">
            <w:pPr>
              <w:spacing w:after="0" w:line="240" w:lineRule="auto"/>
              <w:jc w:val="right"/>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615,2</w:t>
            </w:r>
          </w:p>
        </w:tc>
        <w:tc>
          <w:tcPr>
            <w:tcW w:w="951" w:type="dxa"/>
            <w:tcBorders>
              <w:top w:val="single" w:sz="4" w:space="0" w:color="auto"/>
              <w:left w:val="single" w:sz="4" w:space="0" w:color="auto"/>
              <w:bottom w:val="single" w:sz="4" w:space="0" w:color="auto"/>
              <w:right w:val="single" w:sz="4" w:space="0" w:color="auto"/>
            </w:tcBorders>
            <w:noWrap/>
            <w:vAlign w:val="center"/>
          </w:tcPr>
          <w:p w14:paraId="2C8F626C" w14:textId="77777777" w:rsidR="00980E56" w:rsidRPr="00980E56" w:rsidRDefault="00980E56" w:rsidP="00980E56">
            <w:pPr>
              <w:spacing w:after="0" w:line="240" w:lineRule="auto"/>
              <w:jc w:val="right"/>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112,9</w:t>
            </w:r>
          </w:p>
        </w:tc>
      </w:tr>
    </w:tbl>
    <w:p w14:paraId="68938D25" w14:textId="77777777" w:rsidR="0019060B" w:rsidRDefault="0019060B" w:rsidP="7C285CBA">
      <w:pPr>
        <w:spacing w:before="240"/>
        <w:jc w:val="both"/>
        <w:rPr>
          <w:rFonts w:ascii="Times New Roman" w:eastAsia="Times New Roman" w:hAnsi="Times New Roman" w:cs="Times New Roman"/>
          <w:sz w:val="26"/>
          <w:szCs w:val="20"/>
          <w:lang w:eastAsia="hu-HU"/>
        </w:rPr>
      </w:pPr>
    </w:p>
    <w:p w14:paraId="7BD8A1E9" w14:textId="710BB109" w:rsidR="002A41A8" w:rsidRDefault="00980E56" w:rsidP="7C285CBA">
      <w:pPr>
        <w:spacing w:before="240"/>
        <w:jc w:val="both"/>
        <w:rPr>
          <w:rFonts w:ascii="Times New Roman" w:eastAsia="Times New Roman" w:hAnsi="Times New Roman" w:cs="Times New Roman"/>
          <w:sz w:val="26"/>
          <w:szCs w:val="26"/>
          <w:lang w:eastAsia="hu-HU"/>
        </w:rPr>
      </w:pPr>
      <w:r w:rsidRPr="00980E56">
        <w:rPr>
          <w:rFonts w:ascii="Times New Roman" w:eastAsia="Times New Roman" w:hAnsi="Times New Roman" w:cs="Times New Roman"/>
          <w:sz w:val="26"/>
          <w:szCs w:val="20"/>
          <w:lang w:eastAsia="hu-HU"/>
        </w:rPr>
        <w:t>A belföldi befizetések és az import utáni áfabevétel</w:t>
      </w:r>
      <w:r w:rsidR="00A01BFF">
        <w:rPr>
          <w:rFonts w:ascii="Times New Roman" w:eastAsia="Times New Roman" w:hAnsi="Times New Roman" w:cs="Times New Roman"/>
          <w:sz w:val="26"/>
          <w:szCs w:val="20"/>
          <w:lang w:eastAsia="hu-HU"/>
        </w:rPr>
        <w:t>ek</w:t>
      </w:r>
      <w:r w:rsidRPr="00980E56">
        <w:rPr>
          <w:rFonts w:ascii="Times New Roman" w:eastAsia="Times New Roman" w:hAnsi="Times New Roman" w:cs="Times New Roman"/>
          <w:sz w:val="26"/>
          <w:szCs w:val="20"/>
          <w:lang w:eastAsia="hu-HU"/>
        </w:rPr>
        <w:t xml:space="preserve"> növeked</w:t>
      </w:r>
      <w:r w:rsidR="00A01BFF">
        <w:rPr>
          <w:rFonts w:ascii="Times New Roman" w:eastAsia="Times New Roman" w:hAnsi="Times New Roman" w:cs="Times New Roman"/>
          <w:sz w:val="26"/>
          <w:szCs w:val="20"/>
          <w:lang w:eastAsia="hu-HU"/>
        </w:rPr>
        <w:t>t</w:t>
      </w:r>
      <w:r w:rsidR="00203266">
        <w:rPr>
          <w:rFonts w:ascii="Times New Roman" w:eastAsia="Times New Roman" w:hAnsi="Times New Roman" w:cs="Times New Roman"/>
          <w:sz w:val="26"/>
          <w:szCs w:val="20"/>
          <w:lang w:eastAsia="hu-HU"/>
        </w:rPr>
        <w:t>ek</w:t>
      </w:r>
      <w:r w:rsidRPr="00980E56">
        <w:rPr>
          <w:rFonts w:ascii="Times New Roman" w:eastAsia="Times New Roman" w:hAnsi="Times New Roman" w:cs="Times New Roman"/>
          <w:sz w:val="26"/>
          <w:szCs w:val="20"/>
          <w:lang w:eastAsia="hu-HU"/>
        </w:rPr>
        <w:t>, ugyanakkor a</w:t>
      </w:r>
      <w:r w:rsidR="00A01BFF">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sz w:val="26"/>
          <w:szCs w:val="20"/>
          <w:lang w:eastAsia="hu-HU"/>
        </w:rPr>
        <w:t>dohány</w:t>
      </w:r>
      <w:r w:rsidR="00203266">
        <w:rPr>
          <w:rFonts w:ascii="Times New Roman" w:eastAsia="Times New Roman" w:hAnsi="Times New Roman" w:cs="Times New Roman"/>
          <w:sz w:val="26"/>
          <w:szCs w:val="20"/>
          <w:lang w:eastAsia="hu-HU"/>
        </w:rPr>
        <w:t>-</w:t>
      </w:r>
      <w:r w:rsidRPr="00980E56">
        <w:rPr>
          <w:rFonts w:ascii="Times New Roman" w:eastAsia="Times New Roman" w:hAnsi="Times New Roman" w:cs="Times New Roman"/>
          <w:sz w:val="26"/>
          <w:szCs w:val="20"/>
          <w:lang w:eastAsia="hu-HU"/>
        </w:rPr>
        <w:t>termékek utáni áfabevétel csökkent. A belföldi befizetések növekedése elsősorban a</w:t>
      </w:r>
      <w:r w:rsidR="00203266">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sz w:val="26"/>
          <w:szCs w:val="20"/>
          <w:lang w:eastAsia="hu-HU"/>
        </w:rPr>
        <w:t>kereskedelem ágazathoz köthető. Az import utáni befizetések növekedése hátterében a</w:t>
      </w:r>
      <w:r w:rsidR="00203266">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sz w:val="26"/>
          <w:szCs w:val="20"/>
          <w:lang w:eastAsia="hu-HU"/>
        </w:rPr>
        <w:t xml:space="preserve">forgalom alakulása áll. A dohánytermékek utáni bevételek alacsonyabb teljesülését </w:t>
      </w:r>
      <w:r w:rsidRPr="00980E56">
        <w:rPr>
          <w:rFonts w:ascii="Times New Roman" w:eastAsia="Times New Roman" w:hAnsi="Times New Roman" w:cs="Times New Roman"/>
          <w:sz w:val="26"/>
          <w:szCs w:val="20"/>
          <w:lang w:eastAsia="hu-HU"/>
        </w:rPr>
        <w:lastRenderedPageBreak/>
        <w:t>a</w:t>
      </w:r>
      <w:r w:rsidR="00203266">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sz w:val="26"/>
          <w:szCs w:val="20"/>
          <w:lang w:eastAsia="hu-HU"/>
        </w:rPr>
        <w:t>2025.</w:t>
      </w:r>
      <w:r w:rsidR="00A01BFF">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sz w:val="26"/>
          <w:szCs w:val="20"/>
          <w:lang w:eastAsia="hu-HU"/>
        </w:rPr>
        <w:t>januári jövedéki adómérték-emelésre adott piaci reakció, a készletezési hatás</w:t>
      </w:r>
      <w:r w:rsidR="00A01BFF">
        <w:rPr>
          <w:rFonts w:ascii="Times New Roman" w:eastAsia="Times New Roman" w:hAnsi="Times New Roman" w:cs="Times New Roman"/>
          <w:sz w:val="26"/>
          <w:szCs w:val="20"/>
          <w:lang w:eastAsia="hu-HU"/>
        </w:rPr>
        <w:t>,</w:t>
      </w:r>
      <w:r w:rsidRPr="00980E56">
        <w:rPr>
          <w:rFonts w:ascii="Times New Roman" w:eastAsia="Times New Roman" w:hAnsi="Times New Roman" w:cs="Times New Roman"/>
          <w:sz w:val="26"/>
          <w:szCs w:val="20"/>
          <w:lang w:eastAsia="hu-HU"/>
        </w:rPr>
        <w:t xml:space="preserve"> valamint az ízesített, hevített dohánytermékekre vonatkozó jogszabályváltozás miatti 2024. júliusi készletezés együttes hatása magyarázza. A kiutalások alakulását a köztes ágazatok befizetése befolyásolja</w:t>
      </w:r>
      <w:r w:rsidR="7C285CBA" w:rsidRPr="7C285CBA">
        <w:rPr>
          <w:rFonts w:ascii="Times New Roman" w:eastAsia="Times New Roman" w:hAnsi="Times New Roman" w:cs="Times New Roman"/>
          <w:sz w:val="26"/>
          <w:szCs w:val="26"/>
          <w:lang w:eastAsia="hu-HU"/>
        </w:rPr>
        <w:t>.</w:t>
      </w:r>
    </w:p>
    <w:p w14:paraId="6A4419C7" w14:textId="346C50F0" w:rsidR="00CF551C" w:rsidRPr="00945E04" w:rsidRDefault="00B3244C" w:rsidP="004C0575">
      <w:pPr>
        <w:pStyle w:val="NormlWeb"/>
        <w:spacing w:before="0" w:beforeAutospacing="0" w:after="0" w:afterAutospacing="0"/>
        <w:jc w:val="center"/>
        <w:rPr>
          <w:sz w:val="22"/>
        </w:rPr>
      </w:pPr>
      <w:r>
        <w:rPr>
          <w:noProof/>
        </w:rPr>
        <w:drawing>
          <wp:inline distT="0" distB="0" distL="0" distR="0" wp14:anchorId="3A69D377" wp14:editId="3A3AC7B3">
            <wp:extent cx="5776995" cy="3685309"/>
            <wp:effectExtent l="0" t="0" r="0" b="0"/>
            <wp:docPr id="199600756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007560" name=""/>
                    <pic:cNvPicPr/>
                  </pic:nvPicPr>
                  <pic:blipFill rotWithShape="1">
                    <a:blip r:embed="rId15"/>
                    <a:srcRect b="2471"/>
                    <a:stretch/>
                  </pic:blipFill>
                  <pic:spPr bwMode="auto">
                    <a:xfrm>
                      <a:off x="0" y="0"/>
                      <a:ext cx="5801855" cy="3701168"/>
                    </a:xfrm>
                    <a:prstGeom prst="rect">
                      <a:avLst/>
                    </a:prstGeom>
                    <a:ln>
                      <a:noFill/>
                    </a:ln>
                    <a:extLst>
                      <a:ext uri="{53640926-AAD7-44D8-BBD7-CCE9431645EC}">
                        <a14:shadowObscured xmlns:a14="http://schemas.microsoft.com/office/drawing/2010/main"/>
                      </a:ext>
                    </a:extLst>
                  </pic:spPr>
                </pic:pic>
              </a:graphicData>
            </a:graphic>
          </wp:inline>
        </w:drawing>
      </w:r>
    </w:p>
    <w:p w14:paraId="031B7672" w14:textId="4F9B98E1" w:rsidR="00AE4815" w:rsidRDefault="00980E56" w:rsidP="7C285CBA">
      <w:pPr>
        <w:spacing w:before="240"/>
        <w:jc w:val="both"/>
        <w:rPr>
          <w:rFonts w:ascii="Times New Roman" w:eastAsia="Times New Roman" w:hAnsi="Times New Roman" w:cs="Times New Roman"/>
          <w:sz w:val="26"/>
          <w:szCs w:val="26"/>
          <w:lang w:eastAsia="hu-HU"/>
        </w:rPr>
      </w:pPr>
      <w:r w:rsidRPr="00980E56">
        <w:rPr>
          <w:rFonts w:ascii="Times New Roman" w:eastAsia="Times New Roman" w:hAnsi="Times New Roman" w:cs="Times New Roman"/>
          <w:sz w:val="26"/>
          <w:szCs w:val="20"/>
          <w:lang w:eastAsia="hu-HU"/>
        </w:rPr>
        <w:t xml:space="preserve">A </w:t>
      </w:r>
      <w:r w:rsidRPr="00980E56">
        <w:rPr>
          <w:rFonts w:ascii="Times New Roman" w:eastAsia="Times New Roman" w:hAnsi="Times New Roman" w:cs="Times New Roman"/>
          <w:b/>
          <w:sz w:val="26"/>
          <w:szCs w:val="20"/>
          <w:lang w:eastAsia="hu-HU"/>
        </w:rPr>
        <w:t>jövedéki adóból</w:t>
      </w:r>
      <w:r w:rsidRPr="00980E56">
        <w:rPr>
          <w:rFonts w:ascii="Times New Roman" w:eastAsia="Times New Roman" w:hAnsi="Times New Roman" w:cs="Times New Roman"/>
          <w:sz w:val="26"/>
          <w:szCs w:val="20"/>
          <w:lang w:eastAsia="hu-HU"/>
        </w:rPr>
        <w:t xml:space="preserve"> származó bevétel a 2025. év első nyolc hónapjában 1043,8</w:t>
      </w:r>
      <w:r w:rsidRPr="00980E56">
        <w:rPr>
          <w:rFonts w:ascii="Times New Roman" w:eastAsia="Times New Roman" w:hAnsi="Times New Roman" w:cs="Times New Roman"/>
          <w:color w:val="000000"/>
          <w:sz w:val="26"/>
          <w:szCs w:val="20"/>
          <w:lang w:eastAsia="hu-HU"/>
        </w:rPr>
        <w:t> </w:t>
      </w:r>
      <w:r w:rsidRPr="00980E56">
        <w:rPr>
          <w:rFonts w:ascii="Times New Roman" w:eastAsia="Times New Roman" w:hAnsi="Times New Roman" w:cs="Times New Roman"/>
          <w:sz w:val="26"/>
          <w:szCs w:val="20"/>
          <w:lang w:eastAsia="hu-HU"/>
        </w:rPr>
        <w:t>milliárd forintot tett ki, amely 29,6 milliárd forinttal alacsonyabb az egy évvel korábbi bevételnél. Az üzemanyagok utáni bevételek növekedését a 2025. január 1-</w:t>
      </w:r>
      <w:r w:rsidR="00203266">
        <w:rPr>
          <w:rFonts w:ascii="Times New Roman" w:eastAsia="Times New Roman" w:hAnsi="Times New Roman" w:cs="Times New Roman"/>
          <w:sz w:val="26"/>
          <w:szCs w:val="20"/>
          <w:lang w:eastAsia="hu-HU"/>
        </w:rPr>
        <w:t>jé</w:t>
      </w:r>
      <w:r w:rsidRPr="00980E56">
        <w:rPr>
          <w:rFonts w:ascii="Times New Roman" w:eastAsia="Times New Roman" w:hAnsi="Times New Roman" w:cs="Times New Roman"/>
          <w:sz w:val="26"/>
          <w:szCs w:val="20"/>
          <w:lang w:eastAsia="hu-HU"/>
        </w:rPr>
        <w:t>től hatályos magasabb adómértékek magyarázzák. A dohánytermékek utáni bevételek csökkenésének hátterében a 2025. januári adómérték-emelésből fakadó készletezési hatás</w:t>
      </w:r>
      <w:r w:rsidR="00203266">
        <w:rPr>
          <w:rFonts w:ascii="Times New Roman" w:eastAsia="Times New Roman" w:hAnsi="Times New Roman" w:cs="Times New Roman"/>
          <w:sz w:val="26"/>
          <w:szCs w:val="20"/>
          <w:lang w:eastAsia="hu-HU"/>
        </w:rPr>
        <w:t>,</w:t>
      </w:r>
      <w:r w:rsidRPr="00980E56">
        <w:rPr>
          <w:rFonts w:ascii="Times New Roman" w:eastAsia="Times New Roman" w:hAnsi="Times New Roman" w:cs="Times New Roman"/>
          <w:sz w:val="26"/>
          <w:szCs w:val="20"/>
          <w:lang w:eastAsia="hu-HU"/>
        </w:rPr>
        <w:t xml:space="preserve"> valamint az ízesített, hevített dohánytermékekre vonatkozó jogszabályváltozásra adott piaci reakció, a</w:t>
      </w:r>
      <w:r w:rsidR="00203266">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sz w:val="26"/>
          <w:szCs w:val="20"/>
          <w:lang w:eastAsia="hu-HU"/>
        </w:rPr>
        <w:t>2024.</w:t>
      </w:r>
      <w:r w:rsidR="00203266">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sz w:val="26"/>
          <w:szCs w:val="20"/>
          <w:lang w:eastAsia="hu-HU"/>
        </w:rPr>
        <w:t>júliusi készletezés együttes hatása áll. A szeszesitalok és egyéb termékek esetében a bevételek csökkenését az alacsonyabb forgalom indokolja. Az energiaadó</w:t>
      </w:r>
      <w:r w:rsidR="0027381C">
        <w:rPr>
          <w:rFonts w:ascii="Times New Roman" w:eastAsia="Times New Roman" w:hAnsi="Times New Roman" w:cs="Times New Roman"/>
          <w:sz w:val="26"/>
          <w:szCs w:val="20"/>
          <w:lang w:eastAsia="hu-HU"/>
        </w:rPr>
        <w:t>-</w:t>
      </w:r>
      <w:r w:rsidRPr="00980E56">
        <w:rPr>
          <w:rFonts w:ascii="Times New Roman" w:eastAsia="Times New Roman" w:hAnsi="Times New Roman" w:cs="Times New Roman"/>
          <w:sz w:val="26"/>
          <w:szCs w:val="20"/>
          <w:lang w:eastAsia="hu-HU"/>
        </w:rPr>
        <w:t>bevételek növekedése adónem-elszámoláshoz köthető</w:t>
      </w:r>
      <w:r w:rsidR="7C285CBA" w:rsidRPr="7C285CBA">
        <w:rPr>
          <w:rFonts w:ascii="Times New Roman" w:eastAsia="Times New Roman" w:hAnsi="Times New Roman" w:cs="Times New Roman"/>
          <w:sz w:val="26"/>
          <w:szCs w:val="26"/>
          <w:lang w:eastAsia="hu-HU"/>
        </w:rPr>
        <w:t>.</w:t>
      </w:r>
    </w:p>
    <w:tbl>
      <w:tblPr>
        <w:tblW w:w="8752" w:type="dxa"/>
        <w:jc w:val="center"/>
        <w:tblCellMar>
          <w:left w:w="70" w:type="dxa"/>
          <w:right w:w="70" w:type="dxa"/>
        </w:tblCellMar>
        <w:tblLook w:val="04A0" w:firstRow="1" w:lastRow="0" w:firstColumn="1" w:lastColumn="0" w:noHBand="0" w:noVBand="1"/>
      </w:tblPr>
      <w:tblGrid>
        <w:gridCol w:w="3402"/>
        <w:gridCol w:w="1560"/>
        <w:gridCol w:w="1594"/>
        <w:gridCol w:w="1061"/>
        <w:gridCol w:w="1135"/>
      </w:tblGrid>
      <w:tr w:rsidR="00980E56" w:rsidRPr="00980E56" w14:paraId="6129358B" w14:textId="77777777" w:rsidTr="00841821">
        <w:trPr>
          <w:trHeight w:val="255"/>
          <w:jc w:val="center"/>
        </w:trPr>
        <w:tc>
          <w:tcPr>
            <w:tcW w:w="8752" w:type="dxa"/>
            <w:gridSpan w:val="5"/>
            <w:tcBorders>
              <w:top w:val="nil"/>
              <w:left w:val="nil"/>
              <w:bottom w:val="single" w:sz="4" w:space="0" w:color="auto"/>
              <w:right w:val="nil"/>
            </w:tcBorders>
            <w:noWrap/>
            <w:vAlign w:val="bottom"/>
            <w:hideMark/>
          </w:tcPr>
          <w:p w14:paraId="57E0ABBC" w14:textId="77777777" w:rsidR="00980E56" w:rsidRPr="00980E56" w:rsidRDefault="00980E56" w:rsidP="00980E56">
            <w:pPr>
              <w:spacing w:before="120" w:after="120" w:line="240" w:lineRule="auto"/>
              <w:jc w:val="center"/>
              <w:rPr>
                <w:rFonts w:ascii="Times New Roman" w:eastAsia="Times New Roman" w:hAnsi="Times New Roman" w:cs="Times New Roman"/>
                <w:b/>
                <w:bCs/>
                <w:sz w:val="26"/>
                <w:szCs w:val="20"/>
                <w:lang w:eastAsia="hu-HU"/>
              </w:rPr>
            </w:pPr>
            <w:r w:rsidRPr="00980E56">
              <w:rPr>
                <w:rFonts w:ascii="Times New Roman" w:eastAsia="Times New Roman" w:hAnsi="Times New Roman" w:cs="Times New Roman"/>
                <w:b/>
                <w:bCs/>
                <w:szCs w:val="20"/>
                <w:lang w:eastAsia="hu-HU"/>
              </w:rPr>
              <w:t>Jövedéki adó bevétel alakulása (milliárd forint)</w:t>
            </w:r>
          </w:p>
        </w:tc>
      </w:tr>
      <w:tr w:rsidR="00980E56" w:rsidRPr="00980E56" w14:paraId="443BC838" w14:textId="77777777" w:rsidTr="003D4300">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4F80511" w14:textId="77777777"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Megnevezés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E72269" w14:textId="77777777"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2024.</w:t>
            </w:r>
          </w:p>
          <w:p w14:paraId="731FE9B0" w14:textId="5CC73EA1"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I-VIII. hó</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54F315" w14:textId="77777777"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2025.</w:t>
            </w:r>
          </w:p>
          <w:p w14:paraId="17FE4712" w14:textId="3C8C92D7"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I-VIII. hó</w:t>
            </w:r>
          </w:p>
        </w:tc>
        <w:tc>
          <w:tcPr>
            <w:tcW w:w="219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0F93A3C" w14:textId="77777777"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Eltérés</w:t>
            </w:r>
          </w:p>
        </w:tc>
      </w:tr>
      <w:tr w:rsidR="00980E56" w:rsidRPr="00980E56" w14:paraId="5B0C6425" w14:textId="77777777" w:rsidTr="003D4300">
        <w:trPr>
          <w:trHeight w:val="340"/>
          <w:jc w:val="center"/>
        </w:trPr>
        <w:tc>
          <w:tcPr>
            <w:tcW w:w="340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7CDD91" w14:textId="77777777" w:rsidR="00980E56" w:rsidRPr="00980E56" w:rsidRDefault="00980E56" w:rsidP="00980E56">
            <w:pPr>
              <w:spacing w:after="0" w:line="240" w:lineRule="auto"/>
              <w:jc w:val="both"/>
              <w:rPr>
                <w:rFonts w:ascii="Times New Roman" w:eastAsia="Times New Roman" w:hAnsi="Times New Roman" w:cs="Times New Roman"/>
                <w:b/>
                <w:bCs/>
                <w:szCs w:val="20"/>
                <w:lang w:eastAsia="hu-HU"/>
              </w:rPr>
            </w:pPr>
          </w:p>
        </w:tc>
        <w:tc>
          <w:tcPr>
            <w:tcW w:w="156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4CD99F" w14:textId="77777777"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p>
        </w:tc>
        <w:tc>
          <w:tcPr>
            <w:tcW w:w="159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456959" w14:textId="77777777"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p>
        </w:tc>
        <w:tc>
          <w:tcPr>
            <w:tcW w:w="1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1E76B33" w14:textId="77777777"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Mrd Ft</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60864B6" w14:textId="77777777"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w:t>
            </w:r>
          </w:p>
        </w:tc>
      </w:tr>
      <w:tr w:rsidR="00980E56" w:rsidRPr="00980E56" w14:paraId="24B67479" w14:textId="77777777" w:rsidTr="00841821">
        <w:trPr>
          <w:trHeight w:val="340"/>
          <w:jc w:val="center"/>
        </w:trPr>
        <w:tc>
          <w:tcPr>
            <w:tcW w:w="3402" w:type="dxa"/>
            <w:tcBorders>
              <w:top w:val="single" w:sz="4" w:space="0" w:color="auto"/>
              <w:left w:val="single" w:sz="4" w:space="0" w:color="auto"/>
              <w:bottom w:val="single" w:sz="4" w:space="0" w:color="auto"/>
              <w:right w:val="single" w:sz="4" w:space="0" w:color="auto"/>
            </w:tcBorders>
            <w:noWrap/>
            <w:vAlign w:val="center"/>
            <w:hideMark/>
          </w:tcPr>
          <w:p w14:paraId="056ACAF8" w14:textId="77777777" w:rsidR="00980E56" w:rsidRPr="00980E56" w:rsidRDefault="00980E56" w:rsidP="00980E56">
            <w:pPr>
              <w:spacing w:after="0" w:line="240" w:lineRule="auto"/>
              <w:jc w:val="both"/>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Üzemanyag jövedéki adó</w:t>
            </w:r>
          </w:p>
        </w:tc>
        <w:tc>
          <w:tcPr>
            <w:tcW w:w="1560" w:type="dxa"/>
            <w:tcBorders>
              <w:top w:val="single" w:sz="4" w:space="0" w:color="auto"/>
              <w:left w:val="single" w:sz="4" w:space="0" w:color="auto"/>
              <w:bottom w:val="single" w:sz="4" w:space="0" w:color="auto"/>
              <w:right w:val="single" w:sz="4" w:space="0" w:color="auto"/>
            </w:tcBorders>
            <w:noWrap/>
            <w:vAlign w:val="center"/>
          </w:tcPr>
          <w:p w14:paraId="6CF9324E" w14:textId="73008445" w:rsidR="00980E56" w:rsidRPr="00980E56" w:rsidRDefault="00980E56" w:rsidP="00980E56">
            <w:pPr>
              <w:spacing w:after="0" w:line="240" w:lineRule="auto"/>
              <w:jc w:val="right"/>
              <w:rPr>
                <w:rFonts w:ascii="Times New Roman" w:eastAsia="Times New Roman" w:hAnsi="Times New Roman" w:cs="Times New Roman"/>
                <w:lang w:eastAsia="hu-HU"/>
              </w:rPr>
            </w:pPr>
            <w:r w:rsidRPr="00980E56">
              <w:rPr>
                <w:rFonts w:ascii="Times New Roman" w:eastAsia="Times New Roman" w:hAnsi="Times New Roman" w:cs="Times New Roman"/>
                <w:color w:val="000000"/>
                <w:lang w:eastAsia="hu-HU"/>
              </w:rPr>
              <w:t>580,</w:t>
            </w:r>
            <w:r w:rsidR="00AE4815">
              <w:rPr>
                <w:rFonts w:ascii="Times New Roman" w:eastAsia="Times New Roman" w:hAnsi="Times New Roman" w:cs="Times New Roman"/>
                <w:color w:val="000000"/>
                <w:lang w:eastAsia="hu-HU"/>
              </w:rPr>
              <w:t>3</w:t>
            </w:r>
          </w:p>
        </w:tc>
        <w:tc>
          <w:tcPr>
            <w:tcW w:w="1594" w:type="dxa"/>
            <w:tcBorders>
              <w:top w:val="single" w:sz="4" w:space="0" w:color="auto"/>
              <w:left w:val="single" w:sz="4" w:space="0" w:color="auto"/>
              <w:bottom w:val="single" w:sz="4" w:space="0" w:color="auto"/>
              <w:right w:val="single" w:sz="4" w:space="0" w:color="auto"/>
            </w:tcBorders>
            <w:noWrap/>
            <w:vAlign w:val="center"/>
          </w:tcPr>
          <w:p w14:paraId="2F0BCC9A" w14:textId="77777777" w:rsidR="00980E56" w:rsidRPr="00980E56" w:rsidRDefault="00980E56" w:rsidP="00980E56">
            <w:pPr>
              <w:spacing w:after="0" w:line="240" w:lineRule="auto"/>
              <w:jc w:val="right"/>
              <w:rPr>
                <w:rFonts w:ascii="Times New Roman" w:eastAsia="Times New Roman" w:hAnsi="Times New Roman" w:cs="Times New Roman"/>
                <w:lang w:eastAsia="hu-HU"/>
              </w:rPr>
            </w:pPr>
            <w:r w:rsidRPr="00980E56">
              <w:rPr>
                <w:rFonts w:ascii="Times New Roman" w:eastAsia="Times New Roman" w:hAnsi="Times New Roman" w:cs="Times New Roman"/>
                <w:color w:val="000000"/>
                <w:lang w:eastAsia="hu-HU"/>
              </w:rPr>
              <w:t>614,0</w:t>
            </w:r>
          </w:p>
        </w:tc>
        <w:tc>
          <w:tcPr>
            <w:tcW w:w="1061" w:type="dxa"/>
            <w:tcBorders>
              <w:top w:val="single" w:sz="4" w:space="0" w:color="auto"/>
              <w:left w:val="single" w:sz="4" w:space="0" w:color="auto"/>
              <w:bottom w:val="single" w:sz="4" w:space="0" w:color="auto"/>
              <w:right w:val="single" w:sz="4" w:space="0" w:color="auto"/>
            </w:tcBorders>
            <w:noWrap/>
            <w:vAlign w:val="center"/>
          </w:tcPr>
          <w:p w14:paraId="72B509EE" w14:textId="01F10141" w:rsidR="00980E56" w:rsidRPr="00980E56" w:rsidRDefault="00980E56" w:rsidP="00980E56">
            <w:pPr>
              <w:spacing w:after="0" w:line="240" w:lineRule="auto"/>
              <w:jc w:val="right"/>
              <w:rPr>
                <w:rFonts w:ascii="Times New Roman" w:eastAsia="Times New Roman" w:hAnsi="Times New Roman" w:cs="Times New Roman"/>
                <w:lang w:eastAsia="hu-HU"/>
              </w:rPr>
            </w:pPr>
            <w:r w:rsidRPr="00980E56">
              <w:rPr>
                <w:rFonts w:ascii="Times New Roman" w:eastAsia="Times New Roman" w:hAnsi="Times New Roman" w:cs="Times New Roman"/>
                <w:color w:val="000000"/>
                <w:lang w:eastAsia="hu-HU"/>
              </w:rPr>
              <w:t>33,</w:t>
            </w:r>
            <w:r w:rsidR="00AE4815">
              <w:rPr>
                <w:rFonts w:ascii="Times New Roman" w:eastAsia="Times New Roman" w:hAnsi="Times New Roman" w:cs="Times New Roman"/>
                <w:color w:val="000000"/>
                <w:lang w:eastAsia="hu-HU"/>
              </w:rPr>
              <w:t>7</w:t>
            </w:r>
          </w:p>
        </w:tc>
        <w:tc>
          <w:tcPr>
            <w:tcW w:w="1135" w:type="dxa"/>
            <w:tcBorders>
              <w:top w:val="single" w:sz="4" w:space="0" w:color="auto"/>
              <w:left w:val="single" w:sz="4" w:space="0" w:color="auto"/>
              <w:bottom w:val="single" w:sz="4" w:space="0" w:color="auto"/>
              <w:right w:val="single" w:sz="4" w:space="0" w:color="auto"/>
            </w:tcBorders>
            <w:noWrap/>
            <w:vAlign w:val="center"/>
          </w:tcPr>
          <w:p w14:paraId="264AF56F" w14:textId="77777777" w:rsidR="00980E56" w:rsidRPr="00980E56" w:rsidRDefault="00980E56" w:rsidP="00980E56">
            <w:pPr>
              <w:spacing w:after="0" w:line="240" w:lineRule="auto"/>
              <w:jc w:val="right"/>
              <w:rPr>
                <w:rFonts w:ascii="Times New Roman" w:eastAsia="Times New Roman" w:hAnsi="Times New Roman" w:cs="Times New Roman"/>
                <w:lang w:eastAsia="hu-HU"/>
              </w:rPr>
            </w:pPr>
            <w:r w:rsidRPr="00980E56">
              <w:rPr>
                <w:rFonts w:ascii="Times New Roman" w:eastAsia="Times New Roman" w:hAnsi="Times New Roman" w:cs="Times New Roman"/>
                <w:color w:val="000000"/>
                <w:lang w:eastAsia="hu-HU"/>
              </w:rPr>
              <w:t>105,8</w:t>
            </w:r>
          </w:p>
        </w:tc>
      </w:tr>
      <w:tr w:rsidR="00980E56" w:rsidRPr="00980E56" w14:paraId="40C24F6E" w14:textId="77777777" w:rsidTr="00841821">
        <w:trPr>
          <w:trHeight w:val="340"/>
          <w:jc w:val="center"/>
        </w:trPr>
        <w:tc>
          <w:tcPr>
            <w:tcW w:w="3402" w:type="dxa"/>
            <w:tcBorders>
              <w:top w:val="single" w:sz="4" w:space="0" w:color="auto"/>
              <w:left w:val="single" w:sz="4" w:space="0" w:color="auto"/>
              <w:bottom w:val="single" w:sz="4" w:space="0" w:color="auto"/>
              <w:right w:val="single" w:sz="4" w:space="0" w:color="auto"/>
            </w:tcBorders>
            <w:noWrap/>
            <w:vAlign w:val="center"/>
            <w:hideMark/>
          </w:tcPr>
          <w:p w14:paraId="069F14EF" w14:textId="77777777" w:rsidR="00980E56" w:rsidRPr="00980E56" w:rsidRDefault="00980E56" w:rsidP="00980E56">
            <w:pPr>
              <w:spacing w:after="0" w:line="240" w:lineRule="auto"/>
              <w:jc w:val="both"/>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Dohánygyártmány jövedéki adó</w:t>
            </w:r>
          </w:p>
        </w:tc>
        <w:tc>
          <w:tcPr>
            <w:tcW w:w="1560" w:type="dxa"/>
            <w:tcBorders>
              <w:top w:val="single" w:sz="4" w:space="0" w:color="auto"/>
              <w:left w:val="single" w:sz="4" w:space="0" w:color="auto"/>
              <w:bottom w:val="single" w:sz="4" w:space="0" w:color="auto"/>
              <w:right w:val="single" w:sz="4" w:space="0" w:color="auto"/>
            </w:tcBorders>
            <w:noWrap/>
            <w:vAlign w:val="center"/>
          </w:tcPr>
          <w:p w14:paraId="1FF2D989" w14:textId="77777777" w:rsidR="00980E56" w:rsidRPr="00980E56" w:rsidRDefault="00980E56" w:rsidP="00980E56">
            <w:pPr>
              <w:spacing w:after="0" w:line="240" w:lineRule="auto"/>
              <w:jc w:val="right"/>
              <w:rPr>
                <w:rFonts w:ascii="Times New Roman" w:eastAsia="Times New Roman" w:hAnsi="Times New Roman" w:cs="Times New Roman"/>
                <w:lang w:eastAsia="hu-HU"/>
              </w:rPr>
            </w:pPr>
            <w:r w:rsidRPr="00980E56">
              <w:rPr>
                <w:rFonts w:ascii="Times New Roman" w:eastAsia="Times New Roman" w:hAnsi="Times New Roman" w:cs="Times New Roman"/>
                <w:color w:val="000000"/>
                <w:lang w:eastAsia="hu-HU"/>
              </w:rPr>
              <w:t>390,6</w:t>
            </w:r>
          </w:p>
        </w:tc>
        <w:tc>
          <w:tcPr>
            <w:tcW w:w="1594" w:type="dxa"/>
            <w:tcBorders>
              <w:top w:val="single" w:sz="4" w:space="0" w:color="auto"/>
              <w:left w:val="single" w:sz="4" w:space="0" w:color="auto"/>
              <w:bottom w:val="single" w:sz="4" w:space="0" w:color="auto"/>
              <w:right w:val="single" w:sz="4" w:space="0" w:color="auto"/>
            </w:tcBorders>
            <w:noWrap/>
            <w:vAlign w:val="center"/>
          </w:tcPr>
          <w:p w14:paraId="429025E6" w14:textId="77777777" w:rsidR="00980E56" w:rsidRPr="00980E56" w:rsidRDefault="00980E56" w:rsidP="00980E56">
            <w:pPr>
              <w:spacing w:after="0" w:line="240" w:lineRule="auto"/>
              <w:jc w:val="right"/>
              <w:rPr>
                <w:rFonts w:ascii="Times New Roman" w:eastAsia="Times New Roman" w:hAnsi="Times New Roman" w:cs="Times New Roman"/>
                <w:lang w:eastAsia="hu-HU"/>
              </w:rPr>
            </w:pPr>
            <w:r w:rsidRPr="00980E56">
              <w:rPr>
                <w:rFonts w:ascii="Times New Roman" w:eastAsia="Times New Roman" w:hAnsi="Times New Roman" w:cs="Times New Roman"/>
                <w:color w:val="000000"/>
                <w:lang w:eastAsia="hu-HU"/>
              </w:rPr>
              <w:t>328,8</w:t>
            </w:r>
          </w:p>
        </w:tc>
        <w:tc>
          <w:tcPr>
            <w:tcW w:w="1061" w:type="dxa"/>
            <w:tcBorders>
              <w:top w:val="single" w:sz="4" w:space="0" w:color="auto"/>
              <w:left w:val="single" w:sz="4" w:space="0" w:color="auto"/>
              <w:bottom w:val="single" w:sz="4" w:space="0" w:color="auto"/>
              <w:right w:val="single" w:sz="4" w:space="0" w:color="auto"/>
            </w:tcBorders>
            <w:noWrap/>
            <w:vAlign w:val="center"/>
          </w:tcPr>
          <w:p w14:paraId="2F0ACD2F" w14:textId="77777777" w:rsidR="00980E56" w:rsidRPr="00980E56" w:rsidRDefault="00980E56" w:rsidP="00980E56">
            <w:pPr>
              <w:spacing w:after="0" w:line="240" w:lineRule="auto"/>
              <w:jc w:val="right"/>
              <w:rPr>
                <w:rFonts w:ascii="Times New Roman" w:eastAsia="Times New Roman" w:hAnsi="Times New Roman" w:cs="Times New Roman"/>
                <w:lang w:eastAsia="hu-HU"/>
              </w:rPr>
            </w:pPr>
            <w:r w:rsidRPr="00980E56">
              <w:rPr>
                <w:rFonts w:ascii="Times New Roman" w:eastAsia="Times New Roman" w:hAnsi="Times New Roman" w:cs="Times New Roman"/>
                <w:color w:val="000000"/>
                <w:lang w:eastAsia="hu-HU"/>
              </w:rPr>
              <w:t>-61,8</w:t>
            </w:r>
          </w:p>
        </w:tc>
        <w:tc>
          <w:tcPr>
            <w:tcW w:w="1135" w:type="dxa"/>
            <w:tcBorders>
              <w:top w:val="single" w:sz="4" w:space="0" w:color="auto"/>
              <w:left w:val="single" w:sz="4" w:space="0" w:color="auto"/>
              <w:bottom w:val="single" w:sz="4" w:space="0" w:color="auto"/>
              <w:right w:val="single" w:sz="4" w:space="0" w:color="auto"/>
            </w:tcBorders>
            <w:noWrap/>
            <w:vAlign w:val="center"/>
          </w:tcPr>
          <w:p w14:paraId="4C6E5BBD" w14:textId="77777777" w:rsidR="00980E56" w:rsidRPr="00980E56" w:rsidRDefault="00980E56" w:rsidP="00980E56">
            <w:pPr>
              <w:spacing w:after="0" w:line="240" w:lineRule="auto"/>
              <w:jc w:val="right"/>
              <w:rPr>
                <w:rFonts w:ascii="Times New Roman" w:eastAsia="Times New Roman" w:hAnsi="Times New Roman" w:cs="Times New Roman"/>
                <w:lang w:eastAsia="hu-HU"/>
              </w:rPr>
            </w:pPr>
            <w:r w:rsidRPr="00980E56">
              <w:rPr>
                <w:rFonts w:ascii="Times New Roman" w:eastAsia="Times New Roman" w:hAnsi="Times New Roman" w:cs="Times New Roman"/>
                <w:color w:val="000000"/>
                <w:lang w:eastAsia="hu-HU"/>
              </w:rPr>
              <w:t>84,2</w:t>
            </w:r>
          </w:p>
        </w:tc>
      </w:tr>
      <w:tr w:rsidR="00980E56" w:rsidRPr="00980E56" w14:paraId="1F7ED109" w14:textId="77777777" w:rsidTr="00841821">
        <w:trPr>
          <w:trHeight w:val="340"/>
          <w:jc w:val="center"/>
        </w:trPr>
        <w:tc>
          <w:tcPr>
            <w:tcW w:w="3402" w:type="dxa"/>
            <w:tcBorders>
              <w:top w:val="single" w:sz="4" w:space="0" w:color="auto"/>
              <w:left w:val="single" w:sz="4" w:space="0" w:color="auto"/>
              <w:bottom w:val="single" w:sz="4" w:space="0" w:color="auto"/>
              <w:right w:val="single" w:sz="4" w:space="0" w:color="auto"/>
            </w:tcBorders>
            <w:noWrap/>
            <w:vAlign w:val="center"/>
            <w:hideMark/>
          </w:tcPr>
          <w:p w14:paraId="796E0CC5" w14:textId="77777777" w:rsidR="00980E56" w:rsidRPr="00980E56" w:rsidRDefault="00980E56" w:rsidP="00980E56">
            <w:pPr>
              <w:spacing w:after="0" w:line="240" w:lineRule="auto"/>
              <w:jc w:val="both"/>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Egyéb termék jövedéki adó</w:t>
            </w:r>
          </w:p>
        </w:tc>
        <w:tc>
          <w:tcPr>
            <w:tcW w:w="1560" w:type="dxa"/>
            <w:tcBorders>
              <w:top w:val="single" w:sz="4" w:space="0" w:color="auto"/>
              <w:left w:val="single" w:sz="4" w:space="0" w:color="auto"/>
              <w:bottom w:val="single" w:sz="4" w:space="0" w:color="auto"/>
              <w:right w:val="single" w:sz="4" w:space="0" w:color="auto"/>
            </w:tcBorders>
            <w:noWrap/>
            <w:vAlign w:val="center"/>
          </w:tcPr>
          <w:p w14:paraId="0DECCB4B" w14:textId="79D96FA9" w:rsidR="00980E56" w:rsidRPr="00980E56" w:rsidRDefault="00980E56" w:rsidP="00980E56">
            <w:pPr>
              <w:spacing w:after="0" w:line="240" w:lineRule="auto"/>
              <w:jc w:val="right"/>
              <w:rPr>
                <w:rFonts w:ascii="Times New Roman" w:eastAsia="Times New Roman" w:hAnsi="Times New Roman" w:cs="Times New Roman"/>
                <w:lang w:eastAsia="hu-HU"/>
              </w:rPr>
            </w:pPr>
            <w:r w:rsidRPr="00980E56">
              <w:rPr>
                <w:rFonts w:ascii="Times New Roman" w:eastAsia="Times New Roman" w:hAnsi="Times New Roman" w:cs="Times New Roman"/>
                <w:lang w:eastAsia="hu-HU"/>
              </w:rPr>
              <w:t>88</w:t>
            </w:r>
            <w:r w:rsidR="00F03965">
              <w:rPr>
                <w:rFonts w:ascii="Times New Roman" w:eastAsia="Times New Roman" w:hAnsi="Times New Roman" w:cs="Times New Roman"/>
                <w:lang w:eastAsia="hu-HU"/>
              </w:rPr>
              <w:t>,0</w:t>
            </w:r>
          </w:p>
        </w:tc>
        <w:tc>
          <w:tcPr>
            <w:tcW w:w="1594" w:type="dxa"/>
            <w:tcBorders>
              <w:top w:val="single" w:sz="4" w:space="0" w:color="auto"/>
              <w:left w:val="single" w:sz="4" w:space="0" w:color="auto"/>
              <w:bottom w:val="single" w:sz="4" w:space="0" w:color="auto"/>
              <w:right w:val="single" w:sz="4" w:space="0" w:color="auto"/>
            </w:tcBorders>
            <w:noWrap/>
            <w:vAlign w:val="center"/>
          </w:tcPr>
          <w:p w14:paraId="503FBB1C" w14:textId="77777777" w:rsidR="00980E56" w:rsidRPr="00980E56" w:rsidRDefault="00980E56" w:rsidP="00980E56">
            <w:pPr>
              <w:spacing w:after="0" w:line="240" w:lineRule="auto"/>
              <w:jc w:val="right"/>
              <w:rPr>
                <w:rFonts w:ascii="Times New Roman" w:eastAsia="Times New Roman" w:hAnsi="Times New Roman" w:cs="Times New Roman"/>
                <w:lang w:eastAsia="hu-HU"/>
              </w:rPr>
            </w:pPr>
            <w:r w:rsidRPr="00980E56">
              <w:rPr>
                <w:rFonts w:ascii="Times New Roman" w:eastAsia="Times New Roman" w:hAnsi="Times New Roman" w:cs="Times New Roman"/>
                <w:color w:val="000000"/>
                <w:lang w:eastAsia="hu-HU"/>
              </w:rPr>
              <w:t>85,4</w:t>
            </w:r>
          </w:p>
        </w:tc>
        <w:tc>
          <w:tcPr>
            <w:tcW w:w="1061" w:type="dxa"/>
            <w:tcBorders>
              <w:top w:val="single" w:sz="4" w:space="0" w:color="auto"/>
              <w:left w:val="single" w:sz="4" w:space="0" w:color="auto"/>
              <w:bottom w:val="single" w:sz="4" w:space="0" w:color="auto"/>
              <w:right w:val="single" w:sz="4" w:space="0" w:color="auto"/>
            </w:tcBorders>
            <w:noWrap/>
            <w:vAlign w:val="center"/>
          </w:tcPr>
          <w:p w14:paraId="37FA0A39" w14:textId="77777777" w:rsidR="00980E56" w:rsidRPr="00980E56" w:rsidRDefault="00980E56" w:rsidP="00980E56">
            <w:pPr>
              <w:spacing w:after="0" w:line="240" w:lineRule="auto"/>
              <w:jc w:val="right"/>
              <w:rPr>
                <w:rFonts w:ascii="Times New Roman" w:eastAsia="Times New Roman" w:hAnsi="Times New Roman" w:cs="Times New Roman"/>
                <w:lang w:eastAsia="hu-HU"/>
              </w:rPr>
            </w:pPr>
            <w:r w:rsidRPr="00980E56">
              <w:rPr>
                <w:rFonts w:ascii="Times New Roman" w:eastAsia="Times New Roman" w:hAnsi="Times New Roman" w:cs="Times New Roman"/>
                <w:color w:val="000000"/>
                <w:lang w:eastAsia="hu-HU"/>
              </w:rPr>
              <w:t>-2,6</w:t>
            </w:r>
          </w:p>
        </w:tc>
        <w:tc>
          <w:tcPr>
            <w:tcW w:w="1135" w:type="dxa"/>
            <w:tcBorders>
              <w:top w:val="single" w:sz="4" w:space="0" w:color="auto"/>
              <w:left w:val="single" w:sz="4" w:space="0" w:color="auto"/>
              <w:bottom w:val="single" w:sz="4" w:space="0" w:color="auto"/>
              <w:right w:val="single" w:sz="4" w:space="0" w:color="auto"/>
            </w:tcBorders>
            <w:noWrap/>
            <w:vAlign w:val="center"/>
          </w:tcPr>
          <w:p w14:paraId="0E66F983" w14:textId="77777777" w:rsidR="00980E56" w:rsidRPr="00980E56" w:rsidRDefault="00980E56" w:rsidP="00980E56">
            <w:pPr>
              <w:spacing w:after="0" w:line="240" w:lineRule="auto"/>
              <w:jc w:val="right"/>
              <w:rPr>
                <w:rFonts w:ascii="Times New Roman" w:eastAsia="Times New Roman" w:hAnsi="Times New Roman" w:cs="Times New Roman"/>
                <w:lang w:eastAsia="hu-HU"/>
              </w:rPr>
            </w:pPr>
            <w:r w:rsidRPr="00980E56">
              <w:rPr>
                <w:rFonts w:ascii="Times New Roman" w:eastAsia="Times New Roman" w:hAnsi="Times New Roman" w:cs="Times New Roman"/>
                <w:color w:val="000000"/>
                <w:lang w:eastAsia="hu-HU"/>
              </w:rPr>
              <w:t>97,0</w:t>
            </w:r>
          </w:p>
        </w:tc>
      </w:tr>
      <w:tr w:rsidR="00980E56" w:rsidRPr="00980E56" w14:paraId="00C16246" w14:textId="77777777" w:rsidTr="00841821">
        <w:trPr>
          <w:trHeight w:val="340"/>
          <w:jc w:val="center"/>
        </w:trPr>
        <w:tc>
          <w:tcPr>
            <w:tcW w:w="3402" w:type="dxa"/>
            <w:tcBorders>
              <w:top w:val="single" w:sz="4" w:space="0" w:color="auto"/>
              <w:left w:val="single" w:sz="4" w:space="0" w:color="auto"/>
              <w:bottom w:val="single" w:sz="4" w:space="0" w:color="auto"/>
              <w:right w:val="single" w:sz="4" w:space="0" w:color="auto"/>
            </w:tcBorders>
            <w:noWrap/>
            <w:vAlign w:val="center"/>
            <w:hideMark/>
          </w:tcPr>
          <w:p w14:paraId="5F2613D2" w14:textId="77777777" w:rsidR="00980E56" w:rsidRPr="00980E56" w:rsidRDefault="00980E56" w:rsidP="00980E56">
            <w:pPr>
              <w:spacing w:after="0" w:line="240" w:lineRule="auto"/>
              <w:jc w:val="both"/>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Import jövedéki adó és energiaadó</w:t>
            </w:r>
          </w:p>
        </w:tc>
        <w:tc>
          <w:tcPr>
            <w:tcW w:w="1560" w:type="dxa"/>
            <w:tcBorders>
              <w:top w:val="single" w:sz="4" w:space="0" w:color="auto"/>
              <w:left w:val="single" w:sz="4" w:space="0" w:color="auto"/>
              <w:bottom w:val="single" w:sz="4" w:space="0" w:color="auto"/>
              <w:right w:val="single" w:sz="4" w:space="0" w:color="auto"/>
            </w:tcBorders>
            <w:noWrap/>
            <w:vAlign w:val="center"/>
          </w:tcPr>
          <w:p w14:paraId="52D3390D" w14:textId="12182AA9" w:rsidR="00980E56" w:rsidRPr="00980E56" w:rsidRDefault="00980E56" w:rsidP="00980E56">
            <w:pPr>
              <w:spacing w:after="0" w:line="240" w:lineRule="auto"/>
              <w:jc w:val="right"/>
              <w:rPr>
                <w:rFonts w:ascii="Times New Roman" w:eastAsia="Times New Roman" w:hAnsi="Times New Roman" w:cs="Times New Roman"/>
                <w:lang w:eastAsia="hu-HU"/>
              </w:rPr>
            </w:pPr>
            <w:r w:rsidRPr="00980E56">
              <w:rPr>
                <w:rFonts w:ascii="Times New Roman" w:eastAsia="Times New Roman" w:hAnsi="Times New Roman" w:cs="Times New Roman"/>
                <w:color w:val="000000"/>
                <w:lang w:eastAsia="hu-HU"/>
              </w:rPr>
              <w:t>14,</w:t>
            </w:r>
            <w:r w:rsidR="00AE4815">
              <w:rPr>
                <w:rFonts w:ascii="Times New Roman" w:eastAsia="Times New Roman" w:hAnsi="Times New Roman" w:cs="Times New Roman"/>
                <w:color w:val="000000"/>
                <w:lang w:eastAsia="hu-HU"/>
              </w:rPr>
              <w:t>5</w:t>
            </w:r>
          </w:p>
        </w:tc>
        <w:tc>
          <w:tcPr>
            <w:tcW w:w="1594" w:type="dxa"/>
            <w:tcBorders>
              <w:top w:val="single" w:sz="4" w:space="0" w:color="auto"/>
              <w:left w:val="single" w:sz="4" w:space="0" w:color="auto"/>
              <w:bottom w:val="single" w:sz="4" w:space="0" w:color="auto"/>
              <w:right w:val="single" w:sz="4" w:space="0" w:color="auto"/>
            </w:tcBorders>
            <w:noWrap/>
            <w:vAlign w:val="center"/>
          </w:tcPr>
          <w:p w14:paraId="0C4098CB" w14:textId="77777777" w:rsidR="00980E56" w:rsidRPr="00980E56" w:rsidRDefault="00980E56" w:rsidP="00980E56">
            <w:pPr>
              <w:spacing w:after="0" w:line="240" w:lineRule="auto"/>
              <w:jc w:val="right"/>
              <w:rPr>
                <w:rFonts w:ascii="Times New Roman" w:eastAsia="Times New Roman" w:hAnsi="Times New Roman" w:cs="Times New Roman"/>
                <w:lang w:eastAsia="hu-HU"/>
              </w:rPr>
            </w:pPr>
            <w:r w:rsidRPr="00980E56">
              <w:rPr>
                <w:rFonts w:ascii="Times New Roman" w:eastAsia="Times New Roman" w:hAnsi="Times New Roman" w:cs="Times New Roman"/>
                <w:color w:val="000000"/>
                <w:lang w:eastAsia="hu-HU"/>
              </w:rPr>
              <w:t>15,6</w:t>
            </w:r>
          </w:p>
        </w:tc>
        <w:tc>
          <w:tcPr>
            <w:tcW w:w="1061" w:type="dxa"/>
            <w:tcBorders>
              <w:top w:val="single" w:sz="4" w:space="0" w:color="auto"/>
              <w:left w:val="single" w:sz="4" w:space="0" w:color="auto"/>
              <w:bottom w:val="single" w:sz="4" w:space="0" w:color="auto"/>
              <w:right w:val="single" w:sz="4" w:space="0" w:color="auto"/>
            </w:tcBorders>
            <w:noWrap/>
            <w:vAlign w:val="center"/>
          </w:tcPr>
          <w:p w14:paraId="25325AE5" w14:textId="71594F4A" w:rsidR="00980E56" w:rsidRPr="00980E56" w:rsidRDefault="00980E56" w:rsidP="00980E56">
            <w:pPr>
              <w:spacing w:after="0" w:line="240" w:lineRule="auto"/>
              <w:jc w:val="right"/>
              <w:rPr>
                <w:rFonts w:ascii="Times New Roman" w:eastAsia="Times New Roman" w:hAnsi="Times New Roman" w:cs="Times New Roman"/>
                <w:lang w:eastAsia="hu-HU"/>
              </w:rPr>
            </w:pPr>
            <w:r w:rsidRPr="00980E56">
              <w:rPr>
                <w:rFonts w:ascii="Times New Roman" w:eastAsia="Times New Roman" w:hAnsi="Times New Roman" w:cs="Times New Roman"/>
                <w:color w:val="000000"/>
                <w:lang w:eastAsia="hu-HU"/>
              </w:rPr>
              <w:t>1,</w:t>
            </w:r>
            <w:r w:rsidR="00C948F5">
              <w:rPr>
                <w:rFonts w:ascii="Times New Roman" w:eastAsia="Times New Roman" w:hAnsi="Times New Roman" w:cs="Times New Roman"/>
                <w:color w:val="000000"/>
                <w:lang w:eastAsia="hu-HU"/>
              </w:rPr>
              <w:t>1</w:t>
            </w:r>
          </w:p>
        </w:tc>
        <w:tc>
          <w:tcPr>
            <w:tcW w:w="1135" w:type="dxa"/>
            <w:tcBorders>
              <w:top w:val="single" w:sz="4" w:space="0" w:color="auto"/>
              <w:left w:val="single" w:sz="4" w:space="0" w:color="auto"/>
              <w:bottom w:val="single" w:sz="4" w:space="0" w:color="auto"/>
              <w:right w:val="single" w:sz="4" w:space="0" w:color="auto"/>
            </w:tcBorders>
            <w:noWrap/>
            <w:vAlign w:val="center"/>
          </w:tcPr>
          <w:p w14:paraId="17D5D10B" w14:textId="7090441D" w:rsidR="00980E56" w:rsidRPr="00980E56" w:rsidRDefault="00980E56" w:rsidP="00980E56">
            <w:pPr>
              <w:spacing w:after="0" w:line="240" w:lineRule="auto"/>
              <w:jc w:val="right"/>
              <w:rPr>
                <w:rFonts w:ascii="Times New Roman" w:eastAsia="Times New Roman" w:hAnsi="Times New Roman" w:cs="Times New Roman"/>
                <w:lang w:eastAsia="hu-HU"/>
              </w:rPr>
            </w:pPr>
            <w:r w:rsidRPr="00980E56">
              <w:rPr>
                <w:rFonts w:ascii="Times New Roman" w:eastAsia="Times New Roman" w:hAnsi="Times New Roman" w:cs="Times New Roman"/>
                <w:color w:val="000000"/>
                <w:lang w:eastAsia="hu-HU"/>
              </w:rPr>
              <w:t>10</w:t>
            </w:r>
            <w:r w:rsidR="00AE4815">
              <w:rPr>
                <w:rFonts w:ascii="Times New Roman" w:eastAsia="Times New Roman" w:hAnsi="Times New Roman" w:cs="Times New Roman"/>
                <w:color w:val="000000"/>
                <w:lang w:eastAsia="hu-HU"/>
              </w:rPr>
              <w:t>7,6</w:t>
            </w:r>
          </w:p>
        </w:tc>
      </w:tr>
      <w:tr w:rsidR="00980E56" w:rsidRPr="00980E56" w14:paraId="2149FF71" w14:textId="77777777" w:rsidTr="00841821">
        <w:trPr>
          <w:trHeight w:val="340"/>
          <w:jc w:val="center"/>
        </w:trPr>
        <w:tc>
          <w:tcPr>
            <w:tcW w:w="3402" w:type="dxa"/>
            <w:tcBorders>
              <w:top w:val="single" w:sz="4" w:space="0" w:color="auto"/>
              <w:left w:val="single" w:sz="4" w:space="0" w:color="auto"/>
              <w:bottom w:val="single" w:sz="4" w:space="0" w:color="auto"/>
              <w:right w:val="single" w:sz="4" w:space="0" w:color="auto"/>
            </w:tcBorders>
            <w:noWrap/>
            <w:vAlign w:val="center"/>
            <w:hideMark/>
          </w:tcPr>
          <w:p w14:paraId="15E3D1A7" w14:textId="77777777" w:rsidR="00980E56" w:rsidRPr="00980E56" w:rsidRDefault="00980E56" w:rsidP="00980E56">
            <w:pPr>
              <w:spacing w:after="0" w:line="240" w:lineRule="auto"/>
              <w:jc w:val="both"/>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Jövedéki adók összesen</w:t>
            </w:r>
          </w:p>
        </w:tc>
        <w:tc>
          <w:tcPr>
            <w:tcW w:w="1560" w:type="dxa"/>
            <w:tcBorders>
              <w:top w:val="single" w:sz="4" w:space="0" w:color="auto"/>
              <w:left w:val="single" w:sz="4" w:space="0" w:color="auto"/>
              <w:bottom w:val="single" w:sz="4" w:space="0" w:color="auto"/>
              <w:right w:val="single" w:sz="4" w:space="0" w:color="auto"/>
            </w:tcBorders>
            <w:noWrap/>
            <w:vAlign w:val="center"/>
          </w:tcPr>
          <w:p w14:paraId="5FEEAC50" w14:textId="77777777" w:rsidR="00980E56" w:rsidRPr="00980E56" w:rsidRDefault="00980E56" w:rsidP="00980E56">
            <w:pPr>
              <w:spacing w:after="0" w:line="240" w:lineRule="auto"/>
              <w:jc w:val="right"/>
              <w:rPr>
                <w:rFonts w:ascii="Times New Roman" w:eastAsia="Times New Roman" w:hAnsi="Times New Roman" w:cs="Times New Roman"/>
                <w:b/>
                <w:bCs/>
                <w:lang w:eastAsia="hu-HU"/>
              </w:rPr>
            </w:pPr>
            <w:r w:rsidRPr="00980E56">
              <w:rPr>
                <w:rFonts w:ascii="Times New Roman" w:eastAsia="Times New Roman" w:hAnsi="Times New Roman" w:cs="Times New Roman"/>
                <w:b/>
                <w:bCs/>
                <w:color w:val="000000"/>
                <w:lang w:eastAsia="hu-HU"/>
              </w:rPr>
              <w:t>1</w:t>
            </w:r>
            <w:r w:rsidRPr="00980E56">
              <w:rPr>
                <w:rFonts w:ascii="Times New Roman" w:eastAsia="Times New Roman" w:hAnsi="Times New Roman" w:cs="Times New Roman"/>
                <w:b/>
                <w:bCs/>
                <w:szCs w:val="20"/>
                <w:lang w:eastAsia="hu-HU"/>
              </w:rPr>
              <w:t> </w:t>
            </w:r>
            <w:r w:rsidRPr="00980E56">
              <w:rPr>
                <w:rFonts w:ascii="Times New Roman" w:eastAsia="Times New Roman" w:hAnsi="Times New Roman" w:cs="Times New Roman"/>
                <w:b/>
                <w:bCs/>
                <w:color w:val="000000"/>
                <w:lang w:eastAsia="hu-HU"/>
              </w:rPr>
              <w:t>073,4</w:t>
            </w:r>
          </w:p>
        </w:tc>
        <w:tc>
          <w:tcPr>
            <w:tcW w:w="1594" w:type="dxa"/>
            <w:tcBorders>
              <w:top w:val="single" w:sz="4" w:space="0" w:color="auto"/>
              <w:left w:val="single" w:sz="4" w:space="0" w:color="auto"/>
              <w:bottom w:val="single" w:sz="4" w:space="0" w:color="auto"/>
              <w:right w:val="single" w:sz="4" w:space="0" w:color="auto"/>
            </w:tcBorders>
            <w:noWrap/>
            <w:vAlign w:val="center"/>
          </w:tcPr>
          <w:p w14:paraId="62556AB1" w14:textId="77777777" w:rsidR="00980E56" w:rsidRPr="00980E56" w:rsidRDefault="00980E56" w:rsidP="00980E56">
            <w:pPr>
              <w:spacing w:after="0" w:line="240" w:lineRule="auto"/>
              <w:jc w:val="right"/>
              <w:rPr>
                <w:rFonts w:ascii="Times New Roman" w:eastAsia="Times New Roman" w:hAnsi="Times New Roman" w:cs="Times New Roman"/>
                <w:b/>
                <w:bCs/>
                <w:lang w:eastAsia="hu-HU"/>
              </w:rPr>
            </w:pPr>
            <w:r w:rsidRPr="00980E56">
              <w:rPr>
                <w:rFonts w:ascii="Times New Roman" w:eastAsia="Times New Roman" w:hAnsi="Times New Roman" w:cs="Times New Roman"/>
                <w:b/>
                <w:bCs/>
                <w:color w:val="000000"/>
                <w:lang w:eastAsia="hu-HU"/>
              </w:rPr>
              <w:t>1</w:t>
            </w:r>
            <w:r w:rsidRPr="00980E56">
              <w:rPr>
                <w:rFonts w:ascii="Times New Roman" w:eastAsia="Times New Roman" w:hAnsi="Times New Roman" w:cs="Times New Roman"/>
                <w:b/>
                <w:bCs/>
                <w:szCs w:val="20"/>
                <w:lang w:eastAsia="hu-HU"/>
              </w:rPr>
              <w:t> </w:t>
            </w:r>
            <w:r w:rsidRPr="00980E56">
              <w:rPr>
                <w:rFonts w:ascii="Times New Roman" w:eastAsia="Times New Roman" w:hAnsi="Times New Roman" w:cs="Times New Roman"/>
                <w:b/>
                <w:bCs/>
                <w:color w:val="000000"/>
                <w:lang w:eastAsia="hu-HU"/>
              </w:rPr>
              <w:t>043,8</w:t>
            </w:r>
          </w:p>
        </w:tc>
        <w:tc>
          <w:tcPr>
            <w:tcW w:w="1061" w:type="dxa"/>
            <w:tcBorders>
              <w:top w:val="single" w:sz="4" w:space="0" w:color="auto"/>
              <w:left w:val="single" w:sz="4" w:space="0" w:color="auto"/>
              <w:bottom w:val="single" w:sz="4" w:space="0" w:color="auto"/>
              <w:right w:val="single" w:sz="4" w:space="0" w:color="auto"/>
            </w:tcBorders>
            <w:noWrap/>
            <w:vAlign w:val="center"/>
          </w:tcPr>
          <w:p w14:paraId="01EAE092" w14:textId="77777777" w:rsidR="00980E56" w:rsidRPr="00980E56" w:rsidRDefault="00980E56" w:rsidP="00980E56">
            <w:pPr>
              <w:spacing w:after="0" w:line="240" w:lineRule="auto"/>
              <w:jc w:val="right"/>
              <w:rPr>
                <w:rFonts w:ascii="Times New Roman" w:eastAsia="Times New Roman" w:hAnsi="Times New Roman" w:cs="Times New Roman"/>
                <w:b/>
                <w:bCs/>
                <w:lang w:eastAsia="hu-HU"/>
              </w:rPr>
            </w:pPr>
            <w:r w:rsidRPr="00980E56">
              <w:rPr>
                <w:rFonts w:ascii="Times New Roman" w:eastAsia="Times New Roman" w:hAnsi="Times New Roman" w:cs="Times New Roman"/>
                <w:b/>
                <w:bCs/>
                <w:color w:val="000000"/>
                <w:lang w:eastAsia="hu-HU"/>
              </w:rPr>
              <w:t>-29,6</w:t>
            </w:r>
          </w:p>
        </w:tc>
        <w:tc>
          <w:tcPr>
            <w:tcW w:w="1135" w:type="dxa"/>
            <w:tcBorders>
              <w:top w:val="single" w:sz="4" w:space="0" w:color="auto"/>
              <w:left w:val="single" w:sz="4" w:space="0" w:color="auto"/>
              <w:bottom w:val="single" w:sz="4" w:space="0" w:color="auto"/>
              <w:right w:val="single" w:sz="4" w:space="0" w:color="auto"/>
            </w:tcBorders>
            <w:noWrap/>
            <w:vAlign w:val="center"/>
          </w:tcPr>
          <w:p w14:paraId="2AB5F378" w14:textId="77777777" w:rsidR="00980E56" w:rsidRPr="00980E56" w:rsidRDefault="00980E56" w:rsidP="00980E56">
            <w:pPr>
              <w:spacing w:after="0" w:line="240" w:lineRule="auto"/>
              <w:jc w:val="right"/>
              <w:rPr>
                <w:rFonts w:ascii="Times New Roman" w:eastAsia="Times New Roman" w:hAnsi="Times New Roman" w:cs="Times New Roman"/>
                <w:b/>
                <w:bCs/>
                <w:lang w:eastAsia="hu-HU"/>
              </w:rPr>
            </w:pPr>
            <w:r w:rsidRPr="00980E56">
              <w:rPr>
                <w:rFonts w:ascii="Times New Roman" w:eastAsia="Times New Roman" w:hAnsi="Times New Roman" w:cs="Times New Roman"/>
                <w:b/>
                <w:bCs/>
                <w:color w:val="000000"/>
                <w:lang w:eastAsia="hu-HU"/>
              </w:rPr>
              <w:t>97,2</w:t>
            </w:r>
          </w:p>
        </w:tc>
      </w:tr>
    </w:tbl>
    <w:p w14:paraId="451798B7" w14:textId="77777777" w:rsidR="00E86C99" w:rsidRDefault="00E86C99" w:rsidP="00B3244C">
      <w:pPr>
        <w:spacing w:before="120"/>
        <w:jc w:val="both"/>
        <w:rPr>
          <w:rFonts w:ascii="Times New Roman" w:eastAsia="Times New Roman" w:hAnsi="Times New Roman" w:cs="Times New Roman"/>
          <w:b/>
          <w:sz w:val="26"/>
          <w:szCs w:val="20"/>
          <w:lang w:eastAsia="hu-HU"/>
        </w:rPr>
      </w:pPr>
    </w:p>
    <w:p w14:paraId="2117FD21" w14:textId="354A6D29" w:rsidR="00980E56" w:rsidRPr="00980E56" w:rsidRDefault="00E86C99" w:rsidP="00B3244C">
      <w:pPr>
        <w:spacing w:before="120"/>
        <w:jc w:val="both"/>
        <w:rPr>
          <w:rFonts w:ascii="Times New Roman" w:eastAsia="Times New Roman" w:hAnsi="Times New Roman" w:cs="Times New Roman"/>
          <w:sz w:val="26"/>
          <w:szCs w:val="20"/>
          <w:lang w:eastAsia="hu-HU"/>
        </w:rPr>
      </w:pPr>
      <w:r>
        <w:rPr>
          <w:rFonts w:ascii="Times New Roman" w:eastAsia="Times New Roman" w:hAnsi="Times New Roman" w:cs="Times New Roman"/>
          <w:b/>
          <w:sz w:val="26"/>
          <w:szCs w:val="20"/>
          <w:lang w:eastAsia="hu-HU"/>
        </w:rPr>
        <w:br w:type="column"/>
      </w:r>
      <w:r w:rsidR="00980E56" w:rsidRPr="00980E56">
        <w:rPr>
          <w:rFonts w:ascii="Times New Roman" w:eastAsia="Times New Roman" w:hAnsi="Times New Roman" w:cs="Times New Roman"/>
          <w:b/>
          <w:sz w:val="26"/>
          <w:szCs w:val="20"/>
          <w:lang w:eastAsia="hu-HU"/>
        </w:rPr>
        <w:lastRenderedPageBreak/>
        <w:t>Pénzügyi tranzakciós illetékből</w:t>
      </w:r>
      <w:r w:rsidR="00980E56" w:rsidRPr="00980E56">
        <w:rPr>
          <w:rFonts w:ascii="Times New Roman" w:eastAsia="Times New Roman" w:hAnsi="Times New Roman" w:cs="Times New Roman"/>
          <w:sz w:val="26"/>
          <w:szCs w:val="20"/>
          <w:lang w:eastAsia="hu-HU"/>
        </w:rPr>
        <w:t xml:space="preserve"> 2025 első nyolc hónapjában 385,6 milliárd</w:t>
      </w:r>
      <w:r w:rsidR="00AE4815">
        <w:rPr>
          <w:rFonts w:ascii="Times New Roman" w:eastAsia="Times New Roman" w:hAnsi="Times New Roman" w:cs="Times New Roman"/>
          <w:sz w:val="26"/>
          <w:szCs w:val="20"/>
          <w:lang w:eastAsia="hu-HU"/>
        </w:rPr>
        <w:t> </w:t>
      </w:r>
      <w:r w:rsidR="00980E56" w:rsidRPr="00980E56">
        <w:rPr>
          <w:rFonts w:ascii="Times New Roman" w:eastAsia="Times New Roman" w:hAnsi="Times New Roman" w:cs="Times New Roman"/>
          <w:sz w:val="26"/>
          <w:szCs w:val="20"/>
          <w:lang w:eastAsia="hu-HU"/>
        </w:rPr>
        <w:t>forint bevétele keletkezett a költségvetésnek, ami 157,0 milliárd forinttal haladta meg az egy évvel korábbi összeget. A bevételek növekedésének hátterében a 2024. augusztus 1-</w:t>
      </w:r>
      <w:r w:rsidR="00AE4815">
        <w:rPr>
          <w:rFonts w:ascii="Times New Roman" w:eastAsia="Times New Roman" w:hAnsi="Times New Roman" w:cs="Times New Roman"/>
          <w:sz w:val="26"/>
          <w:szCs w:val="20"/>
          <w:lang w:eastAsia="hu-HU"/>
        </w:rPr>
        <w:t>jé</w:t>
      </w:r>
      <w:r w:rsidR="00980E56" w:rsidRPr="00980E56">
        <w:rPr>
          <w:rFonts w:ascii="Times New Roman" w:eastAsia="Times New Roman" w:hAnsi="Times New Roman" w:cs="Times New Roman"/>
          <w:sz w:val="26"/>
          <w:szCs w:val="20"/>
          <w:lang w:eastAsia="hu-HU"/>
        </w:rPr>
        <w:t>től hatályos megemelt adómértékek, valamint a 2024. október elsejétől az adó hatálya alá tartozó konverziót tartalmazó műveletek állnak.</w:t>
      </w:r>
    </w:p>
    <w:p w14:paraId="30569116" w14:textId="55FEB697" w:rsidR="00980E56" w:rsidRPr="00980E56" w:rsidRDefault="00980E56" w:rsidP="00203266">
      <w:pPr>
        <w:jc w:val="both"/>
        <w:rPr>
          <w:rFonts w:ascii="Times New Roman" w:eastAsia="Times New Roman" w:hAnsi="Times New Roman" w:cs="Times New Roman"/>
          <w:sz w:val="26"/>
          <w:szCs w:val="20"/>
          <w:lang w:eastAsia="hu-HU"/>
        </w:rPr>
      </w:pPr>
      <w:r w:rsidRPr="00980E56">
        <w:rPr>
          <w:rFonts w:ascii="Times New Roman" w:eastAsia="Times New Roman" w:hAnsi="Times New Roman" w:cs="Times New Roman"/>
          <w:sz w:val="26"/>
          <w:szCs w:val="20"/>
          <w:lang w:eastAsia="hu-HU"/>
        </w:rPr>
        <w:t xml:space="preserve">A </w:t>
      </w:r>
      <w:r w:rsidRPr="00980E56">
        <w:rPr>
          <w:rFonts w:ascii="Times New Roman" w:eastAsia="Times New Roman" w:hAnsi="Times New Roman" w:cs="Times New Roman"/>
          <w:b/>
          <w:sz w:val="26"/>
          <w:szCs w:val="20"/>
          <w:lang w:eastAsia="hu-HU"/>
        </w:rPr>
        <w:t xml:space="preserve">biztosítási adóból </w:t>
      </w:r>
      <w:r w:rsidRPr="00980E56">
        <w:rPr>
          <w:rFonts w:ascii="Times New Roman" w:eastAsia="Times New Roman" w:hAnsi="Times New Roman" w:cs="Times New Roman"/>
          <w:sz w:val="26"/>
          <w:szCs w:val="20"/>
          <w:lang w:eastAsia="hu-HU"/>
        </w:rPr>
        <w:t xml:space="preserve">származó bevétel </w:t>
      </w:r>
      <w:r w:rsidR="00AE4815">
        <w:rPr>
          <w:rFonts w:ascii="Times New Roman" w:eastAsia="Times New Roman" w:hAnsi="Times New Roman" w:cs="Times New Roman"/>
          <w:sz w:val="26"/>
          <w:szCs w:val="20"/>
          <w:lang w:eastAsia="hu-HU"/>
        </w:rPr>
        <w:t>az</w:t>
      </w:r>
      <w:r w:rsidRPr="00980E56">
        <w:rPr>
          <w:rFonts w:ascii="Times New Roman" w:eastAsia="Times New Roman" w:hAnsi="Times New Roman" w:cs="Times New Roman"/>
          <w:sz w:val="26"/>
          <w:szCs w:val="20"/>
          <w:lang w:eastAsia="hu-HU"/>
        </w:rPr>
        <w:t xml:space="preserve"> év első nyolc hónapjában 123,5</w:t>
      </w:r>
      <w:r w:rsidR="00AE4815">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sz w:val="26"/>
          <w:szCs w:val="20"/>
          <w:lang w:eastAsia="hu-HU"/>
        </w:rPr>
        <w:t>milliárd forintot tett ki, amely 66,3 milliárd forinttal alacsonyabb az egy évvel korábbi bevételnél. A</w:t>
      </w:r>
      <w:r w:rsidR="004012A0">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sz w:val="26"/>
          <w:szCs w:val="20"/>
          <w:lang w:eastAsia="hu-HU"/>
        </w:rPr>
        <w:t>bevételek előző évhez viszonyított alacsonyabb teljesülését egyrészt a 2023. évi biztosítási pótadó-kötelezettség 2024. januári és júliusi elszámolásából fakadó többletbevétel, másrészt a 2024. évi pótadóelőleg első, 2024</w:t>
      </w:r>
      <w:r w:rsidR="007C4EF2">
        <w:rPr>
          <w:rFonts w:ascii="Times New Roman" w:eastAsia="Times New Roman" w:hAnsi="Times New Roman" w:cs="Times New Roman"/>
          <w:sz w:val="26"/>
          <w:szCs w:val="20"/>
          <w:lang w:eastAsia="hu-HU"/>
        </w:rPr>
        <w:t>.</w:t>
      </w:r>
      <w:r w:rsidRPr="00980E56">
        <w:rPr>
          <w:rFonts w:ascii="Times New Roman" w:eastAsia="Times New Roman" w:hAnsi="Times New Roman" w:cs="Times New Roman"/>
          <w:sz w:val="26"/>
          <w:szCs w:val="20"/>
          <w:lang w:eastAsia="hu-HU"/>
        </w:rPr>
        <w:t xml:space="preserve"> május havi befizetése befolyásolja.</w:t>
      </w:r>
    </w:p>
    <w:p w14:paraId="68EDBC78" w14:textId="6133ADED" w:rsidR="006330AD" w:rsidRPr="006330AD" w:rsidRDefault="00980E56" w:rsidP="00203266">
      <w:pPr>
        <w:jc w:val="both"/>
        <w:rPr>
          <w:rFonts w:ascii="Times New Roman" w:eastAsia="Times New Roman" w:hAnsi="Times New Roman" w:cs="Times New Roman"/>
          <w:color w:val="000000" w:themeColor="text1"/>
          <w:sz w:val="26"/>
          <w:szCs w:val="26"/>
          <w:lang w:eastAsia="hu-HU"/>
        </w:rPr>
      </w:pPr>
      <w:r w:rsidRPr="00980E56">
        <w:rPr>
          <w:rFonts w:ascii="Times New Roman" w:eastAsia="Times New Roman" w:hAnsi="Times New Roman" w:cs="Times New Roman"/>
          <w:color w:val="000000"/>
          <w:sz w:val="26"/>
          <w:szCs w:val="20"/>
          <w:lang w:eastAsia="hu-HU"/>
        </w:rPr>
        <w:t xml:space="preserve">A </w:t>
      </w:r>
      <w:r w:rsidRPr="00980E56">
        <w:rPr>
          <w:rFonts w:ascii="Times New Roman" w:eastAsia="Times New Roman" w:hAnsi="Times New Roman" w:cs="Times New Roman"/>
          <w:b/>
          <w:bCs/>
          <w:color w:val="000000"/>
          <w:sz w:val="26"/>
          <w:szCs w:val="20"/>
          <w:lang w:eastAsia="hu-HU"/>
        </w:rPr>
        <w:t>személyi jövedelemadó</w:t>
      </w:r>
      <w:r w:rsidRPr="00980E56">
        <w:rPr>
          <w:rFonts w:ascii="Times New Roman" w:eastAsia="Times New Roman" w:hAnsi="Times New Roman" w:cs="Times New Roman"/>
          <w:color w:val="000000"/>
          <w:sz w:val="26"/>
          <w:szCs w:val="20"/>
          <w:lang w:eastAsia="hu-HU"/>
        </w:rPr>
        <w:t xml:space="preserve"> bevétele 2025 első nyolc hónapjában 3</w:t>
      </w:r>
      <w:r w:rsidRPr="00980E56">
        <w:rPr>
          <w:rFonts w:ascii="Times New Roman" w:eastAsia="Times New Roman" w:hAnsi="Times New Roman" w:cs="Times New Roman"/>
          <w:sz w:val="26"/>
          <w:szCs w:val="20"/>
          <w:lang w:eastAsia="hu-HU"/>
        </w:rPr>
        <w:t>256,4 </w:t>
      </w:r>
      <w:r w:rsidRPr="00980E56">
        <w:rPr>
          <w:rFonts w:ascii="Times New Roman" w:eastAsia="Times New Roman" w:hAnsi="Times New Roman" w:cs="Times New Roman"/>
          <w:color w:val="000000"/>
          <w:sz w:val="26"/>
          <w:szCs w:val="20"/>
          <w:lang w:eastAsia="hu-HU"/>
        </w:rPr>
        <w:t>milliárd</w:t>
      </w:r>
      <w:r w:rsidRPr="00980E56">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color w:val="000000"/>
          <w:sz w:val="26"/>
          <w:szCs w:val="20"/>
          <w:lang w:eastAsia="hu-HU"/>
        </w:rPr>
        <w:t>forint volt, amely 278,8</w:t>
      </w:r>
      <w:r w:rsidRPr="00980E56">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color w:val="000000"/>
          <w:sz w:val="26"/>
          <w:szCs w:val="20"/>
          <w:lang w:eastAsia="hu-HU"/>
        </w:rPr>
        <w:t>milliárd</w:t>
      </w:r>
      <w:r w:rsidRPr="00980E56">
        <w:rPr>
          <w:rFonts w:ascii="Times New Roman" w:eastAsia="Times New Roman" w:hAnsi="Times New Roman" w:cs="Times New Roman"/>
          <w:sz w:val="26"/>
          <w:szCs w:val="20"/>
          <w:lang w:eastAsia="hu-HU"/>
        </w:rPr>
        <w:t> </w:t>
      </w:r>
      <w:r w:rsidRPr="00980E56">
        <w:rPr>
          <w:rFonts w:ascii="Times New Roman" w:eastAsia="Times New Roman" w:hAnsi="Times New Roman" w:cs="Times New Roman"/>
          <w:color w:val="000000"/>
          <w:sz w:val="26"/>
          <w:szCs w:val="20"/>
          <w:lang w:eastAsia="hu-HU"/>
        </w:rPr>
        <w:t>forinttal magasabb az egy évvel korábbi összegnél. Ennek oka a bértömeg növekedése</w:t>
      </w:r>
      <w:r w:rsidR="7C285CBA" w:rsidRPr="7C285CBA">
        <w:rPr>
          <w:rFonts w:ascii="Times New Roman" w:eastAsia="Times New Roman" w:hAnsi="Times New Roman" w:cs="Times New Roman"/>
          <w:color w:val="000000" w:themeColor="text1"/>
          <w:sz w:val="26"/>
          <w:szCs w:val="26"/>
          <w:lang w:eastAsia="hu-HU"/>
        </w:rPr>
        <w:t>.</w:t>
      </w:r>
    </w:p>
    <w:p w14:paraId="4AD2F5D6" w14:textId="3FECE57E" w:rsidR="00085C37" w:rsidRPr="005861AE" w:rsidRDefault="7C285CBA" w:rsidP="7C285CBA">
      <w:pPr>
        <w:spacing w:before="240"/>
        <w:jc w:val="center"/>
        <w:rPr>
          <w:rFonts w:ascii="Times New Roman" w:hAnsi="Times New Roman" w:cs="Times New Roman"/>
          <w:b/>
          <w:bCs/>
        </w:rPr>
      </w:pPr>
      <w:r w:rsidRPr="7C285CBA">
        <w:rPr>
          <w:rFonts w:ascii="Times New Roman" w:hAnsi="Times New Roman" w:cs="Times New Roman"/>
          <w:b/>
          <w:bCs/>
        </w:rPr>
        <w:t>Személyi jövedelemadó bevétel alakulása (milliárd forint)</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9"/>
        <w:gridCol w:w="1645"/>
        <w:gridCol w:w="1701"/>
        <w:gridCol w:w="992"/>
        <w:gridCol w:w="992"/>
      </w:tblGrid>
      <w:tr w:rsidR="00980E56" w:rsidRPr="00980E56" w14:paraId="646BF5E2" w14:textId="77777777" w:rsidTr="003D4300">
        <w:trPr>
          <w:trHeight w:val="283"/>
          <w:jc w:val="center"/>
        </w:trPr>
        <w:tc>
          <w:tcPr>
            <w:tcW w:w="1469" w:type="dxa"/>
            <w:vMerge w:val="restart"/>
            <w:shd w:val="clear" w:color="auto" w:fill="BDD6EE" w:themeFill="accent1" w:themeFillTint="66"/>
            <w:noWrap/>
            <w:vAlign w:val="center"/>
            <w:hideMark/>
          </w:tcPr>
          <w:p w14:paraId="76E9FB5B" w14:textId="77777777" w:rsidR="00980E56" w:rsidRPr="00980E56" w:rsidRDefault="00980E56" w:rsidP="00980E56">
            <w:pPr>
              <w:keepNext/>
              <w:keepLines/>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Megnevezés</w:t>
            </w:r>
          </w:p>
        </w:tc>
        <w:tc>
          <w:tcPr>
            <w:tcW w:w="1645" w:type="dxa"/>
            <w:vMerge w:val="restart"/>
            <w:shd w:val="clear" w:color="auto" w:fill="BDD6EE" w:themeFill="accent1" w:themeFillTint="66"/>
            <w:vAlign w:val="center"/>
            <w:hideMark/>
          </w:tcPr>
          <w:p w14:paraId="095CD62A" w14:textId="34A2E972"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 xml:space="preserve">2024. </w:t>
            </w:r>
            <w:r w:rsidRPr="00980E56">
              <w:rPr>
                <w:rFonts w:ascii="Times New Roman" w:eastAsia="Times New Roman" w:hAnsi="Times New Roman" w:cs="Times New Roman"/>
                <w:b/>
                <w:bCs/>
                <w:szCs w:val="20"/>
                <w:lang w:eastAsia="hu-HU"/>
              </w:rPr>
              <w:br/>
              <w:t>I-VIII. hó</w:t>
            </w:r>
          </w:p>
        </w:tc>
        <w:tc>
          <w:tcPr>
            <w:tcW w:w="1701" w:type="dxa"/>
            <w:vMerge w:val="restart"/>
            <w:shd w:val="clear" w:color="auto" w:fill="BDD6EE" w:themeFill="accent1" w:themeFillTint="66"/>
            <w:vAlign w:val="center"/>
            <w:hideMark/>
          </w:tcPr>
          <w:p w14:paraId="4990B64A" w14:textId="16A43571"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2025.</w:t>
            </w:r>
            <w:r w:rsidRPr="00980E56">
              <w:rPr>
                <w:rFonts w:ascii="Times New Roman" w:eastAsia="Times New Roman" w:hAnsi="Times New Roman" w:cs="Times New Roman"/>
                <w:b/>
                <w:bCs/>
                <w:szCs w:val="20"/>
                <w:lang w:eastAsia="hu-HU"/>
              </w:rPr>
              <w:br/>
              <w:t>I-VIII. hó</w:t>
            </w:r>
          </w:p>
        </w:tc>
        <w:tc>
          <w:tcPr>
            <w:tcW w:w="1984" w:type="dxa"/>
            <w:gridSpan w:val="2"/>
            <w:shd w:val="clear" w:color="auto" w:fill="BDD6EE" w:themeFill="accent1" w:themeFillTint="66"/>
            <w:vAlign w:val="center"/>
            <w:hideMark/>
          </w:tcPr>
          <w:p w14:paraId="4FAE1517" w14:textId="77777777" w:rsidR="00980E56" w:rsidRPr="00980E56" w:rsidRDefault="00980E56" w:rsidP="00980E56">
            <w:pPr>
              <w:keepNext/>
              <w:keepLines/>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Eltérés</w:t>
            </w:r>
          </w:p>
        </w:tc>
      </w:tr>
      <w:tr w:rsidR="00980E56" w:rsidRPr="00980E56" w14:paraId="0379C3FF" w14:textId="77777777" w:rsidTr="003D4300">
        <w:trPr>
          <w:trHeight w:val="283"/>
          <w:jc w:val="center"/>
        </w:trPr>
        <w:tc>
          <w:tcPr>
            <w:tcW w:w="1469" w:type="dxa"/>
            <w:vMerge/>
            <w:shd w:val="clear" w:color="auto" w:fill="BDD6EE" w:themeFill="accent1" w:themeFillTint="66"/>
            <w:noWrap/>
            <w:vAlign w:val="center"/>
          </w:tcPr>
          <w:p w14:paraId="1CC4D9D6" w14:textId="77777777" w:rsidR="00980E56" w:rsidRPr="00980E56" w:rsidRDefault="00980E56" w:rsidP="00980E56">
            <w:pPr>
              <w:keepNext/>
              <w:keepLines/>
              <w:spacing w:after="0" w:line="240" w:lineRule="auto"/>
              <w:jc w:val="center"/>
              <w:rPr>
                <w:rFonts w:ascii="Times New Roman" w:eastAsia="Times New Roman" w:hAnsi="Times New Roman" w:cs="Times New Roman"/>
                <w:b/>
                <w:bCs/>
                <w:szCs w:val="20"/>
                <w:lang w:eastAsia="hu-HU"/>
              </w:rPr>
            </w:pPr>
          </w:p>
        </w:tc>
        <w:tc>
          <w:tcPr>
            <w:tcW w:w="1645" w:type="dxa"/>
            <w:vMerge/>
            <w:shd w:val="clear" w:color="auto" w:fill="BDD6EE" w:themeFill="accent1" w:themeFillTint="66"/>
            <w:vAlign w:val="center"/>
          </w:tcPr>
          <w:p w14:paraId="46E5AE73" w14:textId="77777777"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p>
        </w:tc>
        <w:tc>
          <w:tcPr>
            <w:tcW w:w="1701" w:type="dxa"/>
            <w:vMerge/>
            <w:shd w:val="clear" w:color="auto" w:fill="BDD6EE" w:themeFill="accent1" w:themeFillTint="66"/>
            <w:vAlign w:val="center"/>
          </w:tcPr>
          <w:p w14:paraId="74624518" w14:textId="77777777" w:rsidR="00980E56" w:rsidRPr="00980E56" w:rsidRDefault="00980E56" w:rsidP="00980E56">
            <w:pPr>
              <w:spacing w:after="0" w:line="240" w:lineRule="auto"/>
              <w:jc w:val="center"/>
              <w:rPr>
                <w:rFonts w:ascii="Times New Roman" w:eastAsia="Times New Roman" w:hAnsi="Times New Roman" w:cs="Times New Roman"/>
                <w:b/>
                <w:bCs/>
                <w:szCs w:val="20"/>
                <w:lang w:eastAsia="hu-HU"/>
              </w:rPr>
            </w:pPr>
          </w:p>
        </w:tc>
        <w:tc>
          <w:tcPr>
            <w:tcW w:w="992" w:type="dxa"/>
            <w:shd w:val="clear" w:color="auto" w:fill="BDD6EE" w:themeFill="accent1" w:themeFillTint="66"/>
            <w:vAlign w:val="center"/>
          </w:tcPr>
          <w:p w14:paraId="7901A952" w14:textId="77777777" w:rsidR="00980E56" w:rsidRPr="00980E56" w:rsidRDefault="00980E56" w:rsidP="00980E56">
            <w:pPr>
              <w:keepNext/>
              <w:keepLines/>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Mrd Ft</w:t>
            </w:r>
          </w:p>
        </w:tc>
        <w:tc>
          <w:tcPr>
            <w:tcW w:w="992" w:type="dxa"/>
            <w:shd w:val="clear" w:color="auto" w:fill="BDD6EE" w:themeFill="accent1" w:themeFillTint="66"/>
          </w:tcPr>
          <w:p w14:paraId="4FC99584" w14:textId="77777777" w:rsidR="00980E56" w:rsidRPr="00980E56" w:rsidRDefault="00980E56" w:rsidP="00980E56">
            <w:pPr>
              <w:keepNext/>
              <w:keepLines/>
              <w:spacing w:after="0" w:line="240" w:lineRule="auto"/>
              <w:jc w:val="center"/>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w:t>
            </w:r>
          </w:p>
        </w:tc>
      </w:tr>
      <w:tr w:rsidR="00980E56" w:rsidRPr="00980E56" w14:paraId="1D0B50BF" w14:textId="77777777" w:rsidTr="00841821">
        <w:trPr>
          <w:trHeight w:val="340"/>
          <w:jc w:val="center"/>
        </w:trPr>
        <w:tc>
          <w:tcPr>
            <w:tcW w:w="1469" w:type="dxa"/>
            <w:noWrap/>
            <w:vAlign w:val="center"/>
            <w:hideMark/>
          </w:tcPr>
          <w:p w14:paraId="7160B559" w14:textId="77777777" w:rsidR="00980E56" w:rsidRPr="00980E56" w:rsidRDefault="00980E56" w:rsidP="00980E56">
            <w:pPr>
              <w:keepNext/>
              <w:keepLines/>
              <w:spacing w:after="0" w:line="240" w:lineRule="auto"/>
              <w:jc w:val="both"/>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Befizetés</w:t>
            </w:r>
          </w:p>
        </w:tc>
        <w:tc>
          <w:tcPr>
            <w:tcW w:w="1645" w:type="dxa"/>
            <w:noWrap/>
            <w:vAlign w:val="center"/>
          </w:tcPr>
          <w:p w14:paraId="2619FB83" w14:textId="77777777" w:rsidR="00980E56" w:rsidRPr="00980E56" w:rsidRDefault="00980E56" w:rsidP="00980E56">
            <w:pPr>
              <w:keepNext/>
              <w:keepLines/>
              <w:spacing w:after="0" w:line="240" w:lineRule="auto"/>
              <w:jc w:val="right"/>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3 202,9</w:t>
            </w:r>
          </w:p>
        </w:tc>
        <w:tc>
          <w:tcPr>
            <w:tcW w:w="1701" w:type="dxa"/>
            <w:noWrap/>
            <w:vAlign w:val="center"/>
          </w:tcPr>
          <w:p w14:paraId="4DD2A4E2" w14:textId="77777777" w:rsidR="00980E56" w:rsidRPr="00980E56" w:rsidRDefault="00980E56" w:rsidP="00980E56">
            <w:pPr>
              <w:keepNext/>
              <w:keepLines/>
              <w:spacing w:after="0" w:line="240" w:lineRule="auto"/>
              <w:jc w:val="right"/>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3 500,1</w:t>
            </w:r>
          </w:p>
        </w:tc>
        <w:tc>
          <w:tcPr>
            <w:tcW w:w="992" w:type="dxa"/>
            <w:noWrap/>
            <w:vAlign w:val="center"/>
          </w:tcPr>
          <w:p w14:paraId="250C5934" w14:textId="77777777" w:rsidR="00980E56" w:rsidRPr="00980E56" w:rsidRDefault="00980E56" w:rsidP="00980E56">
            <w:pPr>
              <w:keepNext/>
              <w:keepLines/>
              <w:spacing w:after="0" w:line="240" w:lineRule="auto"/>
              <w:jc w:val="right"/>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297,2</w:t>
            </w:r>
          </w:p>
        </w:tc>
        <w:tc>
          <w:tcPr>
            <w:tcW w:w="992" w:type="dxa"/>
            <w:vAlign w:val="center"/>
          </w:tcPr>
          <w:p w14:paraId="65C6F754" w14:textId="77777777" w:rsidR="00980E56" w:rsidRPr="00980E56" w:rsidRDefault="00980E56" w:rsidP="00980E56">
            <w:pPr>
              <w:keepNext/>
              <w:keepLines/>
              <w:spacing w:after="0" w:line="240" w:lineRule="auto"/>
              <w:jc w:val="right"/>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109,3</w:t>
            </w:r>
          </w:p>
        </w:tc>
      </w:tr>
      <w:tr w:rsidR="00980E56" w:rsidRPr="00980E56" w14:paraId="77242B18" w14:textId="77777777" w:rsidTr="00841821">
        <w:trPr>
          <w:trHeight w:val="340"/>
          <w:jc w:val="center"/>
        </w:trPr>
        <w:tc>
          <w:tcPr>
            <w:tcW w:w="1469" w:type="dxa"/>
            <w:noWrap/>
            <w:vAlign w:val="center"/>
            <w:hideMark/>
          </w:tcPr>
          <w:p w14:paraId="56257332" w14:textId="77777777" w:rsidR="00980E56" w:rsidRPr="00980E56" w:rsidRDefault="00980E56" w:rsidP="00980E56">
            <w:pPr>
              <w:keepNext/>
              <w:keepLines/>
              <w:spacing w:after="0" w:line="240" w:lineRule="auto"/>
              <w:jc w:val="both"/>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Kiutalás</w:t>
            </w:r>
          </w:p>
        </w:tc>
        <w:tc>
          <w:tcPr>
            <w:tcW w:w="1645" w:type="dxa"/>
            <w:noWrap/>
            <w:vAlign w:val="center"/>
          </w:tcPr>
          <w:p w14:paraId="75C12DC3" w14:textId="77777777" w:rsidR="00980E56" w:rsidRPr="00980E56" w:rsidRDefault="00980E56" w:rsidP="00980E56">
            <w:pPr>
              <w:keepNext/>
              <w:keepLines/>
              <w:spacing w:after="0" w:line="240" w:lineRule="auto"/>
              <w:jc w:val="right"/>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225,3</w:t>
            </w:r>
          </w:p>
        </w:tc>
        <w:tc>
          <w:tcPr>
            <w:tcW w:w="1701" w:type="dxa"/>
            <w:noWrap/>
            <w:vAlign w:val="center"/>
          </w:tcPr>
          <w:p w14:paraId="0F058190" w14:textId="77777777" w:rsidR="00980E56" w:rsidRPr="00980E56" w:rsidRDefault="00980E56" w:rsidP="00980E56">
            <w:pPr>
              <w:keepNext/>
              <w:keepLines/>
              <w:spacing w:after="0" w:line="240" w:lineRule="auto"/>
              <w:jc w:val="right"/>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243,7</w:t>
            </w:r>
          </w:p>
        </w:tc>
        <w:tc>
          <w:tcPr>
            <w:tcW w:w="992" w:type="dxa"/>
            <w:noWrap/>
            <w:vAlign w:val="center"/>
          </w:tcPr>
          <w:p w14:paraId="61481E31" w14:textId="77777777" w:rsidR="00980E56" w:rsidRPr="00980E56" w:rsidRDefault="00980E56" w:rsidP="00980E56">
            <w:pPr>
              <w:keepNext/>
              <w:keepLines/>
              <w:spacing w:after="0" w:line="240" w:lineRule="auto"/>
              <w:jc w:val="right"/>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18,4</w:t>
            </w:r>
          </w:p>
        </w:tc>
        <w:tc>
          <w:tcPr>
            <w:tcW w:w="992" w:type="dxa"/>
            <w:vAlign w:val="center"/>
          </w:tcPr>
          <w:p w14:paraId="26BB3670" w14:textId="77777777" w:rsidR="00980E56" w:rsidRPr="00980E56" w:rsidRDefault="00980E56" w:rsidP="00980E56">
            <w:pPr>
              <w:keepNext/>
              <w:keepLines/>
              <w:spacing w:after="0" w:line="240" w:lineRule="auto"/>
              <w:jc w:val="right"/>
              <w:rPr>
                <w:rFonts w:ascii="Times New Roman" w:eastAsia="Times New Roman" w:hAnsi="Times New Roman" w:cs="Times New Roman"/>
                <w:szCs w:val="20"/>
                <w:lang w:eastAsia="hu-HU"/>
              </w:rPr>
            </w:pPr>
            <w:r w:rsidRPr="00980E56">
              <w:rPr>
                <w:rFonts w:ascii="Times New Roman" w:eastAsia="Times New Roman" w:hAnsi="Times New Roman" w:cs="Times New Roman"/>
                <w:szCs w:val="20"/>
                <w:lang w:eastAsia="hu-HU"/>
              </w:rPr>
              <w:t>108,2</w:t>
            </w:r>
          </w:p>
        </w:tc>
      </w:tr>
      <w:tr w:rsidR="00980E56" w:rsidRPr="00980E56" w14:paraId="5BBF5941" w14:textId="77777777" w:rsidTr="00841821">
        <w:trPr>
          <w:trHeight w:val="340"/>
          <w:jc w:val="center"/>
        </w:trPr>
        <w:tc>
          <w:tcPr>
            <w:tcW w:w="1469" w:type="dxa"/>
            <w:noWrap/>
            <w:vAlign w:val="center"/>
            <w:hideMark/>
          </w:tcPr>
          <w:p w14:paraId="419631B4" w14:textId="77777777" w:rsidR="00980E56" w:rsidRPr="00980E56" w:rsidRDefault="00980E56" w:rsidP="00980E56">
            <w:pPr>
              <w:widowControl w:val="0"/>
              <w:spacing w:after="0" w:line="240" w:lineRule="auto"/>
              <w:jc w:val="both"/>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Egyenleg</w:t>
            </w:r>
          </w:p>
        </w:tc>
        <w:tc>
          <w:tcPr>
            <w:tcW w:w="1645" w:type="dxa"/>
            <w:noWrap/>
            <w:vAlign w:val="center"/>
          </w:tcPr>
          <w:p w14:paraId="39FD9524" w14:textId="77777777" w:rsidR="00980E56" w:rsidRPr="00980E56" w:rsidRDefault="00980E56" w:rsidP="00980E56">
            <w:pPr>
              <w:widowControl w:val="0"/>
              <w:spacing w:after="0" w:line="240" w:lineRule="auto"/>
              <w:jc w:val="right"/>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2 977,6</w:t>
            </w:r>
          </w:p>
        </w:tc>
        <w:tc>
          <w:tcPr>
            <w:tcW w:w="1701" w:type="dxa"/>
            <w:noWrap/>
            <w:vAlign w:val="center"/>
          </w:tcPr>
          <w:p w14:paraId="504F5C3F" w14:textId="77777777" w:rsidR="00980E56" w:rsidRPr="00980E56" w:rsidRDefault="00980E56" w:rsidP="00980E56">
            <w:pPr>
              <w:widowControl w:val="0"/>
              <w:spacing w:after="0" w:line="240" w:lineRule="auto"/>
              <w:jc w:val="right"/>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3 256,4</w:t>
            </w:r>
          </w:p>
        </w:tc>
        <w:tc>
          <w:tcPr>
            <w:tcW w:w="992" w:type="dxa"/>
            <w:noWrap/>
            <w:vAlign w:val="center"/>
          </w:tcPr>
          <w:p w14:paraId="0F92B262" w14:textId="77777777" w:rsidR="00980E56" w:rsidRPr="00980E56" w:rsidRDefault="00980E56" w:rsidP="00980E56">
            <w:pPr>
              <w:widowControl w:val="0"/>
              <w:spacing w:after="0" w:line="240" w:lineRule="auto"/>
              <w:jc w:val="right"/>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278,8</w:t>
            </w:r>
          </w:p>
        </w:tc>
        <w:tc>
          <w:tcPr>
            <w:tcW w:w="992" w:type="dxa"/>
            <w:vAlign w:val="center"/>
          </w:tcPr>
          <w:p w14:paraId="09D216BF" w14:textId="77777777" w:rsidR="00980E56" w:rsidRPr="00980E56" w:rsidRDefault="00980E56" w:rsidP="00980E56">
            <w:pPr>
              <w:widowControl w:val="0"/>
              <w:spacing w:after="0" w:line="240" w:lineRule="auto"/>
              <w:jc w:val="right"/>
              <w:rPr>
                <w:rFonts w:ascii="Times New Roman" w:eastAsia="Times New Roman" w:hAnsi="Times New Roman" w:cs="Times New Roman"/>
                <w:b/>
                <w:bCs/>
                <w:szCs w:val="20"/>
                <w:lang w:eastAsia="hu-HU"/>
              </w:rPr>
            </w:pPr>
            <w:r w:rsidRPr="00980E56">
              <w:rPr>
                <w:rFonts w:ascii="Times New Roman" w:eastAsia="Times New Roman" w:hAnsi="Times New Roman" w:cs="Times New Roman"/>
                <w:b/>
                <w:bCs/>
                <w:szCs w:val="20"/>
                <w:lang w:eastAsia="hu-HU"/>
              </w:rPr>
              <w:t>109,4</w:t>
            </w:r>
          </w:p>
        </w:tc>
      </w:tr>
    </w:tbl>
    <w:p w14:paraId="54234F12" w14:textId="33E140C1" w:rsidR="123EFD2F" w:rsidRPr="00381A54" w:rsidRDefault="7C285CBA" w:rsidP="7C285CBA">
      <w:pPr>
        <w:spacing w:before="240"/>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 xml:space="preserve">A </w:t>
      </w:r>
      <w:r w:rsidRPr="7C285CBA">
        <w:rPr>
          <w:rFonts w:ascii="Times New Roman" w:eastAsia="Times New Roman" w:hAnsi="Times New Roman" w:cs="Times New Roman"/>
          <w:b/>
          <w:bCs/>
          <w:sz w:val="26"/>
          <w:szCs w:val="26"/>
        </w:rPr>
        <w:t>Központi Maradványelszámolási Alapba</w:t>
      </w:r>
      <w:r w:rsidRPr="7C285CBA">
        <w:rPr>
          <w:rFonts w:ascii="Times New Roman" w:eastAsia="Times New Roman" w:hAnsi="Times New Roman" w:cs="Times New Roman"/>
          <w:sz w:val="26"/>
          <w:szCs w:val="26"/>
        </w:rPr>
        <w:t xml:space="preserve"> </w:t>
      </w:r>
      <w:r w:rsidRPr="7C285CBA">
        <w:rPr>
          <w:rFonts w:ascii="Times New Roman" w:eastAsia="Times New Roman" w:hAnsi="Times New Roman" w:cs="Times New Roman"/>
          <w:b/>
          <w:bCs/>
          <w:sz w:val="26"/>
          <w:szCs w:val="26"/>
        </w:rPr>
        <w:t>történő befizetések</w:t>
      </w:r>
      <w:r w:rsidRPr="7C285CBA">
        <w:rPr>
          <w:rFonts w:ascii="Times New Roman" w:eastAsia="Times New Roman" w:hAnsi="Times New Roman" w:cs="Times New Roman"/>
          <w:sz w:val="26"/>
          <w:szCs w:val="26"/>
        </w:rPr>
        <w:t xml:space="preserve"> mérlegsorra az év első nyolc hónapjában 331,1 milliárd forint maradvány került befizetésre, szemben az előző év azonos időszakában befolyt 167,2 milliárd forintos összeggel.</w:t>
      </w:r>
    </w:p>
    <w:p w14:paraId="25C427CE" w14:textId="09FA15B7" w:rsidR="029C2633" w:rsidRPr="00381A54" w:rsidRDefault="7C285CBA" w:rsidP="7C285CBA">
      <w:pPr>
        <w:jc w:val="both"/>
        <w:rPr>
          <w:rFonts w:ascii="Times New Roman" w:eastAsia="Times New Roman" w:hAnsi="Times New Roman" w:cs="Times New Roman"/>
          <w:b/>
          <w:bCs/>
          <w:sz w:val="26"/>
          <w:szCs w:val="26"/>
        </w:rPr>
      </w:pPr>
      <w:r w:rsidRPr="7C285CBA">
        <w:rPr>
          <w:rFonts w:ascii="Times New Roman" w:eastAsia="Times New Roman" w:hAnsi="Times New Roman" w:cs="Times New Roman"/>
          <w:sz w:val="26"/>
          <w:szCs w:val="26"/>
        </w:rPr>
        <w:t xml:space="preserve">Az </w:t>
      </w:r>
      <w:r w:rsidRPr="7C285CBA">
        <w:rPr>
          <w:rFonts w:ascii="Times New Roman" w:eastAsia="Times New Roman" w:hAnsi="Times New Roman" w:cs="Times New Roman"/>
          <w:b/>
          <w:bCs/>
          <w:sz w:val="26"/>
          <w:szCs w:val="26"/>
        </w:rPr>
        <w:t xml:space="preserve">állami vagyonnal kapcsolatos befizetések </w:t>
      </w:r>
      <w:r w:rsidRPr="7C285CBA">
        <w:rPr>
          <w:rFonts w:ascii="Times New Roman" w:eastAsia="Times New Roman" w:hAnsi="Times New Roman" w:cs="Times New Roman"/>
          <w:sz w:val="26"/>
          <w:szCs w:val="26"/>
        </w:rPr>
        <w:t>2025 első nyolchavi összege 613,6 milliárd forint, amelynek meghatározó tétele az osztalékbefizetés volt.</w:t>
      </w:r>
      <w:r w:rsidRPr="7C285CBA">
        <w:rPr>
          <w:rFonts w:ascii="Times New Roman" w:eastAsia="Times New Roman" w:hAnsi="Times New Roman" w:cs="Times New Roman"/>
          <w:b/>
          <w:bCs/>
          <w:sz w:val="26"/>
          <w:szCs w:val="26"/>
        </w:rPr>
        <w:t xml:space="preserve"> </w:t>
      </w:r>
    </w:p>
    <w:p w14:paraId="0D0F2783" w14:textId="3C4C3EDE" w:rsidR="009D55B4" w:rsidRPr="00377D59" w:rsidRDefault="00B3244C" w:rsidP="009D55B4">
      <w:pPr>
        <w:jc w:val="center"/>
        <w:rPr>
          <w:rFonts w:ascii="Times New Roman" w:eastAsia="Times New Roman" w:hAnsi="Times New Roman" w:cs="Times New Roman"/>
          <w:sz w:val="26"/>
          <w:szCs w:val="26"/>
        </w:rPr>
      </w:pPr>
      <w:r>
        <w:rPr>
          <w:noProof/>
        </w:rPr>
        <w:drawing>
          <wp:inline distT="0" distB="0" distL="0" distR="0" wp14:anchorId="54149D5E" wp14:editId="4288C44C">
            <wp:extent cx="5040172" cy="3099239"/>
            <wp:effectExtent l="0" t="0" r="8255" b="6350"/>
            <wp:docPr id="665358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3582" name=""/>
                    <pic:cNvPicPr/>
                  </pic:nvPicPr>
                  <pic:blipFill rotWithShape="1">
                    <a:blip r:embed="rId16"/>
                    <a:srcRect l="3172"/>
                    <a:stretch/>
                  </pic:blipFill>
                  <pic:spPr bwMode="auto">
                    <a:xfrm>
                      <a:off x="0" y="0"/>
                      <a:ext cx="5090089" cy="3129933"/>
                    </a:xfrm>
                    <a:prstGeom prst="rect">
                      <a:avLst/>
                    </a:prstGeom>
                    <a:ln>
                      <a:noFill/>
                    </a:ln>
                    <a:extLst>
                      <a:ext uri="{53640926-AAD7-44D8-BBD7-CCE9431645EC}">
                        <a14:shadowObscured xmlns:a14="http://schemas.microsoft.com/office/drawing/2010/main"/>
                      </a:ext>
                    </a:extLst>
                  </pic:spPr>
                </pic:pic>
              </a:graphicData>
            </a:graphic>
          </wp:inline>
        </w:drawing>
      </w:r>
    </w:p>
    <w:p w14:paraId="23623F4E" w14:textId="6C8A3A23" w:rsidR="5B67C7D7" w:rsidRPr="00920F4D" w:rsidRDefault="7C285CBA" w:rsidP="00285866">
      <w:pPr>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lastRenderedPageBreak/>
        <w:t xml:space="preserve">A költségvetés XLV. </w:t>
      </w:r>
      <w:r w:rsidRPr="7C285CBA">
        <w:rPr>
          <w:rFonts w:ascii="Times New Roman" w:eastAsia="Times New Roman" w:hAnsi="Times New Roman" w:cs="Times New Roman"/>
          <w:b/>
          <w:bCs/>
          <w:sz w:val="26"/>
          <w:szCs w:val="26"/>
        </w:rPr>
        <w:t>Állami beruházások</w:t>
      </w:r>
      <w:r w:rsidRPr="7C285CBA">
        <w:rPr>
          <w:rFonts w:ascii="Times New Roman" w:eastAsia="Times New Roman" w:hAnsi="Times New Roman" w:cs="Times New Roman"/>
          <w:sz w:val="26"/>
          <w:szCs w:val="26"/>
        </w:rPr>
        <w:t xml:space="preserve"> fejezetének bevételei 2025. augusztus végéig 167,2 milliárd forintot tettek ki.</w:t>
      </w:r>
    </w:p>
    <w:p w14:paraId="4BE4CA6A" w14:textId="7EF78DD2" w:rsidR="39728167" w:rsidRPr="00377D59" w:rsidRDefault="7C285CBA" w:rsidP="00285866">
      <w:pPr>
        <w:jc w:val="both"/>
        <w:rPr>
          <w:rFonts w:ascii="Times New Roman" w:hAnsi="Times New Roman" w:cs="Times New Roman"/>
        </w:rPr>
      </w:pPr>
      <w:r w:rsidRPr="7C285CBA">
        <w:rPr>
          <w:rFonts w:ascii="Times New Roman" w:eastAsia="Times New Roman" w:hAnsi="Times New Roman" w:cs="Times New Roman"/>
          <w:sz w:val="26"/>
          <w:szCs w:val="26"/>
        </w:rPr>
        <w:t xml:space="preserve">Az uniós bevételek főszabály szerint a XLII. A költségvetés közvetlen bevételei és kiadásai fejezetbe érkeznek, ezek kimutatására szolgálnak az </w:t>
      </w:r>
      <w:r w:rsidRPr="7C285CBA">
        <w:rPr>
          <w:rFonts w:ascii="Times New Roman" w:eastAsia="Times New Roman" w:hAnsi="Times New Roman" w:cs="Times New Roman"/>
          <w:b/>
          <w:bCs/>
          <w:sz w:val="26"/>
          <w:szCs w:val="26"/>
        </w:rPr>
        <w:t>Uniós programok bevételei</w:t>
      </w:r>
      <w:r w:rsidRPr="7C285CBA">
        <w:rPr>
          <w:rFonts w:ascii="Times New Roman" w:eastAsia="Times New Roman" w:hAnsi="Times New Roman" w:cs="Times New Roman"/>
          <w:sz w:val="26"/>
          <w:szCs w:val="26"/>
        </w:rPr>
        <w:t xml:space="preserve">, valamint az </w:t>
      </w:r>
      <w:r w:rsidRPr="7C285CBA">
        <w:rPr>
          <w:rFonts w:ascii="Times New Roman" w:eastAsia="Times New Roman" w:hAnsi="Times New Roman" w:cs="Times New Roman"/>
          <w:b/>
          <w:bCs/>
          <w:sz w:val="26"/>
          <w:szCs w:val="26"/>
        </w:rPr>
        <w:t>Egyéb uniós bevételek</w:t>
      </w:r>
      <w:r w:rsidRPr="7C285CBA">
        <w:rPr>
          <w:rFonts w:ascii="Times New Roman" w:eastAsia="Times New Roman" w:hAnsi="Times New Roman" w:cs="Times New Roman"/>
          <w:sz w:val="26"/>
          <w:szCs w:val="26"/>
        </w:rPr>
        <w:t xml:space="preserve"> mérlegsorok.</w:t>
      </w:r>
    </w:p>
    <w:p w14:paraId="3C3A66C8" w14:textId="02F8E535" w:rsidR="74B9DF17" w:rsidRDefault="7C285CBA" w:rsidP="00285866">
      <w:pPr>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 xml:space="preserve">Az </w:t>
      </w:r>
      <w:r w:rsidRPr="7C285CBA">
        <w:rPr>
          <w:rFonts w:ascii="Times New Roman" w:eastAsia="Times New Roman" w:hAnsi="Times New Roman" w:cs="Times New Roman"/>
          <w:b/>
          <w:bCs/>
          <w:sz w:val="26"/>
          <w:szCs w:val="26"/>
        </w:rPr>
        <w:t>Uniós programok bevételei</w:t>
      </w:r>
      <w:r w:rsidRPr="7C285CBA">
        <w:rPr>
          <w:rFonts w:ascii="Times New Roman" w:eastAsia="Times New Roman" w:hAnsi="Times New Roman" w:cs="Times New Roman"/>
          <w:sz w:val="26"/>
          <w:szCs w:val="26"/>
        </w:rPr>
        <w:t xml:space="preserve"> mérlegsoron 2025. augusztus végéig 500,1 milliárd forint bevétel keletkezett. Ez az összeg a törvényi előirányzat (2235,9 milliárd forint) 22,4%-át teszi ki. A teljesült bevételből 436,8 milliárd forint az uniós és 63,3 milliárd forint az egyéb bevételekhez tartozik.</w:t>
      </w:r>
    </w:p>
    <w:p w14:paraId="040E2327" w14:textId="4657E2C7" w:rsidR="74B9DF17" w:rsidRPr="00FE12D5" w:rsidRDefault="7C285CBA" w:rsidP="00285866">
      <w:pPr>
        <w:jc w:val="both"/>
        <w:rPr>
          <w:rFonts w:ascii="Times New Roman" w:hAnsi="Times New Roman" w:cs="Times New Roman"/>
        </w:rPr>
      </w:pPr>
      <w:r w:rsidRPr="7C285CBA">
        <w:rPr>
          <w:rFonts w:ascii="Times New Roman" w:eastAsia="Times New Roman" w:hAnsi="Times New Roman" w:cs="Times New Roman"/>
          <w:sz w:val="26"/>
          <w:szCs w:val="26"/>
        </w:rPr>
        <w:t xml:space="preserve">Az </w:t>
      </w:r>
      <w:r w:rsidRPr="7C285CBA">
        <w:rPr>
          <w:rFonts w:ascii="Times New Roman" w:eastAsia="Times New Roman" w:hAnsi="Times New Roman" w:cs="Times New Roman"/>
          <w:b/>
          <w:bCs/>
          <w:sz w:val="26"/>
          <w:szCs w:val="26"/>
        </w:rPr>
        <w:t xml:space="preserve">Egyéb uniós bevételek </w:t>
      </w:r>
      <w:r w:rsidRPr="7C285CBA">
        <w:rPr>
          <w:rFonts w:ascii="Times New Roman" w:eastAsia="Times New Roman" w:hAnsi="Times New Roman" w:cs="Times New Roman"/>
          <w:sz w:val="26"/>
          <w:szCs w:val="26"/>
        </w:rPr>
        <w:t>soron a vámbeszedési költség megtérítése jelenik meg, mely 23,2</w:t>
      </w:r>
      <w:r w:rsidR="00463BF1">
        <w:rPr>
          <w:rFonts w:ascii="Times New Roman" w:eastAsia="Times New Roman" w:hAnsi="Times New Roman" w:cs="Times New Roman"/>
          <w:sz w:val="26"/>
          <w:szCs w:val="26"/>
        </w:rPr>
        <w:t> </w:t>
      </w:r>
      <w:r w:rsidRPr="7C285CBA">
        <w:rPr>
          <w:rFonts w:ascii="Times New Roman" w:eastAsia="Times New Roman" w:hAnsi="Times New Roman" w:cs="Times New Roman"/>
          <w:sz w:val="26"/>
          <w:szCs w:val="26"/>
        </w:rPr>
        <w:t>milliárd forintot tett ki 2025 augusztusáig. Ez az összeg a törvényi előirányzat 73,1%</w:t>
      </w:r>
      <w:r w:rsidR="00463BF1">
        <w:rPr>
          <w:rFonts w:ascii="Times New Roman" w:eastAsia="Times New Roman" w:hAnsi="Times New Roman" w:cs="Times New Roman"/>
          <w:sz w:val="26"/>
          <w:szCs w:val="26"/>
        </w:rPr>
        <w:noBreakHyphen/>
      </w:r>
      <w:r w:rsidRPr="7C285CBA">
        <w:rPr>
          <w:rFonts w:ascii="Times New Roman" w:eastAsia="Times New Roman" w:hAnsi="Times New Roman" w:cs="Times New Roman"/>
          <w:sz w:val="26"/>
          <w:szCs w:val="26"/>
        </w:rPr>
        <w:t>a</w:t>
      </w:r>
      <w:r w:rsidR="00463BF1">
        <w:rPr>
          <w:rFonts w:ascii="Times New Roman" w:eastAsia="Times New Roman" w:hAnsi="Times New Roman" w:cs="Times New Roman"/>
          <w:sz w:val="26"/>
          <w:szCs w:val="26"/>
        </w:rPr>
        <w:t>,</w:t>
      </w:r>
      <w:r w:rsidRPr="7C285CBA">
        <w:rPr>
          <w:rFonts w:ascii="Times New Roman" w:eastAsia="Times New Roman" w:hAnsi="Times New Roman" w:cs="Times New Roman"/>
          <w:sz w:val="26"/>
          <w:szCs w:val="26"/>
        </w:rPr>
        <w:t xml:space="preserve"> és 3,</w:t>
      </w:r>
      <w:r w:rsidR="00463BF1">
        <w:rPr>
          <w:rFonts w:ascii="Times New Roman" w:eastAsia="Times New Roman" w:hAnsi="Times New Roman" w:cs="Times New Roman"/>
          <w:sz w:val="26"/>
          <w:szCs w:val="26"/>
        </w:rPr>
        <w:t>3 </w:t>
      </w:r>
      <w:r w:rsidRPr="7C285CBA">
        <w:rPr>
          <w:rFonts w:ascii="Times New Roman" w:eastAsia="Times New Roman" w:hAnsi="Times New Roman" w:cs="Times New Roman"/>
          <w:sz w:val="26"/>
          <w:szCs w:val="26"/>
        </w:rPr>
        <w:t>milliárd forinttal haladja meg a 2024. év azonos időszakában keletkezett bevételt.</w:t>
      </w:r>
    </w:p>
    <w:p w14:paraId="0BB117DA" w14:textId="77777777" w:rsidR="00BD1758" w:rsidRPr="00BD1758" w:rsidRDefault="00BD1758" w:rsidP="00285866">
      <w:pPr>
        <w:jc w:val="both"/>
        <w:rPr>
          <w:rFonts w:ascii="Times New Roman" w:eastAsia="Calibri" w:hAnsi="Times New Roman" w:cs="Times New Roman"/>
          <w:sz w:val="26"/>
          <w:szCs w:val="26"/>
          <w:lang w:eastAsia="hu-HU"/>
        </w:rPr>
      </w:pPr>
      <w:r w:rsidRPr="00BD1758">
        <w:rPr>
          <w:rFonts w:ascii="Times New Roman" w:eastAsia="Calibri" w:hAnsi="Times New Roman" w:cs="Times New Roman"/>
          <w:sz w:val="26"/>
          <w:szCs w:val="26"/>
          <w:lang w:eastAsia="hu-HU"/>
        </w:rPr>
        <w:t xml:space="preserve">A befizetett társadalombiztosítási járulék 8,1%-át az állami adóhatóság a foglalkoztatási programokkal kapcsolatos elkülönített állami pénzalapnak utalja át. 2025. augusztus végéig a </w:t>
      </w:r>
      <w:r w:rsidRPr="00BD1758">
        <w:rPr>
          <w:rFonts w:ascii="Times New Roman" w:eastAsia="Calibri" w:hAnsi="Times New Roman" w:cs="Times New Roman"/>
          <w:b/>
          <w:bCs/>
          <w:sz w:val="26"/>
          <w:szCs w:val="26"/>
          <w:lang w:eastAsia="hu-HU"/>
        </w:rPr>
        <w:t xml:space="preserve">társadalombiztosítási járulék </w:t>
      </w:r>
      <w:r w:rsidRPr="00BD1758">
        <w:rPr>
          <w:rFonts w:ascii="Times New Roman" w:eastAsia="Times New Roman" w:hAnsi="Times New Roman" w:cs="Times New Roman"/>
          <w:b/>
          <w:bCs/>
          <w:sz w:val="26"/>
          <w:szCs w:val="26"/>
          <w:lang w:eastAsia="hu-HU"/>
        </w:rPr>
        <w:t xml:space="preserve">Nemzeti Foglalkoztatási </w:t>
      </w:r>
      <w:r w:rsidRPr="00BD1758">
        <w:rPr>
          <w:rFonts w:ascii="Times New Roman" w:eastAsia="Calibri" w:hAnsi="Times New Roman" w:cs="Times New Roman"/>
          <w:b/>
          <w:bCs/>
          <w:sz w:val="26"/>
          <w:szCs w:val="26"/>
          <w:lang w:eastAsia="hu-HU"/>
        </w:rPr>
        <w:t xml:space="preserve">Alapot megillető része </w:t>
      </w:r>
      <w:r w:rsidRPr="00BD1758">
        <w:rPr>
          <w:rFonts w:ascii="Times New Roman" w:eastAsia="Calibri" w:hAnsi="Times New Roman" w:cs="Times New Roman"/>
          <w:bCs/>
          <w:sz w:val="26"/>
          <w:szCs w:val="26"/>
          <w:lang w:eastAsia="hu-HU"/>
        </w:rPr>
        <w:t>289,3</w:t>
      </w:r>
      <w:r w:rsidRPr="00BD1758">
        <w:rPr>
          <w:rFonts w:ascii="Times New Roman" w:eastAsia="Calibri" w:hAnsi="Times New Roman" w:cs="Times New Roman"/>
          <w:sz w:val="26"/>
          <w:szCs w:val="26"/>
          <w:lang w:eastAsia="hu-HU"/>
        </w:rPr>
        <w:t> milliárd</w:t>
      </w:r>
      <w:r w:rsidRPr="00BD1758">
        <w:rPr>
          <w:rFonts w:ascii="Times New Roman" w:eastAsia="Times New Roman" w:hAnsi="Times New Roman" w:cs="Times New Roman"/>
          <w:sz w:val="26"/>
          <w:szCs w:val="20"/>
          <w:lang w:eastAsia="hu-HU"/>
        </w:rPr>
        <w:t> </w:t>
      </w:r>
      <w:r w:rsidRPr="00BD1758">
        <w:rPr>
          <w:rFonts w:ascii="Times New Roman" w:eastAsia="Calibri" w:hAnsi="Times New Roman" w:cs="Times New Roman"/>
          <w:sz w:val="26"/>
          <w:szCs w:val="26"/>
          <w:lang w:eastAsia="hu-HU"/>
        </w:rPr>
        <w:t>forintban teljesült, amely az előző év azonos időszakában befolyt bevételt 23,9</w:t>
      </w:r>
      <w:r w:rsidRPr="00BD1758">
        <w:rPr>
          <w:rFonts w:ascii="Times New Roman" w:eastAsia="Times New Roman" w:hAnsi="Times New Roman" w:cs="Times New Roman"/>
          <w:sz w:val="26"/>
          <w:szCs w:val="20"/>
          <w:lang w:eastAsia="hu-HU"/>
        </w:rPr>
        <w:t> </w:t>
      </w:r>
      <w:r w:rsidRPr="00BD1758">
        <w:rPr>
          <w:rFonts w:ascii="Times New Roman" w:eastAsia="Calibri" w:hAnsi="Times New Roman" w:cs="Times New Roman"/>
          <w:sz w:val="26"/>
          <w:szCs w:val="26"/>
          <w:lang w:eastAsia="hu-HU"/>
        </w:rPr>
        <w:t>milliárd</w:t>
      </w:r>
      <w:r w:rsidRPr="00BD1758">
        <w:rPr>
          <w:rFonts w:ascii="Times New Roman" w:eastAsia="Times New Roman" w:hAnsi="Times New Roman" w:cs="Times New Roman"/>
          <w:sz w:val="26"/>
          <w:szCs w:val="20"/>
          <w:lang w:eastAsia="hu-HU"/>
        </w:rPr>
        <w:t> </w:t>
      </w:r>
      <w:r w:rsidRPr="00BD1758">
        <w:rPr>
          <w:rFonts w:ascii="Times New Roman" w:eastAsia="Calibri" w:hAnsi="Times New Roman" w:cs="Times New Roman"/>
          <w:sz w:val="26"/>
          <w:szCs w:val="26"/>
          <w:lang w:eastAsia="hu-HU"/>
        </w:rPr>
        <w:t>forinttal haladta meg. A bevételnövekedés oka a járulékköteles jövedelmek növekedése.</w:t>
      </w:r>
    </w:p>
    <w:p w14:paraId="23ECB148" w14:textId="7EEA6B13" w:rsidR="00BD1758" w:rsidRPr="00BD1758" w:rsidRDefault="00BD1758" w:rsidP="00285866">
      <w:pPr>
        <w:jc w:val="both"/>
        <w:rPr>
          <w:rFonts w:ascii="Times New Roman" w:eastAsia="Times New Roman" w:hAnsi="Times New Roman" w:cs="Times New Roman"/>
          <w:sz w:val="26"/>
          <w:szCs w:val="26"/>
          <w:lang w:eastAsia="hu-HU"/>
        </w:rPr>
      </w:pPr>
      <w:r w:rsidRPr="00BD1758">
        <w:rPr>
          <w:rFonts w:ascii="Times New Roman" w:eastAsia="Times New Roman" w:hAnsi="Times New Roman" w:cs="Times New Roman"/>
          <w:sz w:val="26"/>
          <w:szCs w:val="26"/>
          <w:lang w:eastAsia="hu-HU"/>
        </w:rPr>
        <w:t xml:space="preserve">2025-ben a szociális hozzájárulási adó megfizetett összegének 86,96%-a </w:t>
      </w:r>
      <w:proofErr w:type="spellStart"/>
      <w:r w:rsidRPr="00BD1758">
        <w:rPr>
          <w:rFonts w:ascii="Times New Roman" w:eastAsia="Times New Roman" w:hAnsi="Times New Roman" w:cs="Times New Roman"/>
          <w:sz w:val="26"/>
          <w:szCs w:val="26"/>
          <w:lang w:eastAsia="hu-HU"/>
        </w:rPr>
        <w:t>a</w:t>
      </w:r>
      <w:proofErr w:type="spellEnd"/>
      <w:r w:rsidR="004012A0">
        <w:rPr>
          <w:rFonts w:ascii="Times New Roman" w:eastAsia="Times New Roman" w:hAnsi="Times New Roman" w:cs="Times New Roman"/>
          <w:sz w:val="26"/>
          <w:szCs w:val="26"/>
          <w:lang w:eastAsia="hu-HU"/>
        </w:rPr>
        <w:t> </w:t>
      </w:r>
      <w:r w:rsidRPr="00BD1758">
        <w:rPr>
          <w:rFonts w:ascii="Times New Roman" w:eastAsia="Times New Roman" w:hAnsi="Times New Roman" w:cs="Times New Roman"/>
          <w:sz w:val="26"/>
          <w:szCs w:val="26"/>
          <w:lang w:eastAsia="hu-HU"/>
        </w:rPr>
        <w:t xml:space="preserve">Nyugdíjbiztosítási Alapot illeti meg. A </w:t>
      </w:r>
      <w:r w:rsidRPr="00BD1758">
        <w:rPr>
          <w:rFonts w:ascii="Times New Roman" w:eastAsia="Times New Roman" w:hAnsi="Times New Roman" w:cs="Times New Roman"/>
          <w:b/>
          <w:bCs/>
          <w:sz w:val="26"/>
          <w:szCs w:val="26"/>
          <w:lang w:eastAsia="hu-HU"/>
        </w:rPr>
        <w:t xml:space="preserve">szociális hozzájárulási adó Nyugdíjbiztosítási Alapot megillető része </w:t>
      </w:r>
      <w:r w:rsidRPr="00BD1758">
        <w:rPr>
          <w:rFonts w:ascii="Times New Roman" w:eastAsia="Times New Roman" w:hAnsi="Times New Roman" w:cs="Times New Roman"/>
          <w:bCs/>
          <w:sz w:val="26"/>
          <w:szCs w:val="26"/>
          <w:lang w:eastAsia="hu-HU"/>
        </w:rPr>
        <w:t>2025 első nyolc hónapjában</w:t>
      </w:r>
      <w:r w:rsidRPr="00BD1758">
        <w:rPr>
          <w:rFonts w:ascii="Times New Roman" w:eastAsia="Times New Roman" w:hAnsi="Times New Roman" w:cs="Times New Roman"/>
          <w:sz w:val="26"/>
          <w:szCs w:val="26"/>
          <w:lang w:eastAsia="hu-HU"/>
        </w:rPr>
        <w:t xml:space="preserve"> 1939,6</w:t>
      </w:r>
      <w:r w:rsidRPr="00BD1758">
        <w:rPr>
          <w:rFonts w:ascii="Times New Roman" w:eastAsia="Times New Roman" w:hAnsi="Times New Roman" w:cs="Times New Roman"/>
          <w:sz w:val="26"/>
          <w:szCs w:val="20"/>
          <w:lang w:eastAsia="hu-HU"/>
        </w:rPr>
        <w:t> </w:t>
      </w:r>
      <w:r w:rsidRPr="00BD1758">
        <w:rPr>
          <w:rFonts w:ascii="Times New Roman" w:eastAsia="Times New Roman" w:hAnsi="Times New Roman" w:cs="Times New Roman"/>
          <w:sz w:val="26"/>
          <w:szCs w:val="26"/>
          <w:lang w:eastAsia="hu-HU"/>
        </w:rPr>
        <w:t>milliárd</w:t>
      </w:r>
      <w:r w:rsidRPr="00BD1758">
        <w:rPr>
          <w:rFonts w:ascii="Times New Roman" w:eastAsia="Times New Roman" w:hAnsi="Times New Roman" w:cs="Times New Roman"/>
          <w:sz w:val="26"/>
          <w:szCs w:val="20"/>
          <w:lang w:eastAsia="hu-HU"/>
        </w:rPr>
        <w:t> </w:t>
      </w:r>
      <w:r w:rsidRPr="00BD1758">
        <w:rPr>
          <w:rFonts w:ascii="Times New Roman" w:eastAsia="Times New Roman" w:hAnsi="Times New Roman" w:cs="Times New Roman"/>
          <w:sz w:val="26"/>
          <w:szCs w:val="26"/>
          <w:lang w:eastAsia="hu-HU"/>
        </w:rPr>
        <w:t>forintban teljesült, amely 139,9</w:t>
      </w:r>
      <w:r w:rsidRPr="00BD1758">
        <w:rPr>
          <w:rFonts w:ascii="Times New Roman" w:eastAsia="Times New Roman" w:hAnsi="Times New Roman" w:cs="Times New Roman"/>
          <w:sz w:val="26"/>
          <w:szCs w:val="20"/>
          <w:lang w:eastAsia="hu-HU"/>
        </w:rPr>
        <w:t> </w:t>
      </w:r>
      <w:r w:rsidRPr="00BD1758">
        <w:rPr>
          <w:rFonts w:ascii="Times New Roman" w:eastAsia="Times New Roman" w:hAnsi="Times New Roman" w:cs="Times New Roman"/>
          <w:sz w:val="26"/>
          <w:szCs w:val="26"/>
          <w:lang w:eastAsia="hu-HU"/>
        </w:rPr>
        <w:t>milliárd</w:t>
      </w:r>
      <w:r w:rsidRPr="00BD1758">
        <w:rPr>
          <w:rFonts w:ascii="Times New Roman" w:eastAsia="Times New Roman" w:hAnsi="Times New Roman" w:cs="Times New Roman"/>
          <w:sz w:val="26"/>
          <w:szCs w:val="20"/>
          <w:lang w:eastAsia="hu-HU"/>
        </w:rPr>
        <w:t> </w:t>
      </w:r>
      <w:r w:rsidRPr="00BD1758">
        <w:rPr>
          <w:rFonts w:ascii="Times New Roman" w:eastAsia="Times New Roman" w:hAnsi="Times New Roman" w:cs="Times New Roman"/>
          <w:sz w:val="26"/>
          <w:szCs w:val="26"/>
          <w:lang w:eastAsia="hu-HU"/>
        </w:rPr>
        <w:t>forinttal haladta meg az előző év azonos időszakában befolyt bevételt. A bevétel változása az adóköteles jövedelmek növekedésével és az alapok közötti megoszlási arány változásával magyarázható.</w:t>
      </w:r>
    </w:p>
    <w:p w14:paraId="14944D8E" w14:textId="4842FB11" w:rsidR="002A41A8" w:rsidRDefault="00BD1758" w:rsidP="00285866">
      <w:pPr>
        <w:jc w:val="both"/>
        <w:rPr>
          <w:rFonts w:ascii="Times New Roman" w:eastAsia="Calibri" w:hAnsi="Times New Roman" w:cs="Times New Roman"/>
          <w:sz w:val="26"/>
          <w:szCs w:val="26"/>
          <w:lang w:eastAsia="hu-HU"/>
        </w:rPr>
      </w:pPr>
      <w:r w:rsidRPr="00BD1758">
        <w:rPr>
          <w:rFonts w:ascii="Times New Roman" w:eastAsia="Times New Roman" w:hAnsi="Times New Roman" w:cs="Times New Roman"/>
          <w:sz w:val="26"/>
          <w:szCs w:val="26"/>
          <w:lang w:eastAsia="hu-HU"/>
        </w:rPr>
        <w:t xml:space="preserve">A befizetett társadalombiztosítási járulék 54%-át az állami adóhatóság a Nyugdíjbiztosítási Alapnak utalja át. 2025. augusztus végéig a </w:t>
      </w:r>
      <w:r w:rsidRPr="00BD1758">
        <w:rPr>
          <w:rFonts w:ascii="Times New Roman" w:eastAsia="Times New Roman" w:hAnsi="Times New Roman" w:cs="Times New Roman"/>
          <w:b/>
          <w:bCs/>
          <w:sz w:val="26"/>
          <w:szCs w:val="26"/>
          <w:lang w:eastAsia="hu-HU"/>
        </w:rPr>
        <w:t>társadalombiztosítási járulék Nyugdíjbiztosítási Alapot megillető része és nyugdíjjárulék</w:t>
      </w:r>
      <w:r w:rsidRPr="00BD1758">
        <w:rPr>
          <w:rFonts w:ascii="Times New Roman" w:eastAsia="Times New Roman" w:hAnsi="Times New Roman" w:cs="Times New Roman"/>
          <w:sz w:val="26"/>
          <w:szCs w:val="26"/>
          <w:lang w:eastAsia="hu-HU"/>
        </w:rPr>
        <w:t xml:space="preserve"> 1968,6</w:t>
      </w:r>
      <w:r w:rsidRPr="00BD1758">
        <w:rPr>
          <w:rFonts w:ascii="Times New Roman" w:eastAsia="Times New Roman" w:hAnsi="Times New Roman" w:cs="Times New Roman"/>
          <w:sz w:val="26"/>
          <w:szCs w:val="20"/>
          <w:lang w:eastAsia="hu-HU"/>
        </w:rPr>
        <w:t> </w:t>
      </w:r>
      <w:r w:rsidRPr="00BD1758">
        <w:rPr>
          <w:rFonts w:ascii="Times New Roman" w:eastAsia="Times New Roman" w:hAnsi="Times New Roman" w:cs="Times New Roman"/>
          <w:sz w:val="26"/>
          <w:szCs w:val="26"/>
          <w:lang w:eastAsia="hu-HU"/>
        </w:rPr>
        <w:t>milliárd</w:t>
      </w:r>
      <w:r w:rsidRPr="00BD1758">
        <w:rPr>
          <w:rFonts w:ascii="Times New Roman" w:eastAsia="Times New Roman" w:hAnsi="Times New Roman" w:cs="Times New Roman"/>
          <w:sz w:val="26"/>
          <w:szCs w:val="20"/>
          <w:lang w:eastAsia="hu-HU"/>
        </w:rPr>
        <w:t> </w:t>
      </w:r>
      <w:r w:rsidRPr="00BD1758">
        <w:rPr>
          <w:rFonts w:ascii="Times New Roman" w:eastAsia="Times New Roman" w:hAnsi="Times New Roman" w:cs="Times New Roman"/>
          <w:sz w:val="26"/>
          <w:szCs w:val="26"/>
          <w:lang w:eastAsia="hu-HU"/>
        </w:rPr>
        <w:t>forintban teljesült, amely az előző év azonos időszakában befolyt bevételt 161,4</w:t>
      </w:r>
      <w:r w:rsidRPr="00BD1758">
        <w:rPr>
          <w:rFonts w:ascii="Times New Roman" w:eastAsia="Times New Roman" w:hAnsi="Times New Roman" w:cs="Times New Roman"/>
          <w:sz w:val="26"/>
          <w:szCs w:val="20"/>
          <w:lang w:eastAsia="hu-HU"/>
        </w:rPr>
        <w:t> </w:t>
      </w:r>
      <w:r w:rsidRPr="00BD1758">
        <w:rPr>
          <w:rFonts w:ascii="Times New Roman" w:eastAsia="Times New Roman" w:hAnsi="Times New Roman" w:cs="Times New Roman"/>
          <w:sz w:val="26"/>
          <w:szCs w:val="26"/>
          <w:lang w:eastAsia="hu-HU"/>
        </w:rPr>
        <w:t>milliárd</w:t>
      </w:r>
      <w:r w:rsidRPr="00BD1758">
        <w:rPr>
          <w:rFonts w:ascii="Times New Roman" w:eastAsia="Times New Roman" w:hAnsi="Times New Roman" w:cs="Times New Roman"/>
          <w:sz w:val="26"/>
          <w:szCs w:val="20"/>
          <w:lang w:eastAsia="hu-HU"/>
        </w:rPr>
        <w:t> </w:t>
      </w:r>
      <w:r w:rsidRPr="00BD1758">
        <w:rPr>
          <w:rFonts w:ascii="Times New Roman" w:eastAsia="Times New Roman" w:hAnsi="Times New Roman" w:cs="Times New Roman"/>
          <w:sz w:val="26"/>
          <w:szCs w:val="26"/>
          <w:lang w:eastAsia="hu-HU"/>
        </w:rPr>
        <w:t xml:space="preserve">forinttal haladta meg. </w:t>
      </w:r>
      <w:r w:rsidRPr="00BD1758">
        <w:rPr>
          <w:rFonts w:ascii="Times New Roman" w:eastAsia="Calibri" w:hAnsi="Times New Roman" w:cs="Times New Roman"/>
          <w:sz w:val="26"/>
          <w:szCs w:val="26"/>
          <w:lang w:eastAsia="hu-HU"/>
        </w:rPr>
        <w:t>A bevételnövekedés oka a járulékköteles jövedelmek növekedése</w:t>
      </w:r>
      <w:r w:rsidR="7C285CBA" w:rsidRPr="7C285CBA">
        <w:rPr>
          <w:rFonts w:ascii="Times New Roman" w:eastAsia="Calibri" w:hAnsi="Times New Roman" w:cs="Times New Roman"/>
          <w:sz w:val="26"/>
          <w:szCs w:val="26"/>
          <w:lang w:eastAsia="hu-HU"/>
        </w:rPr>
        <w:t>.</w:t>
      </w:r>
    </w:p>
    <w:p w14:paraId="6512C1A9" w14:textId="1F517F7B" w:rsidR="00462EDD" w:rsidRPr="00462EDD" w:rsidRDefault="57821025" w:rsidP="00285866">
      <w:pPr>
        <w:jc w:val="both"/>
        <w:rPr>
          <w:rFonts w:ascii="Times New Roman" w:eastAsia="Times New Roman" w:hAnsi="Times New Roman" w:cs="Times New Roman"/>
          <w:sz w:val="26"/>
          <w:szCs w:val="26"/>
        </w:rPr>
      </w:pPr>
      <w:r w:rsidRPr="57821025">
        <w:rPr>
          <w:rFonts w:ascii="Times New Roman" w:eastAsia="Times New Roman" w:hAnsi="Times New Roman" w:cs="Times New Roman"/>
          <w:sz w:val="26"/>
          <w:szCs w:val="26"/>
        </w:rPr>
        <w:t xml:space="preserve">A </w:t>
      </w:r>
      <w:r w:rsidRPr="57821025">
        <w:rPr>
          <w:rFonts w:ascii="Times New Roman" w:eastAsia="Times New Roman" w:hAnsi="Times New Roman" w:cs="Times New Roman"/>
          <w:b/>
          <w:bCs/>
          <w:sz w:val="26"/>
          <w:szCs w:val="26"/>
        </w:rPr>
        <w:t>Nyugdíjbiztosítási Alap</w:t>
      </w:r>
      <w:r w:rsidRPr="57821025">
        <w:rPr>
          <w:rFonts w:ascii="Times New Roman" w:eastAsia="Times New Roman" w:hAnsi="Times New Roman" w:cs="Times New Roman"/>
          <w:sz w:val="26"/>
          <w:szCs w:val="26"/>
        </w:rPr>
        <w:t xml:space="preserve"> 2025. évi költségvetése az ellátási kiadások támogatására 564,5 milliárd forint központi </w:t>
      </w:r>
      <w:r w:rsidRPr="57821025">
        <w:rPr>
          <w:rFonts w:ascii="Times New Roman" w:eastAsia="Times New Roman" w:hAnsi="Times New Roman" w:cs="Times New Roman"/>
          <w:b/>
          <w:bCs/>
          <w:sz w:val="26"/>
          <w:szCs w:val="26"/>
        </w:rPr>
        <w:t>költségvetési hozzájárulást</w:t>
      </w:r>
      <w:r w:rsidRPr="57821025">
        <w:rPr>
          <w:rFonts w:ascii="Times New Roman" w:eastAsia="Times New Roman" w:hAnsi="Times New Roman" w:cs="Times New Roman"/>
          <w:sz w:val="26"/>
          <w:szCs w:val="26"/>
        </w:rPr>
        <w:t xml:space="preserve"> tartalmaz, ami 33,1 milliárd forinttal haladja meg az előző évi előirányzatot.</w:t>
      </w:r>
    </w:p>
    <w:p w14:paraId="1B9C4A3C" w14:textId="19DB75C2" w:rsidR="00462EDD" w:rsidRPr="00462EDD" w:rsidRDefault="7C285CBA" w:rsidP="00285866">
      <w:pPr>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A központi költségvetés 77,4 milliárd forintot biztosít az Alap részére pénzeszközátadás útján, míg további 487,1 milliárd forintot – a 13. havi nyugdíj és a nyugdíjprémium fedezeteként – címzett támogatás formájában. A 13. havi nyugdíj és a nyugdíjprémium támogatásának előirányzatai év közben előirányzat-módosítás nélkül túlléphetők.</w:t>
      </w:r>
    </w:p>
    <w:p w14:paraId="2CBF9A93" w14:textId="5D95CDBF" w:rsidR="19667954" w:rsidRDefault="57821025" w:rsidP="00285866">
      <w:pPr>
        <w:jc w:val="both"/>
        <w:rPr>
          <w:rFonts w:ascii="Times New Roman" w:eastAsia="Times New Roman" w:hAnsi="Times New Roman" w:cs="Times New Roman"/>
          <w:sz w:val="26"/>
          <w:szCs w:val="26"/>
        </w:rPr>
      </w:pPr>
      <w:r w:rsidRPr="57821025">
        <w:rPr>
          <w:rFonts w:ascii="Times New Roman" w:eastAsia="Times New Roman" w:hAnsi="Times New Roman" w:cs="Times New Roman"/>
          <w:sz w:val="26"/>
          <w:szCs w:val="26"/>
        </w:rPr>
        <w:t xml:space="preserve">A Magyar Államkincstár az ellátási kiadások támogatására a Nyugdíjbiztosítási Alap részére 2025. augusztus végéig 51,6 milliárd forint központi támogatást utalt át </w:t>
      </w:r>
      <w:r w:rsidRPr="57821025">
        <w:rPr>
          <w:rFonts w:ascii="Times New Roman" w:eastAsia="Times New Roman" w:hAnsi="Times New Roman" w:cs="Times New Roman"/>
          <w:b/>
          <w:bCs/>
          <w:sz w:val="26"/>
          <w:szCs w:val="26"/>
        </w:rPr>
        <w:lastRenderedPageBreak/>
        <w:t>pénzeszköz-átadás</w:t>
      </w:r>
      <w:r w:rsidRPr="57821025">
        <w:rPr>
          <w:rFonts w:ascii="Times New Roman" w:eastAsia="Times New Roman" w:hAnsi="Times New Roman" w:cs="Times New Roman"/>
          <w:sz w:val="26"/>
          <w:szCs w:val="26"/>
        </w:rPr>
        <w:t xml:space="preserve"> jogcímen, ami 10,4 milliárd forinttal magasabb az előző év azonos időszakában nyújtott támogatás összegénél. A pénzeszköz-átadás a Nyugdíjbiztosítási Alap költségvetési egyensúlyának biztosítását szolgálja.</w:t>
      </w:r>
    </w:p>
    <w:p w14:paraId="6BF2F156" w14:textId="4BC83F57" w:rsidR="00A76FE3" w:rsidRDefault="7C285CBA" w:rsidP="00285866">
      <w:pPr>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 xml:space="preserve">A </w:t>
      </w:r>
      <w:r w:rsidRPr="7C285CBA">
        <w:rPr>
          <w:rFonts w:ascii="Times New Roman" w:eastAsia="Times New Roman" w:hAnsi="Times New Roman" w:cs="Times New Roman"/>
          <w:b/>
          <w:bCs/>
          <w:sz w:val="26"/>
          <w:szCs w:val="26"/>
        </w:rPr>
        <w:t>13. havi nyugdíj kifizetésének</w:t>
      </w:r>
      <w:r w:rsidRPr="7C285CBA">
        <w:rPr>
          <w:rFonts w:ascii="Times New Roman" w:eastAsia="Times New Roman" w:hAnsi="Times New Roman" w:cs="Times New Roman"/>
          <w:sz w:val="26"/>
          <w:szCs w:val="26"/>
        </w:rPr>
        <w:t xml:space="preserve"> támogatására február hónapban 487,1 milliárd forint került átutalásra a Nyugdíjbiztosítási Alap részére, ami 38,1 milliárd forinttal haladja meg az előző év azonos időszakában ugyanezen a jogcímen nyújtott támogatás összegét.</w:t>
      </w:r>
    </w:p>
    <w:p w14:paraId="1E5039D7" w14:textId="1967BBF6" w:rsidR="475F3A1A" w:rsidRDefault="00B3244C" w:rsidP="005861AE">
      <w:pPr>
        <w:jc w:val="center"/>
        <w:rPr>
          <w:rFonts w:ascii="Times New Roman" w:eastAsia="Times New Roman" w:hAnsi="Times New Roman" w:cs="Times New Roman"/>
          <w:sz w:val="26"/>
          <w:szCs w:val="26"/>
        </w:rPr>
      </w:pPr>
      <w:r>
        <w:rPr>
          <w:noProof/>
        </w:rPr>
        <w:drawing>
          <wp:inline distT="0" distB="0" distL="0" distR="0" wp14:anchorId="3BA290ED" wp14:editId="24E7C52C">
            <wp:extent cx="5940425" cy="2382982"/>
            <wp:effectExtent l="0" t="0" r="3175" b="0"/>
            <wp:docPr id="102464977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49774" name=""/>
                    <pic:cNvPicPr/>
                  </pic:nvPicPr>
                  <pic:blipFill rotWithShape="1">
                    <a:blip r:embed="rId17"/>
                    <a:srcRect b="8826"/>
                    <a:stretch/>
                  </pic:blipFill>
                  <pic:spPr bwMode="auto">
                    <a:xfrm>
                      <a:off x="0" y="0"/>
                      <a:ext cx="5940425" cy="2382982"/>
                    </a:xfrm>
                    <a:prstGeom prst="rect">
                      <a:avLst/>
                    </a:prstGeom>
                    <a:ln>
                      <a:noFill/>
                    </a:ln>
                    <a:extLst>
                      <a:ext uri="{53640926-AAD7-44D8-BBD7-CCE9431645EC}">
                        <a14:shadowObscured xmlns:a14="http://schemas.microsoft.com/office/drawing/2010/main"/>
                      </a:ext>
                    </a:extLst>
                  </pic:spPr>
                </pic:pic>
              </a:graphicData>
            </a:graphic>
          </wp:inline>
        </w:drawing>
      </w:r>
    </w:p>
    <w:p w14:paraId="2B1BEBD3" w14:textId="79B0EB0D" w:rsidR="00BD1758" w:rsidRPr="00BD1758" w:rsidRDefault="00BD1758" w:rsidP="004B3295">
      <w:pPr>
        <w:jc w:val="both"/>
        <w:rPr>
          <w:rFonts w:ascii="Times New Roman" w:eastAsia="Times New Roman" w:hAnsi="Times New Roman" w:cs="Times New Roman"/>
          <w:sz w:val="26"/>
          <w:szCs w:val="26"/>
          <w:lang w:eastAsia="hu-HU"/>
        </w:rPr>
      </w:pPr>
      <w:r w:rsidRPr="00BD1758">
        <w:rPr>
          <w:rFonts w:ascii="Times New Roman" w:eastAsia="Calibri" w:hAnsi="Times New Roman" w:cs="Times New Roman"/>
          <w:sz w:val="26"/>
          <w:szCs w:val="26"/>
          <w:lang w:eastAsia="hu-HU"/>
        </w:rPr>
        <w:t>2025-ben a szociális hozzájárulási adó megfizetett összegének 13,04%-a az</w:t>
      </w:r>
      <w:r w:rsidR="00C94EDE">
        <w:rPr>
          <w:rFonts w:ascii="Times New Roman" w:eastAsia="Calibri" w:hAnsi="Times New Roman" w:cs="Times New Roman"/>
          <w:sz w:val="26"/>
          <w:szCs w:val="26"/>
          <w:lang w:eastAsia="hu-HU"/>
        </w:rPr>
        <w:t> </w:t>
      </w:r>
      <w:r w:rsidRPr="00BD1758">
        <w:rPr>
          <w:rFonts w:ascii="Times New Roman" w:eastAsia="Calibri" w:hAnsi="Times New Roman" w:cs="Times New Roman"/>
          <w:sz w:val="26"/>
          <w:szCs w:val="26"/>
          <w:lang w:eastAsia="hu-HU"/>
        </w:rPr>
        <w:t xml:space="preserve">Egészségbiztosítási Alapot illeti meg. 2025 első nyolc hónapjában a </w:t>
      </w:r>
      <w:r w:rsidRPr="00BD1758">
        <w:rPr>
          <w:rFonts w:ascii="Times New Roman" w:eastAsia="Calibri" w:hAnsi="Times New Roman" w:cs="Times New Roman"/>
          <w:b/>
          <w:bCs/>
          <w:sz w:val="26"/>
          <w:szCs w:val="26"/>
          <w:lang w:eastAsia="hu-HU"/>
        </w:rPr>
        <w:t>szociális hozzájárulási adó Egészségbiztosítási Alapot megillető része</w:t>
      </w:r>
      <w:r w:rsidRPr="00BD1758">
        <w:rPr>
          <w:rFonts w:ascii="Times New Roman" w:eastAsia="Calibri" w:hAnsi="Times New Roman" w:cs="Times New Roman"/>
          <w:sz w:val="26"/>
          <w:szCs w:val="26"/>
          <w:lang w:eastAsia="hu-HU"/>
        </w:rPr>
        <w:t xml:space="preserve"> 290,9</w:t>
      </w:r>
      <w:r w:rsidRPr="00BD1758">
        <w:rPr>
          <w:rFonts w:ascii="Times New Roman" w:eastAsia="Times New Roman" w:hAnsi="Times New Roman" w:cs="Times New Roman"/>
          <w:sz w:val="26"/>
          <w:szCs w:val="20"/>
          <w:lang w:eastAsia="hu-HU"/>
        </w:rPr>
        <w:t> </w:t>
      </w:r>
      <w:r w:rsidRPr="00BD1758">
        <w:rPr>
          <w:rFonts w:ascii="Times New Roman" w:eastAsia="Calibri" w:hAnsi="Times New Roman" w:cs="Times New Roman"/>
          <w:sz w:val="26"/>
          <w:szCs w:val="26"/>
          <w:lang w:eastAsia="hu-HU"/>
        </w:rPr>
        <w:t>milliárd</w:t>
      </w:r>
      <w:r w:rsidRPr="00BD1758">
        <w:rPr>
          <w:rFonts w:ascii="Times New Roman" w:eastAsia="Times New Roman" w:hAnsi="Times New Roman" w:cs="Times New Roman"/>
          <w:sz w:val="26"/>
          <w:szCs w:val="20"/>
          <w:lang w:eastAsia="hu-HU"/>
        </w:rPr>
        <w:t> </w:t>
      </w:r>
      <w:r w:rsidRPr="00BD1758">
        <w:rPr>
          <w:rFonts w:ascii="Times New Roman" w:eastAsia="Calibri" w:hAnsi="Times New Roman" w:cs="Times New Roman"/>
          <w:sz w:val="26"/>
          <w:szCs w:val="26"/>
          <w:lang w:eastAsia="hu-HU"/>
        </w:rPr>
        <w:t>forintban teljesült, amely 71,7</w:t>
      </w:r>
      <w:r w:rsidRPr="00BD1758">
        <w:rPr>
          <w:rFonts w:ascii="Times New Roman" w:eastAsia="Times New Roman" w:hAnsi="Times New Roman" w:cs="Times New Roman"/>
          <w:sz w:val="26"/>
          <w:szCs w:val="20"/>
          <w:lang w:eastAsia="hu-HU"/>
        </w:rPr>
        <w:t> </w:t>
      </w:r>
      <w:r w:rsidRPr="00BD1758">
        <w:rPr>
          <w:rFonts w:ascii="Times New Roman" w:eastAsia="Calibri" w:hAnsi="Times New Roman" w:cs="Times New Roman"/>
          <w:sz w:val="26"/>
          <w:szCs w:val="26"/>
          <w:lang w:eastAsia="hu-HU"/>
        </w:rPr>
        <w:t>milliárd</w:t>
      </w:r>
      <w:r w:rsidRPr="00BD1758">
        <w:rPr>
          <w:rFonts w:ascii="Times New Roman" w:eastAsia="Times New Roman" w:hAnsi="Times New Roman" w:cs="Times New Roman"/>
          <w:sz w:val="26"/>
          <w:szCs w:val="20"/>
          <w:lang w:eastAsia="hu-HU"/>
        </w:rPr>
        <w:t> </w:t>
      </w:r>
      <w:r w:rsidRPr="00BD1758">
        <w:rPr>
          <w:rFonts w:ascii="Times New Roman" w:eastAsia="Calibri" w:hAnsi="Times New Roman" w:cs="Times New Roman"/>
          <w:sz w:val="26"/>
          <w:szCs w:val="26"/>
          <w:lang w:eastAsia="hu-HU"/>
        </w:rPr>
        <w:t xml:space="preserve">forinttal </w:t>
      </w:r>
      <w:r w:rsidRPr="00BD1758">
        <w:rPr>
          <w:rFonts w:ascii="Times New Roman" w:eastAsia="Times New Roman" w:hAnsi="Times New Roman" w:cs="Times New Roman"/>
          <w:sz w:val="26"/>
          <w:szCs w:val="26"/>
          <w:lang w:eastAsia="hu-HU"/>
        </w:rPr>
        <w:t>haladta meg az előző év azonos időszakában befolyt bevételt</w:t>
      </w:r>
      <w:r w:rsidRPr="00BD1758">
        <w:rPr>
          <w:rFonts w:ascii="Times New Roman" w:eastAsia="Calibri" w:hAnsi="Times New Roman" w:cs="Times New Roman"/>
          <w:sz w:val="26"/>
          <w:szCs w:val="26"/>
          <w:lang w:eastAsia="hu-HU"/>
        </w:rPr>
        <w:t xml:space="preserve">. </w:t>
      </w:r>
      <w:r w:rsidRPr="00BD1758">
        <w:rPr>
          <w:rFonts w:ascii="Times New Roman" w:eastAsia="Times New Roman" w:hAnsi="Times New Roman" w:cs="Times New Roman"/>
          <w:sz w:val="26"/>
          <w:szCs w:val="26"/>
          <w:lang w:eastAsia="hu-HU"/>
        </w:rPr>
        <w:t>A bevétel változása az adóköteles jövedelmek növekedésével és az alapok közötti megoszlási arány változásának együttes hatásával magyarázható.</w:t>
      </w:r>
    </w:p>
    <w:p w14:paraId="0BFBC401" w14:textId="73E086FE" w:rsidR="002A41A8" w:rsidRDefault="00BD1758" w:rsidP="004B3295">
      <w:pPr>
        <w:jc w:val="both"/>
        <w:rPr>
          <w:rFonts w:ascii="Times New Roman" w:eastAsia="Calibri" w:hAnsi="Times New Roman" w:cs="Times New Roman"/>
          <w:sz w:val="26"/>
          <w:szCs w:val="26"/>
          <w:lang w:eastAsia="hu-HU"/>
        </w:rPr>
      </w:pPr>
      <w:r w:rsidRPr="00BD1758">
        <w:rPr>
          <w:rFonts w:ascii="Times New Roman" w:eastAsia="Calibri" w:hAnsi="Times New Roman" w:cs="Times New Roman"/>
          <w:sz w:val="26"/>
          <w:szCs w:val="26"/>
          <w:lang w:eastAsia="hu-HU"/>
        </w:rPr>
        <w:t xml:space="preserve">A befizetett társadalombiztosítási járulék 37,9%-át az állami adóhatóság az Egészségbiztosítási Alapnak utalja át. 2025. augusztus végéig a </w:t>
      </w:r>
      <w:r w:rsidRPr="00BD1758">
        <w:rPr>
          <w:rFonts w:ascii="Times New Roman" w:eastAsia="Calibri" w:hAnsi="Times New Roman" w:cs="Times New Roman"/>
          <w:b/>
          <w:bCs/>
          <w:sz w:val="26"/>
          <w:szCs w:val="26"/>
          <w:lang w:eastAsia="hu-HU"/>
        </w:rPr>
        <w:t>társadalombiztosítási járulék Egészségbiztosítási Alapot megillető része és egészségbiztosítási járulék</w:t>
      </w:r>
      <w:r w:rsidRPr="00BD1758">
        <w:rPr>
          <w:rFonts w:ascii="Times New Roman" w:eastAsia="Calibri" w:hAnsi="Times New Roman" w:cs="Times New Roman"/>
          <w:sz w:val="26"/>
          <w:szCs w:val="26"/>
          <w:lang w:eastAsia="hu-HU"/>
        </w:rPr>
        <w:t xml:space="preserve"> 1342,0</w:t>
      </w:r>
      <w:r w:rsidRPr="00BD1758">
        <w:rPr>
          <w:rFonts w:ascii="Times New Roman" w:eastAsia="Times New Roman" w:hAnsi="Times New Roman" w:cs="Times New Roman"/>
          <w:sz w:val="26"/>
          <w:szCs w:val="20"/>
          <w:lang w:eastAsia="hu-HU"/>
        </w:rPr>
        <w:t> </w:t>
      </w:r>
      <w:r w:rsidRPr="00BD1758">
        <w:rPr>
          <w:rFonts w:ascii="Times New Roman" w:eastAsia="Calibri" w:hAnsi="Times New Roman" w:cs="Times New Roman"/>
          <w:sz w:val="26"/>
          <w:szCs w:val="26"/>
          <w:lang w:eastAsia="hu-HU"/>
        </w:rPr>
        <w:t>milliárd</w:t>
      </w:r>
      <w:r w:rsidRPr="00BD1758">
        <w:rPr>
          <w:rFonts w:ascii="Times New Roman" w:eastAsia="Times New Roman" w:hAnsi="Times New Roman" w:cs="Times New Roman"/>
          <w:sz w:val="26"/>
          <w:szCs w:val="20"/>
          <w:lang w:eastAsia="hu-HU"/>
        </w:rPr>
        <w:t> </w:t>
      </w:r>
      <w:r w:rsidRPr="00BD1758">
        <w:rPr>
          <w:rFonts w:ascii="Times New Roman" w:eastAsia="Calibri" w:hAnsi="Times New Roman" w:cs="Times New Roman"/>
          <w:sz w:val="26"/>
          <w:szCs w:val="26"/>
          <w:lang w:eastAsia="hu-HU"/>
        </w:rPr>
        <w:t xml:space="preserve">forintban teljesült, </w:t>
      </w:r>
      <w:r w:rsidRPr="00BD1758">
        <w:rPr>
          <w:rFonts w:ascii="Times New Roman" w:eastAsia="Times New Roman" w:hAnsi="Times New Roman" w:cs="Times New Roman"/>
          <w:sz w:val="26"/>
          <w:szCs w:val="26"/>
          <w:lang w:eastAsia="hu-HU"/>
        </w:rPr>
        <w:t>amely az előző év azonos időszakában befolyt bevételt</w:t>
      </w:r>
      <w:r w:rsidRPr="00BD1758">
        <w:rPr>
          <w:rFonts w:ascii="Times New Roman" w:eastAsia="Calibri" w:hAnsi="Times New Roman" w:cs="Times New Roman"/>
          <w:sz w:val="26"/>
          <w:szCs w:val="26"/>
          <w:lang w:eastAsia="hu-HU"/>
        </w:rPr>
        <w:t xml:space="preserve"> 109,8 milliárd</w:t>
      </w:r>
      <w:r w:rsidRPr="00BD1758">
        <w:rPr>
          <w:rFonts w:ascii="Times New Roman" w:eastAsia="Times New Roman" w:hAnsi="Times New Roman" w:cs="Times New Roman"/>
          <w:sz w:val="26"/>
          <w:szCs w:val="20"/>
          <w:lang w:eastAsia="hu-HU"/>
        </w:rPr>
        <w:t> </w:t>
      </w:r>
      <w:r w:rsidRPr="00BD1758">
        <w:rPr>
          <w:rFonts w:ascii="Times New Roman" w:eastAsia="Calibri" w:hAnsi="Times New Roman" w:cs="Times New Roman"/>
          <w:sz w:val="26"/>
          <w:szCs w:val="26"/>
          <w:lang w:eastAsia="hu-HU"/>
        </w:rPr>
        <w:t>forinttal haladta meg. A bevételnövekedés oka a járulékköteles jövedelmek növekedése</w:t>
      </w:r>
      <w:r w:rsidR="7C285CBA" w:rsidRPr="7C285CBA">
        <w:rPr>
          <w:rFonts w:ascii="Times New Roman" w:eastAsia="Calibri" w:hAnsi="Times New Roman" w:cs="Times New Roman"/>
          <w:sz w:val="26"/>
          <w:szCs w:val="26"/>
          <w:lang w:eastAsia="hu-HU"/>
        </w:rPr>
        <w:t>.</w:t>
      </w:r>
    </w:p>
    <w:p w14:paraId="754C440E" w14:textId="78E50008" w:rsidR="005961B9" w:rsidRDefault="12F4B78A" w:rsidP="00F46F72">
      <w:pPr>
        <w:jc w:val="both"/>
        <w:rPr>
          <w:rFonts w:ascii="Times New Roman" w:hAnsi="Times New Roman" w:cs="Times New Roman"/>
          <w:sz w:val="26"/>
          <w:szCs w:val="26"/>
        </w:rPr>
      </w:pPr>
      <w:r w:rsidRPr="12F4B78A">
        <w:rPr>
          <w:rFonts w:ascii="Times New Roman" w:hAnsi="Times New Roman" w:cs="Times New Roman"/>
          <w:sz w:val="26"/>
          <w:szCs w:val="26"/>
        </w:rPr>
        <w:t xml:space="preserve">Az </w:t>
      </w:r>
      <w:r w:rsidRPr="12F4B78A">
        <w:rPr>
          <w:rFonts w:ascii="Times New Roman" w:hAnsi="Times New Roman" w:cs="Times New Roman"/>
          <w:b/>
          <w:bCs/>
          <w:sz w:val="26"/>
          <w:szCs w:val="26"/>
        </w:rPr>
        <w:t>Egészségbiztosítási Alap költségvetési hozzájárulásai</w:t>
      </w:r>
      <w:r w:rsidRPr="12F4B78A">
        <w:rPr>
          <w:rFonts w:ascii="Times New Roman" w:hAnsi="Times New Roman" w:cs="Times New Roman"/>
          <w:sz w:val="26"/>
          <w:szCs w:val="26"/>
        </w:rPr>
        <w:t xml:space="preserve"> 2025 első nyolc hónapjában összesen 1259,5 milliárd forintot tettek ki, amely 1,2 milliárd forinttal alacsonyabb, mint az előző év azonos időszakában átutalt összeg. 2025 augusztus végéig az Egészségbiztosítási Alap járulék címen átvett pénzeszközként 461,5 milliárd forint támogatást kapott, szemben a tavalyi év azonos időszakában átutalt 435,3 milliárd forint összeggel. Az alap kiadásainak támogatására szolgáló tervezett pénzeszköz-átvétel és az</w:t>
      </w:r>
      <w:r w:rsidR="004B3295">
        <w:rPr>
          <w:rFonts w:ascii="Times New Roman" w:hAnsi="Times New Roman" w:cs="Times New Roman"/>
          <w:sz w:val="26"/>
          <w:szCs w:val="26"/>
        </w:rPr>
        <w:t xml:space="preserve"> </w:t>
      </w:r>
      <w:r w:rsidRPr="12F4B78A">
        <w:rPr>
          <w:rFonts w:ascii="Times New Roman" w:hAnsi="Times New Roman" w:cs="Times New Roman"/>
          <w:sz w:val="26"/>
          <w:szCs w:val="26"/>
        </w:rPr>
        <w:t>egészségügyi feladatok ellátásával kapcsolatos hozzájárulás együttes összege 2025.</w:t>
      </w:r>
      <w:r w:rsidR="004B3295">
        <w:rPr>
          <w:rFonts w:ascii="Times New Roman" w:hAnsi="Times New Roman" w:cs="Times New Roman"/>
          <w:sz w:val="26"/>
          <w:szCs w:val="26"/>
        </w:rPr>
        <w:t> </w:t>
      </w:r>
      <w:r w:rsidRPr="12F4B78A">
        <w:rPr>
          <w:rFonts w:ascii="Times New Roman" w:hAnsi="Times New Roman" w:cs="Times New Roman"/>
          <w:sz w:val="26"/>
          <w:szCs w:val="26"/>
        </w:rPr>
        <w:t>augusztus végéig 79</w:t>
      </w:r>
      <w:r w:rsidR="00890B2A">
        <w:rPr>
          <w:rFonts w:ascii="Times New Roman" w:hAnsi="Times New Roman" w:cs="Times New Roman"/>
          <w:sz w:val="26"/>
          <w:szCs w:val="26"/>
        </w:rPr>
        <w:t>8</w:t>
      </w:r>
      <w:r w:rsidRPr="12F4B78A">
        <w:rPr>
          <w:rFonts w:ascii="Times New Roman" w:hAnsi="Times New Roman" w:cs="Times New Roman"/>
          <w:sz w:val="26"/>
          <w:szCs w:val="26"/>
        </w:rPr>
        <w:t>,</w:t>
      </w:r>
      <w:r w:rsidR="00890B2A">
        <w:rPr>
          <w:rFonts w:ascii="Times New Roman" w:hAnsi="Times New Roman" w:cs="Times New Roman"/>
          <w:sz w:val="26"/>
          <w:szCs w:val="26"/>
        </w:rPr>
        <w:t>0</w:t>
      </w:r>
      <w:r w:rsidRPr="12F4B78A">
        <w:rPr>
          <w:rFonts w:ascii="Times New Roman" w:hAnsi="Times New Roman" w:cs="Times New Roman"/>
          <w:sz w:val="26"/>
          <w:szCs w:val="26"/>
        </w:rPr>
        <w:t> milliárd forintot tett ki, amely 27,</w:t>
      </w:r>
      <w:r w:rsidR="00194EEE">
        <w:rPr>
          <w:rFonts w:ascii="Times New Roman" w:hAnsi="Times New Roman" w:cs="Times New Roman"/>
          <w:sz w:val="26"/>
          <w:szCs w:val="26"/>
        </w:rPr>
        <w:t>4</w:t>
      </w:r>
      <w:r w:rsidRPr="12F4B78A">
        <w:rPr>
          <w:rFonts w:ascii="Times New Roman" w:hAnsi="Times New Roman" w:cs="Times New Roman"/>
          <w:sz w:val="26"/>
          <w:szCs w:val="26"/>
        </w:rPr>
        <w:t> milliárd forinttal elmarad a tavalyi év ugyanezen időszakában átutalt összegtől.</w:t>
      </w:r>
    </w:p>
    <w:p w14:paraId="51F08DF7" w14:textId="6FA8B559" w:rsidR="009E34AE" w:rsidRPr="00377D59" w:rsidRDefault="7C285CBA" w:rsidP="7C285CBA">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7C285CBA">
        <w:rPr>
          <w:rFonts w:ascii="Times New Roman" w:eastAsia="Times New Roman" w:hAnsi="Times New Roman" w:cs="Times New Roman"/>
          <w:b/>
          <w:bCs/>
          <w:smallCaps/>
          <w:sz w:val="28"/>
          <w:szCs w:val="28"/>
          <w:lang w:eastAsia="hu-HU"/>
        </w:rPr>
        <w:lastRenderedPageBreak/>
        <w:t xml:space="preserve">A főbb kiadások </w:t>
      </w:r>
    </w:p>
    <w:p w14:paraId="37346F2A" w14:textId="09D5B0BF" w:rsidR="00D33920" w:rsidRPr="00D33920" w:rsidRDefault="00D33920" w:rsidP="00F46F72">
      <w:pPr>
        <w:jc w:val="both"/>
        <w:rPr>
          <w:rFonts w:ascii="Times New Roman" w:eastAsia="Times New Roman" w:hAnsi="Times New Roman" w:cs="Times New Roman"/>
          <w:b/>
          <w:bCs/>
          <w:sz w:val="26"/>
          <w:szCs w:val="26"/>
          <w:lang w:eastAsia="hu-HU"/>
        </w:rPr>
      </w:pPr>
      <w:bookmarkStart w:id="0" w:name="_Hlk203486744"/>
      <w:r w:rsidRPr="00D33920">
        <w:rPr>
          <w:rFonts w:ascii="Times New Roman" w:eastAsia="Times New Roman" w:hAnsi="Times New Roman" w:cs="Times New Roman"/>
          <w:b/>
          <w:bCs/>
          <w:sz w:val="26"/>
          <w:szCs w:val="26"/>
          <w:lang w:eastAsia="hu-HU"/>
        </w:rPr>
        <w:t>A központi alrendszer augusztus végi 29</w:t>
      </w:r>
      <w:r>
        <w:rPr>
          <w:rFonts w:ascii="Times New Roman" w:eastAsia="Times New Roman" w:hAnsi="Times New Roman" w:cs="Times New Roman"/>
          <w:b/>
          <w:bCs/>
          <w:sz w:val="26"/>
          <w:szCs w:val="26"/>
          <w:lang w:eastAsia="hu-HU"/>
        </w:rPr>
        <w:t> </w:t>
      </w:r>
      <w:r w:rsidRPr="00D33920">
        <w:rPr>
          <w:rFonts w:ascii="Times New Roman" w:eastAsia="Times New Roman" w:hAnsi="Times New Roman" w:cs="Times New Roman"/>
          <w:b/>
          <w:bCs/>
          <w:sz w:val="26"/>
          <w:szCs w:val="26"/>
          <w:lang w:eastAsia="hu-HU"/>
        </w:rPr>
        <w:t>377,5</w:t>
      </w:r>
      <w:r w:rsidR="002827DF">
        <w:rPr>
          <w:rFonts w:ascii="Times New Roman" w:eastAsia="Times New Roman" w:hAnsi="Times New Roman" w:cs="Times New Roman"/>
          <w:b/>
          <w:bCs/>
          <w:sz w:val="26"/>
          <w:szCs w:val="26"/>
          <w:lang w:eastAsia="hu-HU"/>
        </w:rPr>
        <w:t> </w:t>
      </w:r>
      <w:r w:rsidRPr="00D33920">
        <w:rPr>
          <w:rFonts w:ascii="Times New Roman" w:eastAsia="Times New Roman" w:hAnsi="Times New Roman" w:cs="Times New Roman"/>
          <w:b/>
          <w:bCs/>
          <w:sz w:val="26"/>
          <w:szCs w:val="26"/>
          <w:lang w:eastAsia="hu-HU"/>
        </w:rPr>
        <w:t xml:space="preserve">milliárd forint összegű kiadásai </w:t>
      </w:r>
      <w:r>
        <w:rPr>
          <w:rFonts w:ascii="Times New Roman" w:eastAsia="Times New Roman" w:hAnsi="Times New Roman" w:cs="Times New Roman"/>
          <w:b/>
          <w:bCs/>
          <w:sz w:val="26"/>
          <w:szCs w:val="26"/>
          <w:lang w:eastAsia="hu-HU"/>
        </w:rPr>
        <w:br/>
      </w:r>
      <w:r w:rsidRPr="00D33920">
        <w:rPr>
          <w:rFonts w:ascii="Times New Roman" w:eastAsia="Times New Roman" w:hAnsi="Times New Roman" w:cs="Times New Roman"/>
          <w:b/>
          <w:bCs/>
          <w:sz w:val="26"/>
          <w:szCs w:val="26"/>
          <w:lang w:eastAsia="hu-HU"/>
        </w:rPr>
        <w:t xml:space="preserve">1905,1 milliárd forinttal, 6,9%-kal haladták meg az előző év azonos időszaki adatát. </w:t>
      </w:r>
    </w:p>
    <w:bookmarkEnd w:id="0"/>
    <w:p w14:paraId="156EBD71" w14:textId="6FB7EAA5" w:rsidR="00F46F72" w:rsidRPr="00F46F72" w:rsidRDefault="00F46F72" w:rsidP="00F46F72">
      <w:pPr>
        <w:pStyle w:val="NormlWeb"/>
        <w:spacing w:before="0" w:beforeAutospacing="0" w:after="160" w:afterAutospacing="0" w:line="259" w:lineRule="auto"/>
        <w:jc w:val="both"/>
        <w:rPr>
          <w:b/>
          <w:bCs/>
          <w:sz w:val="26"/>
          <w:szCs w:val="26"/>
        </w:rPr>
      </w:pPr>
      <w:r w:rsidRPr="00F46F72">
        <w:rPr>
          <w:b/>
          <w:bCs/>
          <w:sz w:val="26"/>
          <w:szCs w:val="26"/>
        </w:rPr>
        <w:t>Magasabban teljesültek az egy évvel korábbihoz képest többek között az állami közlekedési és közüzemi szolgáltatások</w:t>
      </w:r>
      <w:r w:rsidR="002D7CCE">
        <w:rPr>
          <w:b/>
          <w:bCs/>
          <w:sz w:val="26"/>
          <w:szCs w:val="26"/>
        </w:rPr>
        <w:t xml:space="preserve"> kiadásai</w:t>
      </w:r>
      <w:r w:rsidRPr="00F46F72">
        <w:rPr>
          <w:b/>
          <w:bCs/>
          <w:sz w:val="26"/>
          <w:szCs w:val="26"/>
        </w:rPr>
        <w:t>, a babaváró támogatások, a költségvetési szervek kiadásai, a szakmai fejezeti kezelésű előirányzatok kiadásai, a kamatkiadások és a helyi önkormányzatok támogatásai.</w:t>
      </w:r>
    </w:p>
    <w:p w14:paraId="1660E392" w14:textId="1F877E5C" w:rsidR="00F46F72" w:rsidRDefault="00F46F72" w:rsidP="00F46F72">
      <w:pPr>
        <w:pStyle w:val="NormlWeb"/>
        <w:spacing w:before="0" w:beforeAutospacing="0" w:after="160" w:afterAutospacing="0" w:line="259" w:lineRule="auto"/>
        <w:jc w:val="both"/>
        <w:rPr>
          <w:b/>
          <w:bCs/>
          <w:sz w:val="26"/>
          <w:szCs w:val="26"/>
        </w:rPr>
      </w:pPr>
      <w:r w:rsidRPr="00F46F72">
        <w:rPr>
          <w:b/>
          <w:bCs/>
          <w:sz w:val="26"/>
          <w:szCs w:val="26"/>
        </w:rPr>
        <w:t xml:space="preserve">Meghaladták az egy évvel korábbi kifizetést a nyugellátásokra és a gyógyító-megelőző ellátásra fordított összegek is. Nyugellátásokra </w:t>
      </w:r>
      <w:r>
        <w:rPr>
          <w:b/>
          <w:bCs/>
          <w:sz w:val="26"/>
          <w:szCs w:val="26"/>
        </w:rPr>
        <w:t xml:space="preserve">és nyugdíjszerű ellátásokra </w:t>
      </w:r>
      <w:r w:rsidRPr="00F46F72">
        <w:rPr>
          <w:b/>
          <w:bCs/>
          <w:sz w:val="26"/>
          <w:szCs w:val="26"/>
        </w:rPr>
        <w:t>4</w:t>
      </w:r>
      <w:r>
        <w:rPr>
          <w:b/>
          <w:bCs/>
          <w:sz w:val="26"/>
          <w:szCs w:val="26"/>
        </w:rPr>
        <w:t>954,6 </w:t>
      </w:r>
      <w:r w:rsidRPr="00F46F72">
        <w:rPr>
          <w:b/>
          <w:bCs/>
          <w:sz w:val="26"/>
          <w:szCs w:val="26"/>
        </w:rPr>
        <w:t>milliárd forint, míg a gyógyító-megelőző ellátásra 1969,5 milliárd forint került kifizetésre augusztus végéig.</w:t>
      </w:r>
    </w:p>
    <w:p w14:paraId="71AFDEF8" w14:textId="3049B2E6" w:rsidR="00C35E13" w:rsidRDefault="00B3244C" w:rsidP="00F46F72">
      <w:pPr>
        <w:pStyle w:val="NormlWeb"/>
        <w:spacing w:after="0" w:afterAutospacing="0"/>
        <w:jc w:val="both"/>
      </w:pPr>
      <w:r>
        <w:rPr>
          <w:noProof/>
        </w:rPr>
        <w:drawing>
          <wp:inline distT="0" distB="0" distL="0" distR="0" wp14:anchorId="56CB2828" wp14:editId="201A2FA5">
            <wp:extent cx="5940425" cy="2108200"/>
            <wp:effectExtent l="0" t="0" r="3175" b="6350"/>
            <wp:docPr id="78525780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57802" name=""/>
                    <pic:cNvPicPr/>
                  </pic:nvPicPr>
                  <pic:blipFill>
                    <a:blip r:embed="rId18"/>
                    <a:stretch>
                      <a:fillRect/>
                    </a:stretch>
                  </pic:blipFill>
                  <pic:spPr>
                    <a:xfrm>
                      <a:off x="0" y="0"/>
                      <a:ext cx="5940425" cy="2108200"/>
                    </a:xfrm>
                    <a:prstGeom prst="rect">
                      <a:avLst/>
                    </a:prstGeom>
                  </pic:spPr>
                </pic:pic>
              </a:graphicData>
            </a:graphic>
          </wp:inline>
        </w:drawing>
      </w:r>
    </w:p>
    <w:p w14:paraId="4B8141ED" w14:textId="71C2E40F" w:rsidR="3268830B" w:rsidRDefault="7C285CBA" w:rsidP="7C285CBA">
      <w:pPr>
        <w:spacing w:before="240"/>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 xml:space="preserve">Az </w:t>
      </w:r>
      <w:r w:rsidRPr="7C285CBA">
        <w:rPr>
          <w:rFonts w:ascii="Times New Roman" w:eastAsia="Times New Roman" w:hAnsi="Times New Roman" w:cs="Times New Roman"/>
          <w:b/>
          <w:bCs/>
          <w:sz w:val="26"/>
          <w:szCs w:val="26"/>
        </w:rPr>
        <w:t>úthálózat rendelkezésre állási díjak</w:t>
      </w:r>
      <w:r w:rsidRPr="7C285CBA">
        <w:rPr>
          <w:rFonts w:ascii="Times New Roman" w:eastAsia="Times New Roman" w:hAnsi="Times New Roman" w:cs="Times New Roman"/>
          <w:sz w:val="26"/>
          <w:szCs w:val="26"/>
        </w:rPr>
        <w:t xml:space="preserve"> mérlegsor tartalmazza az M5, M6 autópálya rendelkezésre állási díjak, valamint a gyorsforgalmi úthálózat rendelkezésre állási díj előirányzatok kiadásait, amelynek összege 2025. augusztus végéig 415,9 milliárd forint volt, ami 155,0 milliárd forinttal magasabban alakult a 2024. év azonos időszakához képest. Az eltérést egyrészt a gyorsforgalmi úthálózat rendelkezésre állási díjának szerződésből fakadó változása, másrészt egyedi elemként egyes felújítási munkákból és nagykarbantartási munkákból történő kifizetése</w:t>
      </w:r>
      <w:r w:rsidR="00541D66">
        <w:rPr>
          <w:rFonts w:ascii="Times New Roman" w:eastAsia="Times New Roman" w:hAnsi="Times New Roman" w:cs="Times New Roman"/>
          <w:sz w:val="26"/>
          <w:szCs w:val="26"/>
        </w:rPr>
        <w:t>k</w:t>
      </w:r>
      <w:r w:rsidRPr="7C285CBA">
        <w:rPr>
          <w:rFonts w:ascii="Times New Roman" w:eastAsia="Times New Roman" w:hAnsi="Times New Roman" w:cs="Times New Roman"/>
          <w:sz w:val="26"/>
          <w:szCs w:val="26"/>
        </w:rPr>
        <w:t xml:space="preserve"> magyarázz</w:t>
      </w:r>
      <w:r w:rsidR="00541D66">
        <w:rPr>
          <w:rFonts w:ascii="Times New Roman" w:eastAsia="Times New Roman" w:hAnsi="Times New Roman" w:cs="Times New Roman"/>
          <w:sz w:val="26"/>
          <w:szCs w:val="26"/>
        </w:rPr>
        <w:t>ák</w:t>
      </w:r>
      <w:r w:rsidRPr="7C285CBA">
        <w:rPr>
          <w:rFonts w:ascii="Times New Roman" w:eastAsia="Times New Roman" w:hAnsi="Times New Roman" w:cs="Times New Roman"/>
          <w:sz w:val="26"/>
          <w:szCs w:val="26"/>
        </w:rPr>
        <w:t>.</w:t>
      </w:r>
    </w:p>
    <w:p w14:paraId="182A3A7A" w14:textId="4E47B9E3" w:rsidR="1EBF714E" w:rsidRPr="003772C6" w:rsidRDefault="7C285CBA" w:rsidP="7C285CBA">
      <w:pPr>
        <w:jc w:val="both"/>
        <w:rPr>
          <w:rFonts w:ascii="Times New Roman" w:eastAsia="Times New Roman" w:hAnsi="Times New Roman" w:cs="Times New Roman"/>
          <w:sz w:val="26"/>
          <w:szCs w:val="26"/>
          <w:highlight w:val="yellow"/>
        </w:rPr>
      </w:pPr>
      <w:r w:rsidRPr="7C285CBA">
        <w:rPr>
          <w:rFonts w:ascii="Times New Roman" w:eastAsia="Times New Roman" w:hAnsi="Times New Roman" w:cs="Times New Roman"/>
          <w:sz w:val="26"/>
          <w:szCs w:val="26"/>
        </w:rPr>
        <w:t xml:space="preserve">A </w:t>
      </w:r>
      <w:r w:rsidRPr="7C285CBA">
        <w:rPr>
          <w:rFonts w:ascii="Times New Roman" w:eastAsia="Times New Roman" w:hAnsi="Times New Roman" w:cs="Times New Roman"/>
          <w:b/>
          <w:bCs/>
          <w:sz w:val="26"/>
          <w:szCs w:val="26"/>
        </w:rPr>
        <w:t>közösségi közlekedés költségtérítés és támogatás</w:t>
      </w:r>
      <w:r w:rsidRPr="7C285CBA">
        <w:rPr>
          <w:rFonts w:ascii="Times New Roman" w:eastAsia="Times New Roman" w:hAnsi="Times New Roman" w:cs="Times New Roman"/>
          <w:sz w:val="26"/>
          <w:szCs w:val="26"/>
        </w:rPr>
        <w:t xml:space="preserve"> mérlegsor kiadásai 2025. augusztus végéig 574,5 milliárd forintot tettek ki, amelyből a szociálpolitikai menetdíj támogatás 107,4 milliárd forint. Az összes kiadás 26,7 milliárd forinttal több, mint a megelőző év azonos időszaki teljesítése, amit részben a kifizetések lehívásának éven belüli időbeli eltérése, részben az új típusú autóbuszos szolgáltatásnak a korábbiaktól eltérő finanszírozási rendszere okoz.   </w:t>
      </w:r>
    </w:p>
    <w:p w14:paraId="3B52873E" w14:textId="3217500D" w:rsidR="008D3E76" w:rsidRDefault="7C285CBA" w:rsidP="7C285CBA">
      <w:pPr>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 xml:space="preserve">A </w:t>
      </w:r>
      <w:r w:rsidRPr="7C285CBA">
        <w:rPr>
          <w:rFonts w:ascii="Times New Roman" w:eastAsia="Times New Roman" w:hAnsi="Times New Roman" w:cs="Times New Roman"/>
          <w:b/>
          <w:bCs/>
          <w:sz w:val="26"/>
          <w:szCs w:val="26"/>
        </w:rPr>
        <w:t>közüzemi szolgáltatások támogatása</w:t>
      </w:r>
      <w:r w:rsidRPr="7C285CBA">
        <w:rPr>
          <w:rFonts w:ascii="Times New Roman" w:eastAsia="Times New Roman" w:hAnsi="Times New Roman" w:cs="Times New Roman"/>
          <w:sz w:val="26"/>
          <w:szCs w:val="26"/>
        </w:rPr>
        <w:t xml:space="preserve"> mérlegsor tartalmazza a lakossági energia rezsivédelmi szolgáltatás, a rezsivédelmi készletezési szolgáltatás és a távhőszolgáltatók kompenzációjával kapcsolatos kiadásokat, valamint a Víziközmű-fejlesztési és Ellentételezési Alap kiadásait is. A közüzemi szolgáltatások támogatására fordított kiadások 2025. augusztus végéig 664,1 milliárd forintot tettek ki. A mérlegsor jelenlegi teljesítése 8,9 milliárd</w:t>
      </w:r>
      <w:r w:rsidR="00980E46">
        <w:rPr>
          <w:rFonts w:ascii="Times New Roman" w:eastAsia="Times New Roman" w:hAnsi="Times New Roman" w:cs="Times New Roman"/>
          <w:sz w:val="26"/>
          <w:szCs w:val="26"/>
        </w:rPr>
        <w:t> </w:t>
      </w:r>
      <w:r w:rsidRPr="7C285CBA">
        <w:rPr>
          <w:rFonts w:ascii="Times New Roman" w:eastAsia="Times New Roman" w:hAnsi="Times New Roman" w:cs="Times New Roman"/>
          <w:sz w:val="26"/>
          <w:szCs w:val="26"/>
        </w:rPr>
        <w:t xml:space="preserve">forinttal alacsonyabb, mint a 2024. év azonos időszakában a </w:t>
      </w:r>
      <w:r w:rsidRPr="7C285CBA">
        <w:rPr>
          <w:rFonts w:ascii="Times New Roman" w:eastAsia="Times New Roman" w:hAnsi="Times New Roman" w:cs="Times New Roman"/>
          <w:sz w:val="26"/>
          <w:szCs w:val="26"/>
        </w:rPr>
        <w:lastRenderedPageBreak/>
        <w:t>közüzemi szolgáltatások teljesítésére fordított 673,0 milliárd forint, amely a kifizetések eltérő ütemezéséből fakadt.</w:t>
      </w:r>
    </w:p>
    <w:p w14:paraId="79E44A54" w14:textId="5B9B7852" w:rsidR="0F03D9E1" w:rsidRDefault="7C285CBA" w:rsidP="7C285CBA">
      <w:pPr>
        <w:jc w:val="both"/>
        <w:rPr>
          <w:rFonts w:ascii="Times New Roman" w:eastAsia="Times New Roman" w:hAnsi="Times New Roman" w:cs="Times New Roman"/>
          <w:sz w:val="26"/>
          <w:szCs w:val="26"/>
        </w:rPr>
      </w:pPr>
      <w:r w:rsidRPr="7C285CBA">
        <w:rPr>
          <w:rFonts w:ascii="Times New Roman" w:eastAsia="Times New Roman" w:hAnsi="Times New Roman" w:cs="Times New Roman"/>
          <w:b/>
          <w:bCs/>
          <w:sz w:val="26"/>
          <w:szCs w:val="26"/>
          <w:lang w:eastAsia="hu-HU"/>
        </w:rPr>
        <w:t xml:space="preserve">Lakástámogatásokra </w:t>
      </w:r>
      <w:r w:rsidRPr="7C285CBA">
        <w:rPr>
          <w:rFonts w:ascii="Times New Roman" w:eastAsia="Times New Roman" w:hAnsi="Times New Roman" w:cs="Times New Roman"/>
          <w:sz w:val="26"/>
          <w:szCs w:val="26"/>
        </w:rPr>
        <w:t>fordított kiadások összege augusztus végéig 109,4 milliárd forint volt, mely az előző év azonos időszakához viszonyítva 2,</w:t>
      </w:r>
      <w:r w:rsidR="00980E46">
        <w:rPr>
          <w:rFonts w:ascii="Times New Roman" w:eastAsia="Times New Roman" w:hAnsi="Times New Roman" w:cs="Times New Roman"/>
          <w:sz w:val="26"/>
          <w:szCs w:val="26"/>
        </w:rPr>
        <w:t>9</w:t>
      </w:r>
      <w:r w:rsidRPr="7C285CBA">
        <w:rPr>
          <w:rFonts w:ascii="Times New Roman" w:eastAsia="Times New Roman" w:hAnsi="Times New Roman" w:cs="Times New Roman"/>
          <w:sz w:val="26"/>
          <w:szCs w:val="26"/>
        </w:rPr>
        <w:t> milliárd forinttal teljesült alacsonyabban.</w:t>
      </w:r>
    </w:p>
    <w:p w14:paraId="33223970" w14:textId="25DDB887" w:rsidR="0F03D9E1" w:rsidRDefault="7C285CBA" w:rsidP="7C285CBA">
      <w:pPr>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 xml:space="preserve">A </w:t>
      </w:r>
      <w:r w:rsidRPr="7C285CBA">
        <w:rPr>
          <w:rFonts w:ascii="Times New Roman" w:eastAsia="Times New Roman" w:hAnsi="Times New Roman" w:cs="Times New Roman"/>
          <w:b/>
          <w:bCs/>
          <w:sz w:val="26"/>
          <w:szCs w:val="26"/>
        </w:rPr>
        <w:t>Nemzeti Család- és Szociálpolitikai Alap</w:t>
      </w:r>
      <w:r w:rsidRPr="7C285CBA">
        <w:rPr>
          <w:rFonts w:ascii="Times New Roman" w:eastAsia="Times New Roman" w:hAnsi="Times New Roman" w:cs="Times New Roman"/>
          <w:sz w:val="26"/>
          <w:szCs w:val="26"/>
        </w:rPr>
        <w:t xml:space="preserve"> a családi támogatásokat, a korhatár alatti ellátásokat, a jövedelempótló és jövedelemkiegészítő szociális támogatásokat, valamint a különféle jogcímen adott térítéseket tartalmazza. A főbb támogatásokat a következő táblázat részletezi:</w:t>
      </w:r>
    </w:p>
    <w:p w14:paraId="46398944" w14:textId="2D482933" w:rsidR="00621840" w:rsidRPr="00B32682" w:rsidRDefault="7C285CBA" w:rsidP="7C285CBA">
      <w:pPr>
        <w:spacing w:after="0"/>
        <w:jc w:val="center"/>
        <w:rPr>
          <w:rFonts w:ascii="Times New Roman" w:eastAsia="Times New Roman" w:hAnsi="Times New Roman" w:cs="Times New Roman"/>
        </w:rPr>
      </w:pPr>
      <w:r w:rsidRPr="7C285CBA">
        <w:rPr>
          <w:rFonts w:ascii="Times New Roman" w:hAnsi="Times New Roman" w:cs="Times New Roman"/>
          <w:b/>
          <w:bCs/>
          <w:color w:val="000000" w:themeColor="text1"/>
        </w:rPr>
        <w:t>A Nemzeti Család- és Szociálpolitikai Alap kiadásainak alakulása (milliárd forint)</w:t>
      </w:r>
    </w:p>
    <w:tbl>
      <w:tblPr>
        <w:tblW w:w="9356" w:type="dxa"/>
        <w:tblCellMar>
          <w:left w:w="70" w:type="dxa"/>
          <w:right w:w="70" w:type="dxa"/>
        </w:tblCellMar>
        <w:tblLook w:val="04A0" w:firstRow="1" w:lastRow="0" w:firstColumn="1" w:lastColumn="0" w:noHBand="0" w:noVBand="1"/>
      </w:tblPr>
      <w:tblGrid>
        <w:gridCol w:w="5529"/>
        <w:gridCol w:w="1134"/>
        <w:gridCol w:w="1134"/>
        <w:gridCol w:w="850"/>
        <w:gridCol w:w="709"/>
      </w:tblGrid>
      <w:tr w:rsidR="006068B4" w:rsidRPr="00B32682" w14:paraId="2A7C74BD" w14:textId="77777777" w:rsidTr="7C285CBA">
        <w:trPr>
          <w:trHeight w:hRule="exact" w:val="284"/>
        </w:trPr>
        <w:tc>
          <w:tcPr>
            <w:tcW w:w="9356" w:type="dxa"/>
            <w:gridSpan w:val="5"/>
            <w:tcBorders>
              <w:top w:val="nil"/>
              <w:left w:val="nil"/>
              <w:bottom w:val="single" w:sz="4" w:space="0" w:color="auto"/>
              <w:right w:val="nil"/>
            </w:tcBorders>
            <w:noWrap/>
            <w:vAlign w:val="center"/>
            <w:hideMark/>
          </w:tcPr>
          <w:p w14:paraId="003FCBDC" w14:textId="77777777" w:rsidR="006068B4" w:rsidRPr="00B32682" w:rsidRDefault="006068B4" w:rsidP="000C1105">
            <w:pPr>
              <w:spacing w:after="0"/>
              <w:jc w:val="center"/>
              <w:rPr>
                <w:rFonts w:ascii="Times New Roman" w:hAnsi="Times New Roman" w:cs="Times New Roman"/>
                <w:b/>
                <w:bCs/>
                <w:color w:val="000000"/>
              </w:rPr>
            </w:pPr>
          </w:p>
        </w:tc>
      </w:tr>
      <w:tr w:rsidR="00081A16" w:rsidRPr="006068B4" w14:paraId="485D9574" w14:textId="77777777" w:rsidTr="00DF0A34">
        <w:trPr>
          <w:trHeight w:hRule="exact" w:val="284"/>
        </w:trPr>
        <w:tc>
          <w:tcPr>
            <w:tcW w:w="5529" w:type="dxa"/>
            <w:vMerge w:val="restart"/>
            <w:tcBorders>
              <w:top w:val="nil"/>
              <w:left w:val="single" w:sz="4" w:space="0" w:color="auto"/>
              <w:bottom w:val="single" w:sz="4" w:space="0" w:color="000000" w:themeColor="text1"/>
              <w:right w:val="single" w:sz="4" w:space="0" w:color="auto"/>
            </w:tcBorders>
            <w:shd w:val="clear" w:color="auto" w:fill="BDD6EE" w:themeFill="accent1" w:themeFillTint="66"/>
            <w:noWrap/>
            <w:vAlign w:val="center"/>
            <w:hideMark/>
          </w:tcPr>
          <w:p w14:paraId="03974AE3" w14:textId="77777777" w:rsidR="00081A16" w:rsidRPr="00DD7FD1" w:rsidRDefault="7C285CBA" w:rsidP="7C285CBA">
            <w:pPr>
              <w:spacing w:after="0" w:line="240" w:lineRule="auto"/>
              <w:jc w:val="center"/>
              <w:rPr>
                <w:rFonts w:ascii="Times New Roman" w:hAnsi="Times New Roman" w:cs="Times New Roman"/>
                <w:b/>
                <w:bCs/>
                <w:color w:val="000000" w:themeColor="text1"/>
              </w:rPr>
            </w:pPr>
            <w:r w:rsidRPr="7C285CBA">
              <w:rPr>
                <w:rFonts w:ascii="Times New Roman" w:hAnsi="Times New Roman" w:cs="Times New Roman"/>
                <w:b/>
                <w:bCs/>
                <w:color w:val="000000" w:themeColor="text1"/>
              </w:rPr>
              <w:t>Megnevezés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19955B" w14:textId="30BE9847" w:rsidR="00081A16" w:rsidRPr="00DD7FD1" w:rsidRDefault="7C285CBA" w:rsidP="7C285CBA">
            <w:pPr>
              <w:spacing w:after="0" w:line="240" w:lineRule="auto"/>
              <w:jc w:val="center"/>
              <w:rPr>
                <w:rFonts w:ascii="Times New Roman" w:hAnsi="Times New Roman" w:cs="Times New Roman"/>
                <w:b/>
                <w:bCs/>
                <w:color w:val="000000" w:themeColor="text1"/>
              </w:rPr>
            </w:pPr>
            <w:r w:rsidRPr="7C285CBA">
              <w:rPr>
                <w:rFonts w:ascii="Times New Roman" w:eastAsia="Times New Roman" w:hAnsi="Times New Roman" w:cs="Times New Roman"/>
                <w:b/>
                <w:bCs/>
                <w:lang w:eastAsia="hu-HU"/>
              </w:rPr>
              <w:t xml:space="preserve">2024. </w:t>
            </w:r>
          </w:p>
          <w:p w14:paraId="5E208842" w14:textId="4A022DEF" w:rsidR="00081A16" w:rsidRPr="00DD7FD1" w:rsidRDefault="7C285CBA" w:rsidP="7C285CBA">
            <w:pPr>
              <w:spacing w:after="0" w:line="240" w:lineRule="auto"/>
              <w:jc w:val="center"/>
              <w:rPr>
                <w:rFonts w:ascii="Times New Roman" w:hAnsi="Times New Roman" w:cs="Times New Roman"/>
                <w:b/>
                <w:bCs/>
                <w:color w:val="000000" w:themeColor="text1"/>
              </w:rPr>
            </w:pPr>
            <w:r w:rsidRPr="7C285CBA">
              <w:rPr>
                <w:rFonts w:ascii="Times New Roman" w:eastAsia="Times New Roman" w:hAnsi="Times New Roman" w:cs="Times New Roman"/>
                <w:b/>
                <w:bCs/>
                <w:lang w:eastAsia="hu-HU"/>
              </w:rPr>
              <w:t>I-VIII. hó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515045" w14:textId="76BFE4BD" w:rsidR="00081A16" w:rsidRPr="00DD7FD1" w:rsidRDefault="7C285CBA" w:rsidP="7C285CBA">
            <w:pPr>
              <w:spacing w:after="0" w:line="240" w:lineRule="auto"/>
              <w:jc w:val="center"/>
              <w:rPr>
                <w:rFonts w:ascii="Times New Roman" w:hAnsi="Times New Roman" w:cs="Times New Roman"/>
                <w:b/>
                <w:bCs/>
                <w:color w:val="000000" w:themeColor="text1"/>
              </w:rPr>
            </w:pPr>
            <w:r w:rsidRPr="7C285CBA">
              <w:rPr>
                <w:rFonts w:ascii="Times New Roman" w:eastAsia="Times New Roman" w:hAnsi="Times New Roman" w:cs="Times New Roman"/>
                <w:b/>
                <w:bCs/>
                <w:lang w:eastAsia="hu-HU"/>
              </w:rPr>
              <w:t xml:space="preserve">2025. </w:t>
            </w:r>
          </w:p>
          <w:p w14:paraId="211822BF" w14:textId="27FC1C87" w:rsidR="00081A16" w:rsidRPr="00DD7FD1" w:rsidRDefault="7C285CBA" w:rsidP="7C285CBA">
            <w:pPr>
              <w:spacing w:after="0" w:line="240" w:lineRule="auto"/>
              <w:jc w:val="center"/>
              <w:rPr>
                <w:rFonts w:ascii="Times New Roman" w:hAnsi="Times New Roman" w:cs="Times New Roman"/>
                <w:b/>
                <w:bCs/>
                <w:color w:val="000000" w:themeColor="text1"/>
              </w:rPr>
            </w:pPr>
            <w:r w:rsidRPr="7C285CBA">
              <w:rPr>
                <w:rFonts w:ascii="Times New Roman" w:eastAsia="Times New Roman" w:hAnsi="Times New Roman" w:cs="Times New Roman"/>
                <w:b/>
                <w:bCs/>
                <w:lang w:eastAsia="hu-HU"/>
              </w:rPr>
              <w:t>I-VIII. hó</w:t>
            </w:r>
          </w:p>
        </w:tc>
        <w:tc>
          <w:tcPr>
            <w:tcW w:w="1559"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5F9B9E7" w14:textId="77777777" w:rsidR="00081A16" w:rsidRPr="00DD7FD1" w:rsidRDefault="7C285CBA" w:rsidP="7C285CBA">
            <w:pPr>
              <w:jc w:val="center"/>
              <w:rPr>
                <w:rFonts w:ascii="Times New Roman" w:hAnsi="Times New Roman" w:cs="Times New Roman"/>
                <w:b/>
                <w:bCs/>
                <w:color w:val="000000" w:themeColor="text1"/>
              </w:rPr>
            </w:pPr>
            <w:r w:rsidRPr="7C285CBA">
              <w:rPr>
                <w:rFonts w:ascii="Times New Roman" w:hAnsi="Times New Roman" w:cs="Times New Roman"/>
                <w:b/>
                <w:bCs/>
                <w:color w:val="000000" w:themeColor="text1"/>
              </w:rPr>
              <w:t>Eltérés</w:t>
            </w:r>
          </w:p>
        </w:tc>
      </w:tr>
      <w:tr w:rsidR="006068B4" w:rsidRPr="006068B4" w14:paraId="2BEB1728" w14:textId="77777777" w:rsidTr="00DF0A34">
        <w:trPr>
          <w:trHeight w:hRule="exact" w:val="569"/>
        </w:trPr>
        <w:tc>
          <w:tcPr>
            <w:tcW w:w="5529" w:type="dxa"/>
            <w:vMerge/>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493B685E" w14:textId="77777777" w:rsidR="006068B4" w:rsidRPr="00DD7FD1" w:rsidRDefault="006068B4" w:rsidP="000C1105">
            <w:pPr>
              <w:rPr>
                <w:rFonts w:ascii="Times New Roman" w:hAnsi="Times New Roman" w:cs="Times New Roman"/>
                <w:b/>
                <w:bCs/>
                <w:color w:val="000000"/>
              </w:rPr>
            </w:pPr>
          </w:p>
        </w:tc>
        <w:tc>
          <w:tcPr>
            <w:tcW w:w="1134" w:type="dxa"/>
            <w:vMerge/>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071FC734" w14:textId="77777777" w:rsidR="006068B4" w:rsidRPr="00DD7FD1" w:rsidRDefault="006068B4" w:rsidP="000C1105">
            <w:pPr>
              <w:rPr>
                <w:rFonts w:ascii="Times New Roman" w:hAnsi="Times New Roman" w:cs="Times New Roman"/>
                <w:b/>
                <w:bCs/>
                <w:color w:val="000000"/>
              </w:rPr>
            </w:pPr>
          </w:p>
        </w:tc>
        <w:tc>
          <w:tcPr>
            <w:tcW w:w="1134"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929BC54" w14:textId="77777777" w:rsidR="006068B4" w:rsidRPr="00DD7FD1" w:rsidRDefault="006068B4" w:rsidP="000C1105">
            <w:pPr>
              <w:rPr>
                <w:rFonts w:ascii="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BDD6EE" w:themeFill="accent1" w:themeFillTint="66"/>
            <w:noWrap/>
            <w:vAlign w:val="bottom"/>
            <w:hideMark/>
          </w:tcPr>
          <w:p w14:paraId="012AC354" w14:textId="77777777" w:rsidR="006068B4" w:rsidRPr="00DD7FD1" w:rsidRDefault="7C285CBA" w:rsidP="7C285CBA">
            <w:pPr>
              <w:jc w:val="center"/>
              <w:rPr>
                <w:rFonts w:ascii="Times New Roman" w:hAnsi="Times New Roman" w:cs="Times New Roman"/>
                <w:b/>
                <w:bCs/>
                <w:color w:val="000000" w:themeColor="text1"/>
              </w:rPr>
            </w:pPr>
            <w:r w:rsidRPr="7C285CBA">
              <w:rPr>
                <w:rFonts w:ascii="Times New Roman" w:hAnsi="Times New Roman" w:cs="Times New Roman"/>
                <w:b/>
                <w:bCs/>
                <w:color w:val="000000" w:themeColor="text1"/>
              </w:rPr>
              <w:t>Mrd Ft</w:t>
            </w:r>
          </w:p>
        </w:tc>
        <w:tc>
          <w:tcPr>
            <w:tcW w:w="709" w:type="dxa"/>
            <w:tcBorders>
              <w:top w:val="nil"/>
              <w:left w:val="nil"/>
              <w:bottom w:val="single" w:sz="4" w:space="0" w:color="auto"/>
              <w:right w:val="single" w:sz="4" w:space="0" w:color="auto"/>
            </w:tcBorders>
            <w:shd w:val="clear" w:color="auto" w:fill="BDD6EE" w:themeFill="accent1" w:themeFillTint="66"/>
            <w:noWrap/>
            <w:vAlign w:val="bottom"/>
            <w:hideMark/>
          </w:tcPr>
          <w:p w14:paraId="609414B4" w14:textId="77777777" w:rsidR="006068B4" w:rsidRPr="00DD7FD1" w:rsidRDefault="7C285CBA" w:rsidP="7C285CBA">
            <w:pPr>
              <w:jc w:val="center"/>
              <w:rPr>
                <w:rFonts w:ascii="Times New Roman" w:hAnsi="Times New Roman" w:cs="Times New Roman"/>
                <w:b/>
                <w:bCs/>
                <w:color w:val="000000" w:themeColor="text1"/>
              </w:rPr>
            </w:pPr>
            <w:r w:rsidRPr="7C285CBA">
              <w:rPr>
                <w:rFonts w:ascii="Times New Roman" w:hAnsi="Times New Roman" w:cs="Times New Roman"/>
                <w:b/>
                <w:bCs/>
                <w:color w:val="000000" w:themeColor="text1"/>
              </w:rPr>
              <w:t>%</w:t>
            </w:r>
          </w:p>
        </w:tc>
      </w:tr>
      <w:tr w:rsidR="00DA488F" w:rsidRPr="006068B4" w14:paraId="49EB33A2" w14:textId="77777777" w:rsidTr="00DF0A34">
        <w:trPr>
          <w:trHeight w:hRule="exact" w:val="284"/>
        </w:trPr>
        <w:tc>
          <w:tcPr>
            <w:tcW w:w="5529" w:type="dxa"/>
            <w:tcBorders>
              <w:top w:val="nil"/>
              <w:left w:val="single" w:sz="4" w:space="0" w:color="auto"/>
              <w:bottom w:val="single" w:sz="4" w:space="0" w:color="auto"/>
              <w:right w:val="single" w:sz="4" w:space="0" w:color="auto"/>
            </w:tcBorders>
            <w:noWrap/>
            <w:vAlign w:val="bottom"/>
            <w:hideMark/>
          </w:tcPr>
          <w:p w14:paraId="74E42FB2" w14:textId="77777777" w:rsidR="00DA488F" w:rsidRPr="006068B4" w:rsidRDefault="7C285CBA" w:rsidP="7C285CBA">
            <w:pPr>
              <w:spacing w:line="240" w:lineRule="auto"/>
              <w:rPr>
                <w:rFonts w:ascii="Times New Roman" w:hAnsi="Times New Roman" w:cs="Times New Roman"/>
                <w:b/>
                <w:bCs/>
                <w:color w:val="000000" w:themeColor="text1"/>
                <w:sz w:val="20"/>
                <w:szCs w:val="20"/>
              </w:rPr>
            </w:pPr>
            <w:r w:rsidRPr="7C285CBA">
              <w:rPr>
                <w:rFonts w:ascii="Times New Roman" w:hAnsi="Times New Roman" w:cs="Times New Roman"/>
                <w:b/>
                <w:bCs/>
                <w:color w:val="000000" w:themeColor="text1"/>
                <w:sz w:val="20"/>
                <w:szCs w:val="20"/>
              </w:rPr>
              <w:t>Családi támogatások</w:t>
            </w:r>
          </w:p>
        </w:tc>
        <w:tc>
          <w:tcPr>
            <w:tcW w:w="1134" w:type="dxa"/>
            <w:tcBorders>
              <w:top w:val="nil"/>
              <w:left w:val="nil"/>
              <w:bottom w:val="single" w:sz="4" w:space="0" w:color="auto"/>
              <w:right w:val="single" w:sz="4" w:space="0" w:color="auto"/>
            </w:tcBorders>
            <w:noWrap/>
            <w:hideMark/>
          </w:tcPr>
          <w:p w14:paraId="7106BB85" w14:textId="66CBC477" w:rsidR="00DA488F" w:rsidRPr="00DA488F" w:rsidRDefault="7C285CBA" w:rsidP="7C285CBA">
            <w:pPr>
              <w:spacing w:line="240" w:lineRule="auto"/>
              <w:jc w:val="right"/>
              <w:rPr>
                <w:rFonts w:ascii="Times New Roman" w:hAnsi="Times New Roman" w:cs="Times New Roman"/>
                <w:b/>
                <w:bCs/>
                <w:sz w:val="20"/>
                <w:szCs w:val="20"/>
              </w:rPr>
            </w:pPr>
            <w:r w:rsidRPr="7C285CBA">
              <w:rPr>
                <w:rFonts w:ascii="Times New Roman" w:hAnsi="Times New Roman" w:cs="Times New Roman"/>
                <w:b/>
                <w:bCs/>
                <w:sz w:val="20"/>
                <w:szCs w:val="20"/>
              </w:rPr>
              <w:t>307,9</w:t>
            </w:r>
          </w:p>
        </w:tc>
        <w:tc>
          <w:tcPr>
            <w:tcW w:w="1134" w:type="dxa"/>
            <w:tcBorders>
              <w:top w:val="nil"/>
              <w:left w:val="nil"/>
              <w:bottom w:val="single" w:sz="4" w:space="0" w:color="auto"/>
              <w:right w:val="single" w:sz="4" w:space="0" w:color="auto"/>
            </w:tcBorders>
            <w:noWrap/>
            <w:hideMark/>
          </w:tcPr>
          <w:p w14:paraId="2A54C0E6" w14:textId="6F2C7F73" w:rsidR="00DA488F" w:rsidRPr="00DA488F" w:rsidRDefault="7C285CBA" w:rsidP="7C285CBA">
            <w:pPr>
              <w:spacing w:line="240" w:lineRule="auto"/>
              <w:jc w:val="right"/>
              <w:rPr>
                <w:rFonts w:ascii="Times New Roman" w:hAnsi="Times New Roman" w:cs="Times New Roman"/>
                <w:b/>
                <w:bCs/>
                <w:sz w:val="20"/>
                <w:szCs w:val="20"/>
              </w:rPr>
            </w:pPr>
            <w:r w:rsidRPr="7C285CBA">
              <w:rPr>
                <w:rFonts w:ascii="Times New Roman" w:hAnsi="Times New Roman" w:cs="Times New Roman"/>
                <w:b/>
                <w:bCs/>
                <w:sz w:val="20"/>
                <w:szCs w:val="20"/>
              </w:rPr>
              <w:t>292,7</w:t>
            </w:r>
          </w:p>
        </w:tc>
        <w:tc>
          <w:tcPr>
            <w:tcW w:w="850" w:type="dxa"/>
            <w:tcBorders>
              <w:top w:val="nil"/>
              <w:left w:val="nil"/>
              <w:bottom w:val="single" w:sz="4" w:space="0" w:color="auto"/>
              <w:right w:val="single" w:sz="4" w:space="0" w:color="auto"/>
            </w:tcBorders>
            <w:noWrap/>
            <w:hideMark/>
          </w:tcPr>
          <w:p w14:paraId="1078FA78" w14:textId="47193727" w:rsidR="00DA488F" w:rsidRPr="00DA488F" w:rsidRDefault="7C285CBA" w:rsidP="7C285CBA">
            <w:pPr>
              <w:spacing w:line="240" w:lineRule="auto"/>
              <w:jc w:val="right"/>
              <w:rPr>
                <w:rFonts w:ascii="Times New Roman" w:hAnsi="Times New Roman" w:cs="Times New Roman"/>
                <w:b/>
                <w:bCs/>
                <w:sz w:val="20"/>
                <w:szCs w:val="20"/>
              </w:rPr>
            </w:pPr>
            <w:r w:rsidRPr="7C285CBA">
              <w:rPr>
                <w:rFonts w:ascii="Times New Roman" w:hAnsi="Times New Roman" w:cs="Times New Roman"/>
                <w:b/>
                <w:bCs/>
                <w:sz w:val="20"/>
                <w:szCs w:val="20"/>
              </w:rPr>
              <w:t>-15,2</w:t>
            </w:r>
          </w:p>
        </w:tc>
        <w:tc>
          <w:tcPr>
            <w:tcW w:w="709" w:type="dxa"/>
            <w:tcBorders>
              <w:top w:val="nil"/>
              <w:left w:val="nil"/>
              <w:bottom w:val="single" w:sz="4" w:space="0" w:color="auto"/>
              <w:right w:val="single" w:sz="4" w:space="0" w:color="auto"/>
            </w:tcBorders>
            <w:noWrap/>
            <w:hideMark/>
          </w:tcPr>
          <w:p w14:paraId="0C2D88F1" w14:textId="42C60A7A" w:rsidR="00DA488F" w:rsidRPr="00DA488F" w:rsidRDefault="7C285CBA" w:rsidP="7C285CBA">
            <w:pPr>
              <w:spacing w:line="240" w:lineRule="auto"/>
              <w:jc w:val="right"/>
              <w:rPr>
                <w:rFonts w:ascii="Times New Roman" w:hAnsi="Times New Roman" w:cs="Times New Roman"/>
                <w:b/>
                <w:bCs/>
                <w:sz w:val="20"/>
                <w:szCs w:val="20"/>
              </w:rPr>
            </w:pPr>
            <w:r w:rsidRPr="7C285CBA">
              <w:rPr>
                <w:rFonts w:ascii="Times New Roman" w:hAnsi="Times New Roman" w:cs="Times New Roman"/>
                <w:b/>
                <w:bCs/>
                <w:sz w:val="20"/>
                <w:szCs w:val="20"/>
              </w:rPr>
              <w:t>95,1</w:t>
            </w:r>
          </w:p>
        </w:tc>
      </w:tr>
      <w:tr w:rsidR="00DA488F" w:rsidRPr="006068B4" w14:paraId="18F11EAE" w14:textId="77777777" w:rsidTr="00DF0A34">
        <w:trPr>
          <w:trHeight w:hRule="exact" w:val="284"/>
        </w:trPr>
        <w:tc>
          <w:tcPr>
            <w:tcW w:w="5529" w:type="dxa"/>
            <w:tcBorders>
              <w:top w:val="nil"/>
              <w:left w:val="single" w:sz="4" w:space="0" w:color="auto"/>
              <w:bottom w:val="single" w:sz="4" w:space="0" w:color="auto"/>
              <w:right w:val="single" w:sz="4" w:space="0" w:color="auto"/>
            </w:tcBorders>
            <w:noWrap/>
            <w:vAlign w:val="bottom"/>
            <w:hideMark/>
          </w:tcPr>
          <w:p w14:paraId="5F289C86" w14:textId="77777777" w:rsidR="00DA488F" w:rsidRPr="006068B4" w:rsidRDefault="7C285CBA" w:rsidP="7C285CBA">
            <w:pPr>
              <w:spacing w:line="240" w:lineRule="auto"/>
              <w:ind w:firstLineChars="100" w:firstLine="200"/>
              <w:rPr>
                <w:rFonts w:ascii="Times New Roman" w:hAnsi="Times New Roman" w:cs="Times New Roman"/>
                <w:i/>
                <w:iCs/>
                <w:color w:val="000000" w:themeColor="text1"/>
                <w:sz w:val="20"/>
                <w:szCs w:val="20"/>
              </w:rPr>
            </w:pPr>
            <w:r w:rsidRPr="7C285CBA">
              <w:rPr>
                <w:rFonts w:ascii="Times New Roman" w:hAnsi="Times New Roman" w:cs="Times New Roman"/>
                <w:i/>
                <w:iCs/>
                <w:color w:val="000000" w:themeColor="text1"/>
                <w:sz w:val="20"/>
                <w:szCs w:val="20"/>
              </w:rPr>
              <w:t>Ebből:</w:t>
            </w:r>
          </w:p>
        </w:tc>
        <w:tc>
          <w:tcPr>
            <w:tcW w:w="1134" w:type="dxa"/>
            <w:tcBorders>
              <w:top w:val="nil"/>
              <w:left w:val="nil"/>
              <w:bottom w:val="single" w:sz="4" w:space="0" w:color="auto"/>
              <w:right w:val="single" w:sz="4" w:space="0" w:color="auto"/>
            </w:tcBorders>
            <w:noWrap/>
            <w:hideMark/>
          </w:tcPr>
          <w:p w14:paraId="3409B63E" w14:textId="38F34D08" w:rsidR="00DA488F" w:rsidRPr="00DA488F" w:rsidRDefault="00DA488F" w:rsidP="00DA488F">
            <w:pPr>
              <w:spacing w:line="240" w:lineRule="auto"/>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hideMark/>
          </w:tcPr>
          <w:p w14:paraId="73A14223" w14:textId="68DF0F09"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noWrap/>
            <w:hideMark/>
          </w:tcPr>
          <w:p w14:paraId="0C731BD9" w14:textId="5050B205" w:rsidR="00DA488F" w:rsidRPr="00DA488F" w:rsidRDefault="00DA488F" w:rsidP="00DA488F">
            <w:pPr>
              <w:spacing w:line="240" w:lineRule="auto"/>
              <w:jc w:val="right"/>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noWrap/>
            <w:hideMark/>
          </w:tcPr>
          <w:p w14:paraId="3700134C" w14:textId="42CA5D48"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77E3B96" w14:textId="77777777" w:rsidTr="00DF0A34">
        <w:trPr>
          <w:trHeight w:hRule="exact" w:val="284"/>
        </w:trPr>
        <w:tc>
          <w:tcPr>
            <w:tcW w:w="5529" w:type="dxa"/>
            <w:tcBorders>
              <w:top w:val="nil"/>
              <w:left w:val="single" w:sz="4" w:space="0" w:color="auto"/>
              <w:bottom w:val="single" w:sz="4" w:space="0" w:color="auto"/>
              <w:right w:val="single" w:sz="4" w:space="0" w:color="auto"/>
            </w:tcBorders>
            <w:noWrap/>
            <w:vAlign w:val="bottom"/>
            <w:hideMark/>
          </w:tcPr>
          <w:p w14:paraId="7532CB68" w14:textId="77777777" w:rsidR="00DA488F" w:rsidRPr="006068B4" w:rsidRDefault="7C285CBA" w:rsidP="00DF0A34">
            <w:pPr>
              <w:spacing w:line="240" w:lineRule="auto"/>
              <w:ind w:firstLineChars="320" w:firstLine="640"/>
              <w:rPr>
                <w:rFonts w:ascii="Times New Roman" w:hAnsi="Times New Roman" w:cs="Times New Roman"/>
                <w:i/>
                <w:iCs/>
                <w:color w:val="000000" w:themeColor="text1"/>
                <w:sz w:val="20"/>
                <w:szCs w:val="20"/>
              </w:rPr>
            </w:pPr>
            <w:r w:rsidRPr="7C285CBA">
              <w:rPr>
                <w:rFonts w:ascii="Times New Roman" w:hAnsi="Times New Roman" w:cs="Times New Roman"/>
                <w:i/>
                <w:iCs/>
                <w:color w:val="000000" w:themeColor="text1"/>
                <w:sz w:val="20"/>
                <w:szCs w:val="20"/>
              </w:rPr>
              <w:t>családi pótlék</w:t>
            </w:r>
          </w:p>
        </w:tc>
        <w:tc>
          <w:tcPr>
            <w:tcW w:w="1134" w:type="dxa"/>
            <w:tcBorders>
              <w:top w:val="nil"/>
              <w:left w:val="nil"/>
              <w:bottom w:val="single" w:sz="4" w:space="0" w:color="auto"/>
              <w:right w:val="single" w:sz="4" w:space="0" w:color="auto"/>
            </w:tcBorders>
            <w:noWrap/>
            <w:hideMark/>
          </w:tcPr>
          <w:p w14:paraId="38B23896" w14:textId="6F5CD998"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228,6</w:t>
            </w:r>
          </w:p>
        </w:tc>
        <w:tc>
          <w:tcPr>
            <w:tcW w:w="1134" w:type="dxa"/>
            <w:tcBorders>
              <w:top w:val="nil"/>
              <w:left w:val="nil"/>
              <w:bottom w:val="single" w:sz="4" w:space="0" w:color="auto"/>
              <w:right w:val="single" w:sz="4" w:space="0" w:color="auto"/>
            </w:tcBorders>
            <w:noWrap/>
            <w:hideMark/>
          </w:tcPr>
          <w:p w14:paraId="2831AA3C" w14:textId="57DB7C3C"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226,4</w:t>
            </w:r>
          </w:p>
        </w:tc>
        <w:tc>
          <w:tcPr>
            <w:tcW w:w="850" w:type="dxa"/>
            <w:tcBorders>
              <w:top w:val="nil"/>
              <w:left w:val="nil"/>
              <w:bottom w:val="single" w:sz="4" w:space="0" w:color="auto"/>
              <w:right w:val="single" w:sz="4" w:space="0" w:color="auto"/>
            </w:tcBorders>
            <w:noWrap/>
            <w:hideMark/>
          </w:tcPr>
          <w:p w14:paraId="145C8E2D" w14:textId="4C59EDBA"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-2,2</w:t>
            </w:r>
          </w:p>
        </w:tc>
        <w:tc>
          <w:tcPr>
            <w:tcW w:w="709" w:type="dxa"/>
            <w:tcBorders>
              <w:top w:val="nil"/>
              <w:left w:val="nil"/>
              <w:bottom w:val="single" w:sz="4" w:space="0" w:color="auto"/>
              <w:right w:val="single" w:sz="4" w:space="0" w:color="auto"/>
            </w:tcBorders>
            <w:noWrap/>
            <w:hideMark/>
          </w:tcPr>
          <w:p w14:paraId="3DC707AD" w14:textId="2E2E810B"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99,0</w:t>
            </w:r>
          </w:p>
        </w:tc>
      </w:tr>
      <w:tr w:rsidR="00DA488F" w:rsidRPr="006068B4" w14:paraId="750E94DE" w14:textId="77777777" w:rsidTr="00DF0A34">
        <w:trPr>
          <w:trHeight w:hRule="exact" w:val="284"/>
        </w:trPr>
        <w:tc>
          <w:tcPr>
            <w:tcW w:w="5529" w:type="dxa"/>
            <w:tcBorders>
              <w:top w:val="nil"/>
              <w:left w:val="single" w:sz="4" w:space="0" w:color="auto"/>
              <w:bottom w:val="single" w:sz="4" w:space="0" w:color="auto"/>
              <w:right w:val="single" w:sz="4" w:space="0" w:color="auto"/>
            </w:tcBorders>
            <w:noWrap/>
            <w:vAlign w:val="bottom"/>
            <w:hideMark/>
          </w:tcPr>
          <w:p w14:paraId="60C0A4C2" w14:textId="77777777" w:rsidR="00DA488F" w:rsidRPr="006068B4" w:rsidRDefault="7C285CBA" w:rsidP="00DF0A34">
            <w:pPr>
              <w:spacing w:line="240" w:lineRule="auto"/>
              <w:ind w:firstLineChars="320" w:firstLine="640"/>
              <w:rPr>
                <w:rFonts w:ascii="Times New Roman" w:hAnsi="Times New Roman" w:cs="Times New Roman"/>
                <w:i/>
                <w:iCs/>
                <w:color w:val="000000" w:themeColor="text1"/>
                <w:sz w:val="20"/>
                <w:szCs w:val="20"/>
              </w:rPr>
            </w:pPr>
            <w:r w:rsidRPr="7C285CBA">
              <w:rPr>
                <w:rFonts w:ascii="Times New Roman" w:hAnsi="Times New Roman" w:cs="Times New Roman"/>
                <w:i/>
                <w:iCs/>
                <w:color w:val="000000" w:themeColor="text1"/>
                <w:sz w:val="20"/>
                <w:szCs w:val="20"/>
              </w:rPr>
              <w:t>anyasági támogatás</w:t>
            </w:r>
          </w:p>
        </w:tc>
        <w:tc>
          <w:tcPr>
            <w:tcW w:w="1134" w:type="dxa"/>
            <w:tcBorders>
              <w:top w:val="nil"/>
              <w:left w:val="nil"/>
              <w:bottom w:val="single" w:sz="4" w:space="0" w:color="auto"/>
              <w:right w:val="single" w:sz="4" w:space="0" w:color="auto"/>
            </w:tcBorders>
            <w:noWrap/>
            <w:hideMark/>
          </w:tcPr>
          <w:p w14:paraId="597D9A51" w14:textId="702A194D"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3,6</w:t>
            </w:r>
          </w:p>
        </w:tc>
        <w:tc>
          <w:tcPr>
            <w:tcW w:w="1134" w:type="dxa"/>
            <w:tcBorders>
              <w:top w:val="nil"/>
              <w:left w:val="nil"/>
              <w:bottom w:val="single" w:sz="4" w:space="0" w:color="auto"/>
              <w:right w:val="single" w:sz="4" w:space="0" w:color="auto"/>
            </w:tcBorders>
            <w:noWrap/>
            <w:hideMark/>
          </w:tcPr>
          <w:p w14:paraId="4295E839" w14:textId="2FDFC829"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3,3</w:t>
            </w:r>
          </w:p>
        </w:tc>
        <w:tc>
          <w:tcPr>
            <w:tcW w:w="850" w:type="dxa"/>
            <w:tcBorders>
              <w:top w:val="nil"/>
              <w:left w:val="nil"/>
              <w:bottom w:val="single" w:sz="4" w:space="0" w:color="auto"/>
              <w:right w:val="single" w:sz="4" w:space="0" w:color="auto"/>
            </w:tcBorders>
            <w:noWrap/>
            <w:hideMark/>
          </w:tcPr>
          <w:p w14:paraId="0BFAA189" w14:textId="3356B002"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-0,3</w:t>
            </w:r>
          </w:p>
        </w:tc>
        <w:tc>
          <w:tcPr>
            <w:tcW w:w="709" w:type="dxa"/>
            <w:tcBorders>
              <w:top w:val="nil"/>
              <w:left w:val="nil"/>
              <w:bottom w:val="single" w:sz="4" w:space="0" w:color="auto"/>
              <w:right w:val="single" w:sz="4" w:space="0" w:color="auto"/>
            </w:tcBorders>
            <w:noWrap/>
            <w:hideMark/>
          </w:tcPr>
          <w:p w14:paraId="2913BB8B" w14:textId="2B4D510B"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91,7</w:t>
            </w:r>
          </w:p>
        </w:tc>
      </w:tr>
      <w:tr w:rsidR="00DA488F" w:rsidRPr="006068B4" w14:paraId="723C4BB5" w14:textId="77777777" w:rsidTr="00DF0A34">
        <w:trPr>
          <w:trHeight w:hRule="exact" w:val="284"/>
        </w:trPr>
        <w:tc>
          <w:tcPr>
            <w:tcW w:w="5529" w:type="dxa"/>
            <w:tcBorders>
              <w:top w:val="nil"/>
              <w:left w:val="single" w:sz="4" w:space="0" w:color="auto"/>
              <w:bottom w:val="single" w:sz="4" w:space="0" w:color="auto"/>
              <w:right w:val="single" w:sz="4" w:space="0" w:color="auto"/>
            </w:tcBorders>
            <w:vAlign w:val="center"/>
            <w:hideMark/>
          </w:tcPr>
          <w:p w14:paraId="4B71EC87" w14:textId="77777777" w:rsidR="00DA488F" w:rsidRPr="006068B4" w:rsidRDefault="7C285CBA" w:rsidP="00DF0A34">
            <w:pPr>
              <w:spacing w:line="240" w:lineRule="auto"/>
              <w:ind w:firstLineChars="320" w:firstLine="640"/>
              <w:rPr>
                <w:rFonts w:ascii="Times New Roman" w:hAnsi="Times New Roman" w:cs="Times New Roman"/>
                <w:i/>
                <w:iCs/>
                <w:color w:val="000000" w:themeColor="text1"/>
                <w:sz w:val="20"/>
                <w:szCs w:val="20"/>
              </w:rPr>
            </w:pPr>
            <w:r w:rsidRPr="7C285CBA">
              <w:rPr>
                <w:rFonts w:ascii="Times New Roman" w:hAnsi="Times New Roman" w:cs="Times New Roman"/>
                <w:i/>
                <w:iCs/>
                <w:color w:val="000000" w:themeColor="text1"/>
                <w:sz w:val="20"/>
                <w:szCs w:val="20"/>
              </w:rPr>
              <w:t>gyermekgondozást segítő ellátás</w:t>
            </w:r>
          </w:p>
        </w:tc>
        <w:tc>
          <w:tcPr>
            <w:tcW w:w="1134" w:type="dxa"/>
            <w:tcBorders>
              <w:top w:val="nil"/>
              <w:left w:val="nil"/>
              <w:bottom w:val="single" w:sz="4" w:space="0" w:color="auto"/>
              <w:right w:val="single" w:sz="4" w:space="0" w:color="auto"/>
            </w:tcBorders>
            <w:noWrap/>
            <w:hideMark/>
          </w:tcPr>
          <w:p w14:paraId="6C8BD5D3" w14:textId="728C9867"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39,4</w:t>
            </w:r>
          </w:p>
        </w:tc>
        <w:tc>
          <w:tcPr>
            <w:tcW w:w="1134" w:type="dxa"/>
            <w:tcBorders>
              <w:top w:val="nil"/>
              <w:left w:val="nil"/>
              <w:bottom w:val="single" w:sz="4" w:space="0" w:color="auto"/>
              <w:right w:val="single" w:sz="4" w:space="0" w:color="auto"/>
            </w:tcBorders>
            <w:noWrap/>
            <w:hideMark/>
          </w:tcPr>
          <w:p w14:paraId="4B96F73D" w14:textId="13F98674"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39,1</w:t>
            </w:r>
          </w:p>
        </w:tc>
        <w:tc>
          <w:tcPr>
            <w:tcW w:w="850" w:type="dxa"/>
            <w:tcBorders>
              <w:top w:val="nil"/>
              <w:left w:val="nil"/>
              <w:bottom w:val="single" w:sz="4" w:space="0" w:color="auto"/>
              <w:right w:val="single" w:sz="4" w:space="0" w:color="auto"/>
            </w:tcBorders>
            <w:noWrap/>
            <w:hideMark/>
          </w:tcPr>
          <w:p w14:paraId="7997B51A" w14:textId="6D9E43E6"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-0,3</w:t>
            </w:r>
          </w:p>
        </w:tc>
        <w:tc>
          <w:tcPr>
            <w:tcW w:w="709" w:type="dxa"/>
            <w:tcBorders>
              <w:top w:val="nil"/>
              <w:left w:val="nil"/>
              <w:bottom w:val="single" w:sz="4" w:space="0" w:color="auto"/>
              <w:right w:val="single" w:sz="4" w:space="0" w:color="auto"/>
            </w:tcBorders>
            <w:noWrap/>
            <w:hideMark/>
          </w:tcPr>
          <w:p w14:paraId="4C0B8D65" w14:textId="319CD70A"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99,2</w:t>
            </w:r>
          </w:p>
        </w:tc>
      </w:tr>
      <w:tr w:rsidR="00DA488F" w:rsidRPr="006068B4" w14:paraId="4C1A9EFC" w14:textId="77777777" w:rsidTr="00DF0A34">
        <w:trPr>
          <w:trHeight w:hRule="exact" w:val="284"/>
        </w:trPr>
        <w:tc>
          <w:tcPr>
            <w:tcW w:w="5529" w:type="dxa"/>
            <w:tcBorders>
              <w:top w:val="nil"/>
              <w:left w:val="single" w:sz="4" w:space="0" w:color="auto"/>
              <w:bottom w:val="single" w:sz="4" w:space="0" w:color="auto"/>
              <w:right w:val="single" w:sz="4" w:space="0" w:color="auto"/>
            </w:tcBorders>
            <w:vAlign w:val="center"/>
            <w:hideMark/>
          </w:tcPr>
          <w:p w14:paraId="0E314DCD" w14:textId="77777777" w:rsidR="00DA488F" w:rsidRPr="006068B4" w:rsidRDefault="7C285CBA" w:rsidP="00DF0A34">
            <w:pPr>
              <w:spacing w:line="240" w:lineRule="auto"/>
              <w:ind w:firstLineChars="320" w:firstLine="640"/>
              <w:rPr>
                <w:rFonts w:ascii="Times New Roman" w:hAnsi="Times New Roman" w:cs="Times New Roman"/>
                <w:i/>
                <w:iCs/>
                <w:color w:val="000000" w:themeColor="text1"/>
                <w:sz w:val="20"/>
                <w:szCs w:val="20"/>
              </w:rPr>
            </w:pPr>
            <w:r w:rsidRPr="7C285CBA">
              <w:rPr>
                <w:rFonts w:ascii="Times New Roman" w:hAnsi="Times New Roman" w:cs="Times New Roman"/>
                <w:i/>
                <w:iCs/>
                <w:color w:val="000000" w:themeColor="text1"/>
                <w:sz w:val="20"/>
                <w:szCs w:val="20"/>
              </w:rPr>
              <w:t>gyermeknevelési támogatás</w:t>
            </w:r>
          </w:p>
        </w:tc>
        <w:tc>
          <w:tcPr>
            <w:tcW w:w="1134" w:type="dxa"/>
            <w:tcBorders>
              <w:top w:val="nil"/>
              <w:left w:val="nil"/>
              <w:bottom w:val="single" w:sz="4" w:space="0" w:color="auto"/>
              <w:right w:val="single" w:sz="4" w:space="0" w:color="auto"/>
            </w:tcBorders>
            <w:noWrap/>
            <w:hideMark/>
          </w:tcPr>
          <w:p w14:paraId="14826C72" w14:textId="4A0DD76E"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6,9</w:t>
            </w:r>
          </w:p>
        </w:tc>
        <w:tc>
          <w:tcPr>
            <w:tcW w:w="1134" w:type="dxa"/>
            <w:tcBorders>
              <w:top w:val="nil"/>
              <w:left w:val="nil"/>
              <w:bottom w:val="single" w:sz="4" w:space="0" w:color="auto"/>
              <w:right w:val="single" w:sz="4" w:space="0" w:color="auto"/>
            </w:tcBorders>
            <w:noWrap/>
            <w:hideMark/>
          </w:tcPr>
          <w:p w14:paraId="6A870304" w14:textId="08D7314B"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6,6</w:t>
            </w:r>
          </w:p>
        </w:tc>
        <w:tc>
          <w:tcPr>
            <w:tcW w:w="850" w:type="dxa"/>
            <w:tcBorders>
              <w:top w:val="nil"/>
              <w:left w:val="nil"/>
              <w:bottom w:val="single" w:sz="4" w:space="0" w:color="auto"/>
              <w:right w:val="single" w:sz="4" w:space="0" w:color="auto"/>
            </w:tcBorders>
            <w:noWrap/>
            <w:hideMark/>
          </w:tcPr>
          <w:p w14:paraId="588B93BB" w14:textId="5440D059"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-0,3</w:t>
            </w:r>
          </w:p>
        </w:tc>
        <w:tc>
          <w:tcPr>
            <w:tcW w:w="709" w:type="dxa"/>
            <w:tcBorders>
              <w:top w:val="nil"/>
              <w:left w:val="nil"/>
              <w:bottom w:val="single" w:sz="4" w:space="0" w:color="auto"/>
              <w:right w:val="single" w:sz="4" w:space="0" w:color="auto"/>
            </w:tcBorders>
            <w:noWrap/>
            <w:hideMark/>
          </w:tcPr>
          <w:p w14:paraId="7DAF609F" w14:textId="5E09724C"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95,7</w:t>
            </w:r>
          </w:p>
        </w:tc>
      </w:tr>
      <w:tr w:rsidR="00DA488F" w:rsidRPr="006068B4" w14:paraId="49AE6306" w14:textId="77777777" w:rsidTr="00DF0A34">
        <w:trPr>
          <w:trHeight w:hRule="exact" w:val="284"/>
        </w:trPr>
        <w:tc>
          <w:tcPr>
            <w:tcW w:w="5529" w:type="dxa"/>
            <w:tcBorders>
              <w:top w:val="nil"/>
              <w:left w:val="single" w:sz="4" w:space="0" w:color="auto"/>
              <w:bottom w:val="single" w:sz="4" w:space="0" w:color="auto"/>
              <w:right w:val="single" w:sz="4" w:space="0" w:color="auto"/>
            </w:tcBorders>
            <w:vAlign w:val="center"/>
            <w:hideMark/>
          </w:tcPr>
          <w:p w14:paraId="345200B1" w14:textId="77777777" w:rsidR="00DA488F" w:rsidRPr="006068B4" w:rsidRDefault="7C285CBA" w:rsidP="00DF0A34">
            <w:pPr>
              <w:spacing w:line="240" w:lineRule="auto"/>
              <w:ind w:firstLineChars="320" w:firstLine="640"/>
              <w:rPr>
                <w:rFonts w:ascii="Times New Roman" w:hAnsi="Times New Roman" w:cs="Times New Roman"/>
                <w:i/>
                <w:iCs/>
                <w:color w:val="000000" w:themeColor="text1"/>
                <w:sz w:val="20"/>
                <w:szCs w:val="20"/>
              </w:rPr>
            </w:pPr>
            <w:r w:rsidRPr="7C285CBA">
              <w:rPr>
                <w:rFonts w:ascii="Times New Roman" w:hAnsi="Times New Roman" w:cs="Times New Roman"/>
                <w:i/>
                <w:iCs/>
                <w:color w:val="000000" w:themeColor="text1"/>
                <w:sz w:val="20"/>
                <w:szCs w:val="20"/>
              </w:rPr>
              <w:t>gyermekek születésével kapcsolatos szabadság megtérítése</w:t>
            </w:r>
          </w:p>
        </w:tc>
        <w:tc>
          <w:tcPr>
            <w:tcW w:w="1134" w:type="dxa"/>
            <w:tcBorders>
              <w:top w:val="nil"/>
              <w:left w:val="nil"/>
              <w:bottom w:val="single" w:sz="4" w:space="0" w:color="auto"/>
              <w:right w:val="single" w:sz="4" w:space="0" w:color="auto"/>
            </w:tcBorders>
            <w:noWrap/>
            <w:hideMark/>
          </w:tcPr>
          <w:p w14:paraId="48F1434B" w14:textId="2D900EB2"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3,6</w:t>
            </w:r>
          </w:p>
        </w:tc>
        <w:tc>
          <w:tcPr>
            <w:tcW w:w="1134" w:type="dxa"/>
            <w:tcBorders>
              <w:top w:val="nil"/>
              <w:left w:val="nil"/>
              <w:bottom w:val="single" w:sz="4" w:space="0" w:color="auto"/>
              <w:right w:val="single" w:sz="4" w:space="0" w:color="auto"/>
            </w:tcBorders>
            <w:noWrap/>
            <w:hideMark/>
          </w:tcPr>
          <w:p w14:paraId="6AAF688A" w14:textId="281C34D7"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3,9</w:t>
            </w:r>
          </w:p>
        </w:tc>
        <w:tc>
          <w:tcPr>
            <w:tcW w:w="850" w:type="dxa"/>
            <w:tcBorders>
              <w:top w:val="nil"/>
              <w:left w:val="nil"/>
              <w:bottom w:val="single" w:sz="4" w:space="0" w:color="auto"/>
              <w:right w:val="single" w:sz="4" w:space="0" w:color="auto"/>
            </w:tcBorders>
            <w:noWrap/>
            <w:hideMark/>
          </w:tcPr>
          <w:p w14:paraId="664A5D3B" w14:textId="15066C9F"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0,3</w:t>
            </w:r>
          </w:p>
        </w:tc>
        <w:tc>
          <w:tcPr>
            <w:tcW w:w="709" w:type="dxa"/>
            <w:tcBorders>
              <w:top w:val="nil"/>
              <w:left w:val="nil"/>
              <w:bottom w:val="single" w:sz="4" w:space="0" w:color="auto"/>
              <w:right w:val="single" w:sz="4" w:space="0" w:color="auto"/>
            </w:tcBorders>
            <w:noWrap/>
            <w:hideMark/>
          </w:tcPr>
          <w:p w14:paraId="4DE79E3D" w14:textId="379BFE57"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108,3</w:t>
            </w:r>
          </w:p>
        </w:tc>
      </w:tr>
      <w:tr w:rsidR="00DA488F" w:rsidRPr="006068B4" w14:paraId="31537421" w14:textId="77777777" w:rsidTr="00DF0A34">
        <w:trPr>
          <w:trHeight w:hRule="exact" w:val="284"/>
        </w:trPr>
        <w:tc>
          <w:tcPr>
            <w:tcW w:w="5529" w:type="dxa"/>
            <w:tcBorders>
              <w:top w:val="nil"/>
              <w:left w:val="single" w:sz="4" w:space="0" w:color="auto"/>
              <w:bottom w:val="single" w:sz="4" w:space="0" w:color="auto"/>
              <w:right w:val="single" w:sz="4" w:space="0" w:color="auto"/>
            </w:tcBorders>
            <w:vAlign w:val="center"/>
            <w:hideMark/>
          </w:tcPr>
          <w:p w14:paraId="4219C75A" w14:textId="77777777" w:rsidR="00DA488F" w:rsidRPr="006068B4" w:rsidRDefault="7C285CBA" w:rsidP="00DF0A34">
            <w:pPr>
              <w:spacing w:line="240" w:lineRule="auto"/>
              <w:ind w:firstLineChars="320" w:firstLine="640"/>
              <w:rPr>
                <w:rFonts w:ascii="Times New Roman" w:hAnsi="Times New Roman" w:cs="Times New Roman"/>
                <w:i/>
                <w:iCs/>
                <w:color w:val="000000" w:themeColor="text1"/>
                <w:sz w:val="20"/>
                <w:szCs w:val="20"/>
              </w:rPr>
            </w:pPr>
            <w:r w:rsidRPr="7C285CBA">
              <w:rPr>
                <w:rFonts w:ascii="Times New Roman" w:hAnsi="Times New Roman" w:cs="Times New Roman"/>
                <w:i/>
                <w:iCs/>
                <w:color w:val="000000" w:themeColor="text1"/>
                <w:sz w:val="20"/>
                <w:szCs w:val="20"/>
              </w:rPr>
              <w:t>életkezdési támogatás</w:t>
            </w:r>
          </w:p>
        </w:tc>
        <w:tc>
          <w:tcPr>
            <w:tcW w:w="1134" w:type="dxa"/>
            <w:tcBorders>
              <w:top w:val="nil"/>
              <w:left w:val="nil"/>
              <w:bottom w:val="single" w:sz="4" w:space="0" w:color="auto"/>
              <w:right w:val="single" w:sz="4" w:space="0" w:color="auto"/>
            </w:tcBorders>
            <w:noWrap/>
            <w:hideMark/>
          </w:tcPr>
          <w:p w14:paraId="7201B04B" w14:textId="5A3E16A1"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23,1</w:t>
            </w:r>
          </w:p>
        </w:tc>
        <w:tc>
          <w:tcPr>
            <w:tcW w:w="1134" w:type="dxa"/>
            <w:tcBorders>
              <w:top w:val="nil"/>
              <w:left w:val="nil"/>
              <w:bottom w:val="single" w:sz="4" w:space="0" w:color="auto"/>
              <w:right w:val="single" w:sz="4" w:space="0" w:color="auto"/>
            </w:tcBorders>
            <w:noWrap/>
            <w:hideMark/>
          </w:tcPr>
          <w:p w14:paraId="45D51CF7" w14:textId="12687AF6"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10,4</w:t>
            </w:r>
          </w:p>
        </w:tc>
        <w:tc>
          <w:tcPr>
            <w:tcW w:w="850" w:type="dxa"/>
            <w:tcBorders>
              <w:top w:val="nil"/>
              <w:left w:val="nil"/>
              <w:bottom w:val="single" w:sz="4" w:space="0" w:color="auto"/>
              <w:right w:val="single" w:sz="4" w:space="0" w:color="auto"/>
            </w:tcBorders>
            <w:noWrap/>
            <w:hideMark/>
          </w:tcPr>
          <w:p w14:paraId="1BC502FA" w14:textId="35660E47"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-12,7</w:t>
            </w:r>
          </w:p>
        </w:tc>
        <w:tc>
          <w:tcPr>
            <w:tcW w:w="709" w:type="dxa"/>
            <w:tcBorders>
              <w:top w:val="nil"/>
              <w:left w:val="nil"/>
              <w:bottom w:val="single" w:sz="4" w:space="0" w:color="auto"/>
              <w:right w:val="single" w:sz="4" w:space="0" w:color="auto"/>
            </w:tcBorders>
            <w:noWrap/>
            <w:hideMark/>
          </w:tcPr>
          <w:p w14:paraId="70100317" w14:textId="5C3B219D"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45,0</w:t>
            </w:r>
          </w:p>
        </w:tc>
      </w:tr>
      <w:tr w:rsidR="00DA488F" w:rsidRPr="006068B4" w14:paraId="7D88A7FB" w14:textId="77777777" w:rsidTr="00DF0A34">
        <w:trPr>
          <w:trHeight w:hRule="exact" w:val="284"/>
        </w:trPr>
        <w:tc>
          <w:tcPr>
            <w:tcW w:w="5529" w:type="dxa"/>
            <w:tcBorders>
              <w:top w:val="nil"/>
              <w:left w:val="single" w:sz="4" w:space="0" w:color="auto"/>
              <w:bottom w:val="single" w:sz="4" w:space="0" w:color="auto"/>
              <w:right w:val="single" w:sz="4" w:space="0" w:color="auto"/>
            </w:tcBorders>
            <w:noWrap/>
            <w:vAlign w:val="bottom"/>
            <w:hideMark/>
          </w:tcPr>
          <w:p w14:paraId="699AE9AE" w14:textId="77777777" w:rsidR="00DA488F" w:rsidRPr="006068B4" w:rsidRDefault="7C285CBA" w:rsidP="7C285CBA">
            <w:pPr>
              <w:spacing w:line="240" w:lineRule="auto"/>
              <w:rPr>
                <w:rFonts w:ascii="Times New Roman" w:hAnsi="Times New Roman" w:cs="Times New Roman"/>
                <w:b/>
                <w:bCs/>
                <w:color w:val="000000" w:themeColor="text1"/>
                <w:sz w:val="20"/>
                <w:szCs w:val="20"/>
              </w:rPr>
            </w:pPr>
            <w:r w:rsidRPr="7C285CBA">
              <w:rPr>
                <w:rFonts w:ascii="Times New Roman" w:hAnsi="Times New Roman" w:cs="Times New Roman"/>
                <w:b/>
                <w:bCs/>
                <w:color w:val="000000" w:themeColor="text1"/>
                <w:sz w:val="20"/>
                <w:szCs w:val="20"/>
              </w:rPr>
              <w:t>Korhatár alatti ellátások</w:t>
            </w:r>
          </w:p>
        </w:tc>
        <w:tc>
          <w:tcPr>
            <w:tcW w:w="1134" w:type="dxa"/>
            <w:tcBorders>
              <w:top w:val="nil"/>
              <w:left w:val="nil"/>
              <w:bottom w:val="single" w:sz="4" w:space="0" w:color="auto"/>
              <w:right w:val="single" w:sz="4" w:space="0" w:color="auto"/>
            </w:tcBorders>
            <w:noWrap/>
            <w:hideMark/>
          </w:tcPr>
          <w:p w14:paraId="7703B44A" w14:textId="365750F1" w:rsidR="00DA488F" w:rsidRPr="00DA488F" w:rsidRDefault="7C285CBA" w:rsidP="7C285CBA">
            <w:pPr>
              <w:spacing w:line="240" w:lineRule="auto"/>
              <w:jc w:val="right"/>
              <w:rPr>
                <w:rFonts w:ascii="Times New Roman" w:hAnsi="Times New Roman" w:cs="Times New Roman"/>
                <w:b/>
                <w:bCs/>
                <w:sz w:val="20"/>
                <w:szCs w:val="20"/>
              </w:rPr>
            </w:pPr>
            <w:r w:rsidRPr="7C285CBA">
              <w:rPr>
                <w:rFonts w:ascii="Times New Roman" w:hAnsi="Times New Roman" w:cs="Times New Roman"/>
                <w:b/>
                <w:bCs/>
                <w:sz w:val="20"/>
                <w:szCs w:val="20"/>
              </w:rPr>
              <w:t>87,3</w:t>
            </w:r>
          </w:p>
        </w:tc>
        <w:tc>
          <w:tcPr>
            <w:tcW w:w="1134" w:type="dxa"/>
            <w:tcBorders>
              <w:top w:val="nil"/>
              <w:left w:val="nil"/>
              <w:bottom w:val="single" w:sz="4" w:space="0" w:color="auto"/>
              <w:right w:val="single" w:sz="4" w:space="0" w:color="auto"/>
            </w:tcBorders>
            <w:noWrap/>
            <w:hideMark/>
          </w:tcPr>
          <w:p w14:paraId="6428734A" w14:textId="78E602C4" w:rsidR="00DA488F" w:rsidRPr="00DA488F" w:rsidRDefault="7C285CBA" w:rsidP="7C285CBA">
            <w:pPr>
              <w:spacing w:line="240" w:lineRule="auto"/>
              <w:jc w:val="right"/>
              <w:rPr>
                <w:rFonts w:ascii="Times New Roman" w:hAnsi="Times New Roman" w:cs="Times New Roman"/>
                <w:b/>
                <w:bCs/>
                <w:sz w:val="20"/>
                <w:szCs w:val="20"/>
              </w:rPr>
            </w:pPr>
            <w:r w:rsidRPr="7C285CBA">
              <w:rPr>
                <w:rFonts w:ascii="Times New Roman" w:hAnsi="Times New Roman" w:cs="Times New Roman"/>
                <w:b/>
                <w:bCs/>
                <w:sz w:val="20"/>
                <w:szCs w:val="20"/>
              </w:rPr>
              <w:t>83,7</w:t>
            </w:r>
          </w:p>
        </w:tc>
        <w:tc>
          <w:tcPr>
            <w:tcW w:w="850" w:type="dxa"/>
            <w:tcBorders>
              <w:top w:val="nil"/>
              <w:left w:val="nil"/>
              <w:bottom w:val="single" w:sz="4" w:space="0" w:color="auto"/>
              <w:right w:val="single" w:sz="4" w:space="0" w:color="auto"/>
            </w:tcBorders>
            <w:noWrap/>
            <w:hideMark/>
          </w:tcPr>
          <w:p w14:paraId="7EDBDA2F" w14:textId="2295E39F" w:rsidR="00DA488F" w:rsidRPr="00DA488F" w:rsidRDefault="7C285CBA" w:rsidP="7C285CBA">
            <w:pPr>
              <w:spacing w:line="240" w:lineRule="auto"/>
              <w:jc w:val="right"/>
              <w:rPr>
                <w:rFonts w:ascii="Times New Roman" w:hAnsi="Times New Roman" w:cs="Times New Roman"/>
                <w:b/>
                <w:bCs/>
                <w:sz w:val="20"/>
                <w:szCs w:val="20"/>
              </w:rPr>
            </w:pPr>
            <w:r w:rsidRPr="7C285CBA">
              <w:rPr>
                <w:rFonts w:ascii="Times New Roman" w:hAnsi="Times New Roman" w:cs="Times New Roman"/>
                <w:b/>
                <w:bCs/>
                <w:sz w:val="20"/>
                <w:szCs w:val="20"/>
              </w:rPr>
              <w:t>-3,6</w:t>
            </w:r>
          </w:p>
        </w:tc>
        <w:tc>
          <w:tcPr>
            <w:tcW w:w="709" w:type="dxa"/>
            <w:tcBorders>
              <w:top w:val="nil"/>
              <w:left w:val="nil"/>
              <w:bottom w:val="single" w:sz="4" w:space="0" w:color="auto"/>
              <w:right w:val="single" w:sz="4" w:space="0" w:color="auto"/>
            </w:tcBorders>
            <w:noWrap/>
            <w:hideMark/>
          </w:tcPr>
          <w:p w14:paraId="534E4A63" w14:textId="6E53717E" w:rsidR="00DA488F" w:rsidRPr="00DA488F" w:rsidRDefault="7C285CBA" w:rsidP="7C285CBA">
            <w:pPr>
              <w:spacing w:line="240" w:lineRule="auto"/>
              <w:jc w:val="right"/>
              <w:rPr>
                <w:rFonts w:ascii="Times New Roman" w:hAnsi="Times New Roman" w:cs="Times New Roman"/>
                <w:b/>
                <w:bCs/>
                <w:sz w:val="20"/>
                <w:szCs w:val="20"/>
              </w:rPr>
            </w:pPr>
            <w:r w:rsidRPr="7C285CBA">
              <w:rPr>
                <w:rFonts w:ascii="Times New Roman" w:hAnsi="Times New Roman" w:cs="Times New Roman"/>
                <w:b/>
                <w:bCs/>
                <w:sz w:val="20"/>
                <w:szCs w:val="20"/>
              </w:rPr>
              <w:t>95,9</w:t>
            </w:r>
          </w:p>
        </w:tc>
      </w:tr>
      <w:tr w:rsidR="00DA488F" w:rsidRPr="006068B4" w14:paraId="2D32D206" w14:textId="77777777" w:rsidTr="00DF0A34">
        <w:trPr>
          <w:trHeight w:hRule="exact" w:val="284"/>
        </w:trPr>
        <w:tc>
          <w:tcPr>
            <w:tcW w:w="5529" w:type="dxa"/>
            <w:tcBorders>
              <w:top w:val="nil"/>
              <w:left w:val="single" w:sz="4" w:space="0" w:color="auto"/>
              <w:bottom w:val="single" w:sz="4" w:space="0" w:color="auto"/>
              <w:right w:val="single" w:sz="4" w:space="0" w:color="auto"/>
            </w:tcBorders>
            <w:noWrap/>
            <w:vAlign w:val="bottom"/>
            <w:hideMark/>
          </w:tcPr>
          <w:p w14:paraId="7EA13739" w14:textId="77777777" w:rsidR="00DA488F" w:rsidRPr="006068B4" w:rsidRDefault="7C285CBA" w:rsidP="7C285CBA">
            <w:pPr>
              <w:spacing w:line="240" w:lineRule="auto"/>
              <w:rPr>
                <w:rFonts w:ascii="Times New Roman" w:hAnsi="Times New Roman" w:cs="Times New Roman"/>
                <w:b/>
                <w:bCs/>
                <w:color w:val="000000" w:themeColor="text1"/>
                <w:sz w:val="20"/>
                <w:szCs w:val="20"/>
              </w:rPr>
            </w:pPr>
            <w:r w:rsidRPr="7C285CBA">
              <w:rPr>
                <w:rFonts w:ascii="Times New Roman" w:hAnsi="Times New Roman" w:cs="Times New Roman"/>
                <w:b/>
                <w:bCs/>
                <w:color w:val="000000" w:themeColor="text1"/>
                <w:sz w:val="20"/>
                <w:szCs w:val="20"/>
              </w:rPr>
              <w:t>Jövedelempótló és jövedelemkiegészítő szociális támogatások</w:t>
            </w:r>
          </w:p>
        </w:tc>
        <w:tc>
          <w:tcPr>
            <w:tcW w:w="1134" w:type="dxa"/>
            <w:tcBorders>
              <w:top w:val="nil"/>
              <w:left w:val="nil"/>
              <w:bottom w:val="single" w:sz="4" w:space="0" w:color="auto"/>
              <w:right w:val="single" w:sz="4" w:space="0" w:color="auto"/>
            </w:tcBorders>
            <w:noWrap/>
            <w:hideMark/>
          </w:tcPr>
          <w:p w14:paraId="09D08D68" w14:textId="173D032C" w:rsidR="00DA488F" w:rsidRPr="00DA488F" w:rsidRDefault="7C285CBA" w:rsidP="7C285CBA">
            <w:pPr>
              <w:spacing w:line="240" w:lineRule="auto"/>
              <w:jc w:val="right"/>
              <w:rPr>
                <w:rFonts w:ascii="Times New Roman" w:hAnsi="Times New Roman" w:cs="Times New Roman"/>
                <w:b/>
                <w:bCs/>
                <w:sz w:val="20"/>
                <w:szCs w:val="20"/>
              </w:rPr>
            </w:pPr>
            <w:r w:rsidRPr="7C285CBA">
              <w:rPr>
                <w:rFonts w:ascii="Times New Roman" w:hAnsi="Times New Roman" w:cs="Times New Roman"/>
                <w:b/>
                <w:bCs/>
                <w:sz w:val="20"/>
                <w:szCs w:val="20"/>
              </w:rPr>
              <w:t>148,8</w:t>
            </w:r>
          </w:p>
        </w:tc>
        <w:tc>
          <w:tcPr>
            <w:tcW w:w="1134" w:type="dxa"/>
            <w:tcBorders>
              <w:top w:val="nil"/>
              <w:left w:val="nil"/>
              <w:bottom w:val="single" w:sz="4" w:space="0" w:color="auto"/>
              <w:right w:val="single" w:sz="4" w:space="0" w:color="auto"/>
            </w:tcBorders>
            <w:noWrap/>
            <w:hideMark/>
          </w:tcPr>
          <w:p w14:paraId="20CD8076" w14:textId="4752380E" w:rsidR="00DA488F" w:rsidRPr="00DA488F" w:rsidRDefault="7C285CBA" w:rsidP="7C285CBA">
            <w:pPr>
              <w:spacing w:line="240" w:lineRule="auto"/>
              <w:jc w:val="right"/>
              <w:rPr>
                <w:rFonts w:ascii="Times New Roman" w:hAnsi="Times New Roman" w:cs="Times New Roman"/>
                <w:b/>
                <w:bCs/>
                <w:sz w:val="20"/>
                <w:szCs w:val="20"/>
              </w:rPr>
            </w:pPr>
            <w:r w:rsidRPr="7C285CBA">
              <w:rPr>
                <w:rFonts w:ascii="Times New Roman" w:hAnsi="Times New Roman" w:cs="Times New Roman"/>
                <w:b/>
                <w:bCs/>
                <w:sz w:val="20"/>
                <w:szCs w:val="20"/>
              </w:rPr>
              <w:t>161,7</w:t>
            </w:r>
          </w:p>
        </w:tc>
        <w:tc>
          <w:tcPr>
            <w:tcW w:w="850" w:type="dxa"/>
            <w:tcBorders>
              <w:top w:val="nil"/>
              <w:left w:val="nil"/>
              <w:bottom w:val="single" w:sz="4" w:space="0" w:color="auto"/>
              <w:right w:val="single" w:sz="4" w:space="0" w:color="auto"/>
            </w:tcBorders>
            <w:noWrap/>
            <w:hideMark/>
          </w:tcPr>
          <w:p w14:paraId="06C5F2C2" w14:textId="1ACEDE44" w:rsidR="00DA488F" w:rsidRPr="00DA488F" w:rsidRDefault="7C285CBA" w:rsidP="7C285CBA">
            <w:pPr>
              <w:spacing w:line="240" w:lineRule="auto"/>
              <w:jc w:val="right"/>
              <w:rPr>
                <w:rFonts w:ascii="Times New Roman" w:hAnsi="Times New Roman" w:cs="Times New Roman"/>
                <w:b/>
                <w:bCs/>
                <w:sz w:val="20"/>
                <w:szCs w:val="20"/>
              </w:rPr>
            </w:pPr>
            <w:r w:rsidRPr="7C285CBA">
              <w:rPr>
                <w:rFonts w:ascii="Times New Roman" w:hAnsi="Times New Roman" w:cs="Times New Roman"/>
                <w:b/>
                <w:bCs/>
                <w:sz w:val="20"/>
                <w:szCs w:val="20"/>
              </w:rPr>
              <w:t>12,9</w:t>
            </w:r>
          </w:p>
        </w:tc>
        <w:tc>
          <w:tcPr>
            <w:tcW w:w="709" w:type="dxa"/>
            <w:tcBorders>
              <w:top w:val="nil"/>
              <w:left w:val="nil"/>
              <w:bottom w:val="single" w:sz="4" w:space="0" w:color="auto"/>
              <w:right w:val="single" w:sz="4" w:space="0" w:color="auto"/>
            </w:tcBorders>
            <w:noWrap/>
            <w:hideMark/>
          </w:tcPr>
          <w:p w14:paraId="72FE9F51" w14:textId="09A04ED7" w:rsidR="00DA488F" w:rsidRPr="00DA488F" w:rsidRDefault="7C285CBA" w:rsidP="7C285CBA">
            <w:pPr>
              <w:spacing w:line="240" w:lineRule="auto"/>
              <w:jc w:val="right"/>
              <w:rPr>
                <w:rFonts w:ascii="Times New Roman" w:hAnsi="Times New Roman" w:cs="Times New Roman"/>
                <w:b/>
                <w:bCs/>
                <w:sz w:val="20"/>
                <w:szCs w:val="20"/>
              </w:rPr>
            </w:pPr>
            <w:r w:rsidRPr="7C285CBA">
              <w:rPr>
                <w:rFonts w:ascii="Times New Roman" w:hAnsi="Times New Roman" w:cs="Times New Roman"/>
                <w:b/>
                <w:bCs/>
                <w:sz w:val="20"/>
                <w:szCs w:val="20"/>
              </w:rPr>
              <w:t>108,7</w:t>
            </w:r>
          </w:p>
        </w:tc>
      </w:tr>
      <w:tr w:rsidR="00DA488F" w:rsidRPr="006068B4" w14:paraId="5788F37E" w14:textId="77777777" w:rsidTr="00DF0A34">
        <w:trPr>
          <w:trHeight w:hRule="exact" w:val="284"/>
        </w:trPr>
        <w:tc>
          <w:tcPr>
            <w:tcW w:w="5529" w:type="dxa"/>
            <w:tcBorders>
              <w:top w:val="nil"/>
              <w:left w:val="single" w:sz="4" w:space="0" w:color="auto"/>
              <w:bottom w:val="single" w:sz="4" w:space="0" w:color="auto"/>
              <w:right w:val="single" w:sz="4" w:space="0" w:color="auto"/>
            </w:tcBorders>
            <w:noWrap/>
            <w:vAlign w:val="bottom"/>
            <w:hideMark/>
          </w:tcPr>
          <w:p w14:paraId="11B003BA" w14:textId="77777777" w:rsidR="00DA488F" w:rsidRPr="006068B4" w:rsidRDefault="7C285CBA" w:rsidP="7C285CBA">
            <w:pPr>
              <w:spacing w:line="240" w:lineRule="auto"/>
              <w:ind w:firstLineChars="100" w:firstLine="200"/>
              <w:rPr>
                <w:rFonts w:ascii="Times New Roman" w:hAnsi="Times New Roman" w:cs="Times New Roman"/>
                <w:i/>
                <w:iCs/>
                <w:color w:val="000000" w:themeColor="text1"/>
                <w:sz w:val="20"/>
                <w:szCs w:val="20"/>
              </w:rPr>
            </w:pPr>
            <w:r w:rsidRPr="7C285CBA">
              <w:rPr>
                <w:rFonts w:ascii="Times New Roman" w:hAnsi="Times New Roman" w:cs="Times New Roman"/>
                <w:i/>
                <w:iCs/>
                <w:color w:val="000000" w:themeColor="text1"/>
                <w:sz w:val="20"/>
                <w:szCs w:val="20"/>
              </w:rPr>
              <w:t>Ebből:</w:t>
            </w:r>
          </w:p>
        </w:tc>
        <w:tc>
          <w:tcPr>
            <w:tcW w:w="1134" w:type="dxa"/>
            <w:tcBorders>
              <w:top w:val="nil"/>
              <w:left w:val="nil"/>
              <w:bottom w:val="single" w:sz="4" w:space="0" w:color="auto"/>
              <w:right w:val="single" w:sz="4" w:space="0" w:color="auto"/>
            </w:tcBorders>
            <w:noWrap/>
            <w:hideMark/>
          </w:tcPr>
          <w:p w14:paraId="288BBE5A" w14:textId="2B3F6537" w:rsidR="00DA488F" w:rsidRPr="00DA488F" w:rsidRDefault="00DA488F" w:rsidP="00DA488F">
            <w:pPr>
              <w:spacing w:line="240" w:lineRule="auto"/>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hideMark/>
          </w:tcPr>
          <w:p w14:paraId="14125CFD" w14:textId="3A1AADC5"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noWrap/>
            <w:hideMark/>
          </w:tcPr>
          <w:p w14:paraId="1F8604AB" w14:textId="2C8940A6" w:rsidR="00DA488F" w:rsidRPr="00DA488F" w:rsidRDefault="00DA488F" w:rsidP="00DA488F">
            <w:pPr>
              <w:spacing w:line="240" w:lineRule="auto"/>
              <w:jc w:val="right"/>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noWrap/>
            <w:hideMark/>
          </w:tcPr>
          <w:p w14:paraId="736DD4C8" w14:textId="2881F13B" w:rsidR="00DA488F" w:rsidRPr="00DA488F" w:rsidRDefault="00DA488F" w:rsidP="00DA488F">
            <w:pPr>
              <w:spacing w:line="240" w:lineRule="auto"/>
              <w:jc w:val="right"/>
              <w:rPr>
                <w:rFonts w:ascii="Times New Roman" w:hAnsi="Times New Roman" w:cs="Times New Roman"/>
                <w:b/>
                <w:bCs/>
                <w:sz w:val="20"/>
                <w:szCs w:val="20"/>
              </w:rPr>
            </w:pPr>
          </w:p>
        </w:tc>
      </w:tr>
      <w:tr w:rsidR="00DA488F" w:rsidRPr="006068B4" w14:paraId="2B9D2C3D" w14:textId="77777777" w:rsidTr="00DF0A34">
        <w:trPr>
          <w:trHeight w:hRule="exact" w:val="284"/>
        </w:trPr>
        <w:tc>
          <w:tcPr>
            <w:tcW w:w="5529" w:type="dxa"/>
            <w:tcBorders>
              <w:top w:val="nil"/>
              <w:left w:val="single" w:sz="4" w:space="0" w:color="auto"/>
              <w:bottom w:val="single" w:sz="4" w:space="0" w:color="auto"/>
              <w:right w:val="single" w:sz="4" w:space="0" w:color="auto"/>
            </w:tcBorders>
            <w:noWrap/>
            <w:vAlign w:val="center"/>
            <w:hideMark/>
          </w:tcPr>
          <w:p w14:paraId="3BF205E9" w14:textId="77777777" w:rsidR="00DA488F" w:rsidRPr="006068B4" w:rsidRDefault="7C285CBA" w:rsidP="00DF0A34">
            <w:pPr>
              <w:spacing w:line="240" w:lineRule="auto"/>
              <w:ind w:firstLineChars="320" w:firstLine="640"/>
              <w:rPr>
                <w:rFonts w:ascii="Times New Roman" w:hAnsi="Times New Roman" w:cs="Times New Roman"/>
                <w:i/>
                <w:iCs/>
                <w:color w:val="000000" w:themeColor="text1"/>
                <w:sz w:val="20"/>
                <w:szCs w:val="20"/>
              </w:rPr>
            </w:pPr>
            <w:r w:rsidRPr="7C285CBA">
              <w:rPr>
                <w:rFonts w:ascii="Times New Roman" w:hAnsi="Times New Roman" w:cs="Times New Roman"/>
                <w:i/>
                <w:iCs/>
                <w:color w:val="000000" w:themeColor="text1"/>
                <w:sz w:val="20"/>
                <w:szCs w:val="20"/>
              </w:rPr>
              <w:t>Jövedelempótló és jövedelemkiegészítő ellátások</w:t>
            </w:r>
          </w:p>
        </w:tc>
        <w:tc>
          <w:tcPr>
            <w:tcW w:w="1134" w:type="dxa"/>
            <w:tcBorders>
              <w:top w:val="nil"/>
              <w:left w:val="nil"/>
              <w:bottom w:val="single" w:sz="4" w:space="0" w:color="auto"/>
              <w:right w:val="single" w:sz="4" w:space="0" w:color="auto"/>
            </w:tcBorders>
            <w:noWrap/>
            <w:hideMark/>
          </w:tcPr>
          <w:p w14:paraId="4ED98D04" w14:textId="3B1E674C"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58,5</w:t>
            </w:r>
          </w:p>
        </w:tc>
        <w:tc>
          <w:tcPr>
            <w:tcW w:w="1134" w:type="dxa"/>
            <w:tcBorders>
              <w:top w:val="nil"/>
              <w:left w:val="nil"/>
              <w:bottom w:val="single" w:sz="4" w:space="0" w:color="auto"/>
              <w:right w:val="single" w:sz="4" w:space="0" w:color="auto"/>
            </w:tcBorders>
            <w:noWrap/>
            <w:hideMark/>
          </w:tcPr>
          <w:p w14:paraId="0B03B656" w14:textId="6A82B76D"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59,0</w:t>
            </w:r>
          </w:p>
        </w:tc>
        <w:tc>
          <w:tcPr>
            <w:tcW w:w="850" w:type="dxa"/>
            <w:tcBorders>
              <w:top w:val="nil"/>
              <w:left w:val="nil"/>
              <w:bottom w:val="single" w:sz="4" w:space="0" w:color="auto"/>
              <w:right w:val="single" w:sz="4" w:space="0" w:color="auto"/>
            </w:tcBorders>
            <w:noWrap/>
            <w:hideMark/>
          </w:tcPr>
          <w:p w14:paraId="2876B997" w14:textId="256A57BE"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noWrap/>
            <w:hideMark/>
          </w:tcPr>
          <w:p w14:paraId="6DBAA01B" w14:textId="51E66AB4"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100,9</w:t>
            </w:r>
          </w:p>
        </w:tc>
      </w:tr>
      <w:tr w:rsidR="00DA488F" w:rsidRPr="006068B4" w14:paraId="65888AD0" w14:textId="77777777" w:rsidTr="00DF0A34">
        <w:trPr>
          <w:trHeight w:hRule="exact" w:val="284"/>
        </w:trPr>
        <w:tc>
          <w:tcPr>
            <w:tcW w:w="5529" w:type="dxa"/>
            <w:tcBorders>
              <w:top w:val="nil"/>
              <w:left w:val="single" w:sz="4" w:space="0" w:color="auto"/>
              <w:bottom w:val="single" w:sz="4" w:space="0" w:color="auto"/>
              <w:right w:val="single" w:sz="4" w:space="0" w:color="auto"/>
            </w:tcBorders>
            <w:noWrap/>
            <w:vAlign w:val="center"/>
            <w:hideMark/>
          </w:tcPr>
          <w:p w14:paraId="47B6E086" w14:textId="77777777" w:rsidR="00DA488F" w:rsidRPr="006068B4" w:rsidRDefault="7C285CBA" w:rsidP="00DF0A34">
            <w:pPr>
              <w:spacing w:line="240" w:lineRule="auto"/>
              <w:ind w:firstLineChars="320" w:firstLine="640"/>
              <w:rPr>
                <w:rFonts w:ascii="Times New Roman" w:hAnsi="Times New Roman" w:cs="Times New Roman"/>
                <w:i/>
                <w:iCs/>
                <w:color w:val="000000" w:themeColor="text1"/>
                <w:sz w:val="20"/>
                <w:szCs w:val="20"/>
              </w:rPr>
            </w:pPr>
            <w:r w:rsidRPr="7C285CBA">
              <w:rPr>
                <w:rFonts w:ascii="Times New Roman" w:hAnsi="Times New Roman" w:cs="Times New Roman"/>
                <w:i/>
                <w:iCs/>
                <w:color w:val="000000" w:themeColor="text1"/>
                <w:sz w:val="20"/>
                <w:szCs w:val="20"/>
              </w:rPr>
              <w:t>Járási szociális feladatok ellátása</w:t>
            </w:r>
          </w:p>
        </w:tc>
        <w:tc>
          <w:tcPr>
            <w:tcW w:w="1134" w:type="dxa"/>
            <w:tcBorders>
              <w:top w:val="nil"/>
              <w:left w:val="nil"/>
              <w:bottom w:val="single" w:sz="4" w:space="0" w:color="auto"/>
              <w:right w:val="single" w:sz="4" w:space="0" w:color="auto"/>
            </w:tcBorders>
            <w:noWrap/>
            <w:hideMark/>
          </w:tcPr>
          <w:p w14:paraId="4DD04FA4" w14:textId="77EDDAC1"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90,3</w:t>
            </w:r>
          </w:p>
        </w:tc>
        <w:tc>
          <w:tcPr>
            <w:tcW w:w="1134" w:type="dxa"/>
            <w:tcBorders>
              <w:top w:val="nil"/>
              <w:left w:val="nil"/>
              <w:bottom w:val="single" w:sz="4" w:space="0" w:color="auto"/>
              <w:right w:val="single" w:sz="4" w:space="0" w:color="auto"/>
            </w:tcBorders>
            <w:noWrap/>
            <w:hideMark/>
          </w:tcPr>
          <w:p w14:paraId="4B8C340C" w14:textId="1598E52B"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102,7</w:t>
            </w:r>
          </w:p>
        </w:tc>
        <w:tc>
          <w:tcPr>
            <w:tcW w:w="850" w:type="dxa"/>
            <w:tcBorders>
              <w:top w:val="nil"/>
              <w:left w:val="nil"/>
              <w:bottom w:val="single" w:sz="4" w:space="0" w:color="auto"/>
              <w:right w:val="single" w:sz="4" w:space="0" w:color="auto"/>
            </w:tcBorders>
            <w:noWrap/>
            <w:hideMark/>
          </w:tcPr>
          <w:p w14:paraId="5CB598A8" w14:textId="3081DC15"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12,4</w:t>
            </w:r>
          </w:p>
        </w:tc>
        <w:tc>
          <w:tcPr>
            <w:tcW w:w="709" w:type="dxa"/>
            <w:tcBorders>
              <w:top w:val="nil"/>
              <w:left w:val="nil"/>
              <w:bottom w:val="single" w:sz="4" w:space="0" w:color="auto"/>
              <w:right w:val="single" w:sz="4" w:space="0" w:color="auto"/>
            </w:tcBorders>
            <w:noWrap/>
            <w:hideMark/>
          </w:tcPr>
          <w:p w14:paraId="3DAE5F3D" w14:textId="4E0C90EC"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113,7</w:t>
            </w:r>
          </w:p>
        </w:tc>
      </w:tr>
      <w:tr w:rsidR="00DA488F" w:rsidRPr="006068B4" w14:paraId="030B4DBA" w14:textId="77777777" w:rsidTr="00DF0A34">
        <w:trPr>
          <w:trHeight w:hRule="exact" w:val="284"/>
        </w:trPr>
        <w:tc>
          <w:tcPr>
            <w:tcW w:w="5529" w:type="dxa"/>
            <w:tcBorders>
              <w:top w:val="nil"/>
              <w:left w:val="single" w:sz="4" w:space="0" w:color="auto"/>
              <w:bottom w:val="single" w:sz="4" w:space="0" w:color="auto"/>
              <w:right w:val="single" w:sz="4" w:space="0" w:color="auto"/>
            </w:tcBorders>
            <w:noWrap/>
            <w:vAlign w:val="bottom"/>
            <w:hideMark/>
          </w:tcPr>
          <w:p w14:paraId="42423DBB" w14:textId="77777777" w:rsidR="00DA488F" w:rsidRPr="006068B4" w:rsidRDefault="7C285CBA" w:rsidP="7C285CBA">
            <w:pPr>
              <w:spacing w:line="240" w:lineRule="auto"/>
              <w:rPr>
                <w:rFonts w:ascii="Times New Roman" w:hAnsi="Times New Roman" w:cs="Times New Roman"/>
                <w:b/>
                <w:bCs/>
                <w:color w:val="000000" w:themeColor="text1"/>
                <w:sz w:val="20"/>
                <w:szCs w:val="20"/>
              </w:rPr>
            </w:pPr>
            <w:r w:rsidRPr="7C285CBA">
              <w:rPr>
                <w:rFonts w:ascii="Times New Roman" w:hAnsi="Times New Roman" w:cs="Times New Roman"/>
                <w:b/>
                <w:bCs/>
                <w:color w:val="000000" w:themeColor="text1"/>
                <w:sz w:val="20"/>
                <w:szCs w:val="20"/>
              </w:rPr>
              <w:t>Különféle jogcímen adott térítések</w:t>
            </w:r>
          </w:p>
        </w:tc>
        <w:tc>
          <w:tcPr>
            <w:tcW w:w="1134" w:type="dxa"/>
            <w:tcBorders>
              <w:top w:val="nil"/>
              <w:left w:val="nil"/>
              <w:bottom w:val="single" w:sz="4" w:space="0" w:color="auto"/>
              <w:right w:val="single" w:sz="4" w:space="0" w:color="auto"/>
            </w:tcBorders>
            <w:noWrap/>
            <w:hideMark/>
          </w:tcPr>
          <w:p w14:paraId="0247058E" w14:textId="2C37BBCB" w:rsidR="00DA488F" w:rsidRPr="00DA488F" w:rsidRDefault="7C285CBA" w:rsidP="7C285CBA">
            <w:pPr>
              <w:spacing w:line="240" w:lineRule="auto"/>
              <w:jc w:val="right"/>
              <w:rPr>
                <w:rFonts w:ascii="Times New Roman" w:hAnsi="Times New Roman" w:cs="Times New Roman"/>
                <w:b/>
                <w:bCs/>
                <w:sz w:val="20"/>
                <w:szCs w:val="20"/>
              </w:rPr>
            </w:pPr>
            <w:r w:rsidRPr="7C285CBA">
              <w:rPr>
                <w:rFonts w:ascii="Times New Roman" w:hAnsi="Times New Roman" w:cs="Times New Roman"/>
                <w:b/>
                <w:bCs/>
                <w:sz w:val="20"/>
                <w:szCs w:val="20"/>
              </w:rPr>
              <w:t>15,5</w:t>
            </w:r>
          </w:p>
        </w:tc>
        <w:tc>
          <w:tcPr>
            <w:tcW w:w="1134" w:type="dxa"/>
            <w:tcBorders>
              <w:top w:val="nil"/>
              <w:left w:val="nil"/>
              <w:bottom w:val="single" w:sz="4" w:space="0" w:color="auto"/>
              <w:right w:val="single" w:sz="4" w:space="0" w:color="auto"/>
            </w:tcBorders>
            <w:noWrap/>
            <w:hideMark/>
          </w:tcPr>
          <w:p w14:paraId="79ACCB29" w14:textId="4293F159" w:rsidR="00DA488F" w:rsidRPr="00DA488F" w:rsidRDefault="7C285CBA" w:rsidP="7C285CBA">
            <w:pPr>
              <w:spacing w:line="240" w:lineRule="auto"/>
              <w:jc w:val="right"/>
              <w:rPr>
                <w:rFonts w:ascii="Times New Roman" w:hAnsi="Times New Roman" w:cs="Times New Roman"/>
                <w:b/>
                <w:bCs/>
                <w:sz w:val="20"/>
                <w:szCs w:val="20"/>
              </w:rPr>
            </w:pPr>
            <w:r w:rsidRPr="7C285CBA">
              <w:rPr>
                <w:rFonts w:ascii="Times New Roman" w:hAnsi="Times New Roman" w:cs="Times New Roman"/>
                <w:b/>
                <w:bCs/>
                <w:sz w:val="20"/>
                <w:szCs w:val="20"/>
              </w:rPr>
              <w:t>15,0</w:t>
            </w:r>
          </w:p>
        </w:tc>
        <w:tc>
          <w:tcPr>
            <w:tcW w:w="850" w:type="dxa"/>
            <w:tcBorders>
              <w:top w:val="nil"/>
              <w:left w:val="nil"/>
              <w:bottom w:val="single" w:sz="4" w:space="0" w:color="auto"/>
              <w:right w:val="single" w:sz="4" w:space="0" w:color="auto"/>
            </w:tcBorders>
            <w:noWrap/>
            <w:hideMark/>
          </w:tcPr>
          <w:p w14:paraId="74FAD509" w14:textId="02F1EDC3" w:rsidR="00DA488F" w:rsidRPr="00DA488F" w:rsidRDefault="7C285CBA" w:rsidP="7C285CBA">
            <w:pPr>
              <w:spacing w:line="240" w:lineRule="auto"/>
              <w:jc w:val="right"/>
              <w:rPr>
                <w:rFonts w:ascii="Times New Roman" w:hAnsi="Times New Roman" w:cs="Times New Roman"/>
                <w:b/>
                <w:bCs/>
                <w:sz w:val="20"/>
                <w:szCs w:val="20"/>
              </w:rPr>
            </w:pPr>
            <w:r w:rsidRPr="7C285CBA">
              <w:rPr>
                <w:rFonts w:ascii="Times New Roman" w:hAnsi="Times New Roman" w:cs="Times New Roman"/>
                <w:b/>
                <w:bCs/>
                <w:sz w:val="20"/>
                <w:szCs w:val="20"/>
              </w:rPr>
              <w:t>-0,5</w:t>
            </w:r>
          </w:p>
        </w:tc>
        <w:tc>
          <w:tcPr>
            <w:tcW w:w="709" w:type="dxa"/>
            <w:tcBorders>
              <w:top w:val="nil"/>
              <w:left w:val="nil"/>
              <w:bottom w:val="single" w:sz="4" w:space="0" w:color="auto"/>
              <w:right w:val="single" w:sz="4" w:space="0" w:color="auto"/>
            </w:tcBorders>
            <w:noWrap/>
            <w:hideMark/>
          </w:tcPr>
          <w:p w14:paraId="55CBB5D3" w14:textId="3B11126F" w:rsidR="00DA488F" w:rsidRPr="00DA488F" w:rsidRDefault="7C285CBA" w:rsidP="7C285CBA">
            <w:pPr>
              <w:spacing w:line="240" w:lineRule="auto"/>
              <w:jc w:val="right"/>
              <w:rPr>
                <w:rFonts w:ascii="Times New Roman" w:hAnsi="Times New Roman" w:cs="Times New Roman"/>
                <w:b/>
                <w:bCs/>
                <w:sz w:val="20"/>
                <w:szCs w:val="20"/>
              </w:rPr>
            </w:pPr>
            <w:r w:rsidRPr="7C285CBA">
              <w:rPr>
                <w:rFonts w:ascii="Times New Roman" w:hAnsi="Times New Roman" w:cs="Times New Roman"/>
                <w:b/>
                <w:bCs/>
                <w:sz w:val="20"/>
                <w:szCs w:val="20"/>
              </w:rPr>
              <w:t>96,8</w:t>
            </w:r>
          </w:p>
        </w:tc>
      </w:tr>
      <w:tr w:rsidR="00DA488F" w:rsidRPr="006068B4" w14:paraId="217EDD81" w14:textId="77777777" w:rsidTr="00DF0A34">
        <w:trPr>
          <w:trHeight w:hRule="exact" w:val="284"/>
        </w:trPr>
        <w:tc>
          <w:tcPr>
            <w:tcW w:w="5529" w:type="dxa"/>
            <w:tcBorders>
              <w:top w:val="nil"/>
              <w:left w:val="single" w:sz="4" w:space="0" w:color="auto"/>
              <w:bottom w:val="single" w:sz="4" w:space="0" w:color="auto"/>
              <w:right w:val="single" w:sz="4" w:space="0" w:color="auto"/>
            </w:tcBorders>
            <w:noWrap/>
            <w:vAlign w:val="bottom"/>
            <w:hideMark/>
          </w:tcPr>
          <w:p w14:paraId="63B18587" w14:textId="77777777" w:rsidR="00DA488F" w:rsidRPr="006068B4" w:rsidRDefault="7C285CBA" w:rsidP="7C285CBA">
            <w:pPr>
              <w:spacing w:line="240" w:lineRule="auto"/>
              <w:ind w:firstLineChars="100" w:firstLine="200"/>
              <w:rPr>
                <w:rFonts w:ascii="Times New Roman" w:hAnsi="Times New Roman" w:cs="Times New Roman"/>
                <w:i/>
                <w:iCs/>
                <w:color w:val="000000" w:themeColor="text1"/>
                <w:sz w:val="20"/>
                <w:szCs w:val="20"/>
              </w:rPr>
            </w:pPr>
            <w:r w:rsidRPr="7C285CBA">
              <w:rPr>
                <w:rFonts w:ascii="Times New Roman" w:hAnsi="Times New Roman" w:cs="Times New Roman"/>
                <w:i/>
                <w:iCs/>
                <w:color w:val="000000" w:themeColor="text1"/>
                <w:sz w:val="20"/>
                <w:szCs w:val="20"/>
              </w:rPr>
              <w:t>Ebből:</w:t>
            </w:r>
          </w:p>
        </w:tc>
        <w:tc>
          <w:tcPr>
            <w:tcW w:w="1134" w:type="dxa"/>
            <w:tcBorders>
              <w:top w:val="nil"/>
              <w:left w:val="nil"/>
              <w:bottom w:val="single" w:sz="4" w:space="0" w:color="auto"/>
              <w:right w:val="single" w:sz="4" w:space="0" w:color="auto"/>
            </w:tcBorders>
            <w:noWrap/>
            <w:hideMark/>
          </w:tcPr>
          <w:p w14:paraId="2C5C6549" w14:textId="55BA2136" w:rsidR="00DA488F" w:rsidRPr="00DA488F" w:rsidRDefault="00DA488F" w:rsidP="00DA488F">
            <w:pPr>
              <w:spacing w:line="240" w:lineRule="auto"/>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hideMark/>
          </w:tcPr>
          <w:p w14:paraId="6FA678CF" w14:textId="6098F400"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noWrap/>
            <w:hideMark/>
          </w:tcPr>
          <w:p w14:paraId="60758E7D" w14:textId="66D5869B" w:rsidR="00DA488F" w:rsidRPr="00DA488F" w:rsidRDefault="00DA488F" w:rsidP="00DA488F">
            <w:pPr>
              <w:spacing w:line="240" w:lineRule="auto"/>
              <w:jc w:val="right"/>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noWrap/>
            <w:hideMark/>
          </w:tcPr>
          <w:p w14:paraId="18E843D4" w14:textId="2899C3A6"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66A0870" w14:textId="77777777" w:rsidTr="00DF0A34">
        <w:trPr>
          <w:trHeight w:hRule="exact" w:val="284"/>
        </w:trPr>
        <w:tc>
          <w:tcPr>
            <w:tcW w:w="5529" w:type="dxa"/>
            <w:tcBorders>
              <w:top w:val="nil"/>
              <w:left w:val="single" w:sz="4" w:space="0" w:color="auto"/>
              <w:bottom w:val="single" w:sz="4" w:space="0" w:color="auto"/>
              <w:right w:val="single" w:sz="4" w:space="0" w:color="auto"/>
            </w:tcBorders>
            <w:noWrap/>
            <w:vAlign w:val="bottom"/>
            <w:hideMark/>
          </w:tcPr>
          <w:p w14:paraId="1B046E44" w14:textId="77777777" w:rsidR="00DA488F" w:rsidRPr="006068B4" w:rsidRDefault="7C285CBA" w:rsidP="00DF0A34">
            <w:pPr>
              <w:spacing w:line="240" w:lineRule="auto"/>
              <w:ind w:firstLineChars="320" w:firstLine="640"/>
              <w:rPr>
                <w:rFonts w:ascii="Times New Roman" w:hAnsi="Times New Roman" w:cs="Times New Roman"/>
                <w:i/>
                <w:iCs/>
                <w:color w:val="000000" w:themeColor="text1"/>
                <w:sz w:val="20"/>
                <w:szCs w:val="20"/>
              </w:rPr>
            </w:pPr>
            <w:r w:rsidRPr="7C285CBA">
              <w:rPr>
                <w:rFonts w:ascii="Times New Roman" w:hAnsi="Times New Roman" w:cs="Times New Roman"/>
                <w:i/>
                <w:iCs/>
                <w:color w:val="000000" w:themeColor="text1"/>
                <w:sz w:val="20"/>
                <w:szCs w:val="20"/>
              </w:rPr>
              <w:t>közgyógyellátás</w:t>
            </w:r>
          </w:p>
        </w:tc>
        <w:tc>
          <w:tcPr>
            <w:tcW w:w="1134" w:type="dxa"/>
            <w:tcBorders>
              <w:top w:val="nil"/>
              <w:left w:val="nil"/>
              <w:bottom w:val="single" w:sz="4" w:space="0" w:color="auto"/>
              <w:right w:val="single" w:sz="4" w:space="0" w:color="auto"/>
            </w:tcBorders>
            <w:noWrap/>
            <w:hideMark/>
          </w:tcPr>
          <w:p w14:paraId="1406D65C" w14:textId="5E0CA38C"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10,3</w:t>
            </w:r>
          </w:p>
        </w:tc>
        <w:tc>
          <w:tcPr>
            <w:tcW w:w="1134" w:type="dxa"/>
            <w:tcBorders>
              <w:top w:val="nil"/>
              <w:left w:val="nil"/>
              <w:bottom w:val="single" w:sz="4" w:space="0" w:color="auto"/>
              <w:right w:val="single" w:sz="4" w:space="0" w:color="auto"/>
            </w:tcBorders>
            <w:noWrap/>
            <w:hideMark/>
          </w:tcPr>
          <w:p w14:paraId="655A4EFA" w14:textId="0271C515"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9,7</w:t>
            </w:r>
          </w:p>
        </w:tc>
        <w:tc>
          <w:tcPr>
            <w:tcW w:w="850" w:type="dxa"/>
            <w:tcBorders>
              <w:top w:val="nil"/>
              <w:left w:val="nil"/>
              <w:bottom w:val="single" w:sz="4" w:space="0" w:color="auto"/>
              <w:right w:val="single" w:sz="4" w:space="0" w:color="auto"/>
            </w:tcBorders>
            <w:noWrap/>
            <w:hideMark/>
          </w:tcPr>
          <w:p w14:paraId="5494B891" w14:textId="5F1794C1"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-0,6</w:t>
            </w:r>
          </w:p>
        </w:tc>
        <w:tc>
          <w:tcPr>
            <w:tcW w:w="709" w:type="dxa"/>
            <w:tcBorders>
              <w:top w:val="nil"/>
              <w:left w:val="nil"/>
              <w:bottom w:val="single" w:sz="4" w:space="0" w:color="auto"/>
              <w:right w:val="single" w:sz="4" w:space="0" w:color="auto"/>
            </w:tcBorders>
            <w:noWrap/>
            <w:hideMark/>
          </w:tcPr>
          <w:p w14:paraId="68797428" w14:textId="23400361" w:rsidR="00DA488F" w:rsidRPr="00DA488F" w:rsidRDefault="7C285CBA" w:rsidP="7C285CBA">
            <w:pPr>
              <w:spacing w:line="240" w:lineRule="auto"/>
              <w:jc w:val="right"/>
              <w:rPr>
                <w:rFonts w:ascii="Times New Roman" w:hAnsi="Times New Roman" w:cs="Times New Roman"/>
                <w:sz w:val="20"/>
                <w:szCs w:val="20"/>
              </w:rPr>
            </w:pPr>
            <w:r w:rsidRPr="7C285CBA">
              <w:rPr>
                <w:rFonts w:ascii="Times New Roman" w:hAnsi="Times New Roman" w:cs="Times New Roman"/>
                <w:sz w:val="20"/>
                <w:szCs w:val="20"/>
              </w:rPr>
              <w:t>94,2</w:t>
            </w:r>
          </w:p>
        </w:tc>
      </w:tr>
      <w:tr w:rsidR="00DA488F" w:rsidRPr="006068B4" w14:paraId="393A56CC" w14:textId="77777777" w:rsidTr="00DF0A34">
        <w:trPr>
          <w:trHeight w:hRule="exact" w:val="284"/>
        </w:trPr>
        <w:tc>
          <w:tcPr>
            <w:tcW w:w="5529" w:type="dxa"/>
            <w:tcBorders>
              <w:top w:val="single" w:sz="4" w:space="0" w:color="auto"/>
              <w:left w:val="single" w:sz="4" w:space="0" w:color="auto"/>
              <w:bottom w:val="single" w:sz="4" w:space="0" w:color="auto"/>
              <w:right w:val="single" w:sz="4" w:space="0" w:color="auto"/>
            </w:tcBorders>
            <w:noWrap/>
            <w:vAlign w:val="bottom"/>
            <w:hideMark/>
          </w:tcPr>
          <w:p w14:paraId="7CD2655C" w14:textId="70EB1855" w:rsidR="00DA488F" w:rsidRPr="005710F5" w:rsidRDefault="7C285CBA" w:rsidP="7C285CBA">
            <w:pPr>
              <w:spacing w:line="240" w:lineRule="auto"/>
              <w:rPr>
                <w:rFonts w:ascii="Times New Roman" w:hAnsi="Times New Roman" w:cs="Times New Roman"/>
                <w:b/>
                <w:bCs/>
                <w:color w:val="000000" w:themeColor="text1"/>
                <w:sz w:val="20"/>
                <w:szCs w:val="20"/>
              </w:rPr>
            </w:pPr>
            <w:r w:rsidRPr="005710F5">
              <w:rPr>
                <w:rFonts w:ascii="Times New Roman" w:hAnsi="Times New Roman" w:cs="Times New Roman"/>
                <w:b/>
                <w:bCs/>
                <w:color w:val="000000" w:themeColor="text1"/>
                <w:sz w:val="20"/>
                <w:szCs w:val="20"/>
              </w:rPr>
              <w:t>Összesen</w:t>
            </w:r>
          </w:p>
        </w:tc>
        <w:tc>
          <w:tcPr>
            <w:tcW w:w="1134" w:type="dxa"/>
            <w:tcBorders>
              <w:top w:val="single" w:sz="4" w:space="0" w:color="auto"/>
              <w:left w:val="nil"/>
              <w:bottom w:val="single" w:sz="4" w:space="0" w:color="auto"/>
              <w:right w:val="single" w:sz="4" w:space="0" w:color="auto"/>
            </w:tcBorders>
            <w:noWrap/>
            <w:hideMark/>
          </w:tcPr>
          <w:p w14:paraId="2E876EDD" w14:textId="5954C1C4" w:rsidR="00DA488F" w:rsidRPr="005710F5" w:rsidRDefault="7C285CBA" w:rsidP="7C285CBA">
            <w:pPr>
              <w:spacing w:line="240" w:lineRule="auto"/>
              <w:jc w:val="right"/>
              <w:rPr>
                <w:rFonts w:ascii="Times New Roman" w:hAnsi="Times New Roman" w:cs="Times New Roman"/>
                <w:b/>
                <w:bCs/>
                <w:sz w:val="20"/>
                <w:szCs w:val="20"/>
              </w:rPr>
            </w:pPr>
            <w:r w:rsidRPr="005710F5">
              <w:rPr>
                <w:rFonts w:ascii="Times New Roman" w:hAnsi="Times New Roman" w:cs="Times New Roman"/>
                <w:b/>
                <w:bCs/>
                <w:sz w:val="20"/>
                <w:szCs w:val="20"/>
              </w:rPr>
              <w:t>559,4</w:t>
            </w:r>
          </w:p>
        </w:tc>
        <w:tc>
          <w:tcPr>
            <w:tcW w:w="1134" w:type="dxa"/>
            <w:tcBorders>
              <w:top w:val="single" w:sz="4" w:space="0" w:color="auto"/>
              <w:left w:val="nil"/>
              <w:bottom w:val="single" w:sz="4" w:space="0" w:color="auto"/>
              <w:right w:val="single" w:sz="4" w:space="0" w:color="auto"/>
            </w:tcBorders>
            <w:noWrap/>
            <w:hideMark/>
          </w:tcPr>
          <w:p w14:paraId="1CB4D241" w14:textId="2E3F0ADA" w:rsidR="00DA488F" w:rsidRPr="005710F5" w:rsidRDefault="7C285CBA" w:rsidP="7C285CBA">
            <w:pPr>
              <w:spacing w:line="240" w:lineRule="auto"/>
              <w:jc w:val="right"/>
              <w:rPr>
                <w:rFonts w:ascii="Times New Roman" w:hAnsi="Times New Roman" w:cs="Times New Roman"/>
                <w:b/>
                <w:bCs/>
                <w:sz w:val="20"/>
                <w:szCs w:val="20"/>
              </w:rPr>
            </w:pPr>
            <w:r w:rsidRPr="005710F5">
              <w:rPr>
                <w:rFonts w:ascii="Times New Roman" w:hAnsi="Times New Roman" w:cs="Times New Roman"/>
                <w:b/>
                <w:bCs/>
                <w:sz w:val="20"/>
                <w:szCs w:val="20"/>
              </w:rPr>
              <w:t>553,2</w:t>
            </w:r>
          </w:p>
        </w:tc>
        <w:tc>
          <w:tcPr>
            <w:tcW w:w="850" w:type="dxa"/>
            <w:tcBorders>
              <w:top w:val="single" w:sz="4" w:space="0" w:color="auto"/>
              <w:left w:val="nil"/>
              <w:bottom w:val="single" w:sz="4" w:space="0" w:color="auto"/>
              <w:right w:val="single" w:sz="4" w:space="0" w:color="auto"/>
            </w:tcBorders>
            <w:noWrap/>
            <w:hideMark/>
          </w:tcPr>
          <w:p w14:paraId="5FF2C368" w14:textId="0541EFC9" w:rsidR="00DA488F" w:rsidRPr="005710F5" w:rsidRDefault="7C285CBA" w:rsidP="7C285CBA">
            <w:pPr>
              <w:spacing w:line="240" w:lineRule="auto"/>
              <w:jc w:val="right"/>
              <w:rPr>
                <w:rFonts w:ascii="Times New Roman" w:hAnsi="Times New Roman" w:cs="Times New Roman"/>
                <w:b/>
                <w:bCs/>
                <w:sz w:val="20"/>
                <w:szCs w:val="20"/>
              </w:rPr>
            </w:pPr>
            <w:r w:rsidRPr="005710F5">
              <w:rPr>
                <w:rFonts w:ascii="Times New Roman" w:hAnsi="Times New Roman" w:cs="Times New Roman"/>
                <w:b/>
                <w:bCs/>
                <w:sz w:val="20"/>
                <w:szCs w:val="20"/>
              </w:rPr>
              <w:t>-6,2</w:t>
            </w:r>
          </w:p>
        </w:tc>
        <w:tc>
          <w:tcPr>
            <w:tcW w:w="709" w:type="dxa"/>
            <w:tcBorders>
              <w:top w:val="single" w:sz="4" w:space="0" w:color="auto"/>
              <w:left w:val="nil"/>
              <w:bottom w:val="single" w:sz="4" w:space="0" w:color="auto"/>
              <w:right w:val="single" w:sz="4" w:space="0" w:color="auto"/>
            </w:tcBorders>
            <w:noWrap/>
            <w:hideMark/>
          </w:tcPr>
          <w:p w14:paraId="7F3F44AB" w14:textId="65A34D8F" w:rsidR="00DA488F" w:rsidRPr="005710F5" w:rsidRDefault="7C285CBA" w:rsidP="7C285CBA">
            <w:pPr>
              <w:spacing w:line="240" w:lineRule="auto"/>
              <w:jc w:val="right"/>
              <w:rPr>
                <w:rFonts w:ascii="Times New Roman" w:hAnsi="Times New Roman" w:cs="Times New Roman"/>
                <w:b/>
                <w:bCs/>
                <w:sz w:val="20"/>
                <w:szCs w:val="20"/>
              </w:rPr>
            </w:pPr>
            <w:r w:rsidRPr="005710F5">
              <w:rPr>
                <w:rFonts w:ascii="Times New Roman" w:hAnsi="Times New Roman" w:cs="Times New Roman"/>
                <w:b/>
                <w:bCs/>
                <w:sz w:val="20"/>
                <w:szCs w:val="20"/>
              </w:rPr>
              <w:t>98,9</w:t>
            </w:r>
          </w:p>
        </w:tc>
      </w:tr>
    </w:tbl>
    <w:p w14:paraId="4C037148" w14:textId="57CB8860" w:rsidR="7C285CBA" w:rsidRDefault="7C285CBA" w:rsidP="00B3244C">
      <w:pPr>
        <w:spacing w:before="240"/>
        <w:jc w:val="both"/>
      </w:pPr>
      <w:r w:rsidRPr="7C285CBA">
        <w:rPr>
          <w:rFonts w:ascii="Times New Roman" w:eastAsia="Times New Roman" w:hAnsi="Times New Roman" w:cs="Times New Roman"/>
          <w:sz w:val="26"/>
          <w:szCs w:val="26"/>
        </w:rPr>
        <w:t xml:space="preserve">A </w:t>
      </w:r>
      <w:r w:rsidRPr="7C285CBA">
        <w:rPr>
          <w:rFonts w:ascii="Times New Roman" w:eastAsia="Times New Roman" w:hAnsi="Times New Roman" w:cs="Times New Roman"/>
          <w:b/>
          <w:bCs/>
          <w:sz w:val="26"/>
          <w:szCs w:val="26"/>
        </w:rPr>
        <w:t>családi támogatásokra</w:t>
      </w:r>
      <w:r w:rsidRPr="7C285CBA">
        <w:rPr>
          <w:rFonts w:ascii="Times New Roman" w:eastAsia="Times New Roman" w:hAnsi="Times New Roman" w:cs="Times New Roman"/>
          <w:sz w:val="26"/>
          <w:szCs w:val="26"/>
        </w:rPr>
        <w:t xml:space="preserve"> 2025 első nyolc hónapjában összesen 292,7</w:t>
      </w:r>
      <w:r w:rsidR="00F5521A">
        <w:rPr>
          <w:rFonts w:ascii="Times New Roman" w:eastAsia="Times New Roman" w:hAnsi="Times New Roman" w:cs="Times New Roman"/>
          <w:sz w:val="26"/>
          <w:szCs w:val="26"/>
        </w:rPr>
        <w:t> </w:t>
      </w:r>
      <w:r w:rsidRPr="7C285CBA">
        <w:rPr>
          <w:rFonts w:ascii="Times New Roman" w:eastAsia="Times New Roman" w:hAnsi="Times New Roman" w:cs="Times New Roman"/>
          <w:sz w:val="26"/>
          <w:szCs w:val="26"/>
        </w:rPr>
        <w:t>milliárd forintot fizettek ki, amely 15,2</w:t>
      </w:r>
      <w:r w:rsidR="007224D4">
        <w:rPr>
          <w:rFonts w:ascii="Times New Roman" w:eastAsia="Times New Roman" w:hAnsi="Times New Roman" w:cs="Times New Roman"/>
          <w:sz w:val="26"/>
          <w:szCs w:val="26"/>
        </w:rPr>
        <w:t> </w:t>
      </w:r>
      <w:r w:rsidRPr="7C285CBA">
        <w:rPr>
          <w:rFonts w:ascii="Times New Roman" w:eastAsia="Times New Roman" w:hAnsi="Times New Roman" w:cs="Times New Roman"/>
          <w:sz w:val="26"/>
          <w:szCs w:val="26"/>
        </w:rPr>
        <w:t>milliárd forinttal volt alacsonyabb az előző évi teljesítésnél. Az</w:t>
      </w:r>
      <w:r w:rsidR="00F5521A">
        <w:rPr>
          <w:rFonts w:ascii="Times New Roman" w:eastAsia="Times New Roman" w:hAnsi="Times New Roman" w:cs="Times New Roman"/>
          <w:sz w:val="26"/>
          <w:szCs w:val="26"/>
        </w:rPr>
        <w:t> </w:t>
      </w:r>
      <w:r w:rsidRPr="7C285CBA">
        <w:rPr>
          <w:rFonts w:ascii="Times New Roman" w:eastAsia="Times New Roman" w:hAnsi="Times New Roman" w:cs="Times New Roman"/>
          <w:sz w:val="26"/>
          <w:szCs w:val="26"/>
        </w:rPr>
        <w:t xml:space="preserve">eltérés elsősorban a Családi támogatások </w:t>
      </w:r>
      <w:r w:rsidR="00F5521A">
        <w:rPr>
          <w:rFonts w:ascii="Times New Roman" w:eastAsia="Times New Roman" w:hAnsi="Times New Roman" w:cs="Times New Roman"/>
          <w:sz w:val="26"/>
          <w:szCs w:val="26"/>
        </w:rPr>
        <w:t>alcímhez</w:t>
      </w:r>
      <w:r w:rsidRPr="7C285CBA">
        <w:rPr>
          <w:rFonts w:ascii="Times New Roman" w:eastAsia="Times New Roman" w:hAnsi="Times New Roman" w:cs="Times New Roman"/>
          <w:sz w:val="26"/>
          <w:szCs w:val="26"/>
        </w:rPr>
        <w:t xml:space="preserve"> tartozó Életkezdési támogatás előirányzat kiadásai csökkenésének következménye, ami 12,7</w:t>
      </w:r>
      <w:r w:rsidR="00F5521A">
        <w:rPr>
          <w:rFonts w:ascii="Times New Roman" w:eastAsia="Times New Roman" w:hAnsi="Times New Roman" w:cs="Times New Roman"/>
          <w:sz w:val="26"/>
          <w:szCs w:val="26"/>
        </w:rPr>
        <w:t> </w:t>
      </w:r>
      <w:r w:rsidRPr="7C285CBA">
        <w:rPr>
          <w:rFonts w:ascii="Times New Roman" w:eastAsia="Times New Roman" w:hAnsi="Times New Roman" w:cs="Times New Roman"/>
          <w:sz w:val="26"/>
          <w:szCs w:val="26"/>
        </w:rPr>
        <w:t xml:space="preserve">milliárd forinttal volt alacsonyabb </w:t>
      </w:r>
      <w:r w:rsidR="007224D4">
        <w:rPr>
          <w:rFonts w:ascii="Times New Roman" w:eastAsia="Times New Roman" w:hAnsi="Times New Roman" w:cs="Times New Roman"/>
          <w:sz w:val="26"/>
          <w:szCs w:val="26"/>
        </w:rPr>
        <w:t xml:space="preserve">az </w:t>
      </w:r>
      <w:r w:rsidRPr="7C285CBA">
        <w:rPr>
          <w:rFonts w:ascii="Times New Roman" w:eastAsia="Times New Roman" w:hAnsi="Times New Roman" w:cs="Times New Roman"/>
          <w:sz w:val="26"/>
          <w:szCs w:val="26"/>
        </w:rPr>
        <w:t>előző év azonos időszakához képest. Ennek oka, hogy 2025-ben az életkezdési letéti számlákon nyilvántartott követelés összegére tekintettel fizetett kamat mértéke 3,7% volt (a 2024. évi infláció mértékének megfelelően), ami jelentősen alacsonyabb a 2024-ben fizetett kamat mértékénél (17,6%).</w:t>
      </w:r>
    </w:p>
    <w:p w14:paraId="16187255" w14:textId="2C292AE3" w:rsidR="7C285CBA" w:rsidRDefault="7C285CBA" w:rsidP="7C285CBA">
      <w:pPr>
        <w:jc w:val="both"/>
      </w:pPr>
      <w:r w:rsidRPr="7C285CBA">
        <w:rPr>
          <w:rFonts w:ascii="Times New Roman" w:eastAsia="Times New Roman" w:hAnsi="Times New Roman" w:cs="Times New Roman"/>
          <w:sz w:val="26"/>
          <w:szCs w:val="26"/>
        </w:rPr>
        <w:t xml:space="preserve">A </w:t>
      </w:r>
      <w:r w:rsidRPr="7C285CBA">
        <w:rPr>
          <w:rFonts w:ascii="Times New Roman" w:eastAsia="Times New Roman" w:hAnsi="Times New Roman" w:cs="Times New Roman"/>
          <w:b/>
          <w:bCs/>
          <w:sz w:val="26"/>
          <w:szCs w:val="26"/>
        </w:rPr>
        <w:t>korhatár alatti ellátások</w:t>
      </w:r>
      <w:r w:rsidRPr="7C285CBA">
        <w:rPr>
          <w:rFonts w:ascii="Times New Roman" w:eastAsia="Times New Roman" w:hAnsi="Times New Roman" w:cs="Times New Roman"/>
          <w:sz w:val="26"/>
          <w:szCs w:val="26"/>
        </w:rPr>
        <w:t xml:space="preserve"> esetében a kiadás 3,6 milliárd forinttal alacsonyabb volt az előző év azonos időszakához képest. A csökkenést az okozza, hogy a jogosultak elérik az öregségi nyugdíjkorhatárt, és nyugellátásra válnak jogosulttá, létszámuk folyamatosan csökken. Januárban sor került az ellátások 3,2%-os emelésére is, valamint a 13. havi </w:t>
      </w:r>
      <w:r w:rsidRPr="7C285CBA">
        <w:rPr>
          <w:rFonts w:ascii="Times New Roman" w:eastAsia="Times New Roman" w:hAnsi="Times New Roman" w:cs="Times New Roman"/>
          <w:sz w:val="26"/>
          <w:szCs w:val="26"/>
        </w:rPr>
        <w:lastRenderedPageBreak/>
        <w:t>nyugdíjhoz hasonlóan februárban a korhatár előtti ellátásban részesülő személyek is részesültek 13. havi ellátásban.</w:t>
      </w:r>
    </w:p>
    <w:p w14:paraId="5CCE9349" w14:textId="0487316E" w:rsidR="7C285CBA" w:rsidRDefault="7C285CBA" w:rsidP="7C285CBA">
      <w:pPr>
        <w:jc w:val="both"/>
      </w:pPr>
      <w:r w:rsidRPr="7C285CBA">
        <w:rPr>
          <w:rFonts w:ascii="Times New Roman" w:eastAsia="Times New Roman" w:hAnsi="Times New Roman" w:cs="Times New Roman"/>
          <w:sz w:val="26"/>
          <w:szCs w:val="26"/>
        </w:rPr>
        <w:t xml:space="preserve">2025 augusztusáig a </w:t>
      </w:r>
      <w:r w:rsidRPr="00F5521A">
        <w:rPr>
          <w:rFonts w:ascii="Times New Roman" w:eastAsia="Times New Roman" w:hAnsi="Times New Roman" w:cs="Times New Roman"/>
          <w:b/>
          <w:bCs/>
          <w:sz w:val="26"/>
          <w:szCs w:val="26"/>
        </w:rPr>
        <w:t>jövedelempótló és jövedelemkiegészítő szociális támogatásokra biztosított kiadásokon</w:t>
      </w:r>
      <w:r w:rsidRPr="7C285CBA">
        <w:rPr>
          <w:rFonts w:ascii="Times New Roman" w:eastAsia="Times New Roman" w:hAnsi="Times New Roman" w:cs="Times New Roman"/>
          <w:sz w:val="26"/>
          <w:szCs w:val="26"/>
        </w:rPr>
        <w:t xml:space="preserve"> belül a </w:t>
      </w:r>
      <w:r w:rsidRPr="00F5521A">
        <w:rPr>
          <w:rFonts w:ascii="Times New Roman" w:eastAsia="Times New Roman" w:hAnsi="Times New Roman" w:cs="Times New Roman"/>
          <w:sz w:val="26"/>
          <w:szCs w:val="26"/>
        </w:rPr>
        <w:t>járási szociális feladatok</w:t>
      </w:r>
      <w:r w:rsidRPr="7C285CBA">
        <w:rPr>
          <w:rFonts w:ascii="Times New Roman" w:eastAsia="Times New Roman" w:hAnsi="Times New Roman" w:cs="Times New Roman"/>
          <w:sz w:val="26"/>
          <w:szCs w:val="26"/>
        </w:rPr>
        <w:t xml:space="preserve"> ellátására (gyermekek otthongondozási díja, ápolási díj, időskorúak járadéka, foglalkoztatást helyettesítő támogatás, egészségkárosodási és gyermekfelügyeleti támogatás) 102,7 milliárd forintot fordítottak, mely 12,4 milliárd forinttal magasabb az előző évi adatnál. A növekedést elsődlegesen az okozza, hogy 2025. januártól a gyermekek otthongondozási díjának összege a minimálbér emelkedése miatt (266 800 forintról 290 800 forintra) emelkedett, az ápolási díj összege pedig 3,2%-kal nőtt, és folyamatosan emelkedik a gyermekek otthongondozási díjára jogosultak létszáma is.</w:t>
      </w:r>
    </w:p>
    <w:p w14:paraId="16237F42" w14:textId="17BDA593" w:rsidR="7C285CBA" w:rsidRDefault="7C285CBA" w:rsidP="7C285CBA">
      <w:pPr>
        <w:jc w:val="both"/>
      </w:pPr>
      <w:r w:rsidRPr="7C285CBA">
        <w:rPr>
          <w:rFonts w:ascii="Times New Roman" w:eastAsia="Times New Roman" w:hAnsi="Times New Roman" w:cs="Times New Roman"/>
          <w:sz w:val="26"/>
          <w:szCs w:val="26"/>
        </w:rPr>
        <w:t xml:space="preserve">A </w:t>
      </w:r>
      <w:r w:rsidRPr="007224D4">
        <w:rPr>
          <w:rFonts w:ascii="Times New Roman" w:eastAsia="Times New Roman" w:hAnsi="Times New Roman" w:cs="Times New Roman"/>
          <w:sz w:val="26"/>
          <w:szCs w:val="26"/>
        </w:rPr>
        <w:t>Jövedelempótló és jövedelemkiegészítő ellátások</w:t>
      </w:r>
      <w:r w:rsidRPr="7C285CBA">
        <w:rPr>
          <w:rFonts w:ascii="Times New Roman" w:eastAsia="Times New Roman" w:hAnsi="Times New Roman" w:cs="Times New Roman"/>
          <w:sz w:val="26"/>
          <w:szCs w:val="26"/>
        </w:rPr>
        <w:t xml:space="preserve"> előirányzat tartalmazza a fogyatékossági támogatás, a vakok személyi járadéka, az átmeneti bányászjáradék és számos további, jellemzően kifutó jellegű ellátás (pl. mezőgazdasági járadék, politikai rehabilitációs és más nyugdíj-kiegészítések, házastársi pótlék) forrását. A jövedelempótló és jövedelemkiegészítő ellátásokra 59,0</w:t>
      </w:r>
      <w:r w:rsidR="007224D4">
        <w:rPr>
          <w:rFonts w:ascii="Times New Roman" w:eastAsia="Times New Roman" w:hAnsi="Times New Roman" w:cs="Times New Roman"/>
          <w:sz w:val="26"/>
          <w:szCs w:val="26"/>
        </w:rPr>
        <w:t> </w:t>
      </w:r>
      <w:r w:rsidRPr="7C285CBA">
        <w:rPr>
          <w:rFonts w:ascii="Times New Roman" w:eastAsia="Times New Roman" w:hAnsi="Times New Roman" w:cs="Times New Roman"/>
          <w:sz w:val="26"/>
          <w:szCs w:val="26"/>
        </w:rPr>
        <w:t>milliárd forintot fizettek ki, mely az előző évi kifizetésnél 0,5</w:t>
      </w:r>
      <w:r w:rsidR="007224D4">
        <w:rPr>
          <w:rFonts w:ascii="Times New Roman" w:eastAsia="Times New Roman" w:hAnsi="Times New Roman" w:cs="Times New Roman"/>
          <w:sz w:val="26"/>
          <w:szCs w:val="26"/>
        </w:rPr>
        <w:t> </w:t>
      </w:r>
      <w:r w:rsidRPr="7C285CBA">
        <w:rPr>
          <w:rFonts w:ascii="Times New Roman" w:eastAsia="Times New Roman" w:hAnsi="Times New Roman" w:cs="Times New Roman"/>
          <w:sz w:val="26"/>
          <w:szCs w:val="26"/>
        </w:rPr>
        <w:t>milliárd forinttal magasabb. A kiadások növekedését egyes ellátások januárban végrehajtott 3,2%-os emelésének, valamint a 2025. februárjában kifizetett 13.</w:t>
      </w:r>
      <w:r w:rsidR="007224D4">
        <w:rPr>
          <w:rFonts w:ascii="Times New Roman" w:eastAsia="Times New Roman" w:hAnsi="Times New Roman" w:cs="Times New Roman"/>
          <w:sz w:val="26"/>
          <w:szCs w:val="26"/>
        </w:rPr>
        <w:t> </w:t>
      </w:r>
      <w:r w:rsidRPr="7C285CBA">
        <w:rPr>
          <w:rFonts w:ascii="Times New Roman" w:eastAsia="Times New Roman" w:hAnsi="Times New Roman" w:cs="Times New Roman"/>
          <w:sz w:val="26"/>
          <w:szCs w:val="26"/>
        </w:rPr>
        <w:t>havi ellátásnak a hatása okozza, amit a jogosultak létszámának csökkenése részben ellensúlyoz.</w:t>
      </w:r>
    </w:p>
    <w:p w14:paraId="6E7F1E5A" w14:textId="09D64D30" w:rsidR="7C285CBA" w:rsidRDefault="7C285CBA" w:rsidP="7C285CBA">
      <w:pPr>
        <w:jc w:val="both"/>
      </w:pPr>
      <w:r w:rsidRPr="7C285CBA">
        <w:rPr>
          <w:rFonts w:ascii="Times New Roman" w:eastAsia="Times New Roman" w:hAnsi="Times New Roman" w:cs="Times New Roman"/>
          <w:sz w:val="26"/>
          <w:szCs w:val="26"/>
        </w:rPr>
        <w:t xml:space="preserve">A </w:t>
      </w:r>
      <w:r w:rsidRPr="7C285CBA">
        <w:rPr>
          <w:rFonts w:ascii="Times New Roman" w:eastAsia="Times New Roman" w:hAnsi="Times New Roman" w:cs="Times New Roman"/>
          <w:b/>
          <w:bCs/>
          <w:sz w:val="26"/>
          <w:szCs w:val="26"/>
        </w:rPr>
        <w:t>különféle jogcímen adott térítések</w:t>
      </w:r>
      <w:r w:rsidRPr="7C285CBA">
        <w:rPr>
          <w:rFonts w:ascii="Times New Roman" w:eastAsia="Times New Roman" w:hAnsi="Times New Roman" w:cs="Times New Roman"/>
          <w:sz w:val="26"/>
          <w:szCs w:val="26"/>
        </w:rPr>
        <w:t xml:space="preserve"> 2025</w:t>
      </w:r>
      <w:r w:rsidR="007224D4">
        <w:rPr>
          <w:rFonts w:ascii="Times New Roman" w:eastAsia="Times New Roman" w:hAnsi="Times New Roman" w:cs="Times New Roman"/>
          <w:sz w:val="26"/>
          <w:szCs w:val="26"/>
        </w:rPr>
        <w:t>.</w:t>
      </w:r>
      <w:r w:rsidRPr="7C285CBA">
        <w:rPr>
          <w:rFonts w:ascii="Times New Roman" w:eastAsia="Times New Roman" w:hAnsi="Times New Roman" w:cs="Times New Roman"/>
          <w:sz w:val="26"/>
          <w:szCs w:val="26"/>
        </w:rPr>
        <w:t xml:space="preserve"> augusztusi összege 0,5</w:t>
      </w:r>
      <w:r w:rsidR="007224D4">
        <w:rPr>
          <w:rFonts w:ascii="Times New Roman" w:eastAsia="Times New Roman" w:hAnsi="Times New Roman" w:cs="Times New Roman"/>
          <w:sz w:val="26"/>
          <w:szCs w:val="26"/>
        </w:rPr>
        <w:t> </w:t>
      </w:r>
      <w:r w:rsidRPr="7C285CBA">
        <w:rPr>
          <w:rFonts w:ascii="Times New Roman" w:eastAsia="Times New Roman" w:hAnsi="Times New Roman" w:cs="Times New Roman"/>
          <w:sz w:val="26"/>
          <w:szCs w:val="26"/>
        </w:rPr>
        <w:t>milliárd forinttal alacsonyabb volt, mint az előző év azonos időszakában. A térítéseken belül a legnagyobb összeget, 9,7 milliárd forintot a közgyógyellátásra fizették ki.</w:t>
      </w:r>
    </w:p>
    <w:p w14:paraId="2BBDBEB3" w14:textId="3298E09A" w:rsidR="0032261D" w:rsidRPr="005C3ECD" w:rsidRDefault="7C285CBA" w:rsidP="7C285CBA">
      <w:pPr>
        <w:pStyle w:val="NormlWeb"/>
        <w:spacing w:before="0" w:beforeAutospacing="0" w:after="160" w:afterAutospacing="0" w:line="259" w:lineRule="auto"/>
        <w:jc w:val="both"/>
        <w:rPr>
          <w:sz w:val="26"/>
          <w:szCs w:val="26"/>
        </w:rPr>
      </w:pPr>
      <w:r w:rsidRPr="7C285CBA">
        <w:rPr>
          <w:sz w:val="26"/>
          <w:szCs w:val="26"/>
        </w:rPr>
        <w:t xml:space="preserve">A </w:t>
      </w:r>
      <w:r w:rsidRPr="7C285CBA">
        <w:rPr>
          <w:b/>
          <w:bCs/>
          <w:sz w:val="26"/>
          <w:szCs w:val="26"/>
        </w:rPr>
        <w:t>babaváró támogatásokra</w:t>
      </w:r>
      <w:r w:rsidRPr="7C285CBA">
        <w:rPr>
          <w:sz w:val="26"/>
          <w:szCs w:val="26"/>
        </w:rPr>
        <w:t xml:space="preserve"> fordított kiadások összege augusztus végéig 156,1 milliárd forintot tett ki, amely a törvényi előirányzat 62,1%-ának felel meg, és a 2024. év azonos időszakához viszonyítva 19,9 milliárd forinttal teljesült magasabban.</w:t>
      </w:r>
    </w:p>
    <w:p w14:paraId="31F9568C" w14:textId="342D6A52" w:rsidR="00A31F84" w:rsidRDefault="7C285CBA" w:rsidP="7C285CBA">
      <w:pPr>
        <w:pStyle w:val="NormlWeb"/>
        <w:spacing w:before="0" w:beforeAutospacing="0" w:after="160" w:afterAutospacing="0" w:line="259" w:lineRule="auto"/>
        <w:jc w:val="both"/>
        <w:rPr>
          <w:sz w:val="26"/>
          <w:szCs w:val="26"/>
        </w:rPr>
      </w:pPr>
      <w:bookmarkStart w:id="1" w:name="_Hlk202786542"/>
      <w:r w:rsidRPr="7C285CBA">
        <w:rPr>
          <w:sz w:val="26"/>
          <w:szCs w:val="26"/>
        </w:rPr>
        <w:t xml:space="preserve">A </w:t>
      </w:r>
      <w:r w:rsidRPr="7C285CBA">
        <w:rPr>
          <w:b/>
          <w:bCs/>
          <w:sz w:val="26"/>
          <w:szCs w:val="26"/>
        </w:rPr>
        <w:t>helyi önkormányzatok</w:t>
      </w:r>
      <w:r w:rsidRPr="7C285CBA">
        <w:rPr>
          <w:sz w:val="26"/>
          <w:szCs w:val="26"/>
        </w:rPr>
        <w:t xml:space="preserve"> 2025. évi feladataihoz a hatályos költségvetési törvény alapján </w:t>
      </w:r>
      <w:r w:rsidR="74CD2655">
        <w:br/>
      </w:r>
      <w:r w:rsidRPr="7C285CBA">
        <w:rPr>
          <w:sz w:val="26"/>
          <w:szCs w:val="26"/>
        </w:rPr>
        <w:t>1305,7 milliárd forint állami támogatás került megállapításra. Az augusztus havi tényadat alapján 919,2 milliárd forint kifizetés történt, ami az eredeti előirányzat 70,4%-át teszi ki. Az előző év azonos időszakához viszonyított 89,1 milliárd forint (10,7%-os) növekedés a tanárok és polgármesterek béremeléséből, valamint a szociális ágazat idei előirányzatának törvényi emeléséből fakad. A jelentősebb tételek alakulását a következő táblázat mutatja:</w:t>
      </w:r>
    </w:p>
    <w:p w14:paraId="5FD13206" w14:textId="77777777" w:rsidR="00A966B1" w:rsidRDefault="00A966B1" w:rsidP="002C6F14">
      <w:pPr>
        <w:pStyle w:val="NormlWeb"/>
        <w:spacing w:before="0" w:beforeAutospacing="0" w:after="160" w:afterAutospacing="0" w:line="259" w:lineRule="auto"/>
        <w:jc w:val="both"/>
        <w:rPr>
          <w:sz w:val="26"/>
          <w:szCs w:val="26"/>
        </w:rPr>
      </w:pPr>
    </w:p>
    <w:p w14:paraId="75EFF307" w14:textId="577D6FC1" w:rsidR="00B3244C" w:rsidRDefault="00B3244C">
      <w:pPr>
        <w:rPr>
          <w:rFonts w:ascii="Times New Roman" w:eastAsia="Times New Roman" w:hAnsi="Times New Roman" w:cs="Times New Roman"/>
          <w:sz w:val="26"/>
          <w:szCs w:val="26"/>
          <w:lang w:eastAsia="hu-HU"/>
        </w:rPr>
      </w:pPr>
      <w:r>
        <w:rPr>
          <w:sz w:val="26"/>
          <w:szCs w:val="26"/>
        </w:rPr>
        <w:br w:type="page"/>
      </w:r>
    </w:p>
    <w:p w14:paraId="2723D8B3" w14:textId="34B7D713" w:rsidR="00C24948" w:rsidRPr="00B32682" w:rsidRDefault="7C285CBA" w:rsidP="7C285CBA">
      <w:pPr>
        <w:pStyle w:val="NormlWeb"/>
        <w:spacing w:before="0" w:beforeAutospacing="0" w:after="160" w:afterAutospacing="0" w:line="259" w:lineRule="auto"/>
        <w:jc w:val="center"/>
      </w:pPr>
      <w:r w:rsidRPr="7C285CBA">
        <w:rPr>
          <w:b/>
          <w:bCs/>
        </w:rPr>
        <w:lastRenderedPageBreak/>
        <w:t>A helyi önkormányzatok támogatásának alakulása (milliárd forint)</w:t>
      </w:r>
    </w:p>
    <w:tbl>
      <w:tblPr>
        <w:tblpPr w:leftFromText="141" w:rightFromText="141" w:vertAnchor="text" w:horzAnchor="margin" w:tblpY="20"/>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1134"/>
        <w:gridCol w:w="1134"/>
        <w:gridCol w:w="850"/>
        <w:gridCol w:w="771"/>
      </w:tblGrid>
      <w:tr w:rsidR="00081A16" w:rsidRPr="00377D59" w14:paraId="6741B982" w14:textId="77777777" w:rsidTr="00F43D33">
        <w:trPr>
          <w:trHeight w:val="340"/>
        </w:trPr>
        <w:tc>
          <w:tcPr>
            <w:tcW w:w="5382" w:type="dxa"/>
            <w:vMerge w:val="restart"/>
            <w:shd w:val="clear" w:color="auto" w:fill="BDD6EE" w:themeFill="accent1" w:themeFillTint="66"/>
            <w:noWrap/>
            <w:vAlign w:val="center"/>
            <w:hideMark/>
          </w:tcPr>
          <w:p w14:paraId="07514BAA" w14:textId="77777777" w:rsidR="00081A16" w:rsidRPr="00DD7FD1" w:rsidRDefault="7C285CBA" w:rsidP="7C285CBA">
            <w:pPr>
              <w:keepNext/>
              <w:keepLines/>
              <w:spacing w:after="0" w:line="240" w:lineRule="auto"/>
              <w:jc w:val="center"/>
              <w:rPr>
                <w:rFonts w:ascii="Times New Roman" w:eastAsia="Times New Roman" w:hAnsi="Times New Roman" w:cs="Times New Roman"/>
                <w:b/>
                <w:bCs/>
                <w:lang w:eastAsia="hu-HU"/>
              </w:rPr>
            </w:pPr>
            <w:r w:rsidRPr="7C285CBA">
              <w:rPr>
                <w:rFonts w:ascii="Times New Roman" w:eastAsia="Times New Roman" w:hAnsi="Times New Roman" w:cs="Times New Roman"/>
                <w:b/>
                <w:bCs/>
                <w:lang w:eastAsia="hu-HU"/>
              </w:rPr>
              <w:t>Megnevezés</w:t>
            </w:r>
          </w:p>
        </w:tc>
        <w:tc>
          <w:tcPr>
            <w:tcW w:w="1134" w:type="dxa"/>
            <w:vMerge w:val="restart"/>
            <w:shd w:val="clear" w:color="auto" w:fill="BDD6EE" w:themeFill="accent1" w:themeFillTint="66"/>
            <w:vAlign w:val="center"/>
            <w:hideMark/>
          </w:tcPr>
          <w:p w14:paraId="5DC080D6" w14:textId="54337C34" w:rsidR="00081A16" w:rsidRPr="00DD7FD1" w:rsidRDefault="7C285CBA" w:rsidP="7C285CBA">
            <w:pPr>
              <w:spacing w:after="0" w:line="240" w:lineRule="auto"/>
              <w:jc w:val="center"/>
              <w:rPr>
                <w:rFonts w:ascii="Times New Roman" w:eastAsia="Times New Roman" w:hAnsi="Times New Roman" w:cs="Times New Roman"/>
                <w:b/>
                <w:bCs/>
                <w:lang w:eastAsia="hu-HU"/>
              </w:rPr>
            </w:pPr>
            <w:r w:rsidRPr="7C285CBA">
              <w:rPr>
                <w:rFonts w:ascii="Times New Roman" w:eastAsia="Times New Roman" w:hAnsi="Times New Roman" w:cs="Times New Roman"/>
                <w:b/>
                <w:bCs/>
                <w:lang w:eastAsia="hu-HU"/>
              </w:rPr>
              <w:t xml:space="preserve">2024. </w:t>
            </w:r>
            <w:r w:rsidR="74CD2655">
              <w:br/>
            </w:r>
            <w:r w:rsidRPr="7C285CBA">
              <w:rPr>
                <w:rFonts w:ascii="Times New Roman" w:hAnsi="Times New Roman" w:cs="Times New Roman"/>
                <w:b/>
                <w:bCs/>
              </w:rPr>
              <w:t>I-VIII. hó</w:t>
            </w:r>
          </w:p>
        </w:tc>
        <w:tc>
          <w:tcPr>
            <w:tcW w:w="1134" w:type="dxa"/>
            <w:vMerge w:val="restart"/>
            <w:shd w:val="clear" w:color="auto" w:fill="BDD6EE" w:themeFill="accent1" w:themeFillTint="66"/>
            <w:vAlign w:val="center"/>
            <w:hideMark/>
          </w:tcPr>
          <w:p w14:paraId="626AC8BC" w14:textId="5630C88E" w:rsidR="00081A16" w:rsidRPr="00DD7FD1" w:rsidRDefault="7C285CBA" w:rsidP="7C285CBA">
            <w:pPr>
              <w:spacing w:after="0" w:line="240" w:lineRule="auto"/>
              <w:jc w:val="center"/>
              <w:rPr>
                <w:rFonts w:ascii="Times New Roman" w:eastAsia="Times New Roman" w:hAnsi="Times New Roman" w:cs="Times New Roman"/>
                <w:b/>
                <w:bCs/>
                <w:lang w:eastAsia="hu-HU"/>
              </w:rPr>
            </w:pPr>
            <w:r w:rsidRPr="7C285CBA">
              <w:rPr>
                <w:rFonts w:ascii="Times New Roman" w:eastAsia="Times New Roman" w:hAnsi="Times New Roman" w:cs="Times New Roman"/>
                <w:b/>
                <w:bCs/>
                <w:lang w:eastAsia="hu-HU"/>
              </w:rPr>
              <w:t xml:space="preserve">2025. </w:t>
            </w:r>
            <w:r w:rsidR="74CD2655">
              <w:br/>
            </w:r>
            <w:r w:rsidRPr="7C285CBA">
              <w:rPr>
                <w:rFonts w:ascii="Times New Roman" w:hAnsi="Times New Roman" w:cs="Times New Roman"/>
                <w:b/>
                <w:bCs/>
              </w:rPr>
              <w:t>I-VIII. hó</w:t>
            </w:r>
          </w:p>
        </w:tc>
        <w:tc>
          <w:tcPr>
            <w:tcW w:w="1621" w:type="dxa"/>
            <w:gridSpan w:val="2"/>
            <w:shd w:val="clear" w:color="auto" w:fill="BDD6EE" w:themeFill="accent1" w:themeFillTint="66"/>
            <w:noWrap/>
            <w:vAlign w:val="center"/>
            <w:hideMark/>
          </w:tcPr>
          <w:p w14:paraId="35A3C823" w14:textId="77777777" w:rsidR="00081A16" w:rsidRPr="00DD7FD1" w:rsidRDefault="7C285CBA" w:rsidP="7C285CBA">
            <w:pPr>
              <w:keepNext/>
              <w:keepLines/>
              <w:spacing w:after="0" w:line="240" w:lineRule="auto"/>
              <w:jc w:val="center"/>
              <w:rPr>
                <w:rFonts w:ascii="Times New Roman" w:eastAsia="Times New Roman" w:hAnsi="Times New Roman" w:cs="Times New Roman"/>
                <w:b/>
                <w:bCs/>
                <w:lang w:eastAsia="hu-HU"/>
              </w:rPr>
            </w:pPr>
            <w:r w:rsidRPr="7C285CBA">
              <w:rPr>
                <w:rFonts w:ascii="Times New Roman" w:eastAsia="Times New Roman" w:hAnsi="Times New Roman" w:cs="Times New Roman"/>
                <w:b/>
                <w:bCs/>
                <w:lang w:eastAsia="hu-HU"/>
              </w:rPr>
              <w:t>Eltérés</w:t>
            </w:r>
          </w:p>
        </w:tc>
      </w:tr>
      <w:tr w:rsidR="00C24948" w:rsidRPr="00377D59" w14:paraId="2DD9A798" w14:textId="77777777" w:rsidTr="00E86C99">
        <w:trPr>
          <w:trHeight w:val="340"/>
        </w:trPr>
        <w:tc>
          <w:tcPr>
            <w:tcW w:w="5382" w:type="dxa"/>
            <w:vMerge/>
            <w:shd w:val="clear" w:color="auto" w:fill="BDD6EE" w:themeFill="accent1" w:themeFillTint="66"/>
            <w:vAlign w:val="center"/>
            <w:hideMark/>
          </w:tcPr>
          <w:p w14:paraId="5F76A56A" w14:textId="77777777" w:rsidR="00C24948" w:rsidRPr="00DD7FD1" w:rsidRDefault="00C24948" w:rsidP="00C24948">
            <w:pPr>
              <w:keepNext/>
              <w:keepLines/>
              <w:spacing w:after="0" w:line="240" w:lineRule="auto"/>
              <w:rPr>
                <w:rFonts w:ascii="Times New Roman" w:eastAsia="Times New Roman" w:hAnsi="Times New Roman" w:cs="Times New Roman"/>
                <w:b/>
                <w:bCs/>
                <w:lang w:eastAsia="hu-HU"/>
              </w:rPr>
            </w:pPr>
          </w:p>
        </w:tc>
        <w:tc>
          <w:tcPr>
            <w:tcW w:w="1134" w:type="dxa"/>
            <w:vMerge/>
            <w:shd w:val="clear" w:color="auto" w:fill="BDD6EE" w:themeFill="accent1" w:themeFillTint="66"/>
            <w:vAlign w:val="center"/>
            <w:hideMark/>
          </w:tcPr>
          <w:p w14:paraId="65B4B0A4" w14:textId="77777777" w:rsidR="00C24948" w:rsidRPr="00DD7FD1" w:rsidRDefault="00C24948" w:rsidP="00C24948">
            <w:pPr>
              <w:keepNext/>
              <w:keepLines/>
              <w:spacing w:after="0" w:line="240" w:lineRule="auto"/>
              <w:jc w:val="center"/>
              <w:rPr>
                <w:rFonts w:ascii="Times New Roman" w:eastAsia="Times New Roman" w:hAnsi="Times New Roman" w:cs="Times New Roman"/>
                <w:b/>
                <w:bCs/>
                <w:lang w:eastAsia="hu-HU"/>
              </w:rPr>
            </w:pPr>
          </w:p>
        </w:tc>
        <w:tc>
          <w:tcPr>
            <w:tcW w:w="1134" w:type="dxa"/>
            <w:vMerge/>
            <w:shd w:val="clear" w:color="auto" w:fill="BDD6EE" w:themeFill="accent1" w:themeFillTint="66"/>
            <w:vAlign w:val="center"/>
            <w:hideMark/>
          </w:tcPr>
          <w:p w14:paraId="5FE97B50" w14:textId="77777777" w:rsidR="00C24948" w:rsidRPr="00DD7FD1" w:rsidRDefault="00C24948" w:rsidP="00C24948">
            <w:pPr>
              <w:keepNext/>
              <w:keepLines/>
              <w:spacing w:after="0" w:line="240" w:lineRule="auto"/>
              <w:jc w:val="center"/>
              <w:rPr>
                <w:rFonts w:ascii="Times New Roman" w:eastAsia="Times New Roman" w:hAnsi="Times New Roman" w:cs="Times New Roman"/>
                <w:b/>
                <w:bCs/>
                <w:lang w:eastAsia="hu-HU"/>
              </w:rPr>
            </w:pPr>
          </w:p>
        </w:tc>
        <w:tc>
          <w:tcPr>
            <w:tcW w:w="850" w:type="dxa"/>
            <w:shd w:val="clear" w:color="auto" w:fill="BDD6EE" w:themeFill="accent1" w:themeFillTint="66"/>
            <w:noWrap/>
            <w:vAlign w:val="center"/>
            <w:hideMark/>
          </w:tcPr>
          <w:p w14:paraId="1B2C8FF2" w14:textId="77777777" w:rsidR="00C24948" w:rsidRPr="00DD7FD1" w:rsidRDefault="7C285CBA" w:rsidP="7C285CBA">
            <w:pPr>
              <w:keepNext/>
              <w:keepLines/>
              <w:spacing w:after="0" w:line="240" w:lineRule="auto"/>
              <w:jc w:val="center"/>
              <w:rPr>
                <w:rFonts w:ascii="Times New Roman" w:eastAsia="Times New Roman" w:hAnsi="Times New Roman" w:cs="Times New Roman"/>
                <w:b/>
                <w:bCs/>
                <w:lang w:eastAsia="hu-HU"/>
              </w:rPr>
            </w:pPr>
            <w:r w:rsidRPr="7C285CBA">
              <w:rPr>
                <w:rFonts w:ascii="Times New Roman" w:eastAsia="Times New Roman" w:hAnsi="Times New Roman" w:cs="Times New Roman"/>
                <w:b/>
                <w:bCs/>
                <w:lang w:eastAsia="hu-HU"/>
              </w:rPr>
              <w:t>Mrd Ft</w:t>
            </w:r>
          </w:p>
        </w:tc>
        <w:tc>
          <w:tcPr>
            <w:tcW w:w="771" w:type="dxa"/>
            <w:shd w:val="clear" w:color="auto" w:fill="BDD6EE" w:themeFill="accent1" w:themeFillTint="66"/>
            <w:noWrap/>
            <w:vAlign w:val="center"/>
            <w:hideMark/>
          </w:tcPr>
          <w:p w14:paraId="179AEF43" w14:textId="77777777" w:rsidR="00C24948" w:rsidRPr="00DD7FD1" w:rsidRDefault="7C285CBA" w:rsidP="7C285CBA">
            <w:pPr>
              <w:keepNext/>
              <w:keepLines/>
              <w:spacing w:after="0" w:line="240" w:lineRule="auto"/>
              <w:jc w:val="center"/>
              <w:rPr>
                <w:rFonts w:ascii="Times New Roman" w:eastAsia="Times New Roman" w:hAnsi="Times New Roman" w:cs="Times New Roman"/>
                <w:b/>
                <w:bCs/>
                <w:lang w:eastAsia="hu-HU"/>
              </w:rPr>
            </w:pPr>
            <w:r w:rsidRPr="7C285CBA">
              <w:rPr>
                <w:rFonts w:ascii="Times New Roman" w:eastAsia="Times New Roman" w:hAnsi="Times New Roman" w:cs="Times New Roman"/>
                <w:b/>
                <w:bCs/>
                <w:lang w:eastAsia="hu-HU"/>
              </w:rPr>
              <w:t>%</w:t>
            </w:r>
          </w:p>
        </w:tc>
      </w:tr>
      <w:tr w:rsidR="00644395" w:rsidRPr="00377D59" w14:paraId="5CF52B9C" w14:textId="77777777" w:rsidTr="00E86C99">
        <w:trPr>
          <w:trHeight w:val="510"/>
        </w:trPr>
        <w:tc>
          <w:tcPr>
            <w:tcW w:w="5382" w:type="dxa"/>
            <w:vAlign w:val="center"/>
            <w:hideMark/>
          </w:tcPr>
          <w:p w14:paraId="11FF4C49" w14:textId="77777777" w:rsidR="00644395" w:rsidRPr="00976E1E" w:rsidRDefault="7C285CBA" w:rsidP="7C285CBA">
            <w:pPr>
              <w:keepNext/>
              <w:keepLines/>
              <w:spacing w:after="0" w:line="240" w:lineRule="auto"/>
              <w:rPr>
                <w:rFonts w:ascii="Times New Roman" w:eastAsia="Times New Roman" w:hAnsi="Times New Roman" w:cs="Times New Roman"/>
                <w:b/>
                <w:bCs/>
                <w:sz w:val="20"/>
                <w:szCs w:val="20"/>
                <w:lang w:eastAsia="hu-HU"/>
              </w:rPr>
            </w:pPr>
            <w:r w:rsidRPr="7C285CBA">
              <w:rPr>
                <w:rFonts w:ascii="Times New Roman" w:eastAsia="Times New Roman" w:hAnsi="Times New Roman" w:cs="Times New Roman"/>
                <w:b/>
                <w:bCs/>
                <w:sz w:val="20"/>
                <w:szCs w:val="20"/>
                <w:lang w:eastAsia="hu-HU"/>
              </w:rPr>
              <w:t>A helyi önkormányzatok általános működésének és ágazati feladatainak támogatása</w:t>
            </w:r>
          </w:p>
        </w:tc>
        <w:tc>
          <w:tcPr>
            <w:tcW w:w="1134" w:type="dxa"/>
            <w:noWrap/>
            <w:vAlign w:val="center"/>
          </w:tcPr>
          <w:p w14:paraId="0A1E4CBD" w14:textId="3EC52725" w:rsidR="00644395" w:rsidRPr="00F43D33" w:rsidRDefault="7C285CBA" w:rsidP="7C285CBA">
            <w:pPr>
              <w:keepNext/>
              <w:keepLines/>
              <w:spacing w:after="0" w:line="240" w:lineRule="auto"/>
              <w:jc w:val="right"/>
              <w:rPr>
                <w:rFonts w:ascii="Times New Roman" w:eastAsia="Times New Roman" w:hAnsi="Times New Roman" w:cs="Times New Roman"/>
                <w:b/>
                <w:bCs/>
                <w:lang w:eastAsia="hu-HU"/>
              </w:rPr>
            </w:pPr>
            <w:r w:rsidRPr="00F43D33">
              <w:rPr>
                <w:rFonts w:ascii="Times New Roman" w:hAnsi="Times New Roman" w:cs="Times New Roman"/>
                <w:b/>
                <w:bCs/>
                <w:color w:val="000000" w:themeColor="text1"/>
              </w:rPr>
              <w:t>757,3</w:t>
            </w:r>
          </w:p>
        </w:tc>
        <w:tc>
          <w:tcPr>
            <w:tcW w:w="1134" w:type="dxa"/>
            <w:noWrap/>
            <w:vAlign w:val="center"/>
          </w:tcPr>
          <w:p w14:paraId="47729553" w14:textId="1C46A13A" w:rsidR="00644395" w:rsidRPr="00F43D33" w:rsidRDefault="7C285CBA" w:rsidP="7C285CBA">
            <w:pPr>
              <w:keepNext/>
              <w:keepLines/>
              <w:spacing w:after="0" w:line="240" w:lineRule="auto"/>
              <w:jc w:val="right"/>
              <w:rPr>
                <w:rFonts w:ascii="Times New Roman" w:eastAsia="Times New Roman" w:hAnsi="Times New Roman" w:cs="Times New Roman"/>
                <w:b/>
                <w:bCs/>
                <w:lang w:eastAsia="hu-HU"/>
              </w:rPr>
            </w:pPr>
            <w:r w:rsidRPr="00F43D33">
              <w:rPr>
                <w:rFonts w:ascii="Times New Roman" w:hAnsi="Times New Roman" w:cs="Times New Roman"/>
                <w:b/>
                <w:bCs/>
                <w:color w:val="000000" w:themeColor="text1"/>
              </w:rPr>
              <w:t>816,4</w:t>
            </w:r>
          </w:p>
        </w:tc>
        <w:tc>
          <w:tcPr>
            <w:tcW w:w="850" w:type="dxa"/>
            <w:noWrap/>
            <w:vAlign w:val="center"/>
          </w:tcPr>
          <w:p w14:paraId="11D76081" w14:textId="1718FDA3" w:rsidR="00644395" w:rsidRPr="00F43D33" w:rsidRDefault="7C285CBA" w:rsidP="7C285CBA">
            <w:pPr>
              <w:keepNext/>
              <w:keepLines/>
              <w:spacing w:after="0" w:line="240" w:lineRule="auto"/>
              <w:jc w:val="right"/>
              <w:rPr>
                <w:rFonts w:ascii="Times New Roman" w:eastAsia="Times New Roman" w:hAnsi="Times New Roman" w:cs="Times New Roman"/>
                <w:b/>
                <w:bCs/>
                <w:lang w:eastAsia="hu-HU"/>
              </w:rPr>
            </w:pPr>
            <w:r w:rsidRPr="00F43D33">
              <w:rPr>
                <w:rFonts w:ascii="Times New Roman" w:hAnsi="Times New Roman" w:cs="Times New Roman"/>
                <w:b/>
                <w:bCs/>
                <w:color w:val="000000" w:themeColor="text1"/>
              </w:rPr>
              <w:t>59,1</w:t>
            </w:r>
          </w:p>
        </w:tc>
        <w:tc>
          <w:tcPr>
            <w:tcW w:w="771" w:type="dxa"/>
            <w:noWrap/>
            <w:vAlign w:val="center"/>
          </w:tcPr>
          <w:p w14:paraId="0E9DF60E" w14:textId="5366D5FD" w:rsidR="00644395" w:rsidRPr="00F43D33" w:rsidRDefault="7C285CBA" w:rsidP="7C285CBA">
            <w:pPr>
              <w:keepNext/>
              <w:keepLines/>
              <w:spacing w:after="0" w:line="240" w:lineRule="auto"/>
              <w:jc w:val="right"/>
              <w:rPr>
                <w:rFonts w:ascii="Times New Roman" w:eastAsia="Times New Roman" w:hAnsi="Times New Roman" w:cs="Times New Roman"/>
                <w:b/>
                <w:bCs/>
                <w:lang w:eastAsia="hu-HU"/>
              </w:rPr>
            </w:pPr>
            <w:r w:rsidRPr="00F43D33">
              <w:rPr>
                <w:rFonts w:ascii="Times New Roman" w:hAnsi="Times New Roman" w:cs="Times New Roman"/>
                <w:b/>
                <w:bCs/>
                <w:color w:val="000000" w:themeColor="text1"/>
              </w:rPr>
              <w:t>107,8</w:t>
            </w:r>
          </w:p>
        </w:tc>
      </w:tr>
      <w:tr w:rsidR="00644395" w:rsidRPr="00377D59" w14:paraId="66D88640" w14:textId="77777777" w:rsidTr="00E86C99">
        <w:trPr>
          <w:trHeight w:val="340"/>
        </w:trPr>
        <w:tc>
          <w:tcPr>
            <w:tcW w:w="5382" w:type="dxa"/>
            <w:vAlign w:val="center"/>
            <w:hideMark/>
          </w:tcPr>
          <w:p w14:paraId="4496E62C" w14:textId="77777777" w:rsidR="00644395" w:rsidRPr="00976E1E" w:rsidRDefault="7C285CBA" w:rsidP="7C285CBA">
            <w:pPr>
              <w:keepNext/>
              <w:keepLines/>
              <w:spacing w:after="0" w:line="240" w:lineRule="auto"/>
              <w:rPr>
                <w:rFonts w:ascii="Times New Roman" w:eastAsia="Times New Roman" w:hAnsi="Times New Roman" w:cs="Times New Roman"/>
                <w:i/>
                <w:iCs/>
                <w:sz w:val="20"/>
                <w:szCs w:val="20"/>
                <w:lang w:eastAsia="hu-HU"/>
              </w:rPr>
            </w:pPr>
            <w:r w:rsidRPr="7C285CBA">
              <w:rPr>
                <w:rFonts w:ascii="Times New Roman" w:eastAsia="Times New Roman" w:hAnsi="Times New Roman" w:cs="Times New Roman"/>
                <w:i/>
                <w:iCs/>
                <w:sz w:val="20"/>
                <w:szCs w:val="20"/>
                <w:lang w:eastAsia="hu-HU"/>
              </w:rPr>
              <w:t>A helyi önkormányzatok működésének általános támogatása</w:t>
            </w:r>
          </w:p>
        </w:tc>
        <w:tc>
          <w:tcPr>
            <w:tcW w:w="1134" w:type="dxa"/>
            <w:noWrap/>
            <w:vAlign w:val="center"/>
          </w:tcPr>
          <w:p w14:paraId="6C091267" w14:textId="589E9F01" w:rsidR="00644395" w:rsidRPr="00F43D33" w:rsidRDefault="7C285CBA" w:rsidP="7C285CBA">
            <w:pPr>
              <w:keepNext/>
              <w:keepLines/>
              <w:spacing w:after="0" w:line="240" w:lineRule="auto"/>
              <w:jc w:val="right"/>
              <w:rPr>
                <w:rFonts w:ascii="Times New Roman" w:eastAsia="Times New Roman" w:hAnsi="Times New Roman" w:cs="Times New Roman"/>
                <w:i/>
                <w:iCs/>
                <w:lang w:eastAsia="hu-HU"/>
              </w:rPr>
            </w:pPr>
            <w:r w:rsidRPr="00F43D33">
              <w:rPr>
                <w:rFonts w:ascii="Times New Roman" w:hAnsi="Times New Roman" w:cs="Times New Roman"/>
                <w:i/>
                <w:iCs/>
                <w:color w:val="000000" w:themeColor="text1"/>
              </w:rPr>
              <w:t>212,6</w:t>
            </w:r>
          </w:p>
        </w:tc>
        <w:tc>
          <w:tcPr>
            <w:tcW w:w="1134" w:type="dxa"/>
            <w:noWrap/>
            <w:vAlign w:val="center"/>
          </w:tcPr>
          <w:p w14:paraId="3313F341" w14:textId="319E06D1" w:rsidR="00644395" w:rsidRPr="00F43D33" w:rsidRDefault="7C285CBA" w:rsidP="7C285CBA">
            <w:pPr>
              <w:keepNext/>
              <w:keepLines/>
              <w:spacing w:after="0" w:line="240" w:lineRule="auto"/>
              <w:jc w:val="right"/>
              <w:rPr>
                <w:rFonts w:ascii="Times New Roman" w:eastAsia="Times New Roman" w:hAnsi="Times New Roman" w:cs="Times New Roman"/>
                <w:i/>
                <w:iCs/>
                <w:lang w:eastAsia="hu-HU"/>
              </w:rPr>
            </w:pPr>
            <w:r w:rsidRPr="00F43D33">
              <w:rPr>
                <w:rFonts w:ascii="Times New Roman" w:hAnsi="Times New Roman" w:cs="Times New Roman"/>
                <w:i/>
                <w:iCs/>
                <w:color w:val="000000" w:themeColor="text1"/>
              </w:rPr>
              <w:t>214,6</w:t>
            </w:r>
          </w:p>
        </w:tc>
        <w:tc>
          <w:tcPr>
            <w:tcW w:w="850" w:type="dxa"/>
            <w:noWrap/>
            <w:vAlign w:val="center"/>
          </w:tcPr>
          <w:p w14:paraId="1F67C594" w14:textId="7CC219F1" w:rsidR="00644395" w:rsidRPr="00F43D33" w:rsidRDefault="7C285CBA" w:rsidP="7C285CBA">
            <w:pPr>
              <w:keepNext/>
              <w:keepLines/>
              <w:spacing w:after="0" w:line="240" w:lineRule="auto"/>
              <w:jc w:val="right"/>
              <w:rPr>
                <w:rFonts w:ascii="Times New Roman" w:eastAsia="Times New Roman" w:hAnsi="Times New Roman" w:cs="Times New Roman"/>
                <w:i/>
                <w:iCs/>
                <w:lang w:eastAsia="hu-HU"/>
              </w:rPr>
            </w:pPr>
            <w:r w:rsidRPr="00F43D33">
              <w:rPr>
                <w:rFonts w:ascii="Times New Roman" w:hAnsi="Times New Roman" w:cs="Times New Roman"/>
                <w:i/>
                <w:iCs/>
                <w:color w:val="000000" w:themeColor="text1"/>
              </w:rPr>
              <w:t>2</w:t>
            </w:r>
            <w:r w:rsidR="00F43D33" w:rsidRPr="00F43D33">
              <w:rPr>
                <w:rFonts w:ascii="Times New Roman" w:hAnsi="Times New Roman" w:cs="Times New Roman"/>
                <w:i/>
                <w:iCs/>
                <w:color w:val="000000" w:themeColor="text1"/>
              </w:rPr>
              <w:t>,0</w:t>
            </w:r>
          </w:p>
        </w:tc>
        <w:tc>
          <w:tcPr>
            <w:tcW w:w="771" w:type="dxa"/>
            <w:noWrap/>
            <w:vAlign w:val="center"/>
          </w:tcPr>
          <w:p w14:paraId="6B1384BF" w14:textId="49C749C6" w:rsidR="00644395" w:rsidRPr="00F43D33" w:rsidRDefault="7C285CBA" w:rsidP="7C285CBA">
            <w:pPr>
              <w:keepNext/>
              <w:keepLines/>
              <w:spacing w:after="0" w:line="240" w:lineRule="auto"/>
              <w:jc w:val="right"/>
              <w:rPr>
                <w:rFonts w:ascii="Times New Roman" w:eastAsia="Times New Roman" w:hAnsi="Times New Roman" w:cs="Times New Roman"/>
                <w:i/>
                <w:iCs/>
                <w:lang w:eastAsia="hu-HU"/>
              </w:rPr>
            </w:pPr>
            <w:r w:rsidRPr="00F43D33">
              <w:rPr>
                <w:rFonts w:ascii="Times New Roman" w:hAnsi="Times New Roman" w:cs="Times New Roman"/>
                <w:i/>
                <w:iCs/>
                <w:color w:val="000000" w:themeColor="text1"/>
              </w:rPr>
              <w:t>100,9</w:t>
            </w:r>
          </w:p>
        </w:tc>
      </w:tr>
      <w:tr w:rsidR="00644395" w:rsidRPr="00377D59" w14:paraId="644FC967" w14:textId="77777777" w:rsidTr="00E86C99">
        <w:trPr>
          <w:trHeight w:val="510"/>
        </w:trPr>
        <w:tc>
          <w:tcPr>
            <w:tcW w:w="5382" w:type="dxa"/>
            <w:vAlign w:val="center"/>
            <w:hideMark/>
          </w:tcPr>
          <w:p w14:paraId="1BA330A0" w14:textId="77777777" w:rsidR="00644395" w:rsidRPr="00976E1E" w:rsidRDefault="7C285CBA" w:rsidP="7C285CBA">
            <w:pPr>
              <w:keepNext/>
              <w:keepLines/>
              <w:spacing w:after="0" w:line="240" w:lineRule="auto"/>
              <w:rPr>
                <w:rFonts w:ascii="Times New Roman" w:eastAsia="Times New Roman" w:hAnsi="Times New Roman" w:cs="Times New Roman"/>
                <w:i/>
                <w:iCs/>
                <w:sz w:val="20"/>
                <w:szCs w:val="20"/>
                <w:lang w:eastAsia="hu-HU"/>
              </w:rPr>
            </w:pPr>
            <w:r w:rsidRPr="7C285CBA">
              <w:rPr>
                <w:rFonts w:ascii="Times New Roman" w:eastAsia="Times New Roman" w:hAnsi="Times New Roman" w:cs="Times New Roman"/>
                <w:i/>
                <w:iCs/>
                <w:sz w:val="20"/>
                <w:szCs w:val="20"/>
                <w:lang w:eastAsia="hu-HU"/>
              </w:rPr>
              <w:t>A települési önkormányzatok egyes köznevelési feladatainak támogatása</w:t>
            </w:r>
          </w:p>
        </w:tc>
        <w:tc>
          <w:tcPr>
            <w:tcW w:w="1134" w:type="dxa"/>
            <w:noWrap/>
            <w:vAlign w:val="center"/>
          </w:tcPr>
          <w:p w14:paraId="5E8D28C3" w14:textId="4F2AFF87" w:rsidR="00644395" w:rsidRPr="00F43D33" w:rsidRDefault="7C285CBA" w:rsidP="7C285CBA">
            <w:pPr>
              <w:keepNext/>
              <w:keepLines/>
              <w:spacing w:after="0" w:line="240" w:lineRule="auto"/>
              <w:jc w:val="right"/>
              <w:rPr>
                <w:rFonts w:ascii="Times New Roman" w:eastAsia="Times New Roman" w:hAnsi="Times New Roman" w:cs="Times New Roman"/>
                <w:i/>
                <w:iCs/>
                <w:lang w:eastAsia="hu-HU"/>
              </w:rPr>
            </w:pPr>
            <w:r w:rsidRPr="00F43D33">
              <w:rPr>
                <w:rFonts w:ascii="Times New Roman" w:hAnsi="Times New Roman" w:cs="Times New Roman"/>
                <w:i/>
                <w:iCs/>
                <w:color w:val="000000" w:themeColor="text1"/>
              </w:rPr>
              <w:t>240,6</w:t>
            </w:r>
          </w:p>
        </w:tc>
        <w:tc>
          <w:tcPr>
            <w:tcW w:w="1134" w:type="dxa"/>
            <w:noWrap/>
            <w:vAlign w:val="center"/>
          </w:tcPr>
          <w:p w14:paraId="6861BB58" w14:textId="09F90AB4" w:rsidR="00644395" w:rsidRPr="00F43D33" w:rsidRDefault="7C285CBA" w:rsidP="7C285CBA">
            <w:pPr>
              <w:keepNext/>
              <w:keepLines/>
              <w:spacing w:after="0" w:line="240" w:lineRule="auto"/>
              <w:jc w:val="right"/>
              <w:rPr>
                <w:rFonts w:ascii="Times New Roman" w:eastAsia="Times New Roman" w:hAnsi="Times New Roman" w:cs="Times New Roman"/>
                <w:i/>
                <w:iCs/>
                <w:lang w:eastAsia="hu-HU"/>
              </w:rPr>
            </w:pPr>
            <w:r w:rsidRPr="00F43D33">
              <w:rPr>
                <w:rFonts w:ascii="Times New Roman" w:hAnsi="Times New Roman" w:cs="Times New Roman"/>
                <w:i/>
                <w:iCs/>
                <w:color w:val="000000" w:themeColor="text1"/>
              </w:rPr>
              <w:t>273,1</w:t>
            </w:r>
          </w:p>
        </w:tc>
        <w:tc>
          <w:tcPr>
            <w:tcW w:w="850" w:type="dxa"/>
            <w:noWrap/>
            <w:vAlign w:val="center"/>
          </w:tcPr>
          <w:p w14:paraId="085D1E80" w14:textId="050A154E" w:rsidR="00644395" w:rsidRPr="00F43D33" w:rsidRDefault="7C285CBA" w:rsidP="7C285CBA">
            <w:pPr>
              <w:keepNext/>
              <w:keepLines/>
              <w:spacing w:after="0" w:line="240" w:lineRule="auto"/>
              <w:jc w:val="right"/>
              <w:rPr>
                <w:rFonts w:ascii="Times New Roman" w:eastAsia="Times New Roman" w:hAnsi="Times New Roman" w:cs="Times New Roman"/>
                <w:i/>
                <w:iCs/>
                <w:lang w:eastAsia="hu-HU"/>
              </w:rPr>
            </w:pPr>
            <w:r w:rsidRPr="00F43D33">
              <w:rPr>
                <w:rFonts w:ascii="Times New Roman" w:hAnsi="Times New Roman" w:cs="Times New Roman"/>
                <w:i/>
                <w:iCs/>
                <w:color w:val="000000" w:themeColor="text1"/>
              </w:rPr>
              <w:t>32,5</w:t>
            </w:r>
          </w:p>
        </w:tc>
        <w:tc>
          <w:tcPr>
            <w:tcW w:w="771" w:type="dxa"/>
            <w:noWrap/>
            <w:vAlign w:val="center"/>
          </w:tcPr>
          <w:p w14:paraId="7767CDD1" w14:textId="2261FA08" w:rsidR="00644395" w:rsidRPr="00F43D33" w:rsidRDefault="7C285CBA" w:rsidP="7C285CBA">
            <w:pPr>
              <w:keepNext/>
              <w:keepLines/>
              <w:spacing w:after="0" w:line="240" w:lineRule="auto"/>
              <w:jc w:val="right"/>
              <w:rPr>
                <w:rFonts w:ascii="Times New Roman" w:eastAsia="Times New Roman" w:hAnsi="Times New Roman" w:cs="Times New Roman"/>
                <w:i/>
                <w:iCs/>
                <w:lang w:eastAsia="hu-HU"/>
              </w:rPr>
            </w:pPr>
            <w:r w:rsidRPr="00F43D33">
              <w:rPr>
                <w:rFonts w:ascii="Times New Roman" w:hAnsi="Times New Roman" w:cs="Times New Roman"/>
                <w:i/>
                <w:iCs/>
                <w:color w:val="000000" w:themeColor="text1"/>
              </w:rPr>
              <w:t>113,5</w:t>
            </w:r>
          </w:p>
        </w:tc>
      </w:tr>
      <w:tr w:rsidR="00644395" w:rsidRPr="00377D59" w14:paraId="11F06AEB" w14:textId="77777777" w:rsidTr="00E86C99">
        <w:trPr>
          <w:trHeight w:val="510"/>
        </w:trPr>
        <w:tc>
          <w:tcPr>
            <w:tcW w:w="5382" w:type="dxa"/>
            <w:vAlign w:val="center"/>
            <w:hideMark/>
          </w:tcPr>
          <w:p w14:paraId="63EE65A2" w14:textId="77777777" w:rsidR="00644395" w:rsidRPr="00976E1E" w:rsidRDefault="7C285CBA" w:rsidP="7C285CBA">
            <w:pPr>
              <w:keepNext/>
              <w:keepLines/>
              <w:spacing w:after="0" w:line="240" w:lineRule="auto"/>
              <w:rPr>
                <w:rFonts w:ascii="Times New Roman" w:eastAsia="Times New Roman" w:hAnsi="Times New Roman" w:cs="Times New Roman"/>
                <w:i/>
                <w:iCs/>
                <w:sz w:val="20"/>
                <w:szCs w:val="20"/>
                <w:lang w:eastAsia="hu-HU"/>
              </w:rPr>
            </w:pPr>
            <w:r w:rsidRPr="7C285CBA">
              <w:rPr>
                <w:rFonts w:ascii="Times New Roman" w:eastAsia="Times New Roman" w:hAnsi="Times New Roman" w:cs="Times New Roman"/>
                <w:i/>
                <w:iCs/>
                <w:sz w:val="20"/>
                <w:szCs w:val="20"/>
                <w:lang w:eastAsia="hu-HU"/>
              </w:rPr>
              <w:t>A települési önkormányzatok egyes szociális, gyermekjóléti és gyermekétkeztetési feladatainak támogatása</w:t>
            </w:r>
          </w:p>
        </w:tc>
        <w:tc>
          <w:tcPr>
            <w:tcW w:w="1134" w:type="dxa"/>
            <w:noWrap/>
            <w:vAlign w:val="center"/>
          </w:tcPr>
          <w:p w14:paraId="4BBDE34C" w14:textId="5B80459D" w:rsidR="00644395" w:rsidRPr="00F43D33" w:rsidRDefault="7C285CBA" w:rsidP="7C285CBA">
            <w:pPr>
              <w:keepNext/>
              <w:keepLines/>
              <w:spacing w:after="0" w:line="240" w:lineRule="auto"/>
              <w:jc w:val="right"/>
              <w:rPr>
                <w:rFonts w:ascii="Times New Roman" w:eastAsia="Times New Roman" w:hAnsi="Times New Roman" w:cs="Times New Roman"/>
                <w:i/>
                <w:iCs/>
                <w:lang w:eastAsia="hu-HU"/>
              </w:rPr>
            </w:pPr>
            <w:r w:rsidRPr="00F43D33">
              <w:rPr>
                <w:rFonts w:ascii="Times New Roman" w:hAnsi="Times New Roman" w:cs="Times New Roman"/>
                <w:i/>
                <w:iCs/>
                <w:color w:val="000000" w:themeColor="text1"/>
              </w:rPr>
              <w:t>288,8</w:t>
            </w:r>
          </w:p>
        </w:tc>
        <w:tc>
          <w:tcPr>
            <w:tcW w:w="1134" w:type="dxa"/>
            <w:noWrap/>
            <w:vAlign w:val="center"/>
          </w:tcPr>
          <w:p w14:paraId="4EC5C695" w14:textId="67180455" w:rsidR="00644395" w:rsidRPr="00F43D33" w:rsidRDefault="7C285CBA" w:rsidP="7C285CBA">
            <w:pPr>
              <w:keepNext/>
              <w:keepLines/>
              <w:spacing w:after="0" w:line="240" w:lineRule="auto"/>
              <w:jc w:val="right"/>
              <w:rPr>
                <w:rFonts w:ascii="Times New Roman" w:eastAsia="Times New Roman" w:hAnsi="Times New Roman" w:cs="Times New Roman"/>
                <w:i/>
                <w:iCs/>
                <w:lang w:eastAsia="hu-HU"/>
              </w:rPr>
            </w:pPr>
            <w:r w:rsidRPr="00F43D33">
              <w:rPr>
                <w:rFonts w:ascii="Times New Roman" w:hAnsi="Times New Roman" w:cs="Times New Roman"/>
                <w:i/>
                <w:iCs/>
                <w:color w:val="000000" w:themeColor="text1"/>
              </w:rPr>
              <w:t>313,4</w:t>
            </w:r>
          </w:p>
        </w:tc>
        <w:tc>
          <w:tcPr>
            <w:tcW w:w="850" w:type="dxa"/>
            <w:noWrap/>
            <w:vAlign w:val="center"/>
          </w:tcPr>
          <w:p w14:paraId="14601228" w14:textId="6C6F5982" w:rsidR="00644395" w:rsidRPr="00F43D33" w:rsidRDefault="7C285CBA" w:rsidP="7C285CBA">
            <w:pPr>
              <w:keepNext/>
              <w:keepLines/>
              <w:spacing w:after="0" w:line="240" w:lineRule="auto"/>
              <w:jc w:val="right"/>
              <w:rPr>
                <w:rFonts w:ascii="Times New Roman" w:eastAsia="Times New Roman" w:hAnsi="Times New Roman" w:cs="Times New Roman"/>
                <w:i/>
                <w:iCs/>
                <w:lang w:eastAsia="hu-HU"/>
              </w:rPr>
            </w:pPr>
            <w:r w:rsidRPr="00F43D33">
              <w:rPr>
                <w:rFonts w:ascii="Times New Roman" w:hAnsi="Times New Roman" w:cs="Times New Roman"/>
                <w:i/>
                <w:iCs/>
                <w:color w:val="000000" w:themeColor="text1"/>
              </w:rPr>
              <w:t>24,6</w:t>
            </w:r>
          </w:p>
        </w:tc>
        <w:tc>
          <w:tcPr>
            <w:tcW w:w="771" w:type="dxa"/>
            <w:noWrap/>
            <w:vAlign w:val="center"/>
          </w:tcPr>
          <w:p w14:paraId="44A53BB5" w14:textId="050937D6" w:rsidR="00644395" w:rsidRPr="00F43D33" w:rsidRDefault="7C285CBA" w:rsidP="7C285CBA">
            <w:pPr>
              <w:keepNext/>
              <w:keepLines/>
              <w:spacing w:after="0" w:line="240" w:lineRule="auto"/>
              <w:jc w:val="right"/>
              <w:rPr>
                <w:rFonts w:ascii="Times New Roman" w:eastAsia="Times New Roman" w:hAnsi="Times New Roman" w:cs="Times New Roman"/>
                <w:i/>
                <w:iCs/>
                <w:lang w:eastAsia="hu-HU"/>
              </w:rPr>
            </w:pPr>
            <w:r w:rsidRPr="00F43D33">
              <w:rPr>
                <w:rFonts w:ascii="Times New Roman" w:hAnsi="Times New Roman" w:cs="Times New Roman"/>
                <w:i/>
                <w:iCs/>
                <w:color w:val="000000" w:themeColor="text1"/>
              </w:rPr>
              <w:t>108,5</w:t>
            </w:r>
          </w:p>
        </w:tc>
      </w:tr>
      <w:tr w:rsidR="00644395" w:rsidRPr="00377D59" w14:paraId="1FC403F4" w14:textId="77777777" w:rsidTr="00E86C99">
        <w:trPr>
          <w:trHeight w:val="340"/>
        </w:trPr>
        <w:tc>
          <w:tcPr>
            <w:tcW w:w="5382" w:type="dxa"/>
            <w:vAlign w:val="center"/>
            <w:hideMark/>
          </w:tcPr>
          <w:p w14:paraId="4F427CE2" w14:textId="77777777" w:rsidR="00644395" w:rsidRPr="00976E1E" w:rsidRDefault="7C285CBA" w:rsidP="7C285CBA">
            <w:pPr>
              <w:keepNext/>
              <w:keepLines/>
              <w:spacing w:after="0" w:line="240" w:lineRule="auto"/>
              <w:rPr>
                <w:rFonts w:ascii="Times New Roman" w:eastAsia="Times New Roman" w:hAnsi="Times New Roman" w:cs="Times New Roman"/>
                <w:i/>
                <w:iCs/>
                <w:sz w:val="20"/>
                <w:szCs w:val="20"/>
                <w:lang w:eastAsia="hu-HU"/>
              </w:rPr>
            </w:pPr>
            <w:r w:rsidRPr="7C285CBA">
              <w:rPr>
                <w:rFonts w:ascii="Times New Roman" w:eastAsia="Times New Roman" w:hAnsi="Times New Roman" w:cs="Times New Roman"/>
                <w:i/>
                <w:iCs/>
                <w:sz w:val="20"/>
                <w:szCs w:val="20"/>
                <w:lang w:eastAsia="hu-HU"/>
              </w:rPr>
              <w:t>A települési önkormányzatok kulturális feladatainak támogatása</w:t>
            </w:r>
          </w:p>
        </w:tc>
        <w:tc>
          <w:tcPr>
            <w:tcW w:w="1134" w:type="dxa"/>
            <w:noWrap/>
            <w:vAlign w:val="center"/>
          </w:tcPr>
          <w:p w14:paraId="44BDB6D4" w14:textId="69AD5EAE" w:rsidR="00644395" w:rsidRPr="00F43D33" w:rsidRDefault="7C285CBA" w:rsidP="7C285CBA">
            <w:pPr>
              <w:keepNext/>
              <w:keepLines/>
              <w:spacing w:after="0" w:line="240" w:lineRule="auto"/>
              <w:jc w:val="right"/>
              <w:rPr>
                <w:rFonts w:ascii="Times New Roman" w:eastAsia="Times New Roman" w:hAnsi="Times New Roman" w:cs="Times New Roman"/>
                <w:i/>
                <w:iCs/>
                <w:lang w:eastAsia="hu-HU"/>
              </w:rPr>
            </w:pPr>
            <w:r w:rsidRPr="00F43D33">
              <w:rPr>
                <w:rFonts w:ascii="Times New Roman" w:hAnsi="Times New Roman" w:cs="Times New Roman"/>
                <w:i/>
                <w:iCs/>
                <w:color w:val="000000" w:themeColor="text1"/>
              </w:rPr>
              <w:t>15,3</w:t>
            </w:r>
          </w:p>
        </w:tc>
        <w:tc>
          <w:tcPr>
            <w:tcW w:w="1134" w:type="dxa"/>
            <w:noWrap/>
            <w:vAlign w:val="center"/>
          </w:tcPr>
          <w:p w14:paraId="3D1BBCDB" w14:textId="59F6BF1B" w:rsidR="00644395" w:rsidRPr="00F43D33" w:rsidRDefault="7C285CBA" w:rsidP="7C285CBA">
            <w:pPr>
              <w:keepNext/>
              <w:keepLines/>
              <w:spacing w:after="0" w:line="240" w:lineRule="auto"/>
              <w:jc w:val="right"/>
              <w:rPr>
                <w:rFonts w:ascii="Times New Roman" w:eastAsia="Times New Roman" w:hAnsi="Times New Roman" w:cs="Times New Roman"/>
                <w:i/>
                <w:iCs/>
                <w:lang w:eastAsia="hu-HU"/>
              </w:rPr>
            </w:pPr>
            <w:r w:rsidRPr="00F43D33">
              <w:rPr>
                <w:rFonts w:ascii="Times New Roman" w:hAnsi="Times New Roman" w:cs="Times New Roman"/>
                <w:i/>
                <w:iCs/>
                <w:color w:val="000000" w:themeColor="text1"/>
              </w:rPr>
              <w:t>15,3</w:t>
            </w:r>
          </w:p>
        </w:tc>
        <w:tc>
          <w:tcPr>
            <w:tcW w:w="850" w:type="dxa"/>
            <w:noWrap/>
            <w:vAlign w:val="center"/>
          </w:tcPr>
          <w:p w14:paraId="6C28EF3A" w14:textId="4586861E" w:rsidR="00644395" w:rsidRPr="00F43D33" w:rsidRDefault="7C285CBA" w:rsidP="7C285CBA">
            <w:pPr>
              <w:keepNext/>
              <w:keepLines/>
              <w:spacing w:after="0" w:line="240" w:lineRule="auto"/>
              <w:jc w:val="right"/>
              <w:rPr>
                <w:rFonts w:ascii="Times New Roman" w:eastAsia="Times New Roman" w:hAnsi="Times New Roman" w:cs="Times New Roman"/>
                <w:i/>
                <w:iCs/>
                <w:lang w:eastAsia="hu-HU"/>
              </w:rPr>
            </w:pPr>
            <w:r w:rsidRPr="00F43D33">
              <w:rPr>
                <w:rFonts w:ascii="Times New Roman" w:hAnsi="Times New Roman" w:cs="Times New Roman"/>
                <w:i/>
                <w:iCs/>
                <w:color w:val="000000" w:themeColor="text1"/>
              </w:rPr>
              <w:t>0,0</w:t>
            </w:r>
          </w:p>
        </w:tc>
        <w:tc>
          <w:tcPr>
            <w:tcW w:w="771" w:type="dxa"/>
            <w:noWrap/>
            <w:vAlign w:val="center"/>
          </w:tcPr>
          <w:p w14:paraId="796E83D2" w14:textId="6491F826" w:rsidR="00644395" w:rsidRPr="00F43D33" w:rsidRDefault="7C285CBA" w:rsidP="7C285CBA">
            <w:pPr>
              <w:keepNext/>
              <w:keepLines/>
              <w:spacing w:after="0" w:line="240" w:lineRule="auto"/>
              <w:jc w:val="right"/>
              <w:rPr>
                <w:rFonts w:ascii="Times New Roman" w:eastAsia="Times New Roman" w:hAnsi="Times New Roman" w:cs="Times New Roman"/>
                <w:i/>
                <w:iCs/>
                <w:lang w:eastAsia="hu-HU"/>
              </w:rPr>
            </w:pPr>
            <w:r w:rsidRPr="00F43D33">
              <w:rPr>
                <w:rFonts w:ascii="Times New Roman" w:hAnsi="Times New Roman" w:cs="Times New Roman"/>
                <w:i/>
                <w:iCs/>
                <w:color w:val="000000" w:themeColor="text1"/>
              </w:rPr>
              <w:t>100,0</w:t>
            </w:r>
          </w:p>
        </w:tc>
      </w:tr>
      <w:tr w:rsidR="00644395" w:rsidRPr="00377D59" w14:paraId="44EF96BF" w14:textId="77777777" w:rsidTr="00E86C99">
        <w:trPr>
          <w:trHeight w:val="340"/>
        </w:trPr>
        <w:tc>
          <w:tcPr>
            <w:tcW w:w="5382" w:type="dxa"/>
            <w:vAlign w:val="center"/>
            <w:hideMark/>
          </w:tcPr>
          <w:p w14:paraId="3DD87A70" w14:textId="766307B5" w:rsidR="00644395" w:rsidRPr="00976E1E" w:rsidRDefault="7C285CBA" w:rsidP="7C285CBA">
            <w:pPr>
              <w:keepNext/>
              <w:keepLines/>
              <w:spacing w:after="0" w:line="240" w:lineRule="auto"/>
              <w:rPr>
                <w:rFonts w:ascii="Times New Roman" w:eastAsia="Times New Roman" w:hAnsi="Times New Roman" w:cs="Times New Roman"/>
                <w:b/>
                <w:bCs/>
                <w:sz w:val="20"/>
                <w:szCs w:val="20"/>
                <w:lang w:eastAsia="hu-HU"/>
              </w:rPr>
            </w:pPr>
            <w:r w:rsidRPr="7C285CBA">
              <w:rPr>
                <w:rFonts w:ascii="Times New Roman" w:eastAsia="Times New Roman" w:hAnsi="Times New Roman" w:cs="Times New Roman"/>
                <w:b/>
                <w:bCs/>
                <w:sz w:val="20"/>
                <w:szCs w:val="20"/>
                <w:lang w:eastAsia="hu-HU"/>
              </w:rPr>
              <w:t>Helyi önkormányzatok kiegészítő támogatása</w:t>
            </w:r>
          </w:p>
        </w:tc>
        <w:tc>
          <w:tcPr>
            <w:tcW w:w="1134" w:type="dxa"/>
            <w:noWrap/>
            <w:vAlign w:val="center"/>
          </w:tcPr>
          <w:p w14:paraId="34DDE983" w14:textId="78F1EC2A" w:rsidR="00644395" w:rsidRPr="00F43D33" w:rsidRDefault="7C285CBA" w:rsidP="7C285CBA">
            <w:pPr>
              <w:keepNext/>
              <w:keepLines/>
              <w:spacing w:after="0" w:line="240" w:lineRule="auto"/>
              <w:jc w:val="right"/>
              <w:rPr>
                <w:rFonts w:ascii="Times New Roman" w:eastAsia="Times New Roman" w:hAnsi="Times New Roman" w:cs="Times New Roman"/>
                <w:b/>
                <w:bCs/>
                <w:lang w:eastAsia="hu-HU"/>
              </w:rPr>
            </w:pPr>
            <w:r w:rsidRPr="00F43D33">
              <w:rPr>
                <w:rFonts w:ascii="Times New Roman" w:hAnsi="Times New Roman" w:cs="Times New Roman"/>
                <w:b/>
                <w:bCs/>
                <w:color w:val="000000" w:themeColor="text1"/>
              </w:rPr>
              <w:t>63,0</w:t>
            </w:r>
          </w:p>
        </w:tc>
        <w:tc>
          <w:tcPr>
            <w:tcW w:w="1134" w:type="dxa"/>
            <w:noWrap/>
            <w:vAlign w:val="center"/>
          </w:tcPr>
          <w:p w14:paraId="405423BA" w14:textId="72153B56" w:rsidR="00644395" w:rsidRPr="00F43D33" w:rsidRDefault="7C285CBA" w:rsidP="7C285CBA">
            <w:pPr>
              <w:keepNext/>
              <w:keepLines/>
              <w:spacing w:after="0" w:line="240" w:lineRule="auto"/>
              <w:jc w:val="right"/>
              <w:rPr>
                <w:rFonts w:ascii="Times New Roman" w:eastAsia="Times New Roman" w:hAnsi="Times New Roman" w:cs="Times New Roman"/>
                <w:b/>
                <w:bCs/>
                <w:lang w:eastAsia="hu-HU"/>
              </w:rPr>
            </w:pPr>
            <w:r w:rsidRPr="00F43D33">
              <w:rPr>
                <w:rFonts w:ascii="Times New Roman" w:hAnsi="Times New Roman" w:cs="Times New Roman"/>
                <w:b/>
                <w:bCs/>
                <w:color w:val="000000" w:themeColor="text1"/>
              </w:rPr>
              <w:t>97,5</w:t>
            </w:r>
          </w:p>
        </w:tc>
        <w:tc>
          <w:tcPr>
            <w:tcW w:w="850" w:type="dxa"/>
            <w:noWrap/>
            <w:vAlign w:val="center"/>
          </w:tcPr>
          <w:p w14:paraId="76EB67F0" w14:textId="0BB75C1A" w:rsidR="00644395" w:rsidRPr="00F43D33" w:rsidRDefault="7C285CBA" w:rsidP="7C285CBA">
            <w:pPr>
              <w:keepNext/>
              <w:keepLines/>
              <w:spacing w:after="0" w:line="240" w:lineRule="auto"/>
              <w:jc w:val="right"/>
              <w:rPr>
                <w:rFonts w:ascii="Times New Roman" w:eastAsia="Times New Roman" w:hAnsi="Times New Roman" w:cs="Times New Roman"/>
                <w:b/>
                <w:bCs/>
                <w:lang w:eastAsia="hu-HU"/>
              </w:rPr>
            </w:pPr>
            <w:r w:rsidRPr="00F43D33">
              <w:rPr>
                <w:rFonts w:ascii="Times New Roman" w:hAnsi="Times New Roman" w:cs="Times New Roman"/>
                <w:b/>
                <w:bCs/>
                <w:color w:val="000000" w:themeColor="text1"/>
              </w:rPr>
              <w:t>34,5</w:t>
            </w:r>
          </w:p>
        </w:tc>
        <w:tc>
          <w:tcPr>
            <w:tcW w:w="771" w:type="dxa"/>
            <w:noWrap/>
            <w:vAlign w:val="center"/>
          </w:tcPr>
          <w:p w14:paraId="3FFF6C6E" w14:textId="1BB64E67" w:rsidR="00644395" w:rsidRPr="00F43D33" w:rsidRDefault="7C285CBA" w:rsidP="7C285CBA">
            <w:pPr>
              <w:keepNext/>
              <w:keepLines/>
              <w:spacing w:after="0" w:line="240" w:lineRule="auto"/>
              <w:jc w:val="right"/>
              <w:rPr>
                <w:rFonts w:ascii="Times New Roman" w:eastAsia="Times New Roman" w:hAnsi="Times New Roman" w:cs="Times New Roman"/>
                <w:b/>
                <w:bCs/>
                <w:lang w:eastAsia="hu-HU"/>
              </w:rPr>
            </w:pPr>
            <w:r w:rsidRPr="00F43D33">
              <w:rPr>
                <w:rFonts w:ascii="Times New Roman" w:hAnsi="Times New Roman" w:cs="Times New Roman"/>
                <w:b/>
                <w:bCs/>
                <w:color w:val="000000" w:themeColor="text1"/>
              </w:rPr>
              <w:t>154,8</w:t>
            </w:r>
          </w:p>
        </w:tc>
      </w:tr>
      <w:tr w:rsidR="00644395" w:rsidRPr="00377D59" w14:paraId="648C3F54" w14:textId="77777777" w:rsidTr="00E86C99">
        <w:trPr>
          <w:trHeight w:val="340"/>
        </w:trPr>
        <w:tc>
          <w:tcPr>
            <w:tcW w:w="5382" w:type="dxa"/>
            <w:vAlign w:val="center"/>
            <w:hideMark/>
          </w:tcPr>
          <w:p w14:paraId="3676EE9C" w14:textId="4925EF27" w:rsidR="00644395" w:rsidRPr="00976E1E" w:rsidRDefault="7C285CBA" w:rsidP="7C285CBA">
            <w:pPr>
              <w:keepNext/>
              <w:keepLines/>
              <w:spacing w:after="0" w:line="240" w:lineRule="auto"/>
              <w:rPr>
                <w:rFonts w:ascii="Times New Roman" w:eastAsia="Times New Roman" w:hAnsi="Times New Roman" w:cs="Times New Roman"/>
                <w:b/>
                <w:bCs/>
                <w:sz w:val="20"/>
                <w:szCs w:val="20"/>
                <w:lang w:eastAsia="hu-HU"/>
              </w:rPr>
            </w:pPr>
            <w:r w:rsidRPr="7C285CBA">
              <w:rPr>
                <w:rFonts w:ascii="Times New Roman" w:eastAsia="Times New Roman" w:hAnsi="Times New Roman" w:cs="Times New Roman"/>
                <w:b/>
                <w:bCs/>
                <w:sz w:val="20"/>
                <w:szCs w:val="20"/>
                <w:lang w:eastAsia="hu-HU"/>
              </w:rPr>
              <w:t>Év közben létrejött új jogcímek kiadásai</w:t>
            </w:r>
          </w:p>
        </w:tc>
        <w:tc>
          <w:tcPr>
            <w:tcW w:w="1134" w:type="dxa"/>
            <w:noWrap/>
            <w:vAlign w:val="center"/>
          </w:tcPr>
          <w:p w14:paraId="0BACAC9E" w14:textId="2DDC12FA" w:rsidR="00644395" w:rsidRPr="00F43D33" w:rsidRDefault="7C285CBA" w:rsidP="7C285CBA">
            <w:pPr>
              <w:keepNext/>
              <w:keepLines/>
              <w:spacing w:after="0" w:line="240" w:lineRule="auto"/>
              <w:jc w:val="right"/>
              <w:rPr>
                <w:rFonts w:ascii="Times New Roman" w:eastAsia="Times New Roman" w:hAnsi="Times New Roman" w:cs="Times New Roman"/>
                <w:b/>
                <w:bCs/>
                <w:lang w:eastAsia="hu-HU"/>
              </w:rPr>
            </w:pPr>
            <w:r w:rsidRPr="00F43D33">
              <w:rPr>
                <w:rFonts w:ascii="Times New Roman" w:hAnsi="Times New Roman" w:cs="Times New Roman"/>
                <w:b/>
                <w:bCs/>
                <w:color w:val="000000" w:themeColor="text1"/>
              </w:rPr>
              <w:t>9,8</w:t>
            </w:r>
          </w:p>
        </w:tc>
        <w:tc>
          <w:tcPr>
            <w:tcW w:w="1134" w:type="dxa"/>
            <w:noWrap/>
            <w:vAlign w:val="center"/>
          </w:tcPr>
          <w:p w14:paraId="7A66E9FC" w14:textId="5A229C71" w:rsidR="00644395" w:rsidRPr="00F43D33" w:rsidRDefault="7C285CBA" w:rsidP="7C285CBA">
            <w:pPr>
              <w:keepNext/>
              <w:keepLines/>
              <w:spacing w:after="0" w:line="240" w:lineRule="auto"/>
              <w:jc w:val="right"/>
              <w:rPr>
                <w:rFonts w:ascii="Times New Roman" w:eastAsia="Times New Roman" w:hAnsi="Times New Roman" w:cs="Times New Roman"/>
                <w:b/>
                <w:bCs/>
                <w:lang w:eastAsia="hu-HU"/>
              </w:rPr>
            </w:pPr>
            <w:r w:rsidRPr="00F43D33">
              <w:rPr>
                <w:rFonts w:ascii="Times New Roman" w:hAnsi="Times New Roman" w:cs="Times New Roman"/>
                <w:b/>
                <w:bCs/>
                <w:color w:val="000000" w:themeColor="text1"/>
              </w:rPr>
              <w:t>5,3</w:t>
            </w:r>
          </w:p>
        </w:tc>
        <w:tc>
          <w:tcPr>
            <w:tcW w:w="850" w:type="dxa"/>
            <w:noWrap/>
            <w:vAlign w:val="center"/>
          </w:tcPr>
          <w:p w14:paraId="592B586A" w14:textId="173CDE2D" w:rsidR="00644395" w:rsidRPr="00F43D33" w:rsidRDefault="7C285CBA" w:rsidP="7C285CBA">
            <w:pPr>
              <w:keepNext/>
              <w:keepLines/>
              <w:spacing w:after="0" w:line="240" w:lineRule="auto"/>
              <w:jc w:val="right"/>
              <w:rPr>
                <w:rFonts w:ascii="Times New Roman" w:eastAsia="Times New Roman" w:hAnsi="Times New Roman" w:cs="Times New Roman"/>
                <w:b/>
                <w:bCs/>
                <w:lang w:eastAsia="hu-HU"/>
              </w:rPr>
            </w:pPr>
            <w:r w:rsidRPr="00F43D33">
              <w:rPr>
                <w:rFonts w:ascii="Times New Roman" w:hAnsi="Times New Roman" w:cs="Times New Roman"/>
                <w:b/>
                <w:bCs/>
                <w:color w:val="000000" w:themeColor="text1"/>
              </w:rPr>
              <w:t>-4,5</w:t>
            </w:r>
          </w:p>
        </w:tc>
        <w:tc>
          <w:tcPr>
            <w:tcW w:w="771" w:type="dxa"/>
            <w:noWrap/>
            <w:vAlign w:val="center"/>
          </w:tcPr>
          <w:p w14:paraId="6EEBBBB0" w14:textId="250347B4" w:rsidR="00644395" w:rsidRPr="00F43D33" w:rsidRDefault="7C285CBA" w:rsidP="7C285CBA">
            <w:pPr>
              <w:keepNext/>
              <w:keepLines/>
              <w:spacing w:after="0" w:line="240" w:lineRule="auto"/>
              <w:jc w:val="right"/>
              <w:rPr>
                <w:rFonts w:ascii="Times New Roman" w:eastAsia="Times New Roman" w:hAnsi="Times New Roman" w:cs="Times New Roman"/>
                <w:b/>
                <w:bCs/>
                <w:lang w:eastAsia="hu-HU"/>
              </w:rPr>
            </w:pPr>
            <w:r w:rsidRPr="00F43D33">
              <w:rPr>
                <w:rFonts w:ascii="Times New Roman" w:hAnsi="Times New Roman" w:cs="Times New Roman"/>
                <w:b/>
                <w:bCs/>
                <w:color w:val="000000" w:themeColor="text1"/>
              </w:rPr>
              <w:t>54,1</w:t>
            </w:r>
          </w:p>
        </w:tc>
      </w:tr>
      <w:tr w:rsidR="00644395" w:rsidRPr="00377D59" w14:paraId="60064293" w14:textId="77777777" w:rsidTr="00E86C99">
        <w:trPr>
          <w:trHeight w:val="340"/>
        </w:trPr>
        <w:tc>
          <w:tcPr>
            <w:tcW w:w="5382" w:type="dxa"/>
            <w:noWrap/>
            <w:vAlign w:val="center"/>
            <w:hideMark/>
          </w:tcPr>
          <w:p w14:paraId="73666509" w14:textId="770E1DDA" w:rsidR="00644395" w:rsidRPr="00976E1E" w:rsidRDefault="7C285CBA" w:rsidP="7C285CBA">
            <w:pPr>
              <w:widowControl w:val="0"/>
              <w:spacing w:after="0" w:line="240" w:lineRule="auto"/>
              <w:rPr>
                <w:rFonts w:ascii="Times New Roman" w:eastAsia="Times New Roman" w:hAnsi="Times New Roman" w:cs="Times New Roman"/>
                <w:b/>
                <w:bCs/>
                <w:sz w:val="20"/>
                <w:szCs w:val="20"/>
                <w:lang w:eastAsia="hu-HU"/>
              </w:rPr>
            </w:pPr>
            <w:r w:rsidRPr="7C285CBA">
              <w:rPr>
                <w:rFonts w:ascii="Times New Roman" w:eastAsia="Times New Roman" w:hAnsi="Times New Roman" w:cs="Times New Roman"/>
                <w:b/>
                <w:bCs/>
                <w:sz w:val="20"/>
                <w:szCs w:val="20"/>
                <w:lang w:eastAsia="hu-HU"/>
              </w:rPr>
              <w:t>Összesen</w:t>
            </w:r>
          </w:p>
        </w:tc>
        <w:tc>
          <w:tcPr>
            <w:tcW w:w="1134" w:type="dxa"/>
            <w:noWrap/>
            <w:vAlign w:val="center"/>
          </w:tcPr>
          <w:p w14:paraId="3A3EFD36" w14:textId="55C05066" w:rsidR="00644395" w:rsidRPr="00F43D33" w:rsidRDefault="7C285CBA" w:rsidP="7C285CBA">
            <w:pPr>
              <w:keepNext/>
              <w:keepLines/>
              <w:spacing w:after="0" w:line="240" w:lineRule="auto"/>
              <w:jc w:val="right"/>
              <w:rPr>
                <w:rFonts w:ascii="Times New Roman" w:eastAsia="Times New Roman" w:hAnsi="Times New Roman" w:cs="Times New Roman"/>
                <w:b/>
                <w:bCs/>
                <w:lang w:eastAsia="hu-HU"/>
              </w:rPr>
            </w:pPr>
            <w:r w:rsidRPr="00F43D33">
              <w:rPr>
                <w:rFonts w:ascii="Times New Roman" w:hAnsi="Times New Roman" w:cs="Times New Roman"/>
                <w:b/>
                <w:bCs/>
                <w:color w:val="000000" w:themeColor="text1"/>
              </w:rPr>
              <w:t>830,1</w:t>
            </w:r>
          </w:p>
        </w:tc>
        <w:tc>
          <w:tcPr>
            <w:tcW w:w="1134" w:type="dxa"/>
            <w:noWrap/>
            <w:vAlign w:val="center"/>
          </w:tcPr>
          <w:p w14:paraId="1D84CCAC" w14:textId="20DE48BA" w:rsidR="00644395" w:rsidRPr="00F43D33" w:rsidRDefault="7C285CBA" w:rsidP="7C285CBA">
            <w:pPr>
              <w:keepNext/>
              <w:keepLines/>
              <w:spacing w:after="0" w:line="240" w:lineRule="auto"/>
              <w:jc w:val="right"/>
              <w:rPr>
                <w:rFonts w:ascii="Times New Roman" w:eastAsia="Times New Roman" w:hAnsi="Times New Roman" w:cs="Times New Roman"/>
                <w:b/>
                <w:bCs/>
                <w:lang w:eastAsia="hu-HU"/>
              </w:rPr>
            </w:pPr>
            <w:r w:rsidRPr="00F43D33">
              <w:rPr>
                <w:rFonts w:ascii="Times New Roman" w:hAnsi="Times New Roman" w:cs="Times New Roman"/>
                <w:b/>
                <w:bCs/>
                <w:color w:val="000000" w:themeColor="text1"/>
              </w:rPr>
              <w:t>919,2</w:t>
            </w:r>
          </w:p>
        </w:tc>
        <w:tc>
          <w:tcPr>
            <w:tcW w:w="850" w:type="dxa"/>
            <w:noWrap/>
            <w:vAlign w:val="center"/>
          </w:tcPr>
          <w:p w14:paraId="0AACA3FA" w14:textId="23772890" w:rsidR="00644395" w:rsidRPr="00F43D33" w:rsidRDefault="7C285CBA" w:rsidP="7C285CBA">
            <w:pPr>
              <w:keepNext/>
              <w:keepLines/>
              <w:spacing w:after="0" w:line="240" w:lineRule="auto"/>
              <w:jc w:val="right"/>
              <w:rPr>
                <w:rFonts w:ascii="Times New Roman" w:eastAsia="Times New Roman" w:hAnsi="Times New Roman" w:cs="Times New Roman"/>
                <w:b/>
                <w:bCs/>
                <w:lang w:eastAsia="hu-HU"/>
              </w:rPr>
            </w:pPr>
            <w:r w:rsidRPr="00F43D33">
              <w:rPr>
                <w:rFonts w:ascii="Times New Roman" w:hAnsi="Times New Roman" w:cs="Times New Roman"/>
                <w:b/>
                <w:bCs/>
                <w:color w:val="000000" w:themeColor="text1"/>
              </w:rPr>
              <w:t>89,1</w:t>
            </w:r>
          </w:p>
        </w:tc>
        <w:tc>
          <w:tcPr>
            <w:tcW w:w="771" w:type="dxa"/>
            <w:noWrap/>
            <w:vAlign w:val="center"/>
          </w:tcPr>
          <w:p w14:paraId="1C1B57DC" w14:textId="3A3E9C04" w:rsidR="00644395" w:rsidRPr="00F43D33" w:rsidRDefault="7C285CBA" w:rsidP="7C285CBA">
            <w:pPr>
              <w:keepNext/>
              <w:keepLines/>
              <w:spacing w:after="0" w:line="240" w:lineRule="auto"/>
              <w:jc w:val="right"/>
              <w:rPr>
                <w:rFonts w:ascii="Times New Roman" w:eastAsia="Times New Roman" w:hAnsi="Times New Roman" w:cs="Times New Roman"/>
                <w:b/>
                <w:bCs/>
                <w:lang w:eastAsia="hu-HU"/>
              </w:rPr>
            </w:pPr>
            <w:r w:rsidRPr="00F43D33">
              <w:rPr>
                <w:rFonts w:ascii="Times New Roman" w:hAnsi="Times New Roman" w:cs="Times New Roman"/>
                <w:b/>
                <w:bCs/>
                <w:color w:val="000000" w:themeColor="text1"/>
              </w:rPr>
              <w:t>110,7</w:t>
            </w:r>
          </w:p>
        </w:tc>
      </w:tr>
    </w:tbl>
    <w:bookmarkEnd w:id="1"/>
    <w:p w14:paraId="294CBB33" w14:textId="4B518872" w:rsidR="74B9DF17" w:rsidRPr="00CD1AC2" w:rsidRDefault="7C285CBA" w:rsidP="7C285CBA">
      <w:pPr>
        <w:spacing w:before="240"/>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 xml:space="preserve">Az </w:t>
      </w:r>
      <w:r w:rsidRPr="7C285CBA">
        <w:rPr>
          <w:rFonts w:ascii="Times New Roman" w:eastAsia="Times New Roman" w:hAnsi="Times New Roman" w:cs="Times New Roman"/>
          <w:b/>
          <w:bCs/>
          <w:sz w:val="26"/>
          <w:szCs w:val="26"/>
        </w:rPr>
        <w:t>Uniós programok kiadásai</w:t>
      </w:r>
      <w:r w:rsidRPr="7C285CBA">
        <w:rPr>
          <w:rFonts w:ascii="Times New Roman" w:eastAsia="Times New Roman" w:hAnsi="Times New Roman" w:cs="Times New Roman"/>
          <w:i/>
          <w:iCs/>
          <w:sz w:val="26"/>
          <w:szCs w:val="26"/>
        </w:rPr>
        <w:t xml:space="preserve"> </w:t>
      </w:r>
      <w:r w:rsidRPr="7C285CBA">
        <w:rPr>
          <w:rFonts w:ascii="Times New Roman" w:eastAsia="Times New Roman" w:hAnsi="Times New Roman" w:cs="Times New Roman"/>
          <w:sz w:val="26"/>
          <w:szCs w:val="26"/>
        </w:rPr>
        <w:t>mérlegsoron 2025. augusztus végéig 1442,3 milliárd forint összegű kifizetés történt, amely a törvényi előirányzat (3023,8 milliárd forint) 47,7%-os teljesítését jelenti. A felmerült kiadások jelentős részét a 2021-2027-es Széchenyi Terv Plusz programjai adták.</w:t>
      </w:r>
    </w:p>
    <w:p w14:paraId="6ABC464B" w14:textId="4D5CB4B2" w:rsidR="74B9DF17" w:rsidRPr="00CD1AC2" w:rsidRDefault="7C285CBA" w:rsidP="7C285CBA">
      <w:pPr>
        <w:spacing w:before="160"/>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A legnagyobb összegű kifizetéseket ezen időszakban a Széchenyi Terv Plusz operatív programok közül az Emberi Erőforrás Fejlesztési OP Plusz (EFOP Plusz) és a Terület- és Településfejlesztési OP (TOP Plusz) teljesítette. Kiemelkedők továbbá a Vidékfejlesztési Program és a KAP Stratégiai Terv Vidékfejlesztési Intézkedéseinek kifizetése.</w:t>
      </w:r>
    </w:p>
    <w:p w14:paraId="0EE0B389" w14:textId="36038CE1" w:rsidR="029C2633" w:rsidRPr="00CD1AC2" w:rsidRDefault="7C285CBA" w:rsidP="7C285CBA">
      <w:pPr>
        <w:keepLines/>
        <w:spacing w:before="160"/>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 xml:space="preserve">Az </w:t>
      </w:r>
      <w:r w:rsidRPr="7C285CBA">
        <w:rPr>
          <w:rFonts w:ascii="Times New Roman" w:eastAsia="Times New Roman" w:hAnsi="Times New Roman" w:cs="Times New Roman"/>
          <w:b/>
          <w:bCs/>
          <w:sz w:val="26"/>
          <w:szCs w:val="26"/>
        </w:rPr>
        <w:t>állami vagyonnal kapcsolatos kiadások</w:t>
      </w:r>
      <w:r w:rsidRPr="7C285CBA">
        <w:rPr>
          <w:rFonts w:ascii="Times New Roman" w:eastAsia="Times New Roman" w:hAnsi="Times New Roman" w:cs="Times New Roman"/>
          <w:sz w:val="26"/>
          <w:szCs w:val="26"/>
        </w:rPr>
        <w:t xml:space="preserve"> 2025 első nyolchavi összege 534,9 milliárd forint volt, amelynek meghatározó része ingatlanokhoz kapcsolódóan került kifizetésre.</w:t>
      </w:r>
    </w:p>
    <w:p w14:paraId="4D36018A" w14:textId="772FC2A1" w:rsidR="000B49AE" w:rsidRPr="00377D59" w:rsidRDefault="00B3244C" w:rsidP="000B49AE">
      <w:pPr>
        <w:spacing w:before="240" w:after="120" w:line="240" w:lineRule="auto"/>
        <w:jc w:val="center"/>
        <w:rPr>
          <w:rFonts w:ascii="Times New Roman" w:eastAsia="Times New Roman" w:hAnsi="Times New Roman" w:cs="Times New Roman"/>
          <w:b/>
          <w:bCs/>
          <w:sz w:val="26"/>
          <w:szCs w:val="26"/>
        </w:rPr>
      </w:pPr>
      <w:r>
        <w:rPr>
          <w:noProof/>
        </w:rPr>
        <w:drawing>
          <wp:inline distT="0" distB="0" distL="0" distR="0" wp14:anchorId="7E4A808A" wp14:editId="00C4FD02">
            <wp:extent cx="5708931" cy="3513512"/>
            <wp:effectExtent l="0" t="0" r="6350" b="0"/>
            <wp:docPr id="67658851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88517" name=""/>
                    <pic:cNvPicPr/>
                  </pic:nvPicPr>
                  <pic:blipFill rotWithShape="1">
                    <a:blip r:embed="rId19"/>
                    <a:srcRect l="-466" t="2943" r="466"/>
                    <a:stretch/>
                  </pic:blipFill>
                  <pic:spPr bwMode="auto">
                    <a:xfrm>
                      <a:off x="0" y="0"/>
                      <a:ext cx="5728701" cy="3525679"/>
                    </a:xfrm>
                    <a:prstGeom prst="rect">
                      <a:avLst/>
                    </a:prstGeom>
                    <a:ln>
                      <a:noFill/>
                    </a:ln>
                    <a:extLst>
                      <a:ext uri="{53640926-AAD7-44D8-BBD7-CCE9431645EC}">
                        <a14:shadowObscured xmlns:a14="http://schemas.microsoft.com/office/drawing/2010/main"/>
                      </a:ext>
                    </a:extLst>
                  </pic:spPr>
                </pic:pic>
              </a:graphicData>
            </a:graphic>
          </wp:inline>
        </w:drawing>
      </w:r>
    </w:p>
    <w:p w14:paraId="030326D3" w14:textId="7B196E05" w:rsidR="5B67C7D7" w:rsidRPr="00CB07DE" w:rsidRDefault="7C285CBA" w:rsidP="7C285CBA">
      <w:pPr>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lastRenderedPageBreak/>
        <w:t xml:space="preserve">Az </w:t>
      </w:r>
      <w:r w:rsidRPr="7C285CBA">
        <w:rPr>
          <w:rFonts w:ascii="Times New Roman" w:eastAsia="Times New Roman" w:hAnsi="Times New Roman" w:cs="Times New Roman"/>
          <w:b/>
          <w:bCs/>
          <w:sz w:val="26"/>
          <w:szCs w:val="26"/>
        </w:rPr>
        <w:t xml:space="preserve">állami beruházási fejezet kiadásait </w:t>
      </w:r>
      <w:r w:rsidRPr="7C285CBA">
        <w:rPr>
          <w:rFonts w:ascii="Times New Roman" w:eastAsia="Times New Roman" w:hAnsi="Times New Roman" w:cs="Times New Roman"/>
          <w:sz w:val="26"/>
          <w:szCs w:val="26"/>
        </w:rPr>
        <w:t>alapvetően az egyes projektek előrehaladása határozza meg. 2025 első nyolc hónapjában 293,0 milliárd forint kiadás teljesült, amely kismértékben alacsonyabb a 2024 azonos időszakában teljesültekhez képest. A kifizetések nagy része az állami közútfejlesztési beruházásokhoz (186,0 milliárd forint), az európai uniós forrásokból megvalósuló beruházásokhoz (80,8 milliárd forint) és az egyedi magasépítési beruházásokhoz (15,5 milliárd forint) kapcsolódtak</w:t>
      </w:r>
      <w:r w:rsidRPr="7C285CBA">
        <w:rPr>
          <w:rFonts w:ascii="Times New Roman" w:eastAsia="Times New Roman" w:hAnsi="Times New Roman" w:cs="Times New Roman"/>
          <w:sz w:val="24"/>
          <w:szCs w:val="24"/>
        </w:rPr>
        <w:t>.</w:t>
      </w:r>
    </w:p>
    <w:p w14:paraId="598CEA5E" w14:textId="24C881D7" w:rsidR="00C224F5" w:rsidRDefault="7C285CBA" w:rsidP="7C285CBA">
      <w:pPr>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 xml:space="preserve">Az </w:t>
      </w:r>
      <w:r w:rsidRPr="7C285CBA">
        <w:rPr>
          <w:rFonts w:ascii="Times New Roman" w:eastAsia="Times New Roman" w:hAnsi="Times New Roman" w:cs="Times New Roman"/>
          <w:b/>
          <w:bCs/>
          <w:sz w:val="26"/>
          <w:szCs w:val="26"/>
        </w:rPr>
        <w:t>egyéb kiadások</w:t>
      </w:r>
      <w:r w:rsidRPr="7C285CBA">
        <w:rPr>
          <w:rFonts w:ascii="Times New Roman" w:eastAsia="Times New Roman" w:hAnsi="Times New Roman" w:cs="Times New Roman"/>
          <w:sz w:val="26"/>
          <w:szCs w:val="26"/>
        </w:rPr>
        <w:t xml:space="preserve"> </w:t>
      </w:r>
      <w:r w:rsidR="00D33920" w:rsidRPr="00D33920">
        <w:rPr>
          <w:rFonts w:ascii="Times New Roman" w:eastAsia="Times New Roman" w:hAnsi="Times New Roman" w:cs="Times New Roman"/>
          <w:sz w:val="26"/>
          <w:szCs w:val="26"/>
        </w:rPr>
        <w:t>2025. évi első nyolchavi teljesítése 387,8 milliárd forint lett, ami 44,8</w:t>
      </w:r>
      <w:r w:rsidR="00D33920">
        <w:rPr>
          <w:rFonts w:ascii="Times New Roman" w:eastAsia="Times New Roman" w:hAnsi="Times New Roman" w:cs="Times New Roman"/>
          <w:sz w:val="26"/>
          <w:szCs w:val="26"/>
        </w:rPr>
        <w:t> </w:t>
      </w:r>
      <w:r w:rsidR="00D33920" w:rsidRPr="00D33920">
        <w:rPr>
          <w:rFonts w:ascii="Times New Roman" w:eastAsia="Times New Roman" w:hAnsi="Times New Roman" w:cs="Times New Roman"/>
          <w:sz w:val="26"/>
          <w:szCs w:val="26"/>
        </w:rPr>
        <w:t>milliárd forinttal magasabban alakult az előző év azonos időszakához képest</w:t>
      </w:r>
      <w:r w:rsidRPr="7C285CBA">
        <w:rPr>
          <w:rFonts w:ascii="Times New Roman" w:eastAsia="Times New Roman" w:hAnsi="Times New Roman" w:cs="Times New Roman"/>
          <w:sz w:val="26"/>
          <w:szCs w:val="26"/>
        </w:rPr>
        <w:t xml:space="preserve">. </w:t>
      </w:r>
    </w:p>
    <w:p w14:paraId="15F013A7" w14:textId="50EC00AA" w:rsidR="74B9DF17" w:rsidRDefault="7C285CBA" w:rsidP="7C285CBA">
      <w:pPr>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 xml:space="preserve">A </w:t>
      </w:r>
      <w:r w:rsidRPr="7C285CBA">
        <w:rPr>
          <w:rFonts w:ascii="Times New Roman" w:eastAsia="Times New Roman" w:hAnsi="Times New Roman" w:cs="Times New Roman"/>
          <w:b/>
          <w:bCs/>
          <w:sz w:val="26"/>
          <w:szCs w:val="26"/>
        </w:rPr>
        <w:t>Hozzájárulás az EU költségvetéséhez</w:t>
      </w:r>
      <w:r w:rsidRPr="7C285CBA">
        <w:rPr>
          <w:rFonts w:ascii="Times New Roman" w:eastAsia="Times New Roman" w:hAnsi="Times New Roman" w:cs="Times New Roman"/>
          <w:sz w:val="26"/>
          <w:szCs w:val="26"/>
        </w:rPr>
        <w:t xml:space="preserve"> mérlegsoron 2025. augusztus végéig 491,8</w:t>
      </w:r>
      <w:r w:rsidR="00D33920">
        <w:rPr>
          <w:rFonts w:ascii="Times New Roman" w:eastAsia="Times New Roman" w:hAnsi="Times New Roman" w:cs="Times New Roman"/>
          <w:sz w:val="26"/>
          <w:szCs w:val="26"/>
        </w:rPr>
        <w:t> </w:t>
      </w:r>
      <w:r w:rsidRPr="7C285CBA">
        <w:rPr>
          <w:rFonts w:ascii="Times New Roman" w:eastAsia="Times New Roman" w:hAnsi="Times New Roman" w:cs="Times New Roman"/>
          <w:sz w:val="26"/>
          <w:szCs w:val="26"/>
        </w:rPr>
        <w:t>milliárd forint kiadás teljesült, ami a törvényi előirányzat 70,5%-a. E hozzájárulás 57,4 milliárd forinttal haladja meg a 2024. év azonos időszakában teljesített kiadásokat.</w:t>
      </w:r>
    </w:p>
    <w:p w14:paraId="0F5A0F03" w14:textId="45BA9504" w:rsidR="6462B5A6" w:rsidRPr="00920F4D" w:rsidRDefault="7C285CBA" w:rsidP="7C285CBA">
      <w:pPr>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 xml:space="preserve">A </w:t>
      </w:r>
      <w:r w:rsidRPr="7C285CBA">
        <w:rPr>
          <w:rFonts w:ascii="Times New Roman" w:eastAsia="Times New Roman" w:hAnsi="Times New Roman" w:cs="Times New Roman"/>
          <w:b/>
          <w:bCs/>
          <w:sz w:val="26"/>
          <w:szCs w:val="26"/>
        </w:rPr>
        <w:t>Nemzeti Kutatási, Fejlesztési és Innovációs Alapból</w:t>
      </w:r>
      <w:r w:rsidRPr="7C285CBA">
        <w:rPr>
          <w:rFonts w:ascii="Times New Roman" w:eastAsia="Times New Roman" w:hAnsi="Times New Roman" w:cs="Times New Roman"/>
          <w:sz w:val="26"/>
          <w:szCs w:val="26"/>
        </w:rPr>
        <w:t xml:space="preserve"> (NKFI Alap) 2025. augusztus végéig 75,5 milliárd forint kiadás teljesült, ami 14,9 milliárd forinttal kevesebb kifizetést jelent a 2024. évi azonos időszak teljesítéséhez képest. </w:t>
      </w:r>
    </w:p>
    <w:p w14:paraId="17605E21" w14:textId="06C35C30" w:rsidR="6462B5A6" w:rsidRPr="00CB07DE" w:rsidRDefault="7C285CBA" w:rsidP="7C285CBA">
      <w:pPr>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 xml:space="preserve">A </w:t>
      </w:r>
      <w:r w:rsidRPr="7C285CBA">
        <w:rPr>
          <w:rFonts w:ascii="Times New Roman" w:eastAsia="Times New Roman" w:hAnsi="Times New Roman" w:cs="Times New Roman"/>
          <w:b/>
          <w:bCs/>
          <w:sz w:val="26"/>
          <w:szCs w:val="26"/>
        </w:rPr>
        <w:t>Nemzeti Foglalkoztatási Alap</w:t>
      </w:r>
      <w:r w:rsidRPr="7C285CBA">
        <w:rPr>
          <w:rFonts w:ascii="Times New Roman" w:eastAsia="Times New Roman" w:hAnsi="Times New Roman" w:cs="Times New Roman"/>
          <w:sz w:val="26"/>
          <w:szCs w:val="26"/>
        </w:rPr>
        <w:t xml:space="preserve"> (NFA) kiadásai esetében a Start-munkaprogramra összesen 92,4 milliárd forint teljesült. Az uniós elő- és társfinanszírozásra 35,8 milliárd forintot fordítottak.</w:t>
      </w:r>
    </w:p>
    <w:p w14:paraId="76B18BB1" w14:textId="46225180" w:rsidR="123EFD2F" w:rsidRPr="00CB07DE" w:rsidRDefault="7C285CBA" w:rsidP="7C285CBA">
      <w:pPr>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A</w:t>
      </w:r>
      <w:r w:rsidRPr="7C285CBA">
        <w:rPr>
          <w:rFonts w:ascii="Times New Roman" w:eastAsia="Times New Roman" w:hAnsi="Times New Roman" w:cs="Times New Roman"/>
          <w:b/>
          <w:bCs/>
          <w:sz w:val="26"/>
          <w:szCs w:val="26"/>
        </w:rPr>
        <w:t xml:space="preserve"> Bethlen Gábor Alapból</w:t>
      </w:r>
      <w:r w:rsidRPr="7C285CBA">
        <w:rPr>
          <w:rFonts w:ascii="Times New Roman" w:eastAsia="Times New Roman" w:hAnsi="Times New Roman" w:cs="Times New Roman"/>
          <w:sz w:val="26"/>
          <w:szCs w:val="26"/>
        </w:rPr>
        <w:t xml:space="preserve"> (BGA) az év első nyolc hónapjában összesen 58,8 milliárd forint kiadás teljesült. Az alapból nyújtott támogatások a BGA irányítását ellátó Bizottság döntései alapján, ütemezetten kerültek kifizetésre.</w:t>
      </w:r>
    </w:p>
    <w:p w14:paraId="51683CC2" w14:textId="14C22182" w:rsidR="00043E49" w:rsidRPr="00CB07DE" w:rsidRDefault="57821025" w:rsidP="57821025">
      <w:pPr>
        <w:jc w:val="both"/>
        <w:rPr>
          <w:rFonts w:ascii="Times New Roman" w:eastAsia="Times New Roman" w:hAnsi="Times New Roman" w:cs="Times New Roman"/>
          <w:sz w:val="26"/>
          <w:szCs w:val="26"/>
        </w:rPr>
      </w:pPr>
      <w:r w:rsidRPr="57821025">
        <w:rPr>
          <w:rFonts w:ascii="Times New Roman" w:eastAsia="Times New Roman" w:hAnsi="Times New Roman" w:cs="Times New Roman"/>
          <w:sz w:val="26"/>
          <w:szCs w:val="26"/>
        </w:rPr>
        <w:t xml:space="preserve">A </w:t>
      </w:r>
      <w:r w:rsidRPr="57821025">
        <w:rPr>
          <w:rFonts w:ascii="Times New Roman" w:eastAsia="Times New Roman" w:hAnsi="Times New Roman" w:cs="Times New Roman"/>
          <w:b/>
          <w:bCs/>
          <w:sz w:val="26"/>
          <w:szCs w:val="26"/>
        </w:rPr>
        <w:t>Nyugdíjbiztosítási Alap</w:t>
      </w:r>
      <w:r w:rsidRPr="57821025">
        <w:rPr>
          <w:rFonts w:ascii="Times New Roman" w:eastAsia="Times New Roman" w:hAnsi="Times New Roman" w:cs="Times New Roman"/>
          <w:sz w:val="26"/>
          <w:szCs w:val="26"/>
        </w:rPr>
        <w:t xml:space="preserve"> nyugellátási kiadásai augusztus végéig 4497,6 milliárd forintban teljesültek, ami 215,8 milliárd forinttal haladta meg az előző év azonos időszakának teljesítési adatait. Az 5%-os kiadásnövekedést a tárgyév január hónapban végrehajtott inflációkövető nyugdíjemelés hatása, valamint az eltelt időszakban bekövetkezett létszámváltozás és cserélődés együttes hatása eredményezte.</w:t>
      </w:r>
    </w:p>
    <w:p w14:paraId="26EFB518" w14:textId="3EEE6DCF" w:rsidR="00043E49" w:rsidRPr="00CB07DE" w:rsidRDefault="57821025" w:rsidP="57821025">
      <w:pPr>
        <w:jc w:val="both"/>
        <w:rPr>
          <w:rFonts w:ascii="Times New Roman" w:eastAsia="Times New Roman" w:hAnsi="Times New Roman" w:cs="Times New Roman"/>
          <w:sz w:val="26"/>
          <w:szCs w:val="26"/>
        </w:rPr>
      </w:pPr>
      <w:r w:rsidRPr="57821025">
        <w:rPr>
          <w:rFonts w:ascii="Times New Roman" w:eastAsia="Times New Roman" w:hAnsi="Times New Roman" w:cs="Times New Roman"/>
          <w:sz w:val="26"/>
          <w:szCs w:val="26"/>
        </w:rPr>
        <w:t>Február hónapban több mint 2 millió öregségi nyugdíjban és hozzátartozói nyugellátásban részesülő személy részére folyósítottak 13. havi nyugdíjat. A 13. havi nyugdíj Nyugdíjbiztosítási Alapot terhelő kiadása augusztus végéig 493,6 milliárd forint volt, ami 22,0 milliárd forinttal haladta meg az előző év azonos időszakában ezen a jogcímen teljesített kiadások összegét.</w:t>
      </w:r>
    </w:p>
    <w:p w14:paraId="168226B1" w14:textId="0DF1C646" w:rsidR="00D72777" w:rsidRPr="00CB07DE" w:rsidRDefault="57821025" w:rsidP="57821025">
      <w:pPr>
        <w:jc w:val="both"/>
        <w:rPr>
          <w:rFonts w:ascii="Times New Roman" w:eastAsia="Times New Roman" w:hAnsi="Times New Roman" w:cs="Times New Roman"/>
          <w:sz w:val="26"/>
          <w:szCs w:val="26"/>
        </w:rPr>
      </w:pPr>
      <w:r w:rsidRPr="57821025">
        <w:rPr>
          <w:rFonts w:ascii="Times New Roman" w:eastAsia="Times New Roman" w:hAnsi="Times New Roman" w:cs="Times New Roman"/>
          <w:sz w:val="26"/>
          <w:szCs w:val="26"/>
        </w:rPr>
        <w:t>Az első nyolc hónap adatai alapján a nyugellátási kiadásokon belül a korbetöltött öregségi nyugellátások 5,6%-kal, a nők 40 év jogosultsági idővel igénybe vehető öregségi nyugdíja („nők 40”) pedig 3,1%-kal haladta meg az előző év azonos időszakának kiadásait.</w:t>
      </w:r>
    </w:p>
    <w:p w14:paraId="0F073B32" w14:textId="3F982143" w:rsidR="00C35E13" w:rsidRDefault="00B3244C" w:rsidP="00C35E13">
      <w:pPr>
        <w:pStyle w:val="NormlWeb"/>
        <w:jc w:val="center"/>
      </w:pPr>
      <w:r>
        <w:rPr>
          <w:noProof/>
        </w:rPr>
        <w:lastRenderedPageBreak/>
        <w:drawing>
          <wp:inline distT="0" distB="0" distL="0" distR="0" wp14:anchorId="4A40DEDB" wp14:editId="7849CD1D">
            <wp:extent cx="5939000" cy="2554779"/>
            <wp:effectExtent l="0" t="0" r="5080" b="0"/>
            <wp:docPr id="102253274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32743" name=""/>
                    <pic:cNvPicPr/>
                  </pic:nvPicPr>
                  <pic:blipFill rotWithShape="1">
                    <a:blip r:embed="rId20"/>
                    <a:srcRect b="4520"/>
                    <a:stretch/>
                  </pic:blipFill>
                  <pic:spPr bwMode="auto">
                    <a:xfrm>
                      <a:off x="0" y="0"/>
                      <a:ext cx="5954466" cy="2561432"/>
                    </a:xfrm>
                    <a:prstGeom prst="rect">
                      <a:avLst/>
                    </a:prstGeom>
                    <a:ln>
                      <a:noFill/>
                    </a:ln>
                    <a:extLst>
                      <a:ext uri="{53640926-AAD7-44D8-BBD7-CCE9431645EC}">
                        <a14:shadowObscured xmlns:a14="http://schemas.microsoft.com/office/drawing/2010/main"/>
                      </a:ext>
                    </a:extLst>
                  </pic:spPr>
                </pic:pic>
              </a:graphicData>
            </a:graphic>
          </wp:inline>
        </w:drawing>
      </w:r>
    </w:p>
    <w:p w14:paraId="1E774D45" w14:textId="2EC3E84D" w:rsidR="00884EDC" w:rsidRPr="00CB07DE" w:rsidRDefault="57821025" w:rsidP="0098157F">
      <w:pPr>
        <w:jc w:val="both"/>
        <w:rPr>
          <w:rFonts w:ascii="Times New Roman" w:eastAsia="Times New Roman" w:hAnsi="Times New Roman" w:cs="Times New Roman"/>
          <w:sz w:val="26"/>
          <w:szCs w:val="26"/>
        </w:rPr>
      </w:pPr>
      <w:r w:rsidRPr="57821025">
        <w:rPr>
          <w:rFonts w:ascii="Times New Roman" w:eastAsia="Times New Roman" w:hAnsi="Times New Roman" w:cs="Times New Roman"/>
          <w:sz w:val="26"/>
          <w:szCs w:val="26"/>
        </w:rPr>
        <w:t xml:space="preserve">Az öregségi nyugdíjban részesülők 2025. augusztus havi </w:t>
      </w:r>
      <w:r w:rsidRPr="57821025">
        <w:rPr>
          <w:rFonts w:ascii="Times New Roman" w:eastAsia="Times New Roman" w:hAnsi="Times New Roman" w:cs="Times New Roman"/>
          <w:b/>
          <w:bCs/>
          <w:sz w:val="26"/>
          <w:szCs w:val="26"/>
        </w:rPr>
        <w:t>átlagos statisztikai állományi létszáma</w:t>
      </w:r>
      <w:r w:rsidRPr="57821025">
        <w:rPr>
          <w:rFonts w:ascii="Times New Roman" w:eastAsia="Times New Roman" w:hAnsi="Times New Roman" w:cs="Times New Roman"/>
          <w:sz w:val="26"/>
          <w:szCs w:val="26"/>
        </w:rPr>
        <w:t xml:space="preserve"> kis mértékben növekedett, 1529 fővel haladta meg az előző év azonos időszakának létszámát. Az öregségi nyugdíjban részesülők létszámán belül a nők kedvezményes nyugdíjában részesülők (korhatár alattiak) létszáma a korhatárbetöltés, az újonnan belépők és az elhalálozás együttes hatásaként 4601 fővel csökkent a 2024.</w:t>
      </w:r>
      <w:r w:rsidR="006F0156">
        <w:rPr>
          <w:rFonts w:ascii="Times New Roman" w:eastAsia="Times New Roman" w:hAnsi="Times New Roman" w:cs="Times New Roman"/>
          <w:sz w:val="26"/>
          <w:szCs w:val="26"/>
        </w:rPr>
        <w:t> </w:t>
      </w:r>
      <w:r w:rsidRPr="57821025">
        <w:rPr>
          <w:rFonts w:ascii="Times New Roman" w:eastAsia="Times New Roman" w:hAnsi="Times New Roman" w:cs="Times New Roman"/>
          <w:sz w:val="26"/>
          <w:szCs w:val="26"/>
        </w:rPr>
        <w:t>augusztusi adathoz képest, jelenleg 137</w:t>
      </w:r>
      <w:r w:rsidR="005A34A7">
        <w:rPr>
          <w:rFonts w:ascii="Times New Roman" w:eastAsia="Times New Roman" w:hAnsi="Times New Roman" w:cs="Times New Roman"/>
          <w:sz w:val="26"/>
          <w:szCs w:val="26"/>
        </w:rPr>
        <w:t> </w:t>
      </w:r>
      <w:r w:rsidRPr="57821025">
        <w:rPr>
          <w:rFonts w:ascii="Times New Roman" w:eastAsia="Times New Roman" w:hAnsi="Times New Roman" w:cs="Times New Roman"/>
          <w:sz w:val="26"/>
          <w:szCs w:val="26"/>
        </w:rPr>
        <w:t>551 fő veszi igénybe a „nők 40” kedvezményes nyugdíját.</w:t>
      </w:r>
    </w:p>
    <w:p w14:paraId="61DC0A5C" w14:textId="38647C26" w:rsidR="00884EDC" w:rsidRPr="00CB07DE" w:rsidRDefault="57821025" w:rsidP="0098157F">
      <w:pPr>
        <w:jc w:val="both"/>
        <w:rPr>
          <w:rFonts w:ascii="Times New Roman" w:eastAsia="Times New Roman" w:hAnsi="Times New Roman" w:cs="Times New Roman"/>
          <w:sz w:val="26"/>
          <w:szCs w:val="26"/>
        </w:rPr>
      </w:pPr>
      <w:r w:rsidRPr="57821025">
        <w:rPr>
          <w:rFonts w:ascii="Times New Roman" w:eastAsia="Times New Roman" w:hAnsi="Times New Roman" w:cs="Times New Roman"/>
          <w:sz w:val="26"/>
          <w:szCs w:val="26"/>
        </w:rPr>
        <w:t>Az öregségi nyugdíjak átlagos havi összege egy év alatt 12 180 forinttal emelkedett, idén 2025. augusztusban 245 366 forint volt.</w:t>
      </w:r>
    </w:p>
    <w:p w14:paraId="725BF303" w14:textId="60C58C4B" w:rsidR="7BF38582" w:rsidRDefault="7C285CBA" w:rsidP="0098157F">
      <w:pPr>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Az ellátások egy főre jutó havi átlagos összege az egyes ellátotti jogcímeken belül az előző év azonos időszakával összehasonlítva az alábbiak szerint növekedett.</w:t>
      </w:r>
    </w:p>
    <w:p w14:paraId="503DFEB7" w14:textId="32C691D2" w:rsidR="00EF1F5B" w:rsidRDefault="009371F3" w:rsidP="002D6802">
      <w:pPr>
        <w:pStyle w:val="NormlWeb"/>
        <w:spacing w:before="0" w:beforeAutospacing="0" w:after="0" w:afterAutospacing="0"/>
        <w:jc w:val="center"/>
      </w:pPr>
      <w:r>
        <w:rPr>
          <w:noProof/>
        </w:rPr>
        <w:drawing>
          <wp:inline distT="0" distB="0" distL="0" distR="0" wp14:anchorId="06D4FF22" wp14:editId="0E22EF72">
            <wp:extent cx="4558976" cy="3124763"/>
            <wp:effectExtent l="0" t="0" r="0" b="0"/>
            <wp:docPr id="39933191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31916" name=""/>
                    <pic:cNvPicPr/>
                  </pic:nvPicPr>
                  <pic:blipFill>
                    <a:blip r:embed="rId21"/>
                    <a:stretch>
                      <a:fillRect/>
                    </a:stretch>
                  </pic:blipFill>
                  <pic:spPr>
                    <a:xfrm>
                      <a:off x="0" y="0"/>
                      <a:ext cx="4581845" cy="3140438"/>
                    </a:xfrm>
                    <a:prstGeom prst="rect">
                      <a:avLst/>
                    </a:prstGeom>
                  </pic:spPr>
                </pic:pic>
              </a:graphicData>
            </a:graphic>
          </wp:inline>
        </w:drawing>
      </w:r>
    </w:p>
    <w:p w14:paraId="3779DB9C" w14:textId="246CB37A" w:rsidR="0022104D" w:rsidRDefault="00D33920" w:rsidP="00A31F84">
      <w:pPr>
        <w:widowControl w:val="0"/>
        <w:spacing w:before="240"/>
        <w:jc w:val="both"/>
      </w:pPr>
      <w:r>
        <w:rPr>
          <w:rFonts w:ascii="Times New Roman" w:eastAsia="Times New Roman" w:hAnsi="Times New Roman" w:cs="Times New Roman"/>
          <w:sz w:val="26"/>
          <w:szCs w:val="26"/>
        </w:rPr>
        <w:br w:type="column"/>
      </w:r>
      <w:r w:rsidR="7C285CBA" w:rsidRPr="7C285CBA">
        <w:rPr>
          <w:rFonts w:ascii="Times New Roman" w:eastAsia="Times New Roman" w:hAnsi="Times New Roman" w:cs="Times New Roman"/>
          <w:sz w:val="26"/>
          <w:szCs w:val="26"/>
        </w:rPr>
        <w:lastRenderedPageBreak/>
        <w:t xml:space="preserve">Az öregségi nyugdíjban, hozzátartozói nyugellátásban részesülők jogcím szerinti megoszlásának összehasonlítását a korábbi adatokkal az alábbi ábrák mutatják. </w:t>
      </w:r>
    </w:p>
    <w:p w14:paraId="6E229341" w14:textId="0AF78724" w:rsidR="00EF1F5B" w:rsidRDefault="00B3244C" w:rsidP="00A31F84">
      <w:pPr>
        <w:pStyle w:val="NormlWeb"/>
        <w:widowControl w:val="0"/>
        <w:jc w:val="center"/>
      </w:pPr>
      <w:r>
        <w:rPr>
          <w:noProof/>
        </w:rPr>
        <w:drawing>
          <wp:inline distT="0" distB="0" distL="0" distR="0" wp14:anchorId="550813F8" wp14:editId="0157FDD0">
            <wp:extent cx="5880580" cy="2172435"/>
            <wp:effectExtent l="0" t="0" r="6350" b="0"/>
            <wp:docPr id="173152714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27147" name=""/>
                    <pic:cNvPicPr/>
                  </pic:nvPicPr>
                  <pic:blipFill rotWithShape="1">
                    <a:blip r:embed="rId22"/>
                    <a:srcRect t="3625" b="6680"/>
                    <a:stretch/>
                  </pic:blipFill>
                  <pic:spPr bwMode="auto">
                    <a:xfrm>
                      <a:off x="0" y="0"/>
                      <a:ext cx="5902637" cy="2180583"/>
                    </a:xfrm>
                    <a:prstGeom prst="rect">
                      <a:avLst/>
                    </a:prstGeom>
                    <a:ln>
                      <a:noFill/>
                    </a:ln>
                    <a:extLst>
                      <a:ext uri="{53640926-AAD7-44D8-BBD7-CCE9431645EC}">
                        <a14:shadowObscured xmlns:a14="http://schemas.microsoft.com/office/drawing/2010/main"/>
                      </a:ext>
                    </a:extLst>
                  </pic:spPr>
                </pic:pic>
              </a:graphicData>
            </a:graphic>
          </wp:inline>
        </w:drawing>
      </w:r>
    </w:p>
    <w:p w14:paraId="2A4F88FB" w14:textId="558B9764" w:rsidR="00D4148C" w:rsidRPr="002B492B" w:rsidRDefault="7C285CBA" w:rsidP="7C285CBA">
      <w:pPr>
        <w:widowControl w:val="0"/>
        <w:rPr>
          <w:rFonts w:ascii="Times New Roman" w:eastAsia="Times New Roman" w:hAnsi="Times New Roman" w:cs="Times New Roman"/>
          <w:b/>
          <w:bCs/>
          <w:sz w:val="26"/>
          <w:szCs w:val="26"/>
        </w:rPr>
      </w:pPr>
      <w:r w:rsidRPr="7C285CBA">
        <w:rPr>
          <w:rFonts w:ascii="Times New Roman" w:eastAsia="Times New Roman" w:hAnsi="Times New Roman" w:cs="Times New Roman"/>
          <w:sz w:val="26"/>
          <w:szCs w:val="26"/>
        </w:rPr>
        <w:t xml:space="preserve">Az </w:t>
      </w:r>
      <w:r w:rsidRPr="7C285CBA">
        <w:rPr>
          <w:rFonts w:ascii="Times New Roman" w:eastAsia="Times New Roman" w:hAnsi="Times New Roman" w:cs="Times New Roman"/>
          <w:b/>
          <w:bCs/>
          <w:sz w:val="26"/>
          <w:szCs w:val="26"/>
        </w:rPr>
        <w:t>Egészségbiztosítási Alap kiadásainak</w:t>
      </w:r>
      <w:r w:rsidRPr="7C285CBA">
        <w:rPr>
          <w:rFonts w:ascii="Times New Roman" w:eastAsia="Times New Roman" w:hAnsi="Times New Roman" w:cs="Times New Roman"/>
          <w:sz w:val="26"/>
          <w:szCs w:val="26"/>
        </w:rPr>
        <w:t xml:space="preserve"> összetételét a következő ábra mutatja be:</w:t>
      </w:r>
      <w:r w:rsidRPr="7C285CBA">
        <w:rPr>
          <w:rFonts w:ascii="Times New Roman" w:eastAsia="Times New Roman" w:hAnsi="Times New Roman" w:cs="Times New Roman"/>
          <w:b/>
          <w:bCs/>
          <w:sz w:val="26"/>
          <w:szCs w:val="26"/>
        </w:rPr>
        <w:t xml:space="preserve"> </w:t>
      </w:r>
    </w:p>
    <w:p w14:paraId="57C38B59" w14:textId="37C49D36" w:rsidR="00D4148C" w:rsidRDefault="00B3244C" w:rsidP="00A31F84">
      <w:pPr>
        <w:widowControl w:val="0"/>
        <w:spacing w:after="240"/>
        <w:jc w:val="center"/>
        <w:rPr>
          <w:rFonts w:ascii="Times New Roman" w:eastAsia="Times New Roman" w:hAnsi="Times New Roman" w:cs="Times New Roman"/>
          <w:sz w:val="26"/>
          <w:szCs w:val="26"/>
        </w:rPr>
      </w:pPr>
      <w:r>
        <w:rPr>
          <w:noProof/>
        </w:rPr>
        <w:drawing>
          <wp:inline distT="0" distB="0" distL="0" distR="0" wp14:anchorId="0CCFF810" wp14:editId="1AD7AB80">
            <wp:extent cx="5934462" cy="2377440"/>
            <wp:effectExtent l="0" t="0" r="9525" b="3810"/>
            <wp:docPr id="29704874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48744" name=""/>
                    <pic:cNvPicPr/>
                  </pic:nvPicPr>
                  <pic:blipFill rotWithShape="1">
                    <a:blip r:embed="rId23"/>
                    <a:srcRect b="5930"/>
                    <a:stretch/>
                  </pic:blipFill>
                  <pic:spPr bwMode="auto">
                    <a:xfrm>
                      <a:off x="0" y="0"/>
                      <a:ext cx="5947844" cy="2382801"/>
                    </a:xfrm>
                    <a:prstGeom prst="rect">
                      <a:avLst/>
                    </a:prstGeom>
                    <a:ln>
                      <a:noFill/>
                    </a:ln>
                    <a:extLst>
                      <a:ext uri="{53640926-AAD7-44D8-BBD7-CCE9431645EC}">
                        <a14:shadowObscured xmlns:a14="http://schemas.microsoft.com/office/drawing/2010/main"/>
                      </a:ext>
                    </a:extLst>
                  </pic:spPr>
                </pic:pic>
              </a:graphicData>
            </a:graphic>
          </wp:inline>
        </w:drawing>
      </w:r>
    </w:p>
    <w:p w14:paraId="19FDF989" w14:textId="6E358A0D" w:rsidR="00CA3468" w:rsidRDefault="7C285CBA" w:rsidP="7C285CBA">
      <w:pPr>
        <w:widowControl w:val="0"/>
        <w:spacing w:after="240"/>
        <w:jc w:val="both"/>
        <w:rPr>
          <w:rFonts w:ascii="Times New Roman" w:eastAsia="Times New Roman" w:hAnsi="Times New Roman" w:cs="Times New Roman"/>
          <w:sz w:val="26"/>
          <w:szCs w:val="26"/>
        </w:rPr>
      </w:pPr>
      <w:r w:rsidRPr="7C285CBA">
        <w:rPr>
          <w:rFonts w:ascii="Times New Roman" w:eastAsia="Times New Roman" w:hAnsi="Times New Roman" w:cs="Times New Roman"/>
          <w:sz w:val="26"/>
          <w:szCs w:val="26"/>
        </w:rPr>
        <w:t xml:space="preserve">Az </w:t>
      </w:r>
      <w:r w:rsidRPr="7C285CBA">
        <w:rPr>
          <w:rFonts w:ascii="Times New Roman" w:eastAsia="Times New Roman" w:hAnsi="Times New Roman" w:cs="Times New Roman"/>
          <w:b/>
          <w:bCs/>
          <w:sz w:val="26"/>
          <w:szCs w:val="26"/>
        </w:rPr>
        <w:t>Egészségbiztosítási Alap</w:t>
      </w:r>
      <w:r w:rsidRPr="7C285CBA">
        <w:rPr>
          <w:rFonts w:ascii="Times New Roman" w:eastAsia="Times New Roman" w:hAnsi="Times New Roman" w:cs="Times New Roman"/>
          <w:sz w:val="26"/>
          <w:szCs w:val="26"/>
        </w:rPr>
        <w:t xml:space="preserve"> összes kiadásának 25,3%-át a </w:t>
      </w:r>
      <w:r w:rsidRPr="7C285CBA">
        <w:rPr>
          <w:rFonts w:ascii="Times New Roman" w:eastAsia="Times New Roman" w:hAnsi="Times New Roman" w:cs="Times New Roman"/>
          <w:b/>
          <w:bCs/>
          <w:sz w:val="26"/>
          <w:szCs w:val="26"/>
        </w:rPr>
        <w:t>pénzbeli ellátásokra</w:t>
      </w:r>
      <w:r w:rsidRPr="7C285CBA">
        <w:rPr>
          <w:rFonts w:ascii="Times New Roman" w:eastAsia="Times New Roman" w:hAnsi="Times New Roman" w:cs="Times New Roman"/>
          <w:sz w:val="26"/>
          <w:szCs w:val="26"/>
        </w:rPr>
        <w:t xml:space="preserve"> fordított összeg adta. Az ellátások részletes bemutatását a következő táblázat tartalmazza:</w:t>
      </w:r>
    </w:p>
    <w:p w14:paraId="1D31F2C8" w14:textId="3F5AAC59" w:rsidR="00DA4FBC" w:rsidRPr="001074A1" w:rsidRDefault="7C285CBA" w:rsidP="7C285CBA">
      <w:pPr>
        <w:widowControl w:val="0"/>
        <w:spacing w:after="240"/>
        <w:jc w:val="center"/>
        <w:rPr>
          <w:rFonts w:ascii="Times New Roman" w:eastAsia="Times New Roman" w:hAnsi="Times New Roman" w:cs="Times New Roman"/>
          <w:b/>
          <w:bCs/>
        </w:rPr>
      </w:pPr>
      <w:r w:rsidRPr="7C285CBA">
        <w:rPr>
          <w:rFonts w:ascii="Times New Roman" w:eastAsia="Times New Roman" w:hAnsi="Times New Roman" w:cs="Times New Roman"/>
          <w:b/>
          <w:bCs/>
        </w:rPr>
        <w:t>Az Egészségbiztosítási Alap pénzbeli ellátásokra fordított kiadásainak alakulása (milliárd forint)</w:t>
      </w:r>
    </w:p>
    <w:tbl>
      <w:tblPr>
        <w:tblpPr w:leftFromText="141" w:rightFromText="141" w:vertAnchor="text" w:tblpXSpec="center" w:tblpY="1"/>
        <w:tblOverlap w:val="never"/>
        <w:tblW w:w="8718" w:type="dxa"/>
        <w:tblLayout w:type="fixed"/>
        <w:tblCellMar>
          <w:left w:w="70" w:type="dxa"/>
          <w:right w:w="70" w:type="dxa"/>
        </w:tblCellMar>
        <w:tblLook w:val="04A0" w:firstRow="1" w:lastRow="0" w:firstColumn="1" w:lastColumn="0" w:noHBand="0" w:noVBand="1"/>
      </w:tblPr>
      <w:tblGrid>
        <w:gridCol w:w="4248"/>
        <w:gridCol w:w="1276"/>
        <w:gridCol w:w="1209"/>
        <w:gridCol w:w="992"/>
        <w:gridCol w:w="993"/>
      </w:tblGrid>
      <w:tr w:rsidR="00E601EF" w:rsidRPr="00377D59" w14:paraId="06E6BC15" w14:textId="77777777" w:rsidTr="12F4B78A">
        <w:trPr>
          <w:trHeight w:val="340"/>
        </w:trPr>
        <w:tc>
          <w:tcPr>
            <w:tcW w:w="4248" w:type="dxa"/>
            <w:vMerge w:val="restart"/>
            <w:tcBorders>
              <w:top w:val="single" w:sz="4" w:space="0" w:color="auto"/>
              <w:left w:val="single" w:sz="4" w:space="0" w:color="auto"/>
              <w:bottom w:val="single" w:sz="4" w:space="0" w:color="000000" w:themeColor="text1"/>
              <w:right w:val="single" w:sz="4" w:space="0" w:color="auto"/>
            </w:tcBorders>
            <w:shd w:val="clear" w:color="auto" w:fill="BDD6EE" w:themeFill="accent1" w:themeFillTint="66"/>
            <w:noWrap/>
            <w:vAlign w:val="center"/>
            <w:hideMark/>
          </w:tcPr>
          <w:p w14:paraId="510863DA" w14:textId="77777777" w:rsidR="00E601EF" w:rsidRPr="00377D59" w:rsidRDefault="7C285CBA" w:rsidP="7C285CBA">
            <w:pPr>
              <w:widowControl w:val="0"/>
              <w:spacing w:after="0" w:line="240" w:lineRule="auto"/>
              <w:jc w:val="center"/>
              <w:rPr>
                <w:rFonts w:ascii="Times New Roman" w:eastAsia="Times New Roman" w:hAnsi="Times New Roman" w:cs="Times New Roman"/>
                <w:b/>
                <w:bCs/>
              </w:rPr>
            </w:pPr>
            <w:r w:rsidRPr="7C285CBA">
              <w:rPr>
                <w:rFonts w:ascii="Times New Roman" w:eastAsia="Times New Roman" w:hAnsi="Times New Roman" w:cs="Times New Roman"/>
                <w:b/>
                <w:bCs/>
              </w:rPr>
              <w:t>Megnevezés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B44369" w14:textId="1DF736BA" w:rsidR="00E601EF" w:rsidRPr="00377D59" w:rsidRDefault="12F4B78A" w:rsidP="12F4B78A">
            <w:pPr>
              <w:widowControl w:val="0"/>
              <w:spacing w:after="0" w:line="240" w:lineRule="auto"/>
              <w:jc w:val="center"/>
              <w:rPr>
                <w:rFonts w:ascii="Times New Roman" w:eastAsia="Times New Roman" w:hAnsi="Times New Roman" w:cs="Times New Roman"/>
                <w:b/>
                <w:bCs/>
              </w:rPr>
            </w:pPr>
            <w:r w:rsidRPr="12F4B78A">
              <w:rPr>
                <w:rFonts w:ascii="Times New Roman" w:eastAsia="Times New Roman" w:hAnsi="Times New Roman" w:cs="Times New Roman"/>
                <w:b/>
                <w:bCs/>
              </w:rPr>
              <w:t xml:space="preserve">2024. </w:t>
            </w:r>
            <w:r w:rsidR="7C285CBA">
              <w:br/>
            </w:r>
            <w:r w:rsidRPr="12F4B78A">
              <w:rPr>
                <w:rFonts w:ascii="Times New Roman" w:eastAsia="Times New Roman" w:hAnsi="Times New Roman" w:cs="Times New Roman"/>
                <w:b/>
                <w:bCs/>
              </w:rPr>
              <w:t>I-VIII. hó</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A1BFE64" w14:textId="66E7302D" w:rsidR="00E601EF" w:rsidRPr="00377D59" w:rsidRDefault="12F4B78A" w:rsidP="12F4B78A">
            <w:pPr>
              <w:widowControl w:val="0"/>
              <w:spacing w:after="0" w:line="240" w:lineRule="auto"/>
              <w:jc w:val="center"/>
              <w:rPr>
                <w:rFonts w:ascii="Times New Roman" w:eastAsia="Times New Roman" w:hAnsi="Times New Roman" w:cs="Times New Roman"/>
                <w:b/>
                <w:bCs/>
              </w:rPr>
            </w:pPr>
            <w:r w:rsidRPr="12F4B78A">
              <w:rPr>
                <w:rFonts w:ascii="Times New Roman" w:eastAsia="Times New Roman" w:hAnsi="Times New Roman" w:cs="Times New Roman"/>
                <w:b/>
                <w:bCs/>
              </w:rPr>
              <w:t xml:space="preserve">2025. </w:t>
            </w:r>
            <w:r w:rsidR="7C285CBA">
              <w:br/>
            </w:r>
            <w:r w:rsidRPr="12F4B78A">
              <w:rPr>
                <w:rFonts w:ascii="Times New Roman" w:eastAsia="Times New Roman" w:hAnsi="Times New Roman" w:cs="Times New Roman"/>
                <w:b/>
                <w:bCs/>
              </w:rPr>
              <w:t>I-VIII. hó</w:t>
            </w:r>
          </w:p>
        </w:tc>
        <w:tc>
          <w:tcPr>
            <w:tcW w:w="1985"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EFB39D6" w14:textId="77777777" w:rsidR="00E601EF" w:rsidRPr="00377D59" w:rsidRDefault="7C285CBA" w:rsidP="7C285CBA">
            <w:pPr>
              <w:widowControl w:val="0"/>
              <w:spacing w:after="0" w:line="240" w:lineRule="auto"/>
              <w:jc w:val="center"/>
              <w:rPr>
                <w:rFonts w:ascii="Times New Roman" w:eastAsia="Times New Roman" w:hAnsi="Times New Roman" w:cs="Times New Roman"/>
                <w:b/>
                <w:bCs/>
              </w:rPr>
            </w:pPr>
            <w:r w:rsidRPr="7C285CBA">
              <w:rPr>
                <w:rFonts w:ascii="Times New Roman" w:eastAsia="Times New Roman" w:hAnsi="Times New Roman" w:cs="Times New Roman"/>
                <w:b/>
                <w:bCs/>
              </w:rPr>
              <w:t>Eltérés</w:t>
            </w:r>
          </w:p>
        </w:tc>
      </w:tr>
      <w:tr w:rsidR="00E601EF" w:rsidRPr="00377D59" w14:paraId="67C6C54B" w14:textId="77777777" w:rsidTr="12F4B78A">
        <w:trPr>
          <w:trHeight w:val="340"/>
        </w:trPr>
        <w:tc>
          <w:tcPr>
            <w:tcW w:w="4248" w:type="dxa"/>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5CCA367D" w14:textId="77777777" w:rsidR="00E601EF" w:rsidRPr="00377D59" w:rsidRDefault="00E601EF" w:rsidP="00A31F84">
            <w:pPr>
              <w:widowControl w:val="0"/>
              <w:spacing w:after="0" w:line="240" w:lineRule="auto"/>
              <w:rPr>
                <w:rFonts w:ascii="Times New Roman" w:eastAsia="Times New Roman" w:hAnsi="Times New Roman" w:cs="Times New Roman"/>
                <w:b/>
                <w:bCs/>
                <w:lang w:eastAsia="hu-HU"/>
              </w:rPr>
            </w:pPr>
          </w:p>
        </w:tc>
        <w:tc>
          <w:tcPr>
            <w:tcW w:w="127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99307A" w14:textId="77777777" w:rsidR="00E601EF" w:rsidRPr="00377D59" w:rsidRDefault="00E601EF" w:rsidP="00A31F84">
            <w:pPr>
              <w:widowControl w:val="0"/>
              <w:spacing w:after="0" w:line="240" w:lineRule="auto"/>
              <w:jc w:val="center"/>
              <w:rPr>
                <w:rFonts w:ascii="Times New Roman" w:eastAsia="Times New Roman" w:hAnsi="Times New Roman" w:cs="Times New Roman"/>
                <w:b/>
                <w:bCs/>
                <w:lang w:eastAsia="hu-HU"/>
              </w:rPr>
            </w:pPr>
          </w:p>
        </w:tc>
        <w:tc>
          <w:tcPr>
            <w:tcW w:w="120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E594B6" w14:textId="77777777" w:rsidR="00E601EF" w:rsidRPr="00377D59" w:rsidRDefault="00E601EF" w:rsidP="00A31F84">
            <w:pPr>
              <w:widowControl w:val="0"/>
              <w:spacing w:after="0" w:line="240" w:lineRule="auto"/>
              <w:jc w:val="center"/>
              <w:rPr>
                <w:rFonts w:ascii="Times New Roman" w:eastAsia="Times New Roman" w:hAnsi="Times New Roman" w:cs="Times New Roman"/>
                <w:b/>
                <w:bCs/>
                <w:lang w:eastAsia="hu-HU"/>
              </w:rPr>
            </w:pP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986BC2B" w14:textId="77777777" w:rsidR="00E601EF" w:rsidRPr="00377D59" w:rsidRDefault="7C285CBA" w:rsidP="7C285CBA">
            <w:pPr>
              <w:widowControl w:val="0"/>
              <w:spacing w:after="0" w:line="240" w:lineRule="auto"/>
              <w:jc w:val="center"/>
              <w:rPr>
                <w:rFonts w:ascii="Times New Roman" w:eastAsia="Times New Roman" w:hAnsi="Times New Roman" w:cs="Times New Roman"/>
                <w:b/>
                <w:bCs/>
                <w:lang w:eastAsia="hu-HU"/>
              </w:rPr>
            </w:pPr>
            <w:r w:rsidRPr="7C285CBA">
              <w:rPr>
                <w:rFonts w:ascii="Times New Roman" w:eastAsia="Times New Roman" w:hAnsi="Times New Roman" w:cs="Times New Roman"/>
                <w:b/>
                <w:bCs/>
                <w:lang w:eastAsia="hu-HU"/>
              </w:rPr>
              <w:t>Mrd Ft</w:t>
            </w:r>
          </w:p>
        </w:tc>
        <w:tc>
          <w:tcPr>
            <w:tcW w:w="99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0EDA458" w14:textId="77777777" w:rsidR="00E601EF" w:rsidRPr="00377D59" w:rsidRDefault="7C285CBA" w:rsidP="7C285CBA">
            <w:pPr>
              <w:widowControl w:val="0"/>
              <w:spacing w:after="0" w:line="240" w:lineRule="auto"/>
              <w:jc w:val="center"/>
              <w:rPr>
                <w:rFonts w:ascii="Times New Roman" w:eastAsia="Times New Roman" w:hAnsi="Times New Roman" w:cs="Times New Roman"/>
                <w:b/>
                <w:bCs/>
                <w:lang w:eastAsia="hu-HU"/>
              </w:rPr>
            </w:pPr>
            <w:r w:rsidRPr="7C285CBA">
              <w:rPr>
                <w:rFonts w:ascii="Times New Roman" w:eastAsia="Times New Roman" w:hAnsi="Times New Roman" w:cs="Times New Roman"/>
                <w:b/>
                <w:bCs/>
                <w:lang w:eastAsia="hu-HU"/>
              </w:rPr>
              <w:t>%</w:t>
            </w:r>
          </w:p>
        </w:tc>
      </w:tr>
      <w:tr w:rsidR="00494D4B" w:rsidRPr="00377D59" w14:paraId="0F7FB8C0" w14:textId="77777777" w:rsidTr="12F4B78A">
        <w:trPr>
          <w:trHeight w:val="340"/>
        </w:trPr>
        <w:tc>
          <w:tcPr>
            <w:tcW w:w="4248" w:type="dxa"/>
            <w:tcBorders>
              <w:top w:val="nil"/>
              <w:left w:val="single" w:sz="4" w:space="0" w:color="auto"/>
              <w:bottom w:val="single" w:sz="4" w:space="0" w:color="auto"/>
              <w:right w:val="single" w:sz="4" w:space="0" w:color="auto"/>
            </w:tcBorders>
            <w:noWrap/>
            <w:vAlign w:val="center"/>
            <w:hideMark/>
          </w:tcPr>
          <w:p w14:paraId="4F8BBBDE" w14:textId="77777777" w:rsidR="00494D4B" w:rsidRPr="00377D59" w:rsidRDefault="7C285CBA" w:rsidP="7C285CBA">
            <w:pPr>
              <w:widowControl w:val="0"/>
              <w:spacing w:after="0" w:line="240" w:lineRule="auto"/>
              <w:ind w:firstLine="67"/>
              <w:rPr>
                <w:rFonts w:ascii="Times New Roman" w:eastAsia="Times New Roman" w:hAnsi="Times New Roman" w:cs="Times New Roman"/>
                <w:b/>
                <w:bCs/>
                <w:lang w:eastAsia="hu-HU"/>
              </w:rPr>
            </w:pPr>
            <w:r w:rsidRPr="7C285CBA">
              <w:rPr>
                <w:rFonts w:ascii="Times New Roman" w:eastAsia="Times New Roman" w:hAnsi="Times New Roman" w:cs="Times New Roman"/>
                <w:b/>
                <w:bCs/>
                <w:lang w:eastAsia="hu-HU"/>
              </w:rPr>
              <w:t>Pénzbeli ellátások</w:t>
            </w:r>
          </w:p>
        </w:tc>
        <w:tc>
          <w:tcPr>
            <w:tcW w:w="1276" w:type="dxa"/>
            <w:tcBorders>
              <w:top w:val="single" w:sz="4" w:space="0" w:color="auto"/>
              <w:left w:val="nil"/>
              <w:bottom w:val="single" w:sz="4" w:space="0" w:color="auto"/>
              <w:right w:val="single" w:sz="4" w:space="0" w:color="auto"/>
            </w:tcBorders>
            <w:vAlign w:val="center"/>
          </w:tcPr>
          <w:p w14:paraId="3EB30386" w14:textId="0C65AFB4" w:rsidR="00494D4B" w:rsidRPr="001074A1" w:rsidRDefault="12F4B78A" w:rsidP="12F4B78A">
            <w:pPr>
              <w:widowControl w:val="0"/>
              <w:spacing w:after="0"/>
              <w:jc w:val="right"/>
              <w:rPr>
                <w:rFonts w:ascii="Times New Roman" w:eastAsia="Times New Roman" w:hAnsi="Times New Roman" w:cs="Times New Roman"/>
                <w:b/>
                <w:bCs/>
                <w:lang w:eastAsia="hu-HU"/>
              </w:rPr>
            </w:pPr>
            <w:r w:rsidRPr="12F4B78A">
              <w:rPr>
                <w:rFonts w:ascii="Times New Roman" w:eastAsia="Times New Roman" w:hAnsi="Times New Roman" w:cs="Times New Roman"/>
                <w:b/>
                <w:bCs/>
                <w:lang w:eastAsia="hu-HU"/>
              </w:rPr>
              <w:t>774,3</w:t>
            </w:r>
          </w:p>
        </w:tc>
        <w:tc>
          <w:tcPr>
            <w:tcW w:w="1209" w:type="dxa"/>
            <w:tcBorders>
              <w:top w:val="single" w:sz="4" w:space="0" w:color="auto"/>
              <w:left w:val="nil"/>
              <w:bottom w:val="single" w:sz="4" w:space="0" w:color="auto"/>
              <w:right w:val="single" w:sz="4" w:space="0" w:color="auto"/>
            </w:tcBorders>
            <w:vAlign w:val="center"/>
          </w:tcPr>
          <w:p w14:paraId="749AF748" w14:textId="4959F923" w:rsidR="00494D4B" w:rsidRPr="001074A1" w:rsidRDefault="12F4B78A" w:rsidP="12F4B78A">
            <w:pPr>
              <w:widowControl w:val="0"/>
              <w:spacing w:after="0"/>
              <w:jc w:val="right"/>
              <w:rPr>
                <w:rFonts w:ascii="Times New Roman" w:eastAsia="Times New Roman" w:hAnsi="Times New Roman" w:cs="Times New Roman"/>
                <w:b/>
                <w:bCs/>
                <w:lang w:eastAsia="hu-HU"/>
              </w:rPr>
            </w:pPr>
            <w:r w:rsidRPr="12F4B78A">
              <w:rPr>
                <w:rFonts w:ascii="Times New Roman" w:eastAsia="Times New Roman" w:hAnsi="Times New Roman" w:cs="Times New Roman"/>
                <w:b/>
                <w:bCs/>
                <w:lang w:eastAsia="hu-HU"/>
              </w:rPr>
              <w:t>831,5</w:t>
            </w:r>
          </w:p>
        </w:tc>
        <w:tc>
          <w:tcPr>
            <w:tcW w:w="992" w:type="dxa"/>
            <w:tcBorders>
              <w:top w:val="single" w:sz="4" w:space="0" w:color="auto"/>
              <w:left w:val="nil"/>
              <w:bottom w:val="single" w:sz="4" w:space="0" w:color="auto"/>
              <w:right w:val="single" w:sz="4" w:space="0" w:color="auto"/>
            </w:tcBorders>
            <w:noWrap/>
            <w:vAlign w:val="center"/>
          </w:tcPr>
          <w:p w14:paraId="780D698F" w14:textId="52D826EB" w:rsidR="00494D4B" w:rsidRPr="001074A1" w:rsidRDefault="12F4B78A" w:rsidP="12F4B78A">
            <w:pPr>
              <w:widowControl w:val="0"/>
              <w:spacing w:after="0"/>
              <w:jc w:val="right"/>
              <w:rPr>
                <w:rFonts w:ascii="Times New Roman" w:eastAsia="Times New Roman" w:hAnsi="Times New Roman" w:cs="Times New Roman"/>
                <w:b/>
                <w:bCs/>
                <w:lang w:eastAsia="hu-HU"/>
              </w:rPr>
            </w:pPr>
            <w:r w:rsidRPr="12F4B78A">
              <w:rPr>
                <w:rFonts w:ascii="Times New Roman" w:eastAsia="Times New Roman" w:hAnsi="Times New Roman" w:cs="Times New Roman"/>
                <w:b/>
                <w:bCs/>
                <w:lang w:eastAsia="hu-HU"/>
              </w:rPr>
              <w:t>57,2</w:t>
            </w:r>
          </w:p>
        </w:tc>
        <w:tc>
          <w:tcPr>
            <w:tcW w:w="993" w:type="dxa"/>
            <w:tcBorders>
              <w:top w:val="single" w:sz="4" w:space="0" w:color="auto"/>
              <w:left w:val="nil"/>
              <w:bottom w:val="single" w:sz="4" w:space="0" w:color="auto"/>
              <w:right w:val="single" w:sz="4" w:space="0" w:color="auto"/>
            </w:tcBorders>
            <w:noWrap/>
            <w:vAlign w:val="center"/>
          </w:tcPr>
          <w:p w14:paraId="35977C13" w14:textId="213A40E4" w:rsidR="00494D4B" w:rsidRPr="001074A1" w:rsidRDefault="12F4B78A" w:rsidP="12F4B78A">
            <w:pPr>
              <w:widowControl w:val="0"/>
              <w:spacing w:after="0"/>
              <w:jc w:val="right"/>
              <w:rPr>
                <w:rFonts w:ascii="Times New Roman" w:eastAsia="Times New Roman" w:hAnsi="Times New Roman" w:cs="Times New Roman"/>
                <w:b/>
                <w:bCs/>
                <w:lang w:eastAsia="hu-HU"/>
              </w:rPr>
            </w:pPr>
            <w:r w:rsidRPr="12F4B78A">
              <w:rPr>
                <w:rFonts w:ascii="Times New Roman" w:eastAsia="Times New Roman" w:hAnsi="Times New Roman" w:cs="Times New Roman"/>
                <w:b/>
                <w:bCs/>
                <w:lang w:eastAsia="hu-HU"/>
              </w:rPr>
              <w:t>107,4</w:t>
            </w:r>
          </w:p>
        </w:tc>
      </w:tr>
      <w:tr w:rsidR="00494D4B" w:rsidRPr="00377D59" w14:paraId="07715518" w14:textId="77777777" w:rsidTr="12F4B78A">
        <w:trPr>
          <w:trHeight w:val="284"/>
        </w:trPr>
        <w:tc>
          <w:tcPr>
            <w:tcW w:w="4248" w:type="dxa"/>
            <w:tcBorders>
              <w:top w:val="nil"/>
              <w:left w:val="single" w:sz="4" w:space="0" w:color="auto"/>
              <w:bottom w:val="single" w:sz="4" w:space="0" w:color="auto"/>
              <w:right w:val="single" w:sz="4" w:space="0" w:color="auto"/>
            </w:tcBorders>
            <w:noWrap/>
            <w:vAlign w:val="center"/>
            <w:hideMark/>
          </w:tcPr>
          <w:p w14:paraId="31DF5B0B" w14:textId="77777777" w:rsidR="00494D4B" w:rsidRPr="003D21B5" w:rsidRDefault="7C285CBA" w:rsidP="7C285CBA">
            <w:pPr>
              <w:widowControl w:val="0"/>
              <w:spacing w:after="0" w:line="240" w:lineRule="auto"/>
              <w:ind w:firstLine="285"/>
              <w:rPr>
                <w:rFonts w:ascii="Times New Roman" w:eastAsia="Times New Roman" w:hAnsi="Times New Roman" w:cs="Times New Roman"/>
                <w:i/>
                <w:iCs/>
                <w:lang w:eastAsia="hu-HU"/>
              </w:rPr>
            </w:pPr>
            <w:r w:rsidRPr="7C285CBA">
              <w:rPr>
                <w:rFonts w:ascii="Times New Roman" w:eastAsia="Times New Roman" w:hAnsi="Times New Roman" w:cs="Times New Roman"/>
                <w:i/>
                <w:iCs/>
                <w:lang w:eastAsia="hu-HU"/>
              </w:rPr>
              <w:t>Ebből:</w:t>
            </w:r>
          </w:p>
        </w:tc>
        <w:tc>
          <w:tcPr>
            <w:tcW w:w="4470" w:type="dxa"/>
            <w:gridSpan w:val="4"/>
            <w:tcBorders>
              <w:top w:val="single" w:sz="4" w:space="0" w:color="auto"/>
              <w:left w:val="nil"/>
              <w:bottom w:val="single" w:sz="4" w:space="0" w:color="auto"/>
              <w:right w:val="single" w:sz="4" w:space="0" w:color="auto"/>
            </w:tcBorders>
            <w:vAlign w:val="center"/>
          </w:tcPr>
          <w:p w14:paraId="60B47ECC" w14:textId="007D4839" w:rsidR="00494D4B" w:rsidRPr="003D21B5" w:rsidRDefault="7C285CBA" w:rsidP="7C285CBA">
            <w:pPr>
              <w:widowControl w:val="0"/>
              <w:spacing w:after="0" w:line="240" w:lineRule="auto"/>
              <w:jc w:val="right"/>
              <w:rPr>
                <w:rFonts w:ascii="Times New Roman" w:eastAsia="Times New Roman" w:hAnsi="Times New Roman" w:cs="Times New Roman"/>
                <w:lang w:eastAsia="hu-HU"/>
              </w:rPr>
            </w:pPr>
            <w:r w:rsidRPr="7C285CBA">
              <w:rPr>
                <w:rFonts w:ascii="Times New Roman" w:eastAsia="Times New Roman" w:hAnsi="Times New Roman" w:cs="Times New Roman"/>
                <w:lang w:eastAsia="hu-HU"/>
              </w:rPr>
              <w:t> </w:t>
            </w:r>
          </w:p>
        </w:tc>
      </w:tr>
      <w:tr w:rsidR="00494D4B" w:rsidRPr="00377D59" w14:paraId="72B9616A" w14:textId="77777777" w:rsidTr="12F4B78A">
        <w:trPr>
          <w:trHeight w:val="340"/>
        </w:trPr>
        <w:tc>
          <w:tcPr>
            <w:tcW w:w="4248" w:type="dxa"/>
            <w:tcBorders>
              <w:top w:val="nil"/>
              <w:left w:val="single" w:sz="4" w:space="0" w:color="auto"/>
              <w:bottom w:val="single" w:sz="4" w:space="0" w:color="auto"/>
              <w:right w:val="single" w:sz="4" w:space="0" w:color="auto"/>
            </w:tcBorders>
            <w:noWrap/>
            <w:vAlign w:val="center"/>
            <w:hideMark/>
          </w:tcPr>
          <w:p w14:paraId="21DA2C4C" w14:textId="77777777" w:rsidR="00494D4B" w:rsidRPr="003D21B5" w:rsidRDefault="7C285CBA" w:rsidP="7C285CBA">
            <w:pPr>
              <w:widowControl w:val="0"/>
              <w:spacing w:after="0" w:line="240" w:lineRule="auto"/>
              <w:ind w:firstLine="67"/>
              <w:rPr>
                <w:rFonts w:ascii="Times New Roman" w:eastAsia="Times New Roman" w:hAnsi="Times New Roman" w:cs="Times New Roman"/>
                <w:lang w:eastAsia="hu-HU"/>
              </w:rPr>
            </w:pPr>
            <w:r w:rsidRPr="7C285CBA">
              <w:rPr>
                <w:rFonts w:ascii="Times New Roman" w:eastAsia="Times New Roman" w:hAnsi="Times New Roman" w:cs="Times New Roman"/>
                <w:lang w:eastAsia="hu-HU"/>
              </w:rPr>
              <w:t>Rokkantsági, rehabilitációs ellátások</w:t>
            </w:r>
          </w:p>
        </w:tc>
        <w:tc>
          <w:tcPr>
            <w:tcW w:w="1276" w:type="dxa"/>
            <w:tcBorders>
              <w:top w:val="single" w:sz="4" w:space="0" w:color="auto"/>
              <w:left w:val="nil"/>
              <w:bottom w:val="single" w:sz="4" w:space="0" w:color="auto"/>
              <w:right w:val="single" w:sz="4" w:space="0" w:color="auto"/>
            </w:tcBorders>
            <w:noWrap/>
            <w:vAlign w:val="center"/>
          </w:tcPr>
          <w:p w14:paraId="49E22A63" w14:textId="32A55975" w:rsidR="00494D4B" w:rsidRPr="003D21B5" w:rsidRDefault="12F4B78A" w:rsidP="12F4B78A">
            <w:pPr>
              <w:widowControl w:val="0"/>
              <w:spacing w:after="0"/>
              <w:jc w:val="right"/>
              <w:rPr>
                <w:rFonts w:ascii="Times New Roman" w:eastAsia="Times New Roman" w:hAnsi="Times New Roman" w:cs="Times New Roman"/>
                <w:lang w:eastAsia="hu-HU"/>
              </w:rPr>
            </w:pPr>
            <w:r w:rsidRPr="12F4B78A">
              <w:rPr>
                <w:rFonts w:ascii="Times New Roman" w:eastAsia="Times New Roman" w:hAnsi="Times New Roman" w:cs="Times New Roman"/>
                <w:lang w:eastAsia="hu-HU"/>
              </w:rPr>
              <w:t>276,0</w:t>
            </w:r>
          </w:p>
        </w:tc>
        <w:tc>
          <w:tcPr>
            <w:tcW w:w="1209" w:type="dxa"/>
            <w:tcBorders>
              <w:top w:val="single" w:sz="4" w:space="0" w:color="auto"/>
              <w:left w:val="nil"/>
              <w:bottom w:val="single" w:sz="4" w:space="0" w:color="auto"/>
              <w:right w:val="single" w:sz="4" w:space="0" w:color="auto"/>
            </w:tcBorders>
            <w:noWrap/>
            <w:vAlign w:val="center"/>
          </w:tcPr>
          <w:p w14:paraId="0480FC73" w14:textId="71F72DCF" w:rsidR="00494D4B" w:rsidRPr="003D21B5" w:rsidRDefault="12F4B78A" w:rsidP="12F4B78A">
            <w:pPr>
              <w:widowControl w:val="0"/>
              <w:spacing w:after="0"/>
              <w:jc w:val="right"/>
              <w:rPr>
                <w:rFonts w:ascii="Times New Roman" w:eastAsia="Times New Roman" w:hAnsi="Times New Roman" w:cs="Times New Roman"/>
                <w:lang w:eastAsia="hu-HU"/>
              </w:rPr>
            </w:pPr>
            <w:r w:rsidRPr="12F4B78A">
              <w:rPr>
                <w:rFonts w:ascii="Times New Roman" w:eastAsia="Times New Roman" w:hAnsi="Times New Roman" w:cs="Times New Roman"/>
                <w:lang w:eastAsia="hu-HU"/>
              </w:rPr>
              <w:t>289,8</w:t>
            </w:r>
          </w:p>
        </w:tc>
        <w:tc>
          <w:tcPr>
            <w:tcW w:w="992" w:type="dxa"/>
            <w:tcBorders>
              <w:top w:val="single" w:sz="4" w:space="0" w:color="auto"/>
              <w:left w:val="nil"/>
              <w:bottom w:val="single" w:sz="4" w:space="0" w:color="auto"/>
              <w:right w:val="single" w:sz="4" w:space="0" w:color="auto"/>
            </w:tcBorders>
            <w:noWrap/>
            <w:vAlign w:val="center"/>
          </w:tcPr>
          <w:p w14:paraId="63616B24" w14:textId="46716889" w:rsidR="00494D4B" w:rsidRPr="003D21B5" w:rsidRDefault="12F4B78A" w:rsidP="12F4B78A">
            <w:pPr>
              <w:widowControl w:val="0"/>
              <w:spacing w:after="0"/>
              <w:jc w:val="right"/>
              <w:rPr>
                <w:rFonts w:ascii="Times New Roman" w:eastAsia="Times New Roman" w:hAnsi="Times New Roman" w:cs="Times New Roman"/>
                <w:lang w:eastAsia="hu-HU"/>
              </w:rPr>
            </w:pPr>
            <w:r w:rsidRPr="12F4B78A">
              <w:rPr>
                <w:rFonts w:ascii="Times New Roman" w:eastAsia="Times New Roman" w:hAnsi="Times New Roman" w:cs="Times New Roman"/>
                <w:lang w:eastAsia="hu-HU"/>
              </w:rPr>
              <w:t>13,8</w:t>
            </w:r>
          </w:p>
        </w:tc>
        <w:tc>
          <w:tcPr>
            <w:tcW w:w="993" w:type="dxa"/>
            <w:tcBorders>
              <w:top w:val="single" w:sz="4" w:space="0" w:color="auto"/>
              <w:left w:val="nil"/>
              <w:bottom w:val="single" w:sz="4" w:space="0" w:color="auto"/>
              <w:right w:val="single" w:sz="4" w:space="0" w:color="auto"/>
            </w:tcBorders>
            <w:noWrap/>
            <w:vAlign w:val="center"/>
          </w:tcPr>
          <w:p w14:paraId="2B583A17" w14:textId="31DB0B6C" w:rsidR="00494D4B" w:rsidRPr="003D21B5" w:rsidRDefault="12F4B78A" w:rsidP="12F4B78A">
            <w:pPr>
              <w:widowControl w:val="0"/>
              <w:spacing w:after="0"/>
              <w:jc w:val="right"/>
              <w:rPr>
                <w:rFonts w:ascii="Times New Roman" w:eastAsia="Times New Roman" w:hAnsi="Times New Roman" w:cs="Times New Roman"/>
                <w:lang w:eastAsia="hu-HU"/>
              </w:rPr>
            </w:pPr>
            <w:r w:rsidRPr="12F4B78A">
              <w:rPr>
                <w:rFonts w:ascii="Times New Roman" w:eastAsia="Times New Roman" w:hAnsi="Times New Roman" w:cs="Times New Roman"/>
                <w:lang w:eastAsia="hu-HU"/>
              </w:rPr>
              <w:t>105,0</w:t>
            </w:r>
          </w:p>
        </w:tc>
      </w:tr>
      <w:tr w:rsidR="00494D4B" w:rsidRPr="00377D59" w14:paraId="778FD915" w14:textId="77777777" w:rsidTr="12F4B78A">
        <w:trPr>
          <w:trHeight w:val="340"/>
        </w:trPr>
        <w:tc>
          <w:tcPr>
            <w:tcW w:w="4248" w:type="dxa"/>
            <w:tcBorders>
              <w:top w:val="nil"/>
              <w:left w:val="single" w:sz="4" w:space="0" w:color="auto"/>
              <w:bottom w:val="single" w:sz="4" w:space="0" w:color="auto"/>
              <w:right w:val="single" w:sz="4" w:space="0" w:color="auto"/>
            </w:tcBorders>
            <w:noWrap/>
            <w:vAlign w:val="center"/>
            <w:hideMark/>
          </w:tcPr>
          <w:p w14:paraId="4CDB1046" w14:textId="4891E4FD" w:rsidR="00494D4B" w:rsidRPr="003D21B5" w:rsidRDefault="7C285CBA" w:rsidP="7C285CBA">
            <w:pPr>
              <w:widowControl w:val="0"/>
              <w:spacing w:after="0" w:line="240" w:lineRule="auto"/>
              <w:ind w:firstLine="67"/>
              <w:rPr>
                <w:rFonts w:ascii="Times New Roman" w:eastAsia="Times New Roman" w:hAnsi="Times New Roman" w:cs="Times New Roman"/>
                <w:lang w:eastAsia="hu-HU"/>
              </w:rPr>
            </w:pPr>
            <w:r w:rsidRPr="7C285CBA">
              <w:rPr>
                <w:rFonts w:ascii="Times New Roman" w:eastAsia="Times New Roman" w:hAnsi="Times New Roman" w:cs="Times New Roman"/>
                <w:lang w:eastAsia="hu-HU"/>
              </w:rPr>
              <w:t>Gyermekgondozási díj és örökbefogadói díj</w:t>
            </w:r>
          </w:p>
        </w:tc>
        <w:tc>
          <w:tcPr>
            <w:tcW w:w="1276" w:type="dxa"/>
            <w:tcBorders>
              <w:top w:val="single" w:sz="4" w:space="0" w:color="auto"/>
              <w:left w:val="nil"/>
              <w:bottom w:val="single" w:sz="4" w:space="0" w:color="auto"/>
              <w:right w:val="single" w:sz="4" w:space="0" w:color="auto"/>
            </w:tcBorders>
            <w:noWrap/>
            <w:vAlign w:val="center"/>
          </w:tcPr>
          <w:p w14:paraId="0B0C3582" w14:textId="341249D5" w:rsidR="00494D4B" w:rsidRPr="003D21B5" w:rsidRDefault="12F4B78A" w:rsidP="12F4B78A">
            <w:pPr>
              <w:widowControl w:val="0"/>
              <w:spacing w:after="0"/>
              <w:jc w:val="right"/>
              <w:rPr>
                <w:rFonts w:ascii="Times New Roman" w:eastAsia="Times New Roman" w:hAnsi="Times New Roman" w:cs="Times New Roman"/>
                <w:lang w:eastAsia="hu-HU"/>
              </w:rPr>
            </w:pPr>
            <w:r w:rsidRPr="12F4B78A">
              <w:rPr>
                <w:rFonts w:ascii="Times New Roman" w:eastAsia="Times New Roman" w:hAnsi="Times New Roman" w:cs="Times New Roman"/>
                <w:lang w:eastAsia="hu-HU"/>
              </w:rPr>
              <w:t>250,7</w:t>
            </w:r>
          </w:p>
        </w:tc>
        <w:tc>
          <w:tcPr>
            <w:tcW w:w="1209" w:type="dxa"/>
            <w:tcBorders>
              <w:top w:val="single" w:sz="4" w:space="0" w:color="auto"/>
              <w:left w:val="nil"/>
              <w:bottom w:val="single" w:sz="4" w:space="0" w:color="auto"/>
              <w:right w:val="single" w:sz="4" w:space="0" w:color="auto"/>
            </w:tcBorders>
            <w:noWrap/>
            <w:vAlign w:val="center"/>
          </w:tcPr>
          <w:p w14:paraId="6E6D7B2A" w14:textId="1BB77F8B" w:rsidR="00494D4B" w:rsidRPr="003D21B5" w:rsidRDefault="12F4B78A" w:rsidP="12F4B78A">
            <w:pPr>
              <w:widowControl w:val="0"/>
              <w:spacing w:after="0"/>
              <w:jc w:val="right"/>
              <w:rPr>
                <w:rFonts w:ascii="Times New Roman" w:eastAsia="Times New Roman" w:hAnsi="Times New Roman" w:cs="Times New Roman"/>
                <w:lang w:eastAsia="hu-HU"/>
              </w:rPr>
            </w:pPr>
            <w:r w:rsidRPr="12F4B78A">
              <w:rPr>
                <w:rFonts w:ascii="Times New Roman" w:eastAsia="Times New Roman" w:hAnsi="Times New Roman" w:cs="Times New Roman"/>
                <w:lang w:eastAsia="hu-HU"/>
              </w:rPr>
              <w:t>265,2</w:t>
            </w:r>
          </w:p>
        </w:tc>
        <w:tc>
          <w:tcPr>
            <w:tcW w:w="992" w:type="dxa"/>
            <w:tcBorders>
              <w:top w:val="single" w:sz="4" w:space="0" w:color="auto"/>
              <w:left w:val="nil"/>
              <w:bottom w:val="single" w:sz="4" w:space="0" w:color="auto"/>
              <w:right w:val="single" w:sz="4" w:space="0" w:color="auto"/>
            </w:tcBorders>
            <w:noWrap/>
            <w:vAlign w:val="center"/>
          </w:tcPr>
          <w:p w14:paraId="791AEA46" w14:textId="29145239" w:rsidR="00494D4B" w:rsidRPr="003D21B5" w:rsidRDefault="12F4B78A" w:rsidP="12F4B78A">
            <w:pPr>
              <w:widowControl w:val="0"/>
              <w:spacing w:after="0"/>
              <w:jc w:val="right"/>
              <w:rPr>
                <w:rFonts w:ascii="Times New Roman" w:eastAsia="Times New Roman" w:hAnsi="Times New Roman" w:cs="Times New Roman"/>
                <w:lang w:eastAsia="hu-HU"/>
              </w:rPr>
            </w:pPr>
            <w:r w:rsidRPr="12F4B78A">
              <w:rPr>
                <w:rFonts w:ascii="Times New Roman" w:eastAsia="Times New Roman" w:hAnsi="Times New Roman" w:cs="Times New Roman"/>
                <w:lang w:eastAsia="hu-HU"/>
              </w:rPr>
              <w:t>14,5</w:t>
            </w:r>
          </w:p>
        </w:tc>
        <w:tc>
          <w:tcPr>
            <w:tcW w:w="993" w:type="dxa"/>
            <w:tcBorders>
              <w:top w:val="single" w:sz="4" w:space="0" w:color="auto"/>
              <w:left w:val="nil"/>
              <w:bottom w:val="single" w:sz="4" w:space="0" w:color="auto"/>
              <w:right w:val="single" w:sz="4" w:space="0" w:color="auto"/>
            </w:tcBorders>
            <w:noWrap/>
            <w:vAlign w:val="center"/>
          </w:tcPr>
          <w:p w14:paraId="189A6E8D" w14:textId="3B520C1F" w:rsidR="00494D4B" w:rsidRPr="003D21B5" w:rsidRDefault="12F4B78A" w:rsidP="12F4B78A">
            <w:pPr>
              <w:widowControl w:val="0"/>
              <w:spacing w:after="0"/>
              <w:jc w:val="right"/>
              <w:rPr>
                <w:rFonts w:ascii="Times New Roman" w:eastAsia="Times New Roman" w:hAnsi="Times New Roman" w:cs="Times New Roman"/>
                <w:lang w:eastAsia="hu-HU"/>
              </w:rPr>
            </w:pPr>
            <w:r w:rsidRPr="12F4B78A">
              <w:rPr>
                <w:rFonts w:ascii="Times New Roman" w:eastAsia="Times New Roman" w:hAnsi="Times New Roman" w:cs="Times New Roman"/>
                <w:lang w:eastAsia="hu-HU"/>
              </w:rPr>
              <w:t>105,8</w:t>
            </w:r>
          </w:p>
        </w:tc>
      </w:tr>
      <w:tr w:rsidR="00494D4B" w:rsidRPr="00377D59" w14:paraId="7D62EFFD" w14:textId="77777777" w:rsidTr="12F4B78A">
        <w:trPr>
          <w:trHeight w:val="34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6487EDDE" w14:textId="77777777" w:rsidR="00494D4B" w:rsidRPr="003D21B5" w:rsidRDefault="7C285CBA" w:rsidP="7C285CBA">
            <w:pPr>
              <w:widowControl w:val="0"/>
              <w:spacing w:after="0" w:line="240" w:lineRule="auto"/>
              <w:ind w:firstLine="67"/>
              <w:rPr>
                <w:rFonts w:ascii="Times New Roman" w:eastAsia="Times New Roman" w:hAnsi="Times New Roman" w:cs="Times New Roman"/>
                <w:lang w:eastAsia="hu-HU"/>
              </w:rPr>
            </w:pPr>
            <w:r w:rsidRPr="7C285CBA">
              <w:rPr>
                <w:rFonts w:ascii="Times New Roman" w:eastAsia="Times New Roman" w:hAnsi="Times New Roman" w:cs="Times New Roman"/>
                <w:lang w:eastAsia="hu-HU"/>
              </w:rPr>
              <w:t>Táppénz</w:t>
            </w:r>
          </w:p>
        </w:tc>
        <w:tc>
          <w:tcPr>
            <w:tcW w:w="1276" w:type="dxa"/>
            <w:tcBorders>
              <w:top w:val="single" w:sz="4" w:space="0" w:color="auto"/>
              <w:left w:val="nil"/>
              <w:bottom w:val="single" w:sz="4" w:space="0" w:color="auto"/>
              <w:right w:val="single" w:sz="4" w:space="0" w:color="auto"/>
            </w:tcBorders>
            <w:noWrap/>
            <w:vAlign w:val="center"/>
          </w:tcPr>
          <w:p w14:paraId="4DBD4593" w14:textId="3CA7481F" w:rsidR="00494D4B" w:rsidRPr="003D21B5" w:rsidRDefault="12F4B78A" w:rsidP="12F4B78A">
            <w:pPr>
              <w:widowControl w:val="0"/>
              <w:spacing w:after="0"/>
              <w:jc w:val="right"/>
              <w:rPr>
                <w:rFonts w:ascii="Times New Roman" w:eastAsia="Times New Roman" w:hAnsi="Times New Roman" w:cs="Times New Roman"/>
                <w:lang w:eastAsia="hu-HU"/>
              </w:rPr>
            </w:pPr>
            <w:r w:rsidRPr="12F4B78A">
              <w:rPr>
                <w:rFonts w:ascii="Times New Roman" w:eastAsia="Times New Roman" w:hAnsi="Times New Roman" w:cs="Times New Roman"/>
                <w:lang w:eastAsia="hu-HU"/>
              </w:rPr>
              <w:t>135,8</w:t>
            </w:r>
          </w:p>
        </w:tc>
        <w:tc>
          <w:tcPr>
            <w:tcW w:w="1209" w:type="dxa"/>
            <w:tcBorders>
              <w:top w:val="single" w:sz="4" w:space="0" w:color="auto"/>
              <w:left w:val="nil"/>
              <w:bottom w:val="single" w:sz="4" w:space="0" w:color="auto"/>
              <w:right w:val="single" w:sz="4" w:space="0" w:color="auto"/>
            </w:tcBorders>
            <w:noWrap/>
            <w:vAlign w:val="center"/>
          </w:tcPr>
          <w:p w14:paraId="7122EFC4" w14:textId="69A4CA71" w:rsidR="00494D4B" w:rsidRPr="003D21B5" w:rsidRDefault="12F4B78A" w:rsidP="12F4B78A">
            <w:pPr>
              <w:widowControl w:val="0"/>
              <w:spacing w:after="0"/>
              <w:jc w:val="right"/>
              <w:rPr>
                <w:rFonts w:ascii="Times New Roman" w:eastAsia="Times New Roman" w:hAnsi="Times New Roman" w:cs="Times New Roman"/>
                <w:lang w:eastAsia="hu-HU"/>
              </w:rPr>
            </w:pPr>
            <w:r w:rsidRPr="12F4B78A">
              <w:rPr>
                <w:rFonts w:ascii="Times New Roman" w:eastAsia="Times New Roman" w:hAnsi="Times New Roman" w:cs="Times New Roman"/>
                <w:lang w:eastAsia="hu-HU"/>
              </w:rPr>
              <w:t>157,6</w:t>
            </w:r>
          </w:p>
        </w:tc>
        <w:tc>
          <w:tcPr>
            <w:tcW w:w="992" w:type="dxa"/>
            <w:tcBorders>
              <w:top w:val="single" w:sz="4" w:space="0" w:color="auto"/>
              <w:left w:val="nil"/>
              <w:bottom w:val="single" w:sz="4" w:space="0" w:color="auto"/>
              <w:right w:val="single" w:sz="4" w:space="0" w:color="auto"/>
            </w:tcBorders>
            <w:noWrap/>
            <w:vAlign w:val="center"/>
          </w:tcPr>
          <w:p w14:paraId="64552A76" w14:textId="0BA32A6E" w:rsidR="00494D4B" w:rsidRPr="003D21B5" w:rsidRDefault="12F4B78A" w:rsidP="12F4B78A">
            <w:pPr>
              <w:widowControl w:val="0"/>
              <w:spacing w:after="0"/>
              <w:jc w:val="right"/>
              <w:rPr>
                <w:rFonts w:ascii="Times New Roman" w:eastAsia="Times New Roman" w:hAnsi="Times New Roman" w:cs="Times New Roman"/>
                <w:lang w:eastAsia="hu-HU"/>
              </w:rPr>
            </w:pPr>
            <w:r w:rsidRPr="12F4B78A">
              <w:rPr>
                <w:rFonts w:ascii="Times New Roman" w:eastAsia="Times New Roman" w:hAnsi="Times New Roman" w:cs="Times New Roman"/>
                <w:lang w:eastAsia="hu-HU"/>
              </w:rPr>
              <w:t>21,8</w:t>
            </w:r>
          </w:p>
        </w:tc>
        <w:tc>
          <w:tcPr>
            <w:tcW w:w="993" w:type="dxa"/>
            <w:tcBorders>
              <w:top w:val="single" w:sz="4" w:space="0" w:color="auto"/>
              <w:left w:val="nil"/>
              <w:bottom w:val="single" w:sz="4" w:space="0" w:color="auto"/>
              <w:right w:val="single" w:sz="4" w:space="0" w:color="auto"/>
            </w:tcBorders>
            <w:noWrap/>
            <w:vAlign w:val="center"/>
          </w:tcPr>
          <w:p w14:paraId="324ADF3D" w14:textId="55A7CB97" w:rsidR="00494D4B" w:rsidRPr="003D21B5" w:rsidRDefault="12F4B78A" w:rsidP="12F4B78A">
            <w:pPr>
              <w:widowControl w:val="0"/>
              <w:spacing w:after="0"/>
              <w:jc w:val="right"/>
              <w:rPr>
                <w:rFonts w:ascii="Times New Roman" w:eastAsia="Times New Roman" w:hAnsi="Times New Roman" w:cs="Times New Roman"/>
                <w:lang w:eastAsia="hu-HU"/>
              </w:rPr>
            </w:pPr>
            <w:r w:rsidRPr="12F4B78A">
              <w:rPr>
                <w:rFonts w:ascii="Times New Roman" w:eastAsia="Times New Roman" w:hAnsi="Times New Roman" w:cs="Times New Roman"/>
                <w:lang w:eastAsia="hu-HU"/>
              </w:rPr>
              <w:t>116,1</w:t>
            </w:r>
          </w:p>
        </w:tc>
      </w:tr>
    </w:tbl>
    <w:p w14:paraId="7F2895FE" w14:textId="13C30009" w:rsidR="001074A1" w:rsidRDefault="12F4B78A" w:rsidP="12F4B78A">
      <w:pPr>
        <w:widowControl w:val="0"/>
        <w:spacing w:before="240"/>
        <w:jc w:val="both"/>
        <w:rPr>
          <w:rFonts w:ascii="Times New Roman" w:eastAsia="Times New Roman" w:hAnsi="Times New Roman" w:cs="Times New Roman"/>
          <w:sz w:val="26"/>
          <w:szCs w:val="26"/>
        </w:rPr>
      </w:pPr>
      <w:r w:rsidRPr="12F4B78A">
        <w:rPr>
          <w:rFonts w:ascii="Times New Roman" w:eastAsia="Times New Roman" w:hAnsi="Times New Roman" w:cs="Times New Roman"/>
          <w:sz w:val="26"/>
          <w:szCs w:val="26"/>
        </w:rPr>
        <w:t xml:space="preserve">A </w:t>
      </w:r>
      <w:r w:rsidRPr="12F4B78A">
        <w:rPr>
          <w:rFonts w:ascii="Times New Roman" w:eastAsia="Times New Roman" w:hAnsi="Times New Roman" w:cs="Times New Roman"/>
          <w:b/>
          <w:bCs/>
          <w:sz w:val="26"/>
          <w:szCs w:val="26"/>
        </w:rPr>
        <w:t>gyógyító-megelőző ellátásokra</w:t>
      </w:r>
      <w:r w:rsidRPr="12F4B78A">
        <w:rPr>
          <w:rFonts w:ascii="Times New Roman" w:eastAsia="Times New Roman" w:hAnsi="Times New Roman" w:cs="Times New Roman"/>
          <w:sz w:val="26"/>
          <w:szCs w:val="26"/>
        </w:rPr>
        <w:t xml:space="preserve"> fordított kiadás 2025 első nyolc hónapjában 1969,5 milliárd forintot tett ki a 2024 azonos időszakában felmerülő 1781,6 milliárd forint összegű kiadással szemben.</w:t>
      </w:r>
    </w:p>
    <w:p w14:paraId="63C09739" w14:textId="78869BA2" w:rsidR="13E847AC" w:rsidRDefault="7C285CBA" w:rsidP="13E847AC">
      <w:pPr>
        <w:jc w:val="both"/>
      </w:pPr>
      <w:r w:rsidRPr="7C285CBA">
        <w:rPr>
          <w:rFonts w:ascii="Times New Roman" w:eastAsia="Times New Roman" w:hAnsi="Times New Roman" w:cs="Times New Roman"/>
          <w:sz w:val="26"/>
          <w:szCs w:val="26"/>
        </w:rPr>
        <w:lastRenderedPageBreak/>
        <w:t>Az előző évhez viszonyított magasabb összegű kiadás – többek között – az egészségügyi ágazati előmeneteli szabályok hatálya alá tartozó egészségügyi szakdolgozókat és egészségügyben dolgozókat 2024. március 1-jétől megillető, átlagosan 20%-os, valamint az alapellátásban dolgozó egészségügyi dolgozók azonos mértékű béremelésével kapcsolatosan jelentkező, 2025. évre áthúzódó hatás</w:t>
      </w:r>
      <w:r w:rsidR="00391ACC">
        <w:rPr>
          <w:rFonts w:ascii="Times New Roman" w:eastAsia="Times New Roman" w:hAnsi="Times New Roman" w:cs="Times New Roman"/>
          <w:sz w:val="26"/>
          <w:szCs w:val="26"/>
        </w:rPr>
        <w:t>á</w:t>
      </w:r>
      <w:r w:rsidRPr="7C285CBA">
        <w:rPr>
          <w:rFonts w:ascii="Times New Roman" w:eastAsia="Times New Roman" w:hAnsi="Times New Roman" w:cs="Times New Roman"/>
          <w:sz w:val="26"/>
          <w:szCs w:val="26"/>
        </w:rPr>
        <w:t>ból ered.</w:t>
      </w:r>
    </w:p>
    <w:p w14:paraId="32E93D9D" w14:textId="3481962E" w:rsidR="13E847AC" w:rsidRDefault="7BF38582" w:rsidP="13E847AC">
      <w:pPr>
        <w:jc w:val="both"/>
      </w:pPr>
      <w:r w:rsidRPr="7BF38582">
        <w:rPr>
          <w:rFonts w:ascii="Times New Roman" w:eastAsia="Times New Roman" w:hAnsi="Times New Roman" w:cs="Times New Roman"/>
          <w:sz w:val="26"/>
          <w:szCs w:val="26"/>
        </w:rPr>
        <w:t>Az előző évhez viszonyított növekedést az is magyarázza, hogy a fekvő- és járóbeteg-szakellátás és laboratóriumi ellátás teljesítményegységeinek forintértékéről szóló új BM</w:t>
      </w:r>
      <w:r w:rsidR="00A23458">
        <w:rPr>
          <w:rFonts w:ascii="Times New Roman" w:eastAsia="Times New Roman" w:hAnsi="Times New Roman" w:cs="Times New Roman"/>
          <w:sz w:val="26"/>
          <w:szCs w:val="26"/>
        </w:rPr>
        <w:noBreakHyphen/>
      </w:r>
      <w:r w:rsidRPr="7BF38582">
        <w:rPr>
          <w:rFonts w:ascii="Times New Roman" w:eastAsia="Times New Roman" w:hAnsi="Times New Roman" w:cs="Times New Roman"/>
          <w:sz w:val="26"/>
          <w:szCs w:val="26"/>
        </w:rPr>
        <w:t>NGM együttes közlemény, illetve a Nemzeti Dialízis Központ létrehozásával kapcsolatos feladatokról és egyéb, az egészségügyi szolgáltatókat segítő finanszírozási intézkedésekről szóló 66/2025. (IV. 4.) Korm. rendelet, valamint az egészségügyi ágazati szakmai képzésekkel és az egészségügyi szolgáltatók finanszírozásával összefüggő miniszteri rendeletek módosításáról szóló 10/2025. (IV. 4.) BM rendelet alapján az Egészségbiztosítási Alap Gyógyító-megelőző ellátás alcímének 150,0</w:t>
      </w:r>
      <w:r w:rsidR="006F326F">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w:t>
      </w:r>
      <w:r w:rsidR="006F326F">
        <w:rPr>
          <w:rFonts w:ascii="Times New Roman" w:eastAsia="Times New Roman" w:hAnsi="Times New Roman" w:cs="Times New Roman"/>
          <w:sz w:val="26"/>
          <w:szCs w:val="26"/>
        </w:rPr>
        <w:t> forin</w:t>
      </w:r>
      <w:r w:rsidRPr="7BF38582">
        <w:rPr>
          <w:rFonts w:ascii="Times New Roman" w:eastAsia="Times New Roman" w:hAnsi="Times New Roman" w:cs="Times New Roman"/>
          <w:sz w:val="26"/>
          <w:szCs w:val="26"/>
        </w:rPr>
        <w:t>t összegű, az Egészségügyi szolgáltatók kiegészítő finanszírozása megnevezésű jogcímcsoport felhasználásával 2025. januártól megtörténik a közfinanszírozásban részesülő egészségügyi szolgáltatók kifizetése.</w:t>
      </w:r>
    </w:p>
    <w:p w14:paraId="69E4940B" w14:textId="1215373A" w:rsidR="001074A1" w:rsidRDefault="12F4B78A" w:rsidP="12F4B78A">
      <w:pPr>
        <w:jc w:val="both"/>
        <w:rPr>
          <w:rFonts w:ascii="Times New Roman" w:eastAsia="Times New Roman" w:hAnsi="Times New Roman" w:cs="Times New Roman"/>
          <w:sz w:val="26"/>
          <w:szCs w:val="26"/>
        </w:rPr>
      </w:pPr>
      <w:r w:rsidRPr="12F4B78A">
        <w:rPr>
          <w:rFonts w:ascii="Times New Roman" w:eastAsia="Times New Roman" w:hAnsi="Times New Roman" w:cs="Times New Roman"/>
          <w:b/>
          <w:bCs/>
          <w:sz w:val="26"/>
          <w:szCs w:val="26"/>
        </w:rPr>
        <w:t>Gyógyszertámogatásra</w:t>
      </w:r>
      <w:r w:rsidRPr="12F4B78A">
        <w:rPr>
          <w:rFonts w:ascii="Times New Roman" w:eastAsia="Times New Roman" w:hAnsi="Times New Roman" w:cs="Times New Roman"/>
          <w:sz w:val="26"/>
          <w:szCs w:val="26"/>
        </w:rPr>
        <w:t xml:space="preserve"> 2025 augusztus végéig 388,1 milliárd forint került kifizetésre, amely 27,6 milliárd forinttal magasabb az előző év azonos időszakában kifizetett összegnél.</w:t>
      </w:r>
    </w:p>
    <w:p w14:paraId="7B768C24" w14:textId="4F783F64" w:rsidR="00B155FE" w:rsidRPr="004966FE" w:rsidRDefault="7C285CBA" w:rsidP="7C285CBA">
      <w:pPr>
        <w:keepNext/>
        <w:pageBreakBefore/>
        <w:numPr>
          <w:ilvl w:val="0"/>
          <w:numId w:val="3"/>
        </w:numPr>
        <w:spacing w:after="120" w:line="240" w:lineRule="auto"/>
        <w:ind w:left="714" w:hanging="357"/>
        <w:jc w:val="both"/>
        <w:outlineLvl w:val="2"/>
        <w:rPr>
          <w:rFonts w:ascii="Times New Roman" w:eastAsia="Times New Roman" w:hAnsi="Times New Roman" w:cs="Times New Roman"/>
          <w:b/>
          <w:bCs/>
          <w:smallCaps/>
          <w:sz w:val="28"/>
          <w:szCs w:val="28"/>
          <w:lang w:eastAsia="hu-HU"/>
        </w:rPr>
      </w:pPr>
      <w:r w:rsidRPr="7C285CBA">
        <w:rPr>
          <w:rFonts w:ascii="Times New Roman" w:eastAsia="Times New Roman" w:hAnsi="Times New Roman" w:cs="Times New Roman"/>
          <w:b/>
          <w:bCs/>
          <w:smallCaps/>
          <w:sz w:val="28"/>
          <w:szCs w:val="28"/>
          <w:lang w:eastAsia="hu-HU"/>
        </w:rPr>
        <w:lastRenderedPageBreak/>
        <w:t>A költségvetési szervek és fejezeti kezelésű előirányzatok alakulása</w:t>
      </w:r>
    </w:p>
    <w:p w14:paraId="0CFDE309" w14:textId="1E921929" w:rsidR="00266768" w:rsidRPr="00920B37" w:rsidRDefault="7C285CBA" w:rsidP="7C285CBA">
      <w:pPr>
        <w:spacing w:before="240"/>
        <w:jc w:val="both"/>
        <w:rPr>
          <w:rFonts w:ascii="Times New Roman" w:eastAsia="Times New Roman" w:hAnsi="Times New Roman" w:cs="Times New Roman"/>
          <w:sz w:val="26"/>
          <w:szCs w:val="26"/>
          <w:lang w:eastAsia="hu-HU"/>
        </w:rPr>
      </w:pPr>
      <w:r w:rsidRPr="7C285CBA">
        <w:rPr>
          <w:rFonts w:ascii="Times New Roman" w:eastAsia="Times New Roman" w:hAnsi="Times New Roman" w:cs="Times New Roman"/>
          <w:sz w:val="26"/>
          <w:szCs w:val="26"/>
          <w:lang w:eastAsia="hu-HU"/>
        </w:rPr>
        <w:t xml:space="preserve">A </w:t>
      </w:r>
      <w:r w:rsidRPr="7C285CBA">
        <w:rPr>
          <w:rFonts w:ascii="Times New Roman" w:eastAsia="Times New Roman" w:hAnsi="Times New Roman" w:cs="Times New Roman"/>
          <w:b/>
          <w:bCs/>
          <w:sz w:val="26"/>
          <w:szCs w:val="26"/>
          <w:lang w:eastAsia="hu-HU"/>
        </w:rPr>
        <w:t>költségvetési szervek bevételei</w:t>
      </w:r>
      <w:r w:rsidRPr="7C285CBA">
        <w:rPr>
          <w:rFonts w:ascii="Times New Roman" w:eastAsia="Times New Roman" w:hAnsi="Times New Roman" w:cs="Times New Roman"/>
          <w:sz w:val="26"/>
          <w:szCs w:val="26"/>
          <w:lang w:eastAsia="hu-HU"/>
        </w:rPr>
        <w:t xml:space="preserve"> </w:t>
      </w:r>
      <w:r w:rsidR="00D33920" w:rsidRPr="00D33920">
        <w:rPr>
          <w:rFonts w:ascii="Times New Roman" w:eastAsia="Times New Roman" w:hAnsi="Times New Roman" w:cs="Times New Roman"/>
          <w:sz w:val="26"/>
          <w:szCs w:val="26"/>
          <w:lang w:eastAsia="hu-HU"/>
        </w:rPr>
        <w:t>2025 első nyolc hónapjában 2124,2 milliárd forintot tettek ki, amely 16,3%-kal magasabb az előző év azonos időszakának bevételeihez képest. Az intézmények bevételei közül 964,4 milliárd forintot tett ki a Nemzeti Egészségbiztosítási Alapkezelő által az egészségügyi intézményeknek utalt támogatás</w:t>
      </w:r>
      <w:r w:rsidRPr="7C285CBA">
        <w:rPr>
          <w:rFonts w:ascii="Times New Roman" w:eastAsia="Times New Roman" w:hAnsi="Times New Roman" w:cs="Times New Roman"/>
          <w:sz w:val="26"/>
          <w:szCs w:val="26"/>
          <w:lang w:eastAsia="hu-HU"/>
        </w:rPr>
        <w:t>.</w:t>
      </w:r>
    </w:p>
    <w:p w14:paraId="02FB9B34" w14:textId="5FB7C709" w:rsidR="00266768" w:rsidRPr="007B6DF2" w:rsidRDefault="7C285CBA" w:rsidP="7C285CBA">
      <w:pPr>
        <w:jc w:val="both"/>
        <w:rPr>
          <w:rFonts w:ascii="Times New Roman" w:eastAsia="Times New Roman" w:hAnsi="Times New Roman" w:cs="Times New Roman"/>
          <w:sz w:val="26"/>
          <w:szCs w:val="26"/>
          <w:lang w:eastAsia="hu-HU"/>
        </w:rPr>
      </w:pPr>
      <w:r w:rsidRPr="7C285CBA">
        <w:rPr>
          <w:rFonts w:ascii="Times New Roman" w:eastAsia="Times New Roman" w:hAnsi="Times New Roman" w:cs="Times New Roman"/>
          <w:sz w:val="26"/>
          <w:szCs w:val="26"/>
          <w:lang w:eastAsia="hu-HU"/>
        </w:rPr>
        <w:t xml:space="preserve">A </w:t>
      </w:r>
      <w:r w:rsidRPr="7C285CBA">
        <w:rPr>
          <w:rFonts w:ascii="Times New Roman" w:eastAsia="Times New Roman" w:hAnsi="Times New Roman" w:cs="Times New Roman"/>
          <w:b/>
          <w:bCs/>
          <w:sz w:val="26"/>
          <w:szCs w:val="26"/>
          <w:lang w:eastAsia="hu-HU"/>
        </w:rPr>
        <w:t>szakmai fejezeti kezelésű előirányzatok bevételei</w:t>
      </w:r>
      <w:r w:rsidRPr="7C285CBA">
        <w:rPr>
          <w:rFonts w:ascii="Times New Roman" w:eastAsia="Times New Roman" w:hAnsi="Times New Roman" w:cs="Times New Roman"/>
          <w:sz w:val="26"/>
          <w:szCs w:val="26"/>
          <w:lang w:eastAsia="hu-HU"/>
        </w:rPr>
        <w:t xml:space="preserve"> </w:t>
      </w:r>
      <w:r w:rsidR="00D33920" w:rsidRPr="00D33920">
        <w:rPr>
          <w:rFonts w:ascii="Times New Roman" w:eastAsia="Times New Roman" w:hAnsi="Times New Roman" w:cs="Times New Roman"/>
          <w:sz w:val="26"/>
          <w:szCs w:val="26"/>
          <w:lang w:eastAsia="hu-HU"/>
        </w:rPr>
        <w:t>2025 első nyolc hónapjában 327,9</w:t>
      </w:r>
      <w:r w:rsidR="00D33920">
        <w:rPr>
          <w:rFonts w:ascii="Times New Roman" w:eastAsia="Times New Roman" w:hAnsi="Times New Roman" w:cs="Times New Roman"/>
          <w:sz w:val="26"/>
          <w:szCs w:val="26"/>
          <w:lang w:eastAsia="hu-HU"/>
        </w:rPr>
        <w:t> </w:t>
      </w:r>
      <w:r w:rsidR="00D33920" w:rsidRPr="00D33920">
        <w:rPr>
          <w:rFonts w:ascii="Times New Roman" w:eastAsia="Times New Roman" w:hAnsi="Times New Roman" w:cs="Times New Roman"/>
          <w:sz w:val="26"/>
          <w:szCs w:val="26"/>
          <w:lang w:eastAsia="hu-HU"/>
        </w:rPr>
        <w:t>milliárd forintot tettek ki, mely 0,7%-kal alacsonyabb az előző év azonos időszakának bevételéhez képest. A bevételek jelentős részét az „Alapok alapja GINOP pénzügyi eszközök” törvényi sorra befolyt összegek teszik ki, melyek nem uniós bevételként jóváírt tételek</w:t>
      </w:r>
      <w:r w:rsidRPr="7C285CBA">
        <w:rPr>
          <w:rFonts w:ascii="Times New Roman" w:eastAsia="Times New Roman" w:hAnsi="Times New Roman" w:cs="Times New Roman"/>
          <w:sz w:val="26"/>
          <w:szCs w:val="26"/>
          <w:lang w:eastAsia="hu-HU"/>
        </w:rPr>
        <w:t>.</w:t>
      </w:r>
    </w:p>
    <w:p w14:paraId="56786471" w14:textId="7B01712C" w:rsidR="00B63DA3" w:rsidRPr="004966FE" w:rsidRDefault="7C285CBA" w:rsidP="7C285CBA">
      <w:pPr>
        <w:jc w:val="both"/>
        <w:rPr>
          <w:rFonts w:ascii="Times New Roman" w:eastAsia="Times New Roman" w:hAnsi="Times New Roman" w:cs="Times New Roman"/>
          <w:sz w:val="26"/>
          <w:szCs w:val="26"/>
          <w:lang w:eastAsia="hu-HU"/>
        </w:rPr>
      </w:pPr>
      <w:r w:rsidRPr="7C285CBA">
        <w:rPr>
          <w:rFonts w:ascii="Times New Roman" w:eastAsia="Times New Roman" w:hAnsi="Times New Roman" w:cs="Times New Roman"/>
          <w:sz w:val="26"/>
          <w:szCs w:val="26"/>
          <w:lang w:eastAsia="hu-HU"/>
        </w:rPr>
        <w:t xml:space="preserve">A </w:t>
      </w:r>
      <w:r w:rsidR="00D33920" w:rsidRPr="00D33920">
        <w:rPr>
          <w:rFonts w:ascii="Times New Roman" w:hAnsi="Times New Roman" w:cs="Times New Roman"/>
          <w:sz w:val="26"/>
          <w:szCs w:val="26"/>
          <w:lang w:eastAsia="hu-HU"/>
        </w:rPr>
        <w:t>2025. év első nyolchavi, 2452,1 milliárd forint összegű bevételek megoszlását a</w:t>
      </w:r>
      <w:r w:rsidR="00D33920">
        <w:rPr>
          <w:rFonts w:ascii="Times New Roman" w:hAnsi="Times New Roman" w:cs="Times New Roman"/>
          <w:sz w:val="26"/>
          <w:szCs w:val="26"/>
          <w:lang w:eastAsia="hu-HU"/>
        </w:rPr>
        <w:t> </w:t>
      </w:r>
      <w:r w:rsidR="00D33920" w:rsidRPr="00D33920">
        <w:rPr>
          <w:rFonts w:ascii="Times New Roman" w:hAnsi="Times New Roman" w:cs="Times New Roman"/>
          <w:sz w:val="26"/>
          <w:szCs w:val="26"/>
          <w:lang w:eastAsia="hu-HU"/>
        </w:rPr>
        <w:t>következő grafikon szemlélteti</w:t>
      </w:r>
      <w:r w:rsidRPr="7C285CBA">
        <w:rPr>
          <w:rFonts w:ascii="Times New Roman" w:eastAsia="Times New Roman" w:hAnsi="Times New Roman" w:cs="Times New Roman"/>
          <w:sz w:val="26"/>
          <w:szCs w:val="26"/>
          <w:lang w:eastAsia="hu-HU"/>
        </w:rPr>
        <w:t>:</w:t>
      </w:r>
    </w:p>
    <w:p w14:paraId="576D18BB" w14:textId="157161CD" w:rsidR="00B056CC" w:rsidRPr="00377D59" w:rsidRDefault="00CE0C34" w:rsidP="00C2238F">
      <w:pPr>
        <w:spacing w:before="240" w:after="120"/>
        <w:jc w:val="center"/>
        <w:rPr>
          <w:rFonts w:ascii="Times New Roman" w:eastAsia="Times New Roman" w:hAnsi="Times New Roman" w:cs="Times New Roman"/>
          <w:b/>
          <w:sz w:val="26"/>
          <w:szCs w:val="26"/>
        </w:rPr>
      </w:pPr>
      <w:r>
        <w:rPr>
          <w:noProof/>
        </w:rPr>
        <w:drawing>
          <wp:inline distT="0" distB="0" distL="0" distR="0" wp14:anchorId="39C1BBAE" wp14:editId="1FB6B401">
            <wp:extent cx="5940425" cy="3300730"/>
            <wp:effectExtent l="0" t="0" r="3175" b="0"/>
            <wp:docPr id="136924602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46022" name=""/>
                    <pic:cNvPicPr/>
                  </pic:nvPicPr>
                  <pic:blipFill>
                    <a:blip r:embed="rId24"/>
                    <a:stretch>
                      <a:fillRect/>
                    </a:stretch>
                  </pic:blipFill>
                  <pic:spPr>
                    <a:xfrm>
                      <a:off x="0" y="0"/>
                      <a:ext cx="5940425" cy="3300730"/>
                    </a:xfrm>
                    <a:prstGeom prst="rect">
                      <a:avLst/>
                    </a:prstGeom>
                  </pic:spPr>
                </pic:pic>
              </a:graphicData>
            </a:graphic>
          </wp:inline>
        </w:drawing>
      </w:r>
    </w:p>
    <w:p w14:paraId="47C331B2" w14:textId="2DAE945E" w:rsidR="00266768" w:rsidRPr="00E56F21" w:rsidRDefault="7C285CBA" w:rsidP="7C285CBA">
      <w:pPr>
        <w:spacing w:before="240"/>
        <w:jc w:val="both"/>
        <w:rPr>
          <w:rFonts w:ascii="Times New Roman" w:eastAsia="Times New Roman" w:hAnsi="Times New Roman" w:cs="Times New Roman"/>
          <w:sz w:val="26"/>
          <w:szCs w:val="26"/>
          <w:lang w:eastAsia="hu-HU"/>
        </w:rPr>
      </w:pPr>
      <w:r w:rsidRPr="7C285CBA">
        <w:rPr>
          <w:rFonts w:ascii="Times New Roman" w:eastAsia="Times New Roman" w:hAnsi="Times New Roman" w:cs="Times New Roman"/>
          <w:sz w:val="26"/>
          <w:szCs w:val="26"/>
          <w:lang w:eastAsia="hu-HU"/>
        </w:rPr>
        <w:t xml:space="preserve">A </w:t>
      </w:r>
      <w:r w:rsidRPr="7C285CBA">
        <w:rPr>
          <w:rFonts w:ascii="Times New Roman" w:eastAsia="Times New Roman" w:hAnsi="Times New Roman" w:cs="Times New Roman"/>
          <w:b/>
          <w:bCs/>
          <w:sz w:val="26"/>
          <w:szCs w:val="26"/>
          <w:lang w:eastAsia="hu-HU"/>
        </w:rPr>
        <w:t>költségvetési szervek kiadásai</w:t>
      </w:r>
      <w:r w:rsidRPr="7C285CBA">
        <w:rPr>
          <w:rFonts w:ascii="Times New Roman" w:eastAsia="Times New Roman" w:hAnsi="Times New Roman" w:cs="Times New Roman"/>
          <w:sz w:val="26"/>
          <w:szCs w:val="26"/>
          <w:lang w:eastAsia="hu-HU"/>
        </w:rPr>
        <w:t xml:space="preserve"> </w:t>
      </w:r>
      <w:r w:rsidR="00D33920" w:rsidRPr="00D33920">
        <w:rPr>
          <w:rFonts w:ascii="Times New Roman" w:eastAsia="Times New Roman" w:hAnsi="Times New Roman" w:cs="Times New Roman"/>
          <w:sz w:val="26"/>
          <w:szCs w:val="26"/>
          <w:lang w:eastAsia="hu-HU"/>
        </w:rPr>
        <w:t>mérlegsoron 2025 első nyolc hónapjában 6101,3</w:t>
      </w:r>
      <w:r w:rsidR="00D33920">
        <w:rPr>
          <w:rFonts w:ascii="Times New Roman" w:eastAsia="Times New Roman" w:hAnsi="Times New Roman" w:cs="Times New Roman"/>
          <w:sz w:val="26"/>
          <w:szCs w:val="26"/>
          <w:lang w:eastAsia="hu-HU"/>
        </w:rPr>
        <w:t> </w:t>
      </w:r>
      <w:r w:rsidR="00D33920" w:rsidRPr="00D33920">
        <w:rPr>
          <w:rFonts w:ascii="Times New Roman" w:eastAsia="Times New Roman" w:hAnsi="Times New Roman" w:cs="Times New Roman"/>
          <w:sz w:val="26"/>
          <w:szCs w:val="26"/>
          <w:lang w:eastAsia="hu-HU"/>
        </w:rPr>
        <w:t>milliárd forint kiadás teljesült, mely 9,9%-kal magasabb az előző év azonos időszakának kiadásaihoz képest. A kiadásból 3483,2 milliárd forint a személyi juttatásokra és munkaadókat terhelő járulékokra kifizetett összeg</w:t>
      </w:r>
      <w:r w:rsidRPr="7C285CBA">
        <w:rPr>
          <w:rFonts w:ascii="Times New Roman" w:eastAsia="Times New Roman" w:hAnsi="Times New Roman" w:cs="Times New Roman"/>
          <w:sz w:val="26"/>
          <w:szCs w:val="26"/>
          <w:lang w:eastAsia="hu-HU"/>
        </w:rPr>
        <w:t>.</w:t>
      </w:r>
    </w:p>
    <w:p w14:paraId="690E18FB" w14:textId="1CB0B070" w:rsidR="0074788C" w:rsidRPr="004966FE" w:rsidRDefault="7C285CBA" w:rsidP="7C285CBA">
      <w:pPr>
        <w:spacing w:before="240"/>
        <w:jc w:val="both"/>
        <w:rPr>
          <w:rFonts w:ascii="Times New Roman" w:eastAsia="Times New Roman" w:hAnsi="Times New Roman" w:cs="Times New Roman"/>
          <w:sz w:val="26"/>
          <w:szCs w:val="26"/>
          <w:lang w:eastAsia="hu-HU"/>
        </w:rPr>
      </w:pPr>
      <w:r w:rsidRPr="7C285CBA">
        <w:rPr>
          <w:rFonts w:ascii="Times New Roman" w:eastAsia="Times New Roman" w:hAnsi="Times New Roman" w:cs="Times New Roman"/>
          <w:sz w:val="26"/>
          <w:szCs w:val="26"/>
          <w:lang w:eastAsia="hu-HU"/>
        </w:rPr>
        <w:t xml:space="preserve">A </w:t>
      </w:r>
      <w:r w:rsidRPr="7C285CBA">
        <w:rPr>
          <w:rFonts w:ascii="Times New Roman" w:eastAsia="Times New Roman" w:hAnsi="Times New Roman" w:cs="Times New Roman"/>
          <w:b/>
          <w:bCs/>
          <w:sz w:val="26"/>
          <w:szCs w:val="26"/>
          <w:lang w:eastAsia="hu-HU"/>
        </w:rPr>
        <w:t>szakmai fejezeti kezelésű előirányzatok kiadásai</w:t>
      </w:r>
      <w:r w:rsidRPr="7C285CBA">
        <w:rPr>
          <w:rFonts w:ascii="Times New Roman" w:eastAsia="Times New Roman" w:hAnsi="Times New Roman" w:cs="Times New Roman"/>
          <w:sz w:val="26"/>
          <w:szCs w:val="26"/>
          <w:lang w:eastAsia="hu-HU"/>
        </w:rPr>
        <w:t xml:space="preserve"> </w:t>
      </w:r>
      <w:r w:rsidR="00D33920" w:rsidRPr="00D33920">
        <w:rPr>
          <w:rFonts w:ascii="Times New Roman" w:eastAsia="Times New Roman" w:hAnsi="Times New Roman" w:cs="Times New Roman"/>
          <w:sz w:val="26"/>
          <w:szCs w:val="26"/>
          <w:lang w:eastAsia="hu-HU"/>
        </w:rPr>
        <w:t>mérlegsoron 2025 első nyolc</w:t>
      </w:r>
      <w:r w:rsidR="00796D93">
        <w:rPr>
          <w:rFonts w:ascii="Times New Roman" w:eastAsia="Times New Roman" w:hAnsi="Times New Roman" w:cs="Times New Roman"/>
          <w:sz w:val="26"/>
          <w:szCs w:val="26"/>
          <w:lang w:eastAsia="hu-HU"/>
        </w:rPr>
        <w:t> </w:t>
      </w:r>
      <w:r w:rsidR="00D33920" w:rsidRPr="00D33920">
        <w:rPr>
          <w:rFonts w:ascii="Times New Roman" w:eastAsia="Times New Roman" w:hAnsi="Times New Roman" w:cs="Times New Roman"/>
          <w:sz w:val="26"/>
          <w:szCs w:val="26"/>
          <w:lang w:eastAsia="hu-HU"/>
        </w:rPr>
        <w:t>hónapjában 3534</w:t>
      </w:r>
      <w:r w:rsidR="00796D93">
        <w:rPr>
          <w:rFonts w:ascii="Times New Roman" w:eastAsia="Times New Roman" w:hAnsi="Times New Roman" w:cs="Times New Roman"/>
          <w:sz w:val="26"/>
          <w:szCs w:val="26"/>
          <w:lang w:eastAsia="hu-HU"/>
        </w:rPr>
        <w:t>,0</w:t>
      </w:r>
      <w:r w:rsidR="00D33920" w:rsidRPr="00D33920">
        <w:rPr>
          <w:rFonts w:ascii="Times New Roman" w:eastAsia="Times New Roman" w:hAnsi="Times New Roman" w:cs="Times New Roman"/>
          <w:sz w:val="26"/>
          <w:szCs w:val="26"/>
          <w:lang w:eastAsia="hu-HU"/>
        </w:rPr>
        <w:t xml:space="preserve"> milliárd forint kiadás teljesült, mely 15,2%-kal magasabb, mint az előző év azonos időszakának kiadása. Ezen időszak teljesítéséből az alábbi kiadások emelhetők ki</w:t>
      </w:r>
      <w:r w:rsidRPr="7C285CBA">
        <w:rPr>
          <w:rFonts w:ascii="Times New Roman" w:eastAsia="Times New Roman" w:hAnsi="Times New Roman" w:cs="Times New Roman"/>
          <w:sz w:val="26"/>
          <w:szCs w:val="26"/>
          <w:lang w:eastAsia="hu-HU"/>
        </w:rPr>
        <w:t>:</w:t>
      </w:r>
    </w:p>
    <w:p w14:paraId="1F07A5C3" w14:textId="5CE13A09" w:rsidR="000E4F73" w:rsidRPr="00BE4BAC" w:rsidRDefault="5DC4A04A" w:rsidP="0E6BB81D">
      <w:pPr>
        <w:jc w:val="both"/>
        <w:rPr>
          <w:rFonts w:ascii="Times New Roman" w:eastAsia="Times New Roman" w:hAnsi="Times New Roman" w:cs="Times New Roman"/>
          <w:sz w:val="26"/>
          <w:szCs w:val="26"/>
          <w:lang w:eastAsia="hu-HU"/>
        </w:rPr>
      </w:pPr>
      <w:r w:rsidRPr="004966FE">
        <w:rPr>
          <w:rFonts w:ascii="Times New Roman" w:eastAsia="Times New Roman" w:hAnsi="Times New Roman" w:cs="Times New Roman"/>
          <w:color w:val="FF0000"/>
          <w:sz w:val="26"/>
          <w:szCs w:val="26"/>
          <w:lang w:eastAsia="hu-HU"/>
        </w:rPr>
        <w:br w:type="page"/>
      </w:r>
    </w:p>
    <w:p w14:paraId="036EE87C" w14:textId="77777777" w:rsidR="000E4F73" w:rsidRPr="00A61DE1" w:rsidRDefault="7C285CBA" w:rsidP="7C285CBA">
      <w:pPr>
        <w:spacing w:after="120" w:line="240" w:lineRule="auto"/>
        <w:jc w:val="right"/>
        <w:rPr>
          <w:rFonts w:ascii="Times New Roman" w:eastAsia="Times New Roman" w:hAnsi="Times New Roman" w:cs="Times New Roman"/>
          <w:i/>
          <w:iCs/>
          <w:sz w:val="20"/>
          <w:szCs w:val="20"/>
          <w:lang w:eastAsia="hu-HU"/>
        </w:rPr>
      </w:pPr>
      <w:r w:rsidRPr="7C285CBA">
        <w:rPr>
          <w:rFonts w:ascii="Times New Roman" w:eastAsia="Times New Roman" w:hAnsi="Times New Roman" w:cs="Times New Roman"/>
          <w:i/>
          <w:iCs/>
          <w:sz w:val="20"/>
          <w:szCs w:val="20"/>
          <w:lang w:eastAsia="hu-HU"/>
        </w:rPr>
        <w:lastRenderedPageBreak/>
        <w:t>milliárd forint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92"/>
        <w:gridCol w:w="851"/>
      </w:tblGrid>
      <w:tr w:rsidR="00D33920" w:rsidRPr="00D33705" w14:paraId="26A524AC" w14:textId="77777777" w:rsidTr="7C285CBA">
        <w:trPr>
          <w:trHeight w:val="340"/>
        </w:trPr>
        <w:tc>
          <w:tcPr>
            <w:tcW w:w="8392" w:type="dxa"/>
            <w:tcMar>
              <w:top w:w="0" w:type="dxa"/>
              <w:left w:w="108" w:type="dxa"/>
              <w:bottom w:w="0" w:type="dxa"/>
              <w:right w:w="108" w:type="dxa"/>
            </w:tcMar>
            <w:vAlign w:val="center"/>
            <w:hideMark/>
          </w:tcPr>
          <w:p w14:paraId="6ABFE3F3" w14:textId="77777777" w:rsidR="00D33920" w:rsidRPr="00D33705" w:rsidRDefault="00D33920" w:rsidP="00D33920">
            <w:pPr>
              <w:spacing w:after="0" w:line="240" w:lineRule="auto"/>
              <w:jc w:val="both"/>
              <w:rPr>
                <w:rFonts w:ascii="Times New Roman" w:hAnsi="Times New Roman" w:cs="Times New Roman"/>
                <w:sz w:val="24"/>
                <w:szCs w:val="24"/>
                <w:lang w:eastAsia="hu-HU"/>
              </w:rPr>
            </w:pPr>
            <w:r w:rsidRPr="7C285CBA">
              <w:rPr>
                <w:rFonts w:ascii="Times New Roman" w:hAnsi="Times New Roman" w:cs="Times New Roman"/>
                <w:sz w:val="24"/>
                <w:szCs w:val="24"/>
                <w:lang w:eastAsia="hu-HU"/>
              </w:rPr>
              <w:t>Normatív finanszírozás (köznevelési célú humánszolgáltatás és működési támogatás, hit- és erkölcstanoktatás és tankönyvtámogatás, illetve szociális, gyermekvédelmi, gyermekjóléti és fogyatékos személyek esélyegyenlőségét elősegítő célelőirányzatok)</w:t>
            </w:r>
          </w:p>
        </w:tc>
        <w:tc>
          <w:tcPr>
            <w:tcW w:w="851" w:type="dxa"/>
            <w:noWrap/>
            <w:tcMar>
              <w:top w:w="0" w:type="dxa"/>
              <w:left w:w="108" w:type="dxa"/>
              <w:bottom w:w="0" w:type="dxa"/>
              <w:right w:w="108" w:type="dxa"/>
            </w:tcMar>
            <w:vAlign w:val="center"/>
          </w:tcPr>
          <w:p w14:paraId="5E98CAB3" w14:textId="6643AD8A" w:rsidR="00D33920" w:rsidRPr="00D33705" w:rsidRDefault="00D33920" w:rsidP="00D33920">
            <w:pPr>
              <w:spacing w:after="0" w:line="240" w:lineRule="auto"/>
              <w:jc w:val="right"/>
              <w:rPr>
                <w:rFonts w:ascii="Times New Roman" w:hAnsi="Times New Roman" w:cs="Times New Roman"/>
                <w:sz w:val="24"/>
                <w:szCs w:val="24"/>
                <w:lang w:eastAsia="hu-HU"/>
              </w:rPr>
            </w:pPr>
            <w:r>
              <w:rPr>
                <w:rFonts w:ascii="Times New Roman" w:hAnsi="Times New Roman" w:cs="Times New Roman"/>
                <w:sz w:val="24"/>
                <w:szCs w:val="24"/>
                <w:lang w:eastAsia="hu-HU"/>
              </w:rPr>
              <w:t>690,9</w:t>
            </w:r>
          </w:p>
        </w:tc>
      </w:tr>
      <w:tr w:rsidR="00D33920" w:rsidRPr="00D33705" w14:paraId="0AE5AE84" w14:textId="77777777" w:rsidTr="7C285CBA">
        <w:trPr>
          <w:trHeight w:val="283"/>
        </w:trPr>
        <w:tc>
          <w:tcPr>
            <w:tcW w:w="8392" w:type="dxa"/>
            <w:tcMar>
              <w:top w:w="0" w:type="dxa"/>
              <w:left w:w="108" w:type="dxa"/>
              <w:bottom w:w="0" w:type="dxa"/>
              <w:right w:w="108" w:type="dxa"/>
            </w:tcMar>
            <w:vAlign w:val="center"/>
            <w:hideMark/>
          </w:tcPr>
          <w:p w14:paraId="788D5244" w14:textId="77777777" w:rsidR="00D33920" w:rsidRPr="002763AE" w:rsidRDefault="00D33920" w:rsidP="00D33920">
            <w:pPr>
              <w:spacing w:after="0" w:line="240" w:lineRule="auto"/>
              <w:jc w:val="both"/>
              <w:rPr>
                <w:rFonts w:ascii="Times New Roman" w:hAnsi="Times New Roman" w:cs="Times New Roman"/>
                <w:sz w:val="24"/>
                <w:szCs w:val="24"/>
                <w:lang w:eastAsia="hu-HU"/>
              </w:rPr>
            </w:pPr>
            <w:r w:rsidRPr="002763AE">
              <w:rPr>
                <w:rFonts w:ascii="Times New Roman" w:hAnsi="Times New Roman" w:cs="Times New Roman"/>
                <w:sz w:val="24"/>
                <w:szCs w:val="24"/>
                <w:lang w:eastAsia="hu-HU"/>
              </w:rPr>
              <w:t>Nem állami felsőoktatási intézmények támogatása</w:t>
            </w:r>
          </w:p>
        </w:tc>
        <w:tc>
          <w:tcPr>
            <w:tcW w:w="851" w:type="dxa"/>
            <w:noWrap/>
            <w:tcMar>
              <w:top w:w="0" w:type="dxa"/>
              <w:left w:w="108" w:type="dxa"/>
              <w:bottom w:w="0" w:type="dxa"/>
              <w:right w:w="108" w:type="dxa"/>
            </w:tcMar>
            <w:vAlign w:val="center"/>
          </w:tcPr>
          <w:p w14:paraId="6099E4A6" w14:textId="4AB54389" w:rsidR="00D33920" w:rsidRPr="002763AE" w:rsidRDefault="00D33920" w:rsidP="00D33920">
            <w:pPr>
              <w:spacing w:after="0" w:line="240" w:lineRule="auto"/>
              <w:jc w:val="right"/>
              <w:rPr>
                <w:rFonts w:ascii="Times New Roman" w:hAnsi="Times New Roman" w:cs="Times New Roman"/>
                <w:sz w:val="24"/>
                <w:szCs w:val="24"/>
                <w:lang w:eastAsia="hu-HU"/>
              </w:rPr>
            </w:pPr>
            <w:r w:rsidRPr="002763AE">
              <w:rPr>
                <w:rFonts w:ascii="Times New Roman" w:hAnsi="Times New Roman" w:cs="Times New Roman"/>
                <w:sz w:val="24"/>
                <w:szCs w:val="24"/>
                <w:lang w:eastAsia="hu-HU"/>
              </w:rPr>
              <w:t>412,7</w:t>
            </w:r>
          </w:p>
        </w:tc>
      </w:tr>
      <w:tr w:rsidR="00D33920" w:rsidRPr="00D33705" w14:paraId="42DCA3C3" w14:textId="77777777" w:rsidTr="7C285CBA">
        <w:trPr>
          <w:trHeight w:val="283"/>
        </w:trPr>
        <w:tc>
          <w:tcPr>
            <w:tcW w:w="8392" w:type="dxa"/>
            <w:tcMar>
              <w:top w:w="0" w:type="dxa"/>
              <w:left w:w="108" w:type="dxa"/>
              <w:bottom w:w="0" w:type="dxa"/>
              <w:right w:w="108" w:type="dxa"/>
            </w:tcMar>
            <w:vAlign w:val="center"/>
          </w:tcPr>
          <w:p w14:paraId="7FA3B2CA" w14:textId="7C75A97E" w:rsidR="00D33920" w:rsidRPr="002763AE" w:rsidRDefault="00D33920" w:rsidP="00D33920">
            <w:pPr>
              <w:spacing w:after="0" w:line="240" w:lineRule="auto"/>
              <w:jc w:val="both"/>
              <w:rPr>
                <w:rFonts w:ascii="Times New Roman" w:hAnsi="Times New Roman" w:cs="Times New Roman"/>
                <w:sz w:val="24"/>
                <w:szCs w:val="24"/>
                <w:lang w:eastAsia="hu-HU"/>
              </w:rPr>
            </w:pPr>
            <w:r w:rsidRPr="002763AE">
              <w:rPr>
                <w:rFonts w:ascii="Times New Roman" w:hAnsi="Times New Roman" w:cs="Times New Roman"/>
                <w:sz w:val="24"/>
                <w:szCs w:val="24"/>
                <w:lang w:eastAsia="hu-HU"/>
              </w:rPr>
              <w:t>Térségi fejlesztési feladatok</w:t>
            </w:r>
          </w:p>
        </w:tc>
        <w:tc>
          <w:tcPr>
            <w:tcW w:w="851" w:type="dxa"/>
            <w:noWrap/>
            <w:tcMar>
              <w:top w:w="0" w:type="dxa"/>
              <w:left w:w="108" w:type="dxa"/>
              <w:bottom w:w="0" w:type="dxa"/>
              <w:right w:w="108" w:type="dxa"/>
            </w:tcMar>
            <w:vAlign w:val="center"/>
          </w:tcPr>
          <w:p w14:paraId="460EDA61" w14:textId="4350E7B0" w:rsidR="00D33920" w:rsidRPr="002763AE" w:rsidRDefault="00D33920" w:rsidP="00D33920">
            <w:pPr>
              <w:spacing w:after="0" w:line="240" w:lineRule="auto"/>
              <w:jc w:val="right"/>
              <w:rPr>
                <w:rFonts w:ascii="Times New Roman" w:hAnsi="Times New Roman" w:cs="Times New Roman"/>
                <w:sz w:val="24"/>
                <w:szCs w:val="24"/>
                <w:lang w:eastAsia="hu-HU"/>
              </w:rPr>
            </w:pPr>
            <w:r w:rsidRPr="002763AE">
              <w:rPr>
                <w:rFonts w:ascii="Times New Roman" w:hAnsi="Times New Roman" w:cs="Times New Roman"/>
                <w:sz w:val="24"/>
                <w:szCs w:val="24"/>
                <w:lang w:eastAsia="hu-HU"/>
              </w:rPr>
              <w:t>102,0</w:t>
            </w:r>
          </w:p>
        </w:tc>
      </w:tr>
      <w:tr w:rsidR="00EB1850" w:rsidRPr="00D33705" w14:paraId="738BB1D7" w14:textId="77777777" w:rsidTr="7C285CBA">
        <w:trPr>
          <w:trHeight w:val="283"/>
        </w:trPr>
        <w:tc>
          <w:tcPr>
            <w:tcW w:w="8392" w:type="dxa"/>
            <w:tcMar>
              <w:top w:w="0" w:type="dxa"/>
              <w:left w:w="108" w:type="dxa"/>
              <w:bottom w:w="0" w:type="dxa"/>
              <w:right w:w="108" w:type="dxa"/>
            </w:tcMar>
            <w:vAlign w:val="center"/>
          </w:tcPr>
          <w:p w14:paraId="010ECB99" w14:textId="1D444CE1" w:rsidR="00EB1850" w:rsidRPr="002763AE" w:rsidRDefault="00EB1850" w:rsidP="00EB1850">
            <w:pPr>
              <w:spacing w:after="0" w:line="240" w:lineRule="auto"/>
              <w:jc w:val="both"/>
              <w:rPr>
                <w:rFonts w:ascii="Times New Roman" w:hAnsi="Times New Roman" w:cs="Times New Roman"/>
                <w:sz w:val="24"/>
                <w:szCs w:val="24"/>
                <w:lang w:eastAsia="hu-HU"/>
              </w:rPr>
            </w:pPr>
            <w:r w:rsidRPr="002763AE">
              <w:rPr>
                <w:rFonts w:ascii="Times New Roman" w:hAnsi="Times New Roman" w:cs="Times New Roman"/>
                <w:sz w:val="24"/>
                <w:szCs w:val="24"/>
                <w:lang w:eastAsia="hu-HU"/>
              </w:rPr>
              <w:t>Turisztikai fejlesztési célelőirányzat</w:t>
            </w:r>
          </w:p>
        </w:tc>
        <w:tc>
          <w:tcPr>
            <w:tcW w:w="851" w:type="dxa"/>
            <w:noWrap/>
            <w:tcMar>
              <w:top w:w="0" w:type="dxa"/>
              <w:left w:w="108" w:type="dxa"/>
              <w:bottom w:w="0" w:type="dxa"/>
              <w:right w:w="108" w:type="dxa"/>
            </w:tcMar>
            <w:vAlign w:val="center"/>
          </w:tcPr>
          <w:p w14:paraId="2FA54D1A" w14:textId="604602A4" w:rsidR="00EB1850" w:rsidRPr="002763AE" w:rsidRDefault="00EB1850" w:rsidP="00EB1850">
            <w:pPr>
              <w:spacing w:after="0" w:line="240" w:lineRule="auto"/>
              <w:jc w:val="right"/>
              <w:rPr>
                <w:rFonts w:ascii="Times New Roman" w:hAnsi="Times New Roman" w:cs="Times New Roman"/>
                <w:sz w:val="24"/>
                <w:szCs w:val="24"/>
                <w:lang w:eastAsia="hu-HU"/>
              </w:rPr>
            </w:pPr>
            <w:r w:rsidRPr="002763AE">
              <w:rPr>
                <w:rFonts w:ascii="Times New Roman" w:hAnsi="Times New Roman" w:cs="Times New Roman"/>
                <w:sz w:val="24"/>
                <w:szCs w:val="24"/>
                <w:lang w:eastAsia="hu-HU"/>
              </w:rPr>
              <w:t>95,0</w:t>
            </w:r>
          </w:p>
        </w:tc>
      </w:tr>
      <w:tr w:rsidR="00EB1850" w:rsidRPr="00D33705" w14:paraId="54E44312" w14:textId="77777777" w:rsidTr="7C285CBA">
        <w:trPr>
          <w:trHeight w:val="283"/>
        </w:trPr>
        <w:tc>
          <w:tcPr>
            <w:tcW w:w="8392" w:type="dxa"/>
            <w:tcMar>
              <w:top w:w="0" w:type="dxa"/>
              <w:left w:w="108" w:type="dxa"/>
              <w:bottom w:w="0" w:type="dxa"/>
              <w:right w:w="108" w:type="dxa"/>
            </w:tcMar>
            <w:vAlign w:val="center"/>
          </w:tcPr>
          <w:p w14:paraId="15AF8429" w14:textId="11FE7993" w:rsidR="00EB1850" w:rsidRPr="002763AE" w:rsidRDefault="00EB1850" w:rsidP="00EB1850">
            <w:pPr>
              <w:spacing w:after="0" w:line="240" w:lineRule="auto"/>
              <w:jc w:val="both"/>
              <w:rPr>
                <w:rFonts w:ascii="Times New Roman" w:hAnsi="Times New Roman" w:cs="Times New Roman"/>
                <w:sz w:val="24"/>
                <w:szCs w:val="24"/>
                <w:lang w:eastAsia="hu-HU"/>
              </w:rPr>
            </w:pPr>
            <w:r w:rsidRPr="002763AE">
              <w:rPr>
                <w:rFonts w:ascii="Times New Roman" w:hAnsi="Times New Roman" w:cs="Times New Roman"/>
                <w:sz w:val="24"/>
                <w:szCs w:val="24"/>
                <w:lang w:eastAsia="hu-HU"/>
              </w:rPr>
              <w:t>Közlekedési ágazati programok</w:t>
            </w:r>
          </w:p>
        </w:tc>
        <w:tc>
          <w:tcPr>
            <w:tcW w:w="851" w:type="dxa"/>
            <w:noWrap/>
            <w:tcMar>
              <w:top w:w="0" w:type="dxa"/>
              <w:left w:w="108" w:type="dxa"/>
              <w:bottom w:w="0" w:type="dxa"/>
              <w:right w:w="108" w:type="dxa"/>
            </w:tcMar>
            <w:vAlign w:val="center"/>
          </w:tcPr>
          <w:p w14:paraId="096DD07F" w14:textId="6A8AA4C9" w:rsidR="00EB1850" w:rsidRPr="002763AE" w:rsidRDefault="00EB1850" w:rsidP="00EB1850">
            <w:pPr>
              <w:spacing w:after="0" w:line="240" w:lineRule="auto"/>
              <w:jc w:val="right"/>
              <w:rPr>
                <w:rFonts w:ascii="Times New Roman" w:hAnsi="Times New Roman" w:cs="Times New Roman"/>
                <w:sz w:val="24"/>
                <w:szCs w:val="24"/>
                <w:lang w:eastAsia="hu-HU"/>
              </w:rPr>
            </w:pPr>
            <w:r w:rsidRPr="002763AE">
              <w:rPr>
                <w:rFonts w:ascii="Times New Roman" w:hAnsi="Times New Roman" w:cs="Times New Roman"/>
                <w:sz w:val="24"/>
                <w:szCs w:val="24"/>
                <w:lang w:eastAsia="hu-HU"/>
              </w:rPr>
              <w:t>86,9</w:t>
            </w:r>
          </w:p>
        </w:tc>
      </w:tr>
      <w:tr w:rsidR="00EB1850" w:rsidRPr="00D33705" w14:paraId="691BD3D5" w14:textId="77777777" w:rsidTr="7C285CBA">
        <w:trPr>
          <w:trHeight w:val="283"/>
        </w:trPr>
        <w:tc>
          <w:tcPr>
            <w:tcW w:w="8392" w:type="dxa"/>
            <w:tcMar>
              <w:top w:w="0" w:type="dxa"/>
              <w:left w:w="108" w:type="dxa"/>
              <w:bottom w:w="0" w:type="dxa"/>
              <w:right w:w="108" w:type="dxa"/>
            </w:tcMar>
            <w:vAlign w:val="center"/>
          </w:tcPr>
          <w:p w14:paraId="005FD7E5" w14:textId="4D256046" w:rsidR="00EB1850" w:rsidRPr="002763AE" w:rsidRDefault="00EB1850" w:rsidP="00EB1850">
            <w:pPr>
              <w:spacing w:after="0" w:line="240" w:lineRule="auto"/>
              <w:jc w:val="both"/>
              <w:rPr>
                <w:rFonts w:ascii="Times New Roman" w:hAnsi="Times New Roman" w:cs="Times New Roman"/>
                <w:sz w:val="24"/>
                <w:szCs w:val="24"/>
                <w:lang w:eastAsia="hu-HU"/>
              </w:rPr>
            </w:pPr>
            <w:r w:rsidRPr="002763AE">
              <w:rPr>
                <w:rFonts w:ascii="Times New Roman" w:hAnsi="Times New Roman" w:cs="Times New Roman"/>
                <w:sz w:val="24"/>
                <w:szCs w:val="24"/>
                <w:lang w:eastAsia="hu-HU"/>
              </w:rPr>
              <w:t>Beruházás ösztönzési célelőirányzat</w:t>
            </w:r>
          </w:p>
        </w:tc>
        <w:tc>
          <w:tcPr>
            <w:tcW w:w="851" w:type="dxa"/>
            <w:noWrap/>
            <w:tcMar>
              <w:top w:w="0" w:type="dxa"/>
              <w:left w:w="108" w:type="dxa"/>
              <w:bottom w:w="0" w:type="dxa"/>
              <w:right w:w="108" w:type="dxa"/>
            </w:tcMar>
            <w:vAlign w:val="center"/>
          </w:tcPr>
          <w:p w14:paraId="77EA0DAE" w14:textId="1BEE5745" w:rsidR="00EB1850" w:rsidRPr="002763AE" w:rsidRDefault="00EB1850" w:rsidP="00EB1850">
            <w:pPr>
              <w:spacing w:after="0" w:line="240" w:lineRule="auto"/>
              <w:jc w:val="right"/>
              <w:rPr>
                <w:rFonts w:ascii="Times New Roman" w:hAnsi="Times New Roman" w:cs="Times New Roman"/>
                <w:sz w:val="24"/>
                <w:szCs w:val="24"/>
                <w:lang w:eastAsia="hu-HU"/>
              </w:rPr>
            </w:pPr>
            <w:r w:rsidRPr="002763AE">
              <w:rPr>
                <w:rFonts w:ascii="Times New Roman" w:hAnsi="Times New Roman" w:cs="Times New Roman"/>
                <w:sz w:val="24"/>
                <w:szCs w:val="24"/>
                <w:lang w:eastAsia="hu-HU"/>
              </w:rPr>
              <w:t>50,9</w:t>
            </w:r>
          </w:p>
        </w:tc>
      </w:tr>
      <w:tr w:rsidR="00EB1850" w:rsidRPr="00D33705" w14:paraId="1D9DF599" w14:textId="77777777" w:rsidTr="7C285CBA">
        <w:trPr>
          <w:trHeight w:val="283"/>
        </w:trPr>
        <w:tc>
          <w:tcPr>
            <w:tcW w:w="8392" w:type="dxa"/>
            <w:tcMar>
              <w:top w:w="0" w:type="dxa"/>
              <w:left w:w="108" w:type="dxa"/>
              <w:bottom w:w="0" w:type="dxa"/>
              <w:right w:w="108" w:type="dxa"/>
            </w:tcMar>
            <w:vAlign w:val="center"/>
          </w:tcPr>
          <w:p w14:paraId="3C4E862C" w14:textId="69F94ADF" w:rsidR="00EB1850" w:rsidRPr="002763AE" w:rsidRDefault="00EB1850" w:rsidP="00EB1850">
            <w:pPr>
              <w:spacing w:after="0" w:line="240" w:lineRule="auto"/>
              <w:jc w:val="both"/>
              <w:rPr>
                <w:rFonts w:ascii="Times New Roman" w:hAnsi="Times New Roman" w:cs="Times New Roman"/>
                <w:sz w:val="24"/>
                <w:szCs w:val="24"/>
                <w:lang w:eastAsia="hu-HU"/>
              </w:rPr>
            </w:pPr>
            <w:r w:rsidRPr="002763AE">
              <w:rPr>
                <w:rFonts w:ascii="Times New Roman" w:hAnsi="Times New Roman" w:cs="Times New Roman"/>
                <w:sz w:val="24"/>
                <w:szCs w:val="24"/>
                <w:lang w:eastAsia="hu-HU"/>
              </w:rPr>
              <w:t>Megváltozott munkaképességű munkavállalók foglalkoztatásának támogatása</w:t>
            </w:r>
          </w:p>
        </w:tc>
        <w:tc>
          <w:tcPr>
            <w:tcW w:w="851" w:type="dxa"/>
            <w:noWrap/>
            <w:tcMar>
              <w:top w:w="0" w:type="dxa"/>
              <w:left w:w="108" w:type="dxa"/>
              <w:bottom w:w="0" w:type="dxa"/>
              <w:right w:w="108" w:type="dxa"/>
            </w:tcMar>
            <w:vAlign w:val="center"/>
          </w:tcPr>
          <w:p w14:paraId="2B7E0BF8" w14:textId="01314737" w:rsidR="00EB1850" w:rsidRPr="002763AE" w:rsidRDefault="00EB1850" w:rsidP="00EB1850">
            <w:pPr>
              <w:spacing w:after="0" w:line="240" w:lineRule="auto"/>
              <w:jc w:val="right"/>
              <w:rPr>
                <w:rFonts w:ascii="Times New Roman" w:hAnsi="Times New Roman" w:cs="Times New Roman"/>
                <w:sz w:val="24"/>
                <w:szCs w:val="24"/>
                <w:lang w:eastAsia="hu-HU"/>
              </w:rPr>
            </w:pPr>
            <w:r w:rsidRPr="002763AE">
              <w:rPr>
                <w:rFonts w:ascii="Times New Roman" w:hAnsi="Times New Roman" w:cs="Times New Roman"/>
                <w:sz w:val="24"/>
                <w:szCs w:val="24"/>
                <w:lang w:eastAsia="hu-HU"/>
              </w:rPr>
              <w:t>48,4</w:t>
            </w:r>
          </w:p>
        </w:tc>
      </w:tr>
    </w:tbl>
    <w:p w14:paraId="130E1B4D" w14:textId="758D8F15" w:rsidR="0033462C" w:rsidRPr="00A61DE1" w:rsidRDefault="7C285CBA" w:rsidP="7C285CBA">
      <w:pPr>
        <w:spacing w:before="160" w:after="0"/>
        <w:jc w:val="both"/>
        <w:rPr>
          <w:rFonts w:ascii="Times New Roman" w:eastAsia="Times New Roman" w:hAnsi="Times New Roman" w:cs="Times New Roman"/>
          <w:sz w:val="26"/>
          <w:szCs w:val="26"/>
          <w:lang w:eastAsia="hu-HU"/>
        </w:rPr>
      </w:pPr>
      <w:r w:rsidRPr="7C285CBA">
        <w:rPr>
          <w:rFonts w:ascii="Times New Roman" w:eastAsia="Times New Roman" w:hAnsi="Times New Roman" w:cs="Times New Roman"/>
          <w:sz w:val="26"/>
          <w:szCs w:val="26"/>
          <w:lang w:eastAsia="hu-HU"/>
        </w:rPr>
        <w:t xml:space="preserve">A 2025. év első </w:t>
      </w:r>
      <w:r w:rsidR="00D33920" w:rsidRPr="00D33920">
        <w:rPr>
          <w:rFonts w:ascii="Times New Roman" w:eastAsia="Times New Roman" w:hAnsi="Times New Roman" w:cs="Times New Roman"/>
          <w:sz w:val="26"/>
          <w:szCs w:val="26"/>
          <w:lang w:eastAsia="hu-HU"/>
        </w:rPr>
        <w:t>nyolchavi, 9635,3 milliárd forint összegű kiadások megoszlását a</w:t>
      </w:r>
      <w:r w:rsidR="00D33920">
        <w:rPr>
          <w:rFonts w:ascii="Times New Roman" w:eastAsia="Times New Roman" w:hAnsi="Times New Roman" w:cs="Times New Roman"/>
          <w:sz w:val="26"/>
          <w:szCs w:val="26"/>
          <w:lang w:eastAsia="hu-HU"/>
        </w:rPr>
        <w:t> </w:t>
      </w:r>
      <w:r w:rsidR="00D33920" w:rsidRPr="00D33920">
        <w:rPr>
          <w:rFonts w:ascii="Times New Roman" w:eastAsia="Times New Roman" w:hAnsi="Times New Roman" w:cs="Times New Roman"/>
          <w:sz w:val="26"/>
          <w:szCs w:val="26"/>
          <w:lang w:eastAsia="hu-HU"/>
        </w:rPr>
        <w:t>következő grafikon szemlélteti</w:t>
      </w:r>
      <w:r w:rsidRPr="7C285CBA">
        <w:rPr>
          <w:rFonts w:ascii="Times New Roman" w:eastAsia="Times New Roman" w:hAnsi="Times New Roman" w:cs="Times New Roman"/>
          <w:sz w:val="26"/>
          <w:szCs w:val="26"/>
          <w:lang w:eastAsia="hu-HU"/>
        </w:rPr>
        <w:t>:</w:t>
      </w:r>
    </w:p>
    <w:p w14:paraId="3599A16D" w14:textId="50C1FBCB" w:rsidR="00B056CC" w:rsidRDefault="00CE0C34" w:rsidP="009C33A4">
      <w:pPr>
        <w:spacing w:before="240"/>
        <w:jc w:val="center"/>
        <w:rPr>
          <w:rFonts w:ascii="Times New Roman" w:eastAsia="Times New Roman" w:hAnsi="Times New Roman" w:cs="Times New Roman"/>
          <w:b/>
          <w:sz w:val="26"/>
          <w:szCs w:val="26"/>
        </w:rPr>
      </w:pPr>
      <w:r>
        <w:rPr>
          <w:noProof/>
        </w:rPr>
        <w:drawing>
          <wp:inline distT="0" distB="0" distL="0" distR="0" wp14:anchorId="3CE581B3" wp14:editId="19746379">
            <wp:extent cx="5940425" cy="3509645"/>
            <wp:effectExtent l="0" t="0" r="3175" b="0"/>
            <wp:docPr id="196630702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07021" name=""/>
                    <pic:cNvPicPr/>
                  </pic:nvPicPr>
                  <pic:blipFill>
                    <a:blip r:embed="rId25"/>
                    <a:stretch>
                      <a:fillRect/>
                    </a:stretch>
                  </pic:blipFill>
                  <pic:spPr>
                    <a:xfrm>
                      <a:off x="0" y="0"/>
                      <a:ext cx="5940425" cy="3509645"/>
                    </a:xfrm>
                    <a:prstGeom prst="rect">
                      <a:avLst/>
                    </a:prstGeom>
                  </pic:spPr>
                </pic:pic>
              </a:graphicData>
            </a:graphic>
          </wp:inline>
        </w:drawing>
      </w:r>
    </w:p>
    <w:p w14:paraId="7B768C4E" w14:textId="3E063542" w:rsidR="00B155FE" w:rsidRPr="00377D59" w:rsidRDefault="7C285CBA" w:rsidP="7C285CBA">
      <w:pPr>
        <w:keepNext/>
        <w:numPr>
          <w:ilvl w:val="0"/>
          <w:numId w:val="3"/>
        </w:numPr>
        <w:ind w:left="714" w:hanging="357"/>
        <w:jc w:val="both"/>
        <w:outlineLvl w:val="2"/>
        <w:rPr>
          <w:rFonts w:ascii="Times New Roman" w:eastAsia="Times New Roman" w:hAnsi="Times New Roman" w:cs="Times New Roman"/>
          <w:b/>
          <w:bCs/>
          <w:smallCaps/>
          <w:sz w:val="28"/>
          <w:szCs w:val="28"/>
          <w:lang w:eastAsia="hu-HU"/>
        </w:rPr>
      </w:pPr>
      <w:r w:rsidRPr="7C285CBA">
        <w:rPr>
          <w:rFonts w:ascii="Times New Roman" w:eastAsia="Times New Roman" w:hAnsi="Times New Roman" w:cs="Times New Roman"/>
          <w:b/>
          <w:bCs/>
          <w:smallCaps/>
          <w:sz w:val="28"/>
          <w:szCs w:val="28"/>
          <w:lang w:eastAsia="hu-HU"/>
        </w:rPr>
        <w:t>Kamategyenleg</w:t>
      </w:r>
    </w:p>
    <w:p w14:paraId="0047F521" w14:textId="518825DA" w:rsidR="003F3151" w:rsidRDefault="7C285CBA" w:rsidP="7C285CBA">
      <w:pPr>
        <w:jc w:val="both"/>
        <w:rPr>
          <w:rFonts w:ascii="Times New Roman" w:hAnsi="Times New Roman" w:cs="Times New Roman"/>
          <w:sz w:val="26"/>
          <w:szCs w:val="26"/>
        </w:rPr>
      </w:pPr>
      <w:r w:rsidRPr="7C285CBA">
        <w:rPr>
          <w:rFonts w:ascii="Times New Roman" w:hAnsi="Times New Roman" w:cs="Times New Roman"/>
          <w:sz w:val="26"/>
          <w:szCs w:val="26"/>
          <w:lang w:eastAsia="hu-HU"/>
        </w:rPr>
        <w:t>A bevételek és kiadások egyenlegeként adódó 2</w:t>
      </w:r>
      <w:r w:rsidR="00525D74">
        <w:rPr>
          <w:rFonts w:ascii="Times New Roman" w:hAnsi="Times New Roman" w:cs="Times New Roman"/>
          <w:sz w:val="26"/>
          <w:szCs w:val="26"/>
          <w:lang w:eastAsia="hu-HU"/>
        </w:rPr>
        <w:t>698,</w:t>
      </w:r>
      <w:r w:rsidR="002763AE">
        <w:rPr>
          <w:rFonts w:ascii="Times New Roman" w:hAnsi="Times New Roman" w:cs="Times New Roman"/>
          <w:sz w:val="26"/>
          <w:szCs w:val="26"/>
          <w:lang w:eastAsia="hu-HU"/>
        </w:rPr>
        <w:t>8</w:t>
      </w:r>
      <w:r w:rsidRPr="7C285CBA">
        <w:rPr>
          <w:rFonts w:ascii="Times New Roman" w:hAnsi="Times New Roman" w:cs="Times New Roman"/>
          <w:sz w:val="26"/>
          <w:szCs w:val="26"/>
          <w:lang w:eastAsia="hu-HU"/>
        </w:rPr>
        <w:t xml:space="preserve"> milliárd forint összegű </w:t>
      </w:r>
      <w:r w:rsidRPr="7C285CBA">
        <w:rPr>
          <w:rFonts w:ascii="Times New Roman" w:hAnsi="Times New Roman" w:cs="Times New Roman"/>
          <w:b/>
          <w:bCs/>
          <w:sz w:val="26"/>
          <w:szCs w:val="26"/>
          <w:lang w:eastAsia="hu-HU"/>
        </w:rPr>
        <w:t>nettó</w:t>
      </w:r>
      <w:r w:rsidRPr="7C285CBA">
        <w:rPr>
          <w:rFonts w:ascii="Times New Roman" w:hAnsi="Times New Roman" w:cs="Times New Roman"/>
          <w:b/>
          <w:bCs/>
          <w:sz w:val="26"/>
          <w:szCs w:val="26"/>
        </w:rPr>
        <w:t xml:space="preserve"> kamatkiadás</w:t>
      </w:r>
      <w:r w:rsidRPr="7C285CBA">
        <w:rPr>
          <w:rFonts w:ascii="Times New Roman" w:hAnsi="Times New Roman" w:cs="Times New Roman"/>
          <w:sz w:val="26"/>
          <w:szCs w:val="26"/>
        </w:rPr>
        <w:t xml:space="preserve"> </w:t>
      </w:r>
      <w:r w:rsidR="00525D74">
        <w:rPr>
          <w:rFonts w:ascii="Times New Roman" w:hAnsi="Times New Roman" w:cs="Times New Roman"/>
          <w:sz w:val="26"/>
          <w:szCs w:val="26"/>
        </w:rPr>
        <w:t>augusztus</w:t>
      </w:r>
      <w:r w:rsidRPr="7C285CBA">
        <w:rPr>
          <w:rFonts w:ascii="Times New Roman" w:hAnsi="Times New Roman" w:cs="Times New Roman"/>
          <w:sz w:val="26"/>
          <w:szCs w:val="26"/>
        </w:rPr>
        <w:t xml:space="preserve"> végéig </w:t>
      </w:r>
      <w:r w:rsidR="00525D74" w:rsidRPr="00525D74">
        <w:rPr>
          <w:rFonts w:ascii="Times New Roman" w:hAnsi="Times New Roman" w:cs="Times New Roman"/>
          <w:sz w:val="26"/>
          <w:szCs w:val="26"/>
        </w:rPr>
        <w:t>579,</w:t>
      </w:r>
      <w:r w:rsidR="002763AE">
        <w:rPr>
          <w:rFonts w:ascii="Times New Roman" w:hAnsi="Times New Roman" w:cs="Times New Roman"/>
          <w:sz w:val="26"/>
          <w:szCs w:val="26"/>
        </w:rPr>
        <w:t>6</w:t>
      </w:r>
      <w:r w:rsidRPr="7C285CBA">
        <w:rPr>
          <w:rFonts w:ascii="Times New Roman" w:hAnsi="Times New Roman" w:cs="Times New Roman"/>
          <w:sz w:val="26"/>
          <w:szCs w:val="26"/>
        </w:rPr>
        <w:t> milliárd forinttal lett magasabb az előző évhez képest, mely az előző évitől különböző hozamokkal és finanszírozási szerkezettel magyarázható.</w:t>
      </w:r>
    </w:p>
    <w:p w14:paraId="7B768C50" w14:textId="77777777" w:rsidR="00B155FE" w:rsidRPr="00377D59" w:rsidRDefault="00B155FE" w:rsidP="00B155FE">
      <w:pPr>
        <w:tabs>
          <w:tab w:val="left" w:pos="550"/>
        </w:tabs>
        <w:spacing w:before="120" w:after="120" w:line="240" w:lineRule="auto"/>
        <w:jc w:val="both"/>
        <w:rPr>
          <w:rFonts w:ascii="Times New Roman" w:eastAsia="Times New Roman" w:hAnsi="Times New Roman" w:cs="Times New Roman"/>
          <w:caps/>
          <w:sz w:val="26"/>
          <w:szCs w:val="20"/>
          <w:lang w:eastAsia="hu-HU"/>
        </w:rPr>
      </w:pPr>
      <w:r w:rsidRPr="00377D59">
        <w:rPr>
          <w:rFonts w:ascii="Times New Roman" w:eastAsia="Times New Roman" w:hAnsi="Times New Roman" w:cs="Times New Roman"/>
          <w:caps/>
          <w:sz w:val="26"/>
          <w:szCs w:val="20"/>
          <w:lang w:eastAsia="hu-HU"/>
        </w:rPr>
        <w:br w:type="page"/>
      </w:r>
    </w:p>
    <w:p w14:paraId="688B9DA7" w14:textId="77777777" w:rsidR="00C9408B" w:rsidRDefault="7C285CBA" w:rsidP="7C285CBA">
      <w:pPr>
        <w:keepNext/>
        <w:spacing w:after="120" w:line="240" w:lineRule="auto"/>
        <w:jc w:val="center"/>
        <w:outlineLvl w:val="3"/>
        <w:rPr>
          <w:rFonts w:ascii="Times New Roman" w:eastAsia="Times New Roman" w:hAnsi="Times New Roman" w:cs="Times New Roman"/>
          <w:b/>
          <w:bCs/>
          <w:caps/>
          <w:sz w:val="26"/>
          <w:szCs w:val="26"/>
          <w:lang w:eastAsia="hu-HU"/>
        </w:rPr>
      </w:pPr>
      <w:r w:rsidRPr="7C285CBA">
        <w:rPr>
          <w:rFonts w:ascii="Times New Roman" w:eastAsia="Times New Roman" w:hAnsi="Times New Roman" w:cs="Times New Roman"/>
          <w:b/>
          <w:bCs/>
          <w:caps/>
          <w:sz w:val="26"/>
          <w:szCs w:val="26"/>
          <w:lang w:eastAsia="hu-HU"/>
        </w:rPr>
        <w:lastRenderedPageBreak/>
        <w:t>II.</w:t>
      </w:r>
    </w:p>
    <w:p w14:paraId="7B768C51" w14:textId="63BB059C" w:rsidR="00B155FE" w:rsidRPr="00377D59" w:rsidRDefault="7C285CBA" w:rsidP="7C285CBA">
      <w:pPr>
        <w:keepNext/>
        <w:spacing w:after="240" w:line="240" w:lineRule="auto"/>
        <w:jc w:val="center"/>
        <w:outlineLvl w:val="3"/>
        <w:rPr>
          <w:rFonts w:ascii="Times New Roman" w:eastAsia="Times New Roman" w:hAnsi="Times New Roman" w:cs="Times New Roman"/>
          <w:b/>
          <w:bCs/>
          <w:caps/>
          <w:sz w:val="26"/>
          <w:szCs w:val="26"/>
          <w:lang w:eastAsia="hu-HU"/>
        </w:rPr>
      </w:pPr>
      <w:r w:rsidRPr="7C285CBA">
        <w:rPr>
          <w:rFonts w:ascii="Times New Roman" w:eastAsia="Times New Roman" w:hAnsi="Times New Roman" w:cs="Times New Roman"/>
          <w:b/>
          <w:bCs/>
          <w:caps/>
          <w:sz w:val="26"/>
          <w:szCs w:val="26"/>
          <w:lang w:eastAsia="hu-HU"/>
        </w:rPr>
        <w:t>Az államháztartás központi alrendszerének finanszírozása</w:t>
      </w:r>
    </w:p>
    <w:p w14:paraId="06C778E7" w14:textId="322F8F62" w:rsidR="00710A26" w:rsidRPr="008E6DF0" w:rsidRDefault="7C285CBA" w:rsidP="7C285CBA">
      <w:pPr>
        <w:ind w:right="23"/>
        <w:jc w:val="both"/>
        <w:rPr>
          <w:rFonts w:ascii="Times New Roman" w:eastAsia="Times New Roman" w:hAnsi="Times New Roman" w:cs="Times New Roman"/>
          <w:b/>
          <w:bCs/>
          <w:sz w:val="26"/>
          <w:szCs w:val="26"/>
          <w:lang w:eastAsia="hu-HU"/>
        </w:rPr>
      </w:pPr>
      <w:r w:rsidRPr="7C285CBA">
        <w:rPr>
          <w:rFonts w:ascii="Times New Roman" w:eastAsia="Times New Roman" w:hAnsi="Times New Roman" w:cs="Times New Roman"/>
          <w:sz w:val="26"/>
          <w:szCs w:val="26"/>
          <w:lang w:eastAsia="hu-HU"/>
        </w:rPr>
        <w:t xml:space="preserve">A központi költségvetés adóssága 2025. </w:t>
      </w:r>
      <w:r w:rsidR="00525D74">
        <w:rPr>
          <w:rFonts w:ascii="Times New Roman" w:eastAsia="Times New Roman" w:hAnsi="Times New Roman" w:cs="Times New Roman"/>
          <w:sz w:val="26"/>
          <w:szCs w:val="26"/>
          <w:lang w:eastAsia="hu-HU"/>
        </w:rPr>
        <w:t>augusztus</w:t>
      </w:r>
      <w:r w:rsidRPr="7C285CBA">
        <w:rPr>
          <w:rFonts w:ascii="Times New Roman" w:eastAsia="Times New Roman" w:hAnsi="Times New Roman" w:cs="Times New Roman"/>
          <w:sz w:val="26"/>
          <w:szCs w:val="26"/>
          <w:lang w:eastAsia="hu-HU"/>
        </w:rPr>
        <w:t xml:space="preserve"> végéig </w:t>
      </w:r>
      <w:r w:rsidR="00CE4893" w:rsidRPr="00CE4893">
        <w:rPr>
          <w:rFonts w:ascii="Times New Roman" w:eastAsia="Times New Roman" w:hAnsi="Times New Roman" w:cs="Times New Roman"/>
          <w:sz w:val="26"/>
          <w:szCs w:val="26"/>
          <w:lang w:eastAsia="hu-HU"/>
        </w:rPr>
        <w:t>4587,1</w:t>
      </w:r>
      <w:r w:rsidRPr="7C285CBA">
        <w:rPr>
          <w:rFonts w:ascii="Times New Roman" w:eastAsia="Times New Roman" w:hAnsi="Times New Roman" w:cs="Times New Roman"/>
          <w:sz w:val="26"/>
          <w:szCs w:val="26"/>
          <w:lang w:eastAsia="hu-HU"/>
        </w:rPr>
        <w:t> milliárd forinttal növekedett a következő négy tényező eredményeképpen:</w:t>
      </w:r>
    </w:p>
    <w:p w14:paraId="2E79A354" w14:textId="6F2103D2" w:rsidR="00525D74" w:rsidRPr="00525D74" w:rsidRDefault="00CE4893" w:rsidP="00CE4893">
      <w:pPr>
        <w:pStyle w:val="Listaszerbekezds"/>
        <w:numPr>
          <w:ilvl w:val="0"/>
          <w:numId w:val="2"/>
        </w:numPr>
        <w:jc w:val="both"/>
        <w:rPr>
          <w:rFonts w:ascii="Times New Roman" w:eastAsia="Times New Roman" w:hAnsi="Times New Roman" w:cs="Times New Roman"/>
          <w:sz w:val="26"/>
          <w:szCs w:val="26"/>
          <w:lang w:eastAsia="hu-HU"/>
        </w:rPr>
      </w:pPr>
      <w:r w:rsidRPr="00CE4893">
        <w:rPr>
          <w:rFonts w:ascii="Times New Roman" w:eastAsia="Times New Roman" w:hAnsi="Times New Roman" w:cs="Times New Roman"/>
          <w:b/>
          <w:bCs/>
          <w:sz w:val="26"/>
          <w:szCs w:val="26"/>
          <w:lang w:eastAsia="hu-HU"/>
        </w:rPr>
        <w:t>Az első tényező a nettó forintkibocsátás</w:t>
      </w:r>
      <w:r w:rsidRPr="00CE4893">
        <w:rPr>
          <w:rFonts w:ascii="Times New Roman" w:eastAsia="Times New Roman" w:hAnsi="Times New Roman" w:cs="Times New Roman"/>
          <w:sz w:val="26"/>
          <w:szCs w:val="26"/>
          <w:lang w:eastAsia="hu-HU"/>
        </w:rPr>
        <w:t>, amely 2462,6</w:t>
      </w:r>
      <w:r>
        <w:rPr>
          <w:rFonts w:ascii="Times New Roman" w:eastAsia="Times New Roman" w:hAnsi="Times New Roman" w:cs="Times New Roman"/>
          <w:sz w:val="26"/>
          <w:szCs w:val="26"/>
          <w:lang w:eastAsia="hu-HU"/>
        </w:rPr>
        <w:t> </w:t>
      </w:r>
      <w:r w:rsidRPr="00CE4893">
        <w:rPr>
          <w:rFonts w:ascii="Times New Roman" w:eastAsia="Times New Roman" w:hAnsi="Times New Roman" w:cs="Times New Roman"/>
          <w:sz w:val="26"/>
          <w:szCs w:val="26"/>
          <w:lang w:eastAsia="hu-HU"/>
        </w:rPr>
        <w:t>milliárd forinttal növelte az adósságot, így segítette a költségvetési hiány egy részének finanszírozását</w:t>
      </w:r>
      <w:r w:rsidR="002763AE">
        <w:rPr>
          <w:rFonts w:ascii="Times New Roman" w:eastAsia="Times New Roman" w:hAnsi="Times New Roman" w:cs="Times New Roman"/>
          <w:sz w:val="26"/>
          <w:szCs w:val="26"/>
          <w:lang w:eastAsia="hu-HU"/>
        </w:rPr>
        <w:t>.</w:t>
      </w:r>
    </w:p>
    <w:p w14:paraId="6EF36E84" w14:textId="0837CC66" w:rsidR="007B0B76" w:rsidRDefault="00CE4893" w:rsidP="00CE4893">
      <w:pPr>
        <w:pStyle w:val="Listaszerbekezds"/>
        <w:numPr>
          <w:ilvl w:val="0"/>
          <w:numId w:val="2"/>
        </w:numPr>
        <w:jc w:val="both"/>
        <w:rPr>
          <w:rFonts w:ascii="Times New Roman" w:eastAsia="Times New Roman" w:hAnsi="Times New Roman" w:cs="Times New Roman"/>
          <w:sz w:val="26"/>
          <w:szCs w:val="26"/>
          <w:lang w:eastAsia="hu-HU"/>
        </w:rPr>
      </w:pPr>
      <w:r w:rsidRPr="00CE4893">
        <w:rPr>
          <w:rFonts w:ascii="Times New Roman" w:eastAsia="Times New Roman" w:hAnsi="Times New Roman" w:cs="Times New Roman"/>
          <w:b/>
          <w:bCs/>
          <w:sz w:val="26"/>
          <w:szCs w:val="26"/>
          <w:lang w:eastAsia="hu-HU"/>
        </w:rPr>
        <w:t xml:space="preserve">A második </w:t>
      </w:r>
      <w:r w:rsidRPr="00CE4893">
        <w:rPr>
          <w:rFonts w:ascii="Times New Roman" w:eastAsia="Times New Roman" w:hAnsi="Times New Roman" w:cs="Times New Roman"/>
          <w:sz w:val="26"/>
          <w:szCs w:val="26"/>
          <w:lang w:eastAsia="hu-HU"/>
        </w:rPr>
        <w:t xml:space="preserve">– szintén növelő hatású – </w:t>
      </w:r>
      <w:r w:rsidRPr="00CE4893">
        <w:rPr>
          <w:rFonts w:ascii="Times New Roman" w:eastAsia="Times New Roman" w:hAnsi="Times New Roman" w:cs="Times New Roman"/>
          <w:b/>
          <w:bCs/>
          <w:sz w:val="26"/>
          <w:szCs w:val="26"/>
          <w:lang w:eastAsia="hu-HU"/>
        </w:rPr>
        <w:t>tényező a nettó devizakibocsátás</w:t>
      </w:r>
      <w:r w:rsidRPr="00CE4893">
        <w:rPr>
          <w:rFonts w:ascii="Times New Roman" w:eastAsia="Times New Roman" w:hAnsi="Times New Roman" w:cs="Times New Roman"/>
          <w:sz w:val="26"/>
          <w:szCs w:val="26"/>
          <w:lang w:eastAsia="hu-HU"/>
        </w:rPr>
        <w:t>, amely 2842,0</w:t>
      </w:r>
      <w:r>
        <w:rPr>
          <w:rFonts w:ascii="Times New Roman" w:eastAsia="Times New Roman" w:hAnsi="Times New Roman" w:cs="Times New Roman"/>
          <w:sz w:val="26"/>
          <w:szCs w:val="26"/>
          <w:lang w:eastAsia="hu-HU"/>
        </w:rPr>
        <w:t> </w:t>
      </w:r>
      <w:r w:rsidRPr="00CE4893">
        <w:rPr>
          <w:rFonts w:ascii="Times New Roman" w:eastAsia="Times New Roman" w:hAnsi="Times New Roman" w:cs="Times New Roman"/>
          <w:sz w:val="26"/>
          <w:szCs w:val="26"/>
          <w:lang w:eastAsia="hu-HU"/>
        </w:rPr>
        <w:t>milliárd forint összegben hozzájárul a hiány finanszírozásához és a devizabetétállomány növekedéséhez.</w:t>
      </w:r>
    </w:p>
    <w:p w14:paraId="6DF71F36" w14:textId="7292686F" w:rsidR="00CE4893" w:rsidRPr="00CE4893" w:rsidRDefault="00CE4893" w:rsidP="00CE4893">
      <w:pPr>
        <w:pStyle w:val="Listaszerbekezds"/>
        <w:numPr>
          <w:ilvl w:val="0"/>
          <w:numId w:val="2"/>
        </w:numPr>
        <w:jc w:val="both"/>
        <w:rPr>
          <w:rFonts w:ascii="Times New Roman" w:eastAsia="Times New Roman" w:hAnsi="Times New Roman" w:cs="Times New Roman"/>
          <w:sz w:val="26"/>
          <w:szCs w:val="26"/>
          <w:lang w:eastAsia="hu-HU"/>
        </w:rPr>
      </w:pPr>
      <w:r w:rsidRPr="00CE4893">
        <w:rPr>
          <w:rFonts w:ascii="Times New Roman" w:eastAsia="Times New Roman" w:hAnsi="Times New Roman" w:cs="Times New Roman"/>
          <w:b/>
          <w:bCs/>
          <w:sz w:val="26"/>
          <w:szCs w:val="26"/>
          <w:lang w:eastAsia="hu-HU"/>
        </w:rPr>
        <w:t xml:space="preserve">A harmadik </w:t>
      </w:r>
      <w:r w:rsidRPr="00CE4893">
        <w:rPr>
          <w:rFonts w:ascii="Times New Roman" w:eastAsia="Times New Roman" w:hAnsi="Times New Roman" w:cs="Times New Roman"/>
          <w:sz w:val="26"/>
          <w:szCs w:val="26"/>
          <w:lang w:eastAsia="hu-HU"/>
        </w:rPr>
        <w:t xml:space="preserve">– fentiekkel ellentétes, csökkentő hatású – </w:t>
      </w:r>
      <w:r w:rsidRPr="00CE4893">
        <w:rPr>
          <w:rFonts w:ascii="Times New Roman" w:eastAsia="Times New Roman" w:hAnsi="Times New Roman" w:cs="Times New Roman"/>
          <w:b/>
          <w:bCs/>
          <w:sz w:val="26"/>
          <w:szCs w:val="26"/>
          <w:lang w:eastAsia="hu-HU"/>
        </w:rPr>
        <w:t>tényező a forint árfolyamának</w:t>
      </w:r>
      <w:r w:rsidRPr="00CE4893">
        <w:rPr>
          <w:rFonts w:ascii="Times New Roman" w:eastAsia="Times New Roman" w:hAnsi="Times New Roman" w:cs="Times New Roman"/>
          <w:sz w:val="26"/>
          <w:szCs w:val="26"/>
          <w:lang w:eastAsia="hu-HU"/>
        </w:rPr>
        <w:t xml:space="preserve"> az elmúlt év végéhez képest bekövetkezett </w:t>
      </w:r>
      <w:r w:rsidRPr="00CE4893">
        <w:rPr>
          <w:rFonts w:ascii="Times New Roman" w:eastAsia="Times New Roman" w:hAnsi="Times New Roman" w:cs="Times New Roman"/>
          <w:b/>
          <w:bCs/>
          <w:sz w:val="26"/>
          <w:szCs w:val="26"/>
          <w:lang w:eastAsia="hu-HU"/>
        </w:rPr>
        <w:t>erősödése</w:t>
      </w:r>
      <w:r w:rsidRPr="00CE4893">
        <w:rPr>
          <w:rFonts w:ascii="Times New Roman" w:eastAsia="Times New Roman" w:hAnsi="Times New Roman" w:cs="Times New Roman"/>
          <w:sz w:val="26"/>
          <w:szCs w:val="26"/>
          <w:lang w:eastAsia="hu-HU"/>
        </w:rPr>
        <w:t>, amely az adósság devizában fennálló részének forintban számított nyilvántartási értékét 623,4</w:t>
      </w:r>
      <w:r>
        <w:rPr>
          <w:rFonts w:ascii="Times New Roman" w:eastAsia="Times New Roman" w:hAnsi="Times New Roman" w:cs="Times New Roman"/>
          <w:sz w:val="26"/>
          <w:szCs w:val="26"/>
          <w:lang w:eastAsia="hu-HU"/>
        </w:rPr>
        <w:t> </w:t>
      </w:r>
      <w:r w:rsidRPr="00CE4893">
        <w:rPr>
          <w:rFonts w:ascii="Times New Roman" w:eastAsia="Times New Roman" w:hAnsi="Times New Roman" w:cs="Times New Roman"/>
          <w:sz w:val="26"/>
          <w:szCs w:val="26"/>
          <w:lang w:eastAsia="hu-HU"/>
        </w:rPr>
        <w:t>milliárd forinttal mérsékelte.</w:t>
      </w:r>
    </w:p>
    <w:p w14:paraId="510E0310" w14:textId="6247AC1B" w:rsidR="00CE4893" w:rsidRDefault="00CE4893" w:rsidP="00CE4893">
      <w:pPr>
        <w:pStyle w:val="Listaszerbekezds"/>
        <w:numPr>
          <w:ilvl w:val="0"/>
          <w:numId w:val="2"/>
        </w:numPr>
        <w:jc w:val="both"/>
        <w:rPr>
          <w:rFonts w:ascii="Times New Roman" w:eastAsia="Times New Roman" w:hAnsi="Times New Roman" w:cs="Times New Roman"/>
          <w:sz w:val="26"/>
          <w:szCs w:val="26"/>
          <w:lang w:eastAsia="hu-HU"/>
        </w:rPr>
      </w:pPr>
      <w:r w:rsidRPr="00CE4893">
        <w:rPr>
          <w:rFonts w:ascii="Times New Roman" w:eastAsia="Times New Roman" w:hAnsi="Times New Roman" w:cs="Times New Roman"/>
          <w:b/>
          <w:bCs/>
          <w:sz w:val="26"/>
          <w:szCs w:val="26"/>
          <w:lang w:eastAsia="hu-HU"/>
        </w:rPr>
        <w:t xml:space="preserve">A negyedik </w:t>
      </w:r>
      <w:r w:rsidRPr="00CE4893">
        <w:rPr>
          <w:rFonts w:ascii="Times New Roman" w:eastAsia="Times New Roman" w:hAnsi="Times New Roman" w:cs="Times New Roman"/>
          <w:sz w:val="26"/>
          <w:szCs w:val="26"/>
          <w:lang w:eastAsia="hu-HU"/>
        </w:rPr>
        <w:t xml:space="preserve">– további csökkentő hatású – </w:t>
      </w:r>
      <w:r w:rsidRPr="00CE4893">
        <w:rPr>
          <w:rFonts w:ascii="Times New Roman" w:eastAsia="Times New Roman" w:hAnsi="Times New Roman" w:cs="Times New Roman"/>
          <w:b/>
          <w:bCs/>
          <w:sz w:val="26"/>
          <w:szCs w:val="26"/>
          <w:lang w:eastAsia="hu-HU"/>
        </w:rPr>
        <w:t>tényező a deviza-keresztárfolyamok változása</w:t>
      </w:r>
      <w:r w:rsidRPr="00CE4893">
        <w:rPr>
          <w:rFonts w:ascii="Times New Roman" w:eastAsia="Times New Roman" w:hAnsi="Times New Roman" w:cs="Times New Roman"/>
          <w:sz w:val="26"/>
          <w:szCs w:val="26"/>
          <w:lang w:eastAsia="hu-HU"/>
        </w:rPr>
        <w:t xml:space="preserve"> és az egyéb tényezők miatt bekövetkezett mark-</w:t>
      </w:r>
      <w:proofErr w:type="spellStart"/>
      <w:r w:rsidRPr="00CE4893">
        <w:rPr>
          <w:rFonts w:ascii="Times New Roman" w:eastAsia="Times New Roman" w:hAnsi="Times New Roman" w:cs="Times New Roman"/>
          <w:sz w:val="26"/>
          <w:szCs w:val="26"/>
          <w:lang w:eastAsia="hu-HU"/>
        </w:rPr>
        <w:t>to</w:t>
      </w:r>
      <w:proofErr w:type="spellEnd"/>
      <w:r w:rsidRPr="00CE4893">
        <w:rPr>
          <w:rFonts w:ascii="Times New Roman" w:eastAsia="Times New Roman" w:hAnsi="Times New Roman" w:cs="Times New Roman"/>
          <w:sz w:val="26"/>
          <w:szCs w:val="26"/>
          <w:lang w:eastAsia="hu-HU"/>
        </w:rPr>
        <w:t>-market betétállományok csökkenése 94,</w:t>
      </w:r>
      <w:r w:rsidR="005710F5">
        <w:rPr>
          <w:rFonts w:ascii="Times New Roman" w:eastAsia="Times New Roman" w:hAnsi="Times New Roman" w:cs="Times New Roman"/>
          <w:sz w:val="26"/>
          <w:szCs w:val="26"/>
          <w:lang w:eastAsia="hu-HU"/>
        </w:rPr>
        <w:t>1</w:t>
      </w:r>
      <w:r>
        <w:rPr>
          <w:rFonts w:ascii="Times New Roman" w:eastAsia="Times New Roman" w:hAnsi="Times New Roman" w:cs="Times New Roman"/>
          <w:sz w:val="26"/>
          <w:szCs w:val="26"/>
          <w:lang w:eastAsia="hu-HU"/>
        </w:rPr>
        <w:t> </w:t>
      </w:r>
      <w:r w:rsidRPr="00CE4893">
        <w:rPr>
          <w:rFonts w:ascii="Times New Roman" w:eastAsia="Times New Roman" w:hAnsi="Times New Roman" w:cs="Times New Roman"/>
          <w:sz w:val="26"/>
          <w:szCs w:val="26"/>
          <w:lang w:eastAsia="hu-HU"/>
        </w:rPr>
        <w:t>milliárd forint összegben.</w:t>
      </w:r>
    </w:p>
    <w:p w14:paraId="111568C6" w14:textId="77777777" w:rsidR="007B0B76" w:rsidRDefault="007B0B76" w:rsidP="007B0B76">
      <w:pPr>
        <w:jc w:val="both"/>
        <w:rPr>
          <w:rFonts w:ascii="Times New Roman" w:eastAsia="Times New Roman" w:hAnsi="Times New Roman" w:cs="Times New Roman"/>
          <w:sz w:val="26"/>
          <w:szCs w:val="26"/>
          <w:lang w:eastAsia="hu-HU"/>
        </w:rPr>
      </w:pPr>
    </w:p>
    <w:p w14:paraId="157CBCF7" w14:textId="192A582E" w:rsidR="007B0B76" w:rsidRPr="007B0B76" w:rsidRDefault="007B0B76" w:rsidP="007B0B76">
      <w:pPr>
        <w:jc w:val="both"/>
        <w:rPr>
          <w:rFonts w:ascii="Times New Roman" w:eastAsia="Times New Roman" w:hAnsi="Times New Roman" w:cs="Times New Roman"/>
          <w:sz w:val="26"/>
          <w:szCs w:val="26"/>
          <w:lang w:eastAsia="hu-HU"/>
        </w:rPr>
        <w:sectPr w:rsidR="007B0B76" w:rsidRPr="007B0B76" w:rsidSect="007449BF">
          <w:headerReference w:type="default" r:id="rId26"/>
          <w:footerReference w:type="default" r:id="rId27"/>
          <w:footnotePr>
            <w:numRestart w:val="eachPage"/>
          </w:footnotePr>
          <w:pgSz w:w="11907" w:h="16840" w:code="9"/>
          <w:pgMar w:top="1134" w:right="1134" w:bottom="1418" w:left="1418" w:header="709" w:footer="709" w:gutter="0"/>
          <w:cols w:space="708"/>
          <w:docGrid w:linePitch="354"/>
        </w:sectPr>
      </w:pPr>
    </w:p>
    <w:p w14:paraId="7B768C5C" w14:textId="6A9C59FA" w:rsidR="00B155FE" w:rsidRPr="00377D59" w:rsidRDefault="7C285CBA" w:rsidP="7C285CBA">
      <w:pPr>
        <w:spacing w:after="120" w:line="240" w:lineRule="auto"/>
        <w:ind w:right="23"/>
        <w:jc w:val="both"/>
        <w:rPr>
          <w:rFonts w:ascii="Times New Roman" w:eastAsia="Times New Roman" w:hAnsi="Times New Roman" w:cs="Times New Roman"/>
          <w:sz w:val="26"/>
          <w:szCs w:val="26"/>
          <w:lang w:eastAsia="hu-HU"/>
        </w:rPr>
      </w:pPr>
      <w:r w:rsidRPr="7C285CBA">
        <w:rPr>
          <w:rFonts w:ascii="Times New Roman" w:eastAsia="Times New Roman" w:hAnsi="Times New Roman" w:cs="Times New Roman"/>
          <w:sz w:val="26"/>
          <w:szCs w:val="26"/>
          <w:lang w:eastAsia="hu-HU"/>
        </w:rPr>
        <w:lastRenderedPageBreak/>
        <w:t xml:space="preserve">Az előzetes adatok szerint 2025. </w:t>
      </w:r>
      <w:r w:rsidR="00CE4893">
        <w:rPr>
          <w:rFonts w:ascii="Times New Roman" w:eastAsia="Times New Roman" w:hAnsi="Times New Roman" w:cs="Times New Roman"/>
          <w:sz w:val="26"/>
          <w:szCs w:val="26"/>
          <w:lang w:eastAsia="hu-HU"/>
        </w:rPr>
        <w:t>augusztus</w:t>
      </w:r>
      <w:r w:rsidRPr="7C285CBA">
        <w:rPr>
          <w:rFonts w:ascii="Times New Roman" w:eastAsia="Times New Roman" w:hAnsi="Times New Roman" w:cs="Times New Roman"/>
          <w:sz w:val="26"/>
          <w:szCs w:val="26"/>
          <w:lang w:eastAsia="hu-HU"/>
        </w:rPr>
        <w:t xml:space="preserve"> végén a </w:t>
      </w:r>
      <w:r w:rsidRPr="7C285CBA">
        <w:rPr>
          <w:rFonts w:ascii="Times New Roman" w:eastAsia="Times New Roman" w:hAnsi="Times New Roman" w:cs="Times New Roman"/>
          <w:b/>
          <w:bCs/>
          <w:sz w:val="26"/>
          <w:szCs w:val="26"/>
          <w:lang w:eastAsia="hu-HU"/>
        </w:rPr>
        <w:t xml:space="preserve">központi költségvetés forint- és devizaadóssága </w:t>
      </w:r>
      <w:r w:rsidRPr="7C285CBA">
        <w:rPr>
          <w:rFonts w:ascii="Times New Roman" w:eastAsia="Times New Roman" w:hAnsi="Times New Roman" w:cs="Times New Roman"/>
          <w:sz w:val="26"/>
          <w:szCs w:val="26"/>
          <w:lang w:eastAsia="hu-HU"/>
        </w:rPr>
        <w:t>az alábbiak szerint alakult:</w:t>
      </w:r>
    </w:p>
    <w:p w14:paraId="7B768C5D" w14:textId="252296E8" w:rsidR="00B155FE" w:rsidRDefault="7C285CBA" w:rsidP="7C285CBA">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7C285CBA">
        <w:rPr>
          <w:rFonts w:ascii="Times New Roman" w:eastAsia="Times New Roman" w:hAnsi="Times New Roman" w:cs="Times New Roman"/>
          <w:sz w:val="26"/>
          <w:szCs w:val="26"/>
          <w:lang w:eastAsia="hu-HU"/>
        </w:rPr>
        <w:t>A központi költségvetés adósságának alakulása 2025-ben, milliárd forint</w:t>
      </w:r>
    </w:p>
    <w:p w14:paraId="31C86ED1" w14:textId="0BAD26CB" w:rsidR="007B0B76" w:rsidRDefault="00CE4893" w:rsidP="13E847AC">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00CE4893">
        <w:rPr>
          <w:noProof/>
        </w:rPr>
        <w:drawing>
          <wp:inline distT="0" distB="0" distL="0" distR="0" wp14:anchorId="0481F8C8" wp14:editId="22E37932">
            <wp:extent cx="8934450" cy="4229100"/>
            <wp:effectExtent l="0" t="0" r="0" b="0"/>
            <wp:docPr id="9059812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34450" cy="4229100"/>
                    </a:xfrm>
                    <a:prstGeom prst="rect">
                      <a:avLst/>
                    </a:prstGeom>
                    <a:noFill/>
                    <a:ln>
                      <a:noFill/>
                    </a:ln>
                  </pic:spPr>
                </pic:pic>
              </a:graphicData>
            </a:graphic>
          </wp:inline>
        </w:drawing>
      </w:r>
    </w:p>
    <w:p w14:paraId="7B768C5F" w14:textId="77777777" w:rsidR="00B155FE" w:rsidRPr="00377D59" w:rsidRDefault="7C285CBA" w:rsidP="7C285CBA">
      <w:pPr>
        <w:spacing w:after="120" w:line="240" w:lineRule="auto"/>
        <w:jc w:val="both"/>
        <w:rPr>
          <w:rFonts w:ascii="Times New Roman" w:eastAsia="Times New Roman" w:hAnsi="Times New Roman" w:cs="Times New Roman"/>
          <w:sz w:val="24"/>
          <w:szCs w:val="24"/>
          <w:lang w:eastAsia="hu-HU"/>
        </w:rPr>
      </w:pPr>
      <w:r w:rsidRPr="7C285CBA">
        <w:rPr>
          <w:rFonts w:ascii="Times New Roman" w:eastAsia="Times New Roman" w:hAnsi="Times New Roman" w:cs="Times New Roman"/>
          <w:i/>
          <w:iCs/>
          <w:sz w:val="24"/>
          <w:szCs w:val="24"/>
          <w:lang w:eastAsia="hu-HU"/>
        </w:rPr>
        <w:t>Megjegyzés: a táblában szereplő tizedes eltérések kerekítésből adódnak.</w:t>
      </w:r>
    </w:p>
    <w:p w14:paraId="67FEF71B" w14:textId="4352F928" w:rsidR="00617877" w:rsidRPr="00377D59" w:rsidRDefault="00617877" w:rsidP="00617877">
      <w:pPr>
        <w:jc w:val="center"/>
        <w:rPr>
          <w:rFonts w:ascii="Times New Roman" w:eastAsia="Times New Roman" w:hAnsi="Times New Roman" w:cs="Times New Roman"/>
          <w:sz w:val="26"/>
          <w:szCs w:val="26"/>
          <w:lang w:eastAsia="hu-HU"/>
        </w:rPr>
      </w:pPr>
    </w:p>
    <w:p w14:paraId="612D5E01" w14:textId="247C2A7A" w:rsidR="00617877" w:rsidRPr="00377D59" w:rsidRDefault="00617877" w:rsidP="00617877">
      <w:pPr>
        <w:rPr>
          <w:rFonts w:ascii="Times New Roman" w:eastAsia="Times New Roman" w:hAnsi="Times New Roman" w:cs="Times New Roman"/>
          <w:sz w:val="26"/>
          <w:szCs w:val="26"/>
          <w:lang w:eastAsia="hu-HU"/>
        </w:rPr>
      </w:pPr>
    </w:p>
    <w:p w14:paraId="4A764331" w14:textId="77777777" w:rsidR="00EA1F58" w:rsidRPr="00377D59" w:rsidRDefault="00EA1F58" w:rsidP="00617877">
      <w:pPr>
        <w:rPr>
          <w:rFonts w:ascii="Times New Roman" w:eastAsia="Times New Roman" w:hAnsi="Times New Roman" w:cs="Times New Roman"/>
          <w:sz w:val="26"/>
          <w:szCs w:val="26"/>
          <w:lang w:eastAsia="hu-HU"/>
        </w:rPr>
        <w:sectPr w:rsidR="00EA1F58" w:rsidRPr="00377D59" w:rsidSect="007449BF">
          <w:headerReference w:type="default" r:id="rId29"/>
          <w:headerReference w:type="first" r:id="rId30"/>
          <w:footnotePr>
            <w:numRestart w:val="eachPage"/>
          </w:footnotePr>
          <w:pgSz w:w="16840" w:h="11907" w:orient="landscape" w:code="9"/>
          <w:pgMar w:top="993" w:right="1134" w:bottom="1134" w:left="1418" w:header="709" w:footer="709" w:gutter="0"/>
          <w:pgNumType w:start="19"/>
          <w:cols w:space="708"/>
          <w:titlePg/>
          <w:docGrid w:linePitch="299"/>
        </w:sectPr>
      </w:pPr>
    </w:p>
    <w:p w14:paraId="4639D1F2" w14:textId="50B6CC80" w:rsidR="009033C0" w:rsidRPr="009033C0" w:rsidRDefault="009033C0" w:rsidP="009033C0">
      <w:pPr>
        <w:jc w:val="both"/>
        <w:rPr>
          <w:rFonts w:ascii="Times New Roman" w:eastAsia="Times New Roman" w:hAnsi="Times New Roman" w:cs="Times New Roman"/>
          <w:sz w:val="26"/>
          <w:szCs w:val="26"/>
          <w:lang w:eastAsia="hu-HU"/>
        </w:rPr>
      </w:pPr>
      <w:r w:rsidRPr="009033C0">
        <w:rPr>
          <w:rFonts w:ascii="Times New Roman" w:eastAsia="Times New Roman" w:hAnsi="Times New Roman" w:cs="Times New Roman"/>
          <w:b/>
          <w:bCs/>
          <w:sz w:val="26"/>
          <w:szCs w:val="26"/>
          <w:lang w:eastAsia="hu-HU"/>
        </w:rPr>
        <w:lastRenderedPageBreak/>
        <w:t>A központi költségvetés devizaadóssága</w:t>
      </w:r>
      <w:r w:rsidRPr="009033C0">
        <w:rPr>
          <w:rFonts w:ascii="Times New Roman" w:eastAsia="Times New Roman" w:hAnsi="Times New Roman" w:cs="Times New Roman"/>
          <w:sz w:val="26"/>
          <w:szCs w:val="26"/>
          <w:lang w:eastAsia="hu-HU"/>
        </w:rPr>
        <w:t xml:space="preserve"> 2025-ben 2218,6</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forinttal 18</w:t>
      </w:r>
      <w:r>
        <w:rPr>
          <w:rFonts w:ascii="Times New Roman" w:eastAsia="Times New Roman" w:hAnsi="Times New Roman" w:cs="Times New Roman"/>
          <w:sz w:val="26"/>
          <w:szCs w:val="26"/>
          <w:lang w:eastAsia="hu-HU"/>
        </w:rPr>
        <w:t> </w:t>
      </w:r>
      <w:r w:rsidRPr="009033C0">
        <w:rPr>
          <w:rFonts w:ascii="Times New Roman" w:eastAsia="Times New Roman" w:hAnsi="Times New Roman" w:cs="Times New Roman"/>
          <w:sz w:val="26"/>
          <w:szCs w:val="26"/>
          <w:lang w:eastAsia="hu-HU"/>
        </w:rPr>
        <w:t>776,4</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forintra növekedett az elmúlt év végéhez képest. A devizaadósság részaránya a 2024. év végi 29,8%-os szintről </w:t>
      </w:r>
      <w:r w:rsidR="00831975" w:rsidRPr="00831975">
        <w:rPr>
          <w:rFonts w:ascii="Times New Roman" w:eastAsia="Times New Roman" w:hAnsi="Times New Roman" w:cs="Times New Roman"/>
          <w:sz w:val="26"/>
          <w:szCs w:val="26"/>
          <w:lang w:eastAsia="hu-HU"/>
        </w:rPr>
        <w:t xml:space="preserve">átmenetileg </w:t>
      </w:r>
      <w:r w:rsidRPr="009033C0">
        <w:rPr>
          <w:rFonts w:ascii="Times New Roman" w:eastAsia="Times New Roman" w:hAnsi="Times New Roman" w:cs="Times New Roman"/>
          <w:sz w:val="26"/>
          <w:szCs w:val="26"/>
          <w:lang w:eastAsia="hu-HU"/>
        </w:rPr>
        <w:t>31,3%-os szintre emelkedett a teljes adósságon belül.</w:t>
      </w:r>
    </w:p>
    <w:p w14:paraId="33381026" w14:textId="60A16E9E" w:rsidR="009033C0" w:rsidRPr="009033C0" w:rsidRDefault="009033C0" w:rsidP="009033C0">
      <w:pPr>
        <w:jc w:val="both"/>
        <w:rPr>
          <w:rFonts w:ascii="Times New Roman" w:eastAsia="Times New Roman" w:hAnsi="Times New Roman" w:cs="Times New Roman"/>
          <w:sz w:val="26"/>
          <w:szCs w:val="26"/>
          <w:lang w:eastAsia="hu-HU"/>
        </w:rPr>
      </w:pPr>
      <w:r w:rsidRPr="009033C0">
        <w:rPr>
          <w:rFonts w:ascii="Times New Roman" w:eastAsia="Times New Roman" w:hAnsi="Times New Roman" w:cs="Times New Roman"/>
          <w:sz w:val="26"/>
          <w:szCs w:val="26"/>
          <w:lang w:eastAsia="hu-HU"/>
        </w:rPr>
        <w:t>A növekedés hátterében döntően a devizakötvény-kibocsátások állnak. 2025. január 7-én sor került az idei év első nemzetközi eurókötvény-kibocsátására összesen 1035,7</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 (2,5</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EUR) összegben. Két sorozat piacra vitele történt meg, egy 10 éves futamidejű hagyományos sorozat 621,4</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 (1,5</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EUR) és egy 15 éves futamidejű zöld sorozat 414,3</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 (1,0</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EUR) összegben. 2025. június 16-án valósult meg a második nemzetközi devizakötvénykibocsátás, összesen 1404,6</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 (4</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USD) értékben. Ez három tételből állt, az 5 éves futamidejű 526,7</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 (1,5</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USD) összegű, a 10 éves futamidejű 351,1</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 (1</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USD) összegű és a 30 éves futamidejű 526,7</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 (1,5</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USD) összegű sorozatból. 2025. július 22-én volt Magyarország idei harmadik devizakötvény kibocsátása, amely egyben hazánk ötödik Panda Kötvény kibocsátása Kínában, összesen 237,8</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 (5</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CNY) összegben. Két sorozat értékesítése történt meg, egy 3 éves futamidejű 190,2</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 (4</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CNY) és egy 5 éves futamidejű 47,6</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 (1</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CNY) összegű. </w:t>
      </w:r>
    </w:p>
    <w:p w14:paraId="08D0567A" w14:textId="048525E0" w:rsidR="009033C0" w:rsidRPr="009033C0" w:rsidRDefault="009033C0" w:rsidP="009033C0">
      <w:pPr>
        <w:jc w:val="both"/>
        <w:rPr>
          <w:rFonts w:ascii="Times New Roman" w:eastAsia="Times New Roman" w:hAnsi="Times New Roman" w:cs="Times New Roman"/>
          <w:sz w:val="26"/>
          <w:szCs w:val="26"/>
          <w:lang w:eastAsia="hu-HU"/>
        </w:rPr>
      </w:pPr>
      <w:r w:rsidRPr="009033C0">
        <w:rPr>
          <w:rFonts w:ascii="Times New Roman" w:eastAsia="Times New Roman" w:hAnsi="Times New Roman" w:cs="Times New Roman"/>
          <w:sz w:val="26"/>
          <w:szCs w:val="26"/>
          <w:lang w:eastAsia="hu-HU"/>
        </w:rPr>
        <w:t xml:space="preserve">Az ECP (Euro </w:t>
      </w:r>
      <w:proofErr w:type="spellStart"/>
      <w:r w:rsidRPr="009033C0">
        <w:rPr>
          <w:rFonts w:ascii="Times New Roman" w:eastAsia="Times New Roman" w:hAnsi="Times New Roman" w:cs="Times New Roman"/>
          <w:sz w:val="26"/>
          <w:szCs w:val="26"/>
          <w:lang w:eastAsia="hu-HU"/>
        </w:rPr>
        <w:t>Commercial</w:t>
      </w:r>
      <w:proofErr w:type="spellEnd"/>
      <w:r w:rsidRPr="009033C0">
        <w:rPr>
          <w:rFonts w:ascii="Times New Roman" w:eastAsia="Times New Roman" w:hAnsi="Times New Roman" w:cs="Times New Roman"/>
          <w:sz w:val="26"/>
          <w:szCs w:val="26"/>
          <w:lang w:eastAsia="hu-HU"/>
        </w:rPr>
        <w:t xml:space="preserve"> </w:t>
      </w:r>
      <w:proofErr w:type="spellStart"/>
      <w:r w:rsidRPr="009033C0">
        <w:rPr>
          <w:rFonts w:ascii="Times New Roman" w:eastAsia="Times New Roman" w:hAnsi="Times New Roman" w:cs="Times New Roman"/>
          <w:sz w:val="26"/>
          <w:szCs w:val="26"/>
          <w:lang w:eastAsia="hu-HU"/>
        </w:rPr>
        <w:t>Paper</w:t>
      </w:r>
      <w:proofErr w:type="spellEnd"/>
      <w:r w:rsidRPr="009033C0">
        <w:rPr>
          <w:rFonts w:ascii="Times New Roman" w:eastAsia="Times New Roman" w:hAnsi="Times New Roman" w:cs="Times New Roman"/>
          <w:sz w:val="26"/>
          <w:szCs w:val="26"/>
          <w:lang w:eastAsia="hu-HU"/>
        </w:rPr>
        <w:t>) program keretében áprilisban kibocsátott devizaértékpapírok összege 180,1</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 (500</w:t>
      </w:r>
      <w:r>
        <w:rPr>
          <w:rFonts w:ascii="Times New Roman" w:eastAsia="Times New Roman" w:hAnsi="Times New Roman" w:cs="Times New Roman"/>
          <w:sz w:val="26"/>
          <w:szCs w:val="26"/>
          <w:lang w:eastAsia="hu-HU"/>
        </w:rPr>
        <w:t> </w:t>
      </w:r>
      <w:r w:rsidRPr="009033C0">
        <w:rPr>
          <w:rFonts w:ascii="Times New Roman" w:eastAsia="Times New Roman" w:hAnsi="Times New Roman" w:cs="Times New Roman"/>
          <w:sz w:val="26"/>
          <w:szCs w:val="26"/>
          <w:lang w:eastAsia="hu-HU"/>
        </w:rPr>
        <w:t>millió USD) volt. A további devizahitel lehívások összege szintén emelte, míg az árfolyamerősödés ugyanakkor csökkentette a devizaadósság részarányát.</w:t>
      </w:r>
    </w:p>
    <w:p w14:paraId="7535C7F7" w14:textId="3962ACDE" w:rsidR="009033C0" w:rsidRPr="009033C0" w:rsidRDefault="009033C0" w:rsidP="009033C0">
      <w:pPr>
        <w:jc w:val="both"/>
        <w:rPr>
          <w:rFonts w:ascii="Times New Roman" w:eastAsia="Times New Roman" w:hAnsi="Times New Roman" w:cs="Times New Roman"/>
          <w:sz w:val="26"/>
          <w:szCs w:val="26"/>
          <w:lang w:eastAsia="hu-HU"/>
        </w:rPr>
      </w:pPr>
      <w:r w:rsidRPr="009033C0">
        <w:rPr>
          <w:rFonts w:ascii="Times New Roman" w:eastAsia="Times New Roman" w:hAnsi="Times New Roman" w:cs="Times New Roman"/>
          <w:b/>
          <w:bCs/>
          <w:sz w:val="26"/>
          <w:szCs w:val="26"/>
          <w:lang w:eastAsia="hu-HU"/>
        </w:rPr>
        <w:t>A költségvetés forintadóssága</w:t>
      </w:r>
      <w:r w:rsidRPr="009033C0">
        <w:rPr>
          <w:rFonts w:ascii="Times New Roman" w:eastAsia="Times New Roman" w:hAnsi="Times New Roman" w:cs="Times New Roman"/>
          <w:sz w:val="26"/>
          <w:szCs w:val="26"/>
          <w:lang w:eastAsia="hu-HU"/>
        </w:rPr>
        <w:t xml:space="preserve"> augusztus végéig 2462,6</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forinttal növekedett és 41</w:t>
      </w:r>
      <w:r>
        <w:rPr>
          <w:rFonts w:ascii="Times New Roman" w:eastAsia="Times New Roman" w:hAnsi="Times New Roman" w:cs="Times New Roman"/>
          <w:sz w:val="26"/>
          <w:szCs w:val="26"/>
          <w:lang w:eastAsia="hu-HU"/>
        </w:rPr>
        <w:t> </w:t>
      </w:r>
      <w:r w:rsidRPr="009033C0">
        <w:rPr>
          <w:rFonts w:ascii="Times New Roman" w:eastAsia="Times New Roman" w:hAnsi="Times New Roman" w:cs="Times New Roman"/>
          <w:sz w:val="26"/>
          <w:szCs w:val="26"/>
          <w:lang w:eastAsia="hu-HU"/>
        </w:rPr>
        <w:t>164,2</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forintot ért el, a forint adósság a teljes államadósság 68,5%-át teszi ki. 2024 decemberében ez az arány 69,8% volt. </w:t>
      </w:r>
    </w:p>
    <w:p w14:paraId="2B454FD5" w14:textId="36020754" w:rsidR="009033C0" w:rsidRPr="009033C0" w:rsidRDefault="009033C0" w:rsidP="009033C0">
      <w:pPr>
        <w:jc w:val="both"/>
        <w:rPr>
          <w:rFonts w:ascii="Times New Roman" w:eastAsia="Times New Roman" w:hAnsi="Times New Roman" w:cs="Times New Roman"/>
          <w:sz w:val="26"/>
          <w:szCs w:val="26"/>
          <w:lang w:eastAsia="hu-HU"/>
        </w:rPr>
      </w:pPr>
      <w:r w:rsidRPr="009033C0">
        <w:rPr>
          <w:rFonts w:ascii="Times New Roman" w:eastAsia="Times New Roman" w:hAnsi="Times New Roman" w:cs="Times New Roman"/>
          <w:sz w:val="26"/>
          <w:szCs w:val="26"/>
          <w:lang w:eastAsia="hu-HU"/>
        </w:rPr>
        <w:t>2025. augusztus végén a forint lakossági állampapírok állománya 11</w:t>
      </w:r>
      <w:r>
        <w:rPr>
          <w:rFonts w:ascii="Times New Roman" w:eastAsia="Times New Roman" w:hAnsi="Times New Roman" w:cs="Times New Roman"/>
          <w:sz w:val="26"/>
          <w:szCs w:val="26"/>
          <w:lang w:eastAsia="hu-HU"/>
        </w:rPr>
        <w:t> </w:t>
      </w:r>
      <w:r w:rsidRPr="009033C0">
        <w:rPr>
          <w:rFonts w:ascii="Times New Roman" w:eastAsia="Times New Roman" w:hAnsi="Times New Roman" w:cs="Times New Roman"/>
          <w:sz w:val="26"/>
          <w:szCs w:val="26"/>
          <w:lang w:eastAsia="hu-HU"/>
        </w:rPr>
        <w:t>424,9</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forintot tett ki, ami 162,0</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 növekedést jelent 2024. december vége óta. A Prémium Magyar Állampapír állománya 2025. augusztus végére 2825,2</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forinttal csökkent, amely így 4135,8</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forintot tett ki. A Fix Magyar Állampapír állománya 1857,2</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forinttal növekedett és elérte a 2874,2</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forintot hó végén. Szintén emelkedett a Bónusz Magyar Állampapír állománya is, 1227,4</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 növekedést követően a hó végén 2436,3</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forintot tett ki. A Magyar Állampapír Plusz állománya, a nyomdai kibocsátású és a korábban értékesített papírokkal együtt, 157,9</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forinttal emelkedett, így hó végén 920,5</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forintot tett ki. A lakossági állampapírok közül a Fix Magyar Állampapír értékesítése volt a legmagasabb augusztusban.</w:t>
      </w:r>
    </w:p>
    <w:p w14:paraId="3526D016" w14:textId="78F9426A" w:rsidR="009033C0" w:rsidRPr="009033C0" w:rsidRDefault="009033C0" w:rsidP="009033C0">
      <w:pPr>
        <w:jc w:val="both"/>
        <w:rPr>
          <w:rFonts w:ascii="Times New Roman" w:eastAsia="Times New Roman" w:hAnsi="Times New Roman" w:cs="Times New Roman"/>
          <w:sz w:val="26"/>
          <w:szCs w:val="26"/>
          <w:lang w:eastAsia="hu-HU"/>
        </w:rPr>
      </w:pPr>
      <w:r w:rsidRPr="009033C0">
        <w:rPr>
          <w:rFonts w:ascii="Times New Roman" w:eastAsia="Times New Roman" w:hAnsi="Times New Roman" w:cs="Times New Roman"/>
          <w:sz w:val="26"/>
          <w:szCs w:val="26"/>
          <w:lang w:eastAsia="hu-HU"/>
        </w:rPr>
        <w:t>Az ÁKK Zrt. augusztus hó folyamán összesen 7,5</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 összegben vásárolt vissza lakossági állampapírokat a forgalmazó bankoktól. 2025 áprilisától a forgalmazóknak lehetőség nyílt saját számlájukra került lakossági állampapírok cseréjére. Ennek keretében augusztusban 36,9</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 összegben váltották be a saját számlájukra került lakossági állampapírokat az épp értékesítés alatt álló sorozatokra, amit a másodpiacon tovább értékesíthetnek a lakosság számára.</w:t>
      </w:r>
    </w:p>
    <w:p w14:paraId="2D09AA98" w14:textId="41717A03" w:rsidR="009033C0" w:rsidRPr="009033C0" w:rsidRDefault="009033C0" w:rsidP="009033C0">
      <w:pPr>
        <w:jc w:val="both"/>
        <w:rPr>
          <w:rFonts w:ascii="Times New Roman" w:eastAsia="Times New Roman" w:hAnsi="Times New Roman" w:cs="Times New Roman"/>
          <w:sz w:val="26"/>
          <w:szCs w:val="26"/>
          <w:lang w:eastAsia="hu-HU"/>
        </w:rPr>
      </w:pPr>
      <w:r w:rsidRPr="009033C0">
        <w:rPr>
          <w:rFonts w:ascii="Times New Roman" w:eastAsia="Times New Roman" w:hAnsi="Times New Roman" w:cs="Times New Roman"/>
          <w:sz w:val="26"/>
          <w:szCs w:val="26"/>
          <w:lang w:eastAsia="hu-HU"/>
        </w:rPr>
        <w:lastRenderedPageBreak/>
        <w:t xml:space="preserve">A </w:t>
      </w:r>
      <w:r w:rsidRPr="009033C0">
        <w:rPr>
          <w:rFonts w:ascii="Times New Roman" w:eastAsia="Times New Roman" w:hAnsi="Times New Roman" w:cs="Times New Roman"/>
          <w:b/>
          <w:bCs/>
          <w:sz w:val="26"/>
          <w:szCs w:val="26"/>
          <w:lang w:eastAsia="hu-HU"/>
        </w:rPr>
        <w:t>külföldi befektetők állampapír állománya</w:t>
      </w:r>
      <w:r w:rsidRPr="009033C0">
        <w:rPr>
          <w:rFonts w:ascii="Times New Roman" w:eastAsia="Times New Roman" w:hAnsi="Times New Roman" w:cs="Times New Roman"/>
          <w:sz w:val="26"/>
          <w:szCs w:val="26"/>
          <w:lang w:eastAsia="hu-HU"/>
        </w:rPr>
        <w:t xml:space="preserve"> augusztusban 841,4</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forinttal 7103,5</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forintra emelkedett az előző hónaphoz képest. A külföldi állomány 99,8%-a, 7092,3</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 államkötvény, 0,2%-a, 11,2</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 diszkontkincstárjegy. A külföldi állomány átlagos hátralévő futamideje augusztus végén 5,3 év volt.</w:t>
      </w:r>
    </w:p>
    <w:p w14:paraId="43D54292" w14:textId="5EEE1E30" w:rsidR="007B0B76" w:rsidRDefault="009033C0" w:rsidP="009033C0">
      <w:pPr>
        <w:jc w:val="both"/>
        <w:rPr>
          <w:rFonts w:ascii="Times New Roman" w:eastAsia="Times New Roman" w:hAnsi="Times New Roman" w:cs="Times New Roman"/>
          <w:sz w:val="26"/>
          <w:szCs w:val="26"/>
          <w:lang w:eastAsia="hu-HU"/>
        </w:rPr>
      </w:pPr>
      <w:r w:rsidRPr="009033C0">
        <w:rPr>
          <w:rFonts w:ascii="Times New Roman" w:eastAsia="Times New Roman" w:hAnsi="Times New Roman" w:cs="Times New Roman"/>
          <w:sz w:val="26"/>
          <w:szCs w:val="26"/>
          <w:lang w:eastAsia="hu-HU"/>
        </w:rPr>
        <w:t xml:space="preserve">A devizaállamadósság kockázatainak mérséklése érdekében az ÁKK Zrt. </w:t>
      </w:r>
      <w:proofErr w:type="spellStart"/>
      <w:r w:rsidRPr="009033C0">
        <w:rPr>
          <w:rFonts w:ascii="Times New Roman" w:eastAsia="Times New Roman" w:hAnsi="Times New Roman" w:cs="Times New Roman"/>
          <w:sz w:val="26"/>
          <w:szCs w:val="26"/>
          <w:lang w:eastAsia="hu-HU"/>
        </w:rPr>
        <w:t>swapügyleteket</w:t>
      </w:r>
      <w:proofErr w:type="spellEnd"/>
      <w:r w:rsidRPr="009033C0">
        <w:rPr>
          <w:rFonts w:ascii="Times New Roman" w:eastAsia="Times New Roman" w:hAnsi="Times New Roman" w:cs="Times New Roman"/>
          <w:sz w:val="26"/>
          <w:szCs w:val="26"/>
          <w:lang w:eastAsia="hu-HU"/>
        </w:rPr>
        <w:t xml:space="preserve"> köt. Ezen ügyletekhez kapcsolódóan az ÁKK Zrt.-nél elhelyezett fedezeti összegek (ún. mark-</w:t>
      </w:r>
      <w:proofErr w:type="spellStart"/>
      <w:r w:rsidRPr="009033C0">
        <w:rPr>
          <w:rFonts w:ascii="Times New Roman" w:eastAsia="Times New Roman" w:hAnsi="Times New Roman" w:cs="Times New Roman"/>
          <w:sz w:val="26"/>
          <w:szCs w:val="26"/>
          <w:lang w:eastAsia="hu-HU"/>
        </w:rPr>
        <w:t>to</w:t>
      </w:r>
      <w:proofErr w:type="spellEnd"/>
      <w:r w:rsidRPr="009033C0">
        <w:rPr>
          <w:rFonts w:ascii="Times New Roman" w:eastAsia="Times New Roman" w:hAnsi="Times New Roman" w:cs="Times New Roman"/>
          <w:sz w:val="26"/>
          <w:szCs w:val="26"/>
          <w:lang w:eastAsia="hu-HU"/>
        </w:rPr>
        <w:t>-market betétek) az adósságállomány részét képezik, és az „egyéb kötelezettségek” soron kerülnek kimutatásra. A vizsgált időszakban az egyéb kötelezettségek állománya 94,2</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forinttal csökkent. Augusztus végén az állomány 125,5</w:t>
      </w:r>
      <w:r>
        <w:rPr>
          <w:rFonts w:ascii="Times New Roman" w:eastAsia="Times New Roman" w:hAnsi="Times New Roman" w:cs="Times New Roman"/>
          <w:sz w:val="26"/>
          <w:szCs w:val="26"/>
          <w:lang w:eastAsia="hu-HU"/>
        </w:rPr>
        <w:t> milliárd</w:t>
      </w:r>
      <w:r w:rsidRPr="009033C0">
        <w:rPr>
          <w:rFonts w:ascii="Times New Roman" w:eastAsia="Times New Roman" w:hAnsi="Times New Roman" w:cs="Times New Roman"/>
          <w:sz w:val="26"/>
          <w:szCs w:val="26"/>
          <w:lang w:eastAsia="hu-HU"/>
        </w:rPr>
        <w:t xml:space="preserve"> forintot tett ki, ami a teljes államadósság 0,2%-át jelenti</w:t>
      </w:r>
      <w:r w:rsidR="7C285CBA" w:rsidRPr="7C285CBA">
        <w:rPr>
          <w:rFonts w:ascii="Times New Roman" w:eastAsia="Times New Roman" w:hAnsi="Times New Roman" w:cs="Times New Roman"/>
          <w:sz w:val="26"/>
          <w:szCs w:val="26"/>
          <w:lang w:eastAsia="hu-HU"/>
        </w:rPr>
        <w:t>.</w:t>
      </w:r>
    </w:p>
    <w:p w14:paraId="41B275C0" w14:textId="77777777" w:rsidR="007B0B76" w:rsidRPr="007B0B76" w:rsidRDefault="007B0B76" w:rsidP="007B0B76">
      <w:pPr>
        <w:jc w:val="both"/>
        <w:rPr>
          <w:rFonts w:ascii="Times New Roman" w:eastAsia="Times New Roman" w:hAnsi="Times New Roman" w:cs="Times New Roman"/>
          <w:sz w:val="26"/>
          <w:szCs w:val="26"/>
          <w:lang w:eastAsia="hu-HU"/>
        </w:rPr>
      </w:pPr>
    </w:p>
    <w:sectPr w:rsidR="007B0B76" w:rsidRPr="007B0B76" w:rsidSect="007449BF">
      <w:headerReference w:type="even" r:id="rId31"/>
      <w:footerReference w:type="default" r:id="rId32"/>
      <w:footerReference w:type="first" r:id="rId33"/>
      <w:pgSz w:w="11906" w:h="16838"/>
      <w:pgMar w:top="1418" w:right="1134" w:bottom="1418" w:left="1134" w:header="708" w:footer="6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494C" w14:textId="77777777" w:rsidR="00482CC1" w:rsidRDefault="00482CC1" w:rsidP="00B155FE">
      <w:pPr>
        <w:spacing w:after="0" w:line="240" w:lineRule="auto"/>
      </w:pPr>
      <w:r>
        <w:separator/>
      </w:r>
    </w:p>
  </w:endnote>
  <w:endnote w:type="continuationSeparator" w:id="0">
    <w:p w14:paraId="0CF0A269" w14:textId="77777777" w:rsidR="00482CC1" w:rsidRDefault="00482CC1" w:rsidP="00B155FE">
      <w:pPr>
        <w:spacing w:after="0" w:line="240" w:lineRule="auto"/>
      </w:pPr>
      <w:r>
        <w:continuationSeparator/>
      </w:r>
    </w:p>
  </w:endnote>
  <w:endnote w:type="continuationNotice" w:id="1">
    <w:p w14:paraId="5A5417C1" w14:textId="77777777" w:rsidR="00482CC1" w:rsidRDefault="00482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2D1F" w14:textId="4DE2DC1D" w:rsidR="00473AC1" w:rsidRDefault="00473AC1">
    <w:pPr>
      <w:pStyle w:val="llb"/>
      <w:jc w:val="center"/>
    </w:pPr>
  </w:p>
  <w:p w14:paraId="41773F2F" w14:textId="77777777" w:rsidR="00473AC1" w:rsidRDefault="00473AC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154505"/>
      <w:docPartObj>
        <w:docPartGallery w:val="Page Numbers (Bottom of Page)"/>
        <w:docPartUnique/>
      </w:docPartObj>
    </w:sdtPr>
    <w:sdtEndPr>
      <w:rPr>
        <w:rFonts w:ascii="Times New Roman" w:hAnsi="Times New Roman" w:cs="Times New Roman"/>
        <w:sz w:val="24"/>
      </w:rPr>
    </w:sdtEndPr>
    <w:sdtContent>
      <w:p w14:paraId="52C756D2" w14:textId="3800D4A3" w:rsidR="00473AC1" w:rsidRPr="005A1E0F" w:rsidRDefault="00473AC1">
        <w:pPr>
          <w:pStyle w:val="llb"/>
          <w:jc w:val="center"/>
          <w:rPr>
            <w:rFonts w:ascii="Times New Roman" w:hAnsi="Times New Roman" w:cs="Times New Roman"/>
            <w:sz w:val="24"/>
          </w:rPr>
        </w:pPr>
        <w:r w:rsidRPr="005A1E0F">
          <w:rPr>
            <w:rFonts w:ascii="Times New Roman" w:hAnsi="Times New Roman" w:cs="Times New Roman"/>
          </w:rPr>
          <w:t>20</w:t>
        </w:r>
      </w:p>
    </w:sdtContent>
  </w:sdt>
  <w:p w14:paraId="64304736" w14:textId="77777777" w:rsidR="00473AC1" w:rsidRDefault="00473AC1">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558895"/>
      <w:docPartObj>
        <w:docPartGallery w:val="Page Numbers (Bottom of Page)"/>
        <w:docPartUnique/>
      </w:docPartObj>
    </w:sdtPr>
    <w:sdtEndPr>
      <w:rPr>
        <w:rFonts w:ascii="Times New Roman" w:hAnsi="Times New Roman" w:cs="Times New Roman"/>
        <w:sz w:val="24"/>
      </w:rPr>
    </w:sdtEndPr>
    <w:sdtContent>
      <w:p w14:paraId="10FD5F29" w14:textId="7D80A60B" w:rsidR="00473AC1" w:rsidRPr="00470868" w:rsidRDefault="00473AC1">
        <w:pPr>
          <w:pStyle w:val="llb"/>
          <w:jc w:val="center"/>
          <w:rPr>
            <w:rFonts w:ascii="Times New Roman" w:hAnsi="Times New Roman" w:cs="Times New Roman"/>
            <w:sz w:val="24"/>
          </w:rPr>
        </w:pPr>
        <w:r w:rsidRPr="00470868">
          <w:rPr>
            <w:rFonts w:ascii="Times New Roman" w:hAnsi="Times New Roman" w:cs="Times New Roman"/>
            <w:sz w:val="24"/>
          </w:rPr>
          <w:fldChar w:fldCharType="begin"/>
        </w:r>
        <w:r w:rsidRPr="00470868">
          <w:rPr>
            <w:rFonts w:ascii="Times New Roman" w:hAnsi="Times New Roman" w:cs="Times New Roman"/>
            <w:sz w:val="24"/>
          </w:rPr>
          <w:instrText>PAGE   \* MERGEFORMAT</w:instrText>
        </w:r>
        <w:r w:rsidRPr="00470868">
          <w:rPr>
            <w:rFonts w:ascii="Times New Roman" w:hAnsi="Times New Roman" w:cs="Times New Roman"/>
            <w:sz w:val="24"/>
          </w:rPr>
          <w:fldChar w:fldCharType="separate"/>
        </w:r>
        <w:r w:rsidR="007B6DF2">
          <w:rPr>
            <w:rFonts w:ascii="Times New Roman" w:hAnsi="Times New Roman" w:cs="Times New Roman"/>
            <w:noProof/>
            <w:sz w:val="24"/>
          </w:rPr>
          <w:t>19</w:t>
        </w:r>
        <w:r w:rsidRPr="00470868">
          <w:rPr>
            <w:rFonts w:ascii="Times New Roman" w:hAnsi="Times New Roman" w:cs="Times New Roman"/>
            <w:sz w:val="24"/>
          </w:rPr>
          <w:fldChar w:fldCharType="end"/>
        </w:r>
      </w:p>
    </w:sdtContent>
  </w:sdt>
  <w:p w14:paraId="17329691" w14:textId="773A5D5E" w:rsidR="00473AC1" w:rsidRPr="00556984" w:rsidRDefault="00473AC1" w:rsidP="00556984">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18299"/>
      <w:docPartObj>
        <w:docPartGallery w:val="Page Numbers (Bottom of Page)"/>
        <w:docPartUnique/>
      </w:docPartObj>
    </w:sdtPr>
    <w:sdtEndPr>
      <w:rPr>
        <w:rFonts w:ascii="Times New Roman" w:hAnsi="Times New Roman" w:cs="Times New Roman"/>
        <w:sz w:val="24"/>
      </w:rPr>
    </w:sdtEndPr>
    <w:sdtContent>
      <w:p w14:paraId="7ADCE6C8" w14:textId="77777777" w:rsidR="00473AC1" w:rsidRPr="00D4148C" w:rsidRDefault="00473AC1">
        <w:pPr>
          <w:pStyle w:val="llb"/>
          <w:jc w:val="center"/>
          <w:rPr>
            <w:rFonts w:ascii="Times New Roman" w:hAnsi="Times New Roman" w:cs="Times New Roman"/>
            <w:sz w:val="24"/>
          </w:rPr>
        </w:pPr>
        <w:r>
          <w:rPr>
            <w:rFonts w:ascii="Times New Roman" w:hAnsi="Times New Roman" w:cs="Times New Roman"/>
            <w:sz w:val="24"/>
          </w:rPr>
          <w:t>22</w:t>
        </w:r>
      </w:p>
    </w:sdtContent>
  </w:sdt>
  <w:p w14:paraId="078E8FA1" w14:textId="77777777" w:rsidR="00473AC1" w:rsidRDefault="00473AC1" w:rsidP="00C74E0F">
    <w:pPr>
      <w:pStyle w:val="llb"/>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40D1" w14:textId="0EBE225F" w:rsidR="00473AC1" w:rsidRDefault="7C285CBA" w:rsidP="004A3001">
    <w:pPr>
      <w:pStyle w:val="llb"/>
      <w:jc w:val="center"/>
    </w:pPr>
    <w:r w:rsidRPr="7C285CBA">
      <w:rPr>
        <w:rFonts w:ascii="Times New Roman" w:hAnsi="Times New Roman" w:cs="Times New Roman"/>
        <w:sz w:val="24"/>
        <w:szCs w:val="2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8CC32" w14:textId="77777777" w:rsidR="00482CC1" w:rsidRDefault="00482CC1" w:rsidP="00B155FE">
      <w:pPr>
        <w:spacing w:after="0" w:line="240" w:lineRule="auto"/>
      </w:pPr>
      <w:r>
        <w:separator/>
      </w:r>
    </w:p>
  </w:footnote>
  <w:footnote w:type="continuationSeparator" w:id="0">
    <w:p w14:paraId="733D9209" w14:textId="77777777" w:rsidR="00482CC1" w:rsidRDefault="00482CC1" w:rsidP="00B155FE">
      <w:pPr>
        <w:spacing w:after="0" w:line="240" w:lineRule="auto"/>
      </w:pPr>
      <w:r>
        <w:continuationSeparator/>
      </w:r>
    </w:p>
  </w:footnote>
  <w:footnote w:type="continuationNotice" w:id="1">
    <w:p w14:paraId="6B5CF0C7" w14:textId="77777777" w:rsidR="00482CC1" w:rsidRDefault="00482C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18"/>
      <w:gridCol w:w="3118"/>
      <w:gridCol w:w="3118"/>
    </w:tblGrid>
    <w:tr w:rsidR="00473AC1" w14:paraId="1027336C" w14:textId="77777777" w:rsidTr="75E7E8C2">
      <w:tc>
        <w:tcPr>
          <w:tcW w:w="3118" w:type="dxa"/>
        </w:tcPr>
        <w:p w14:paraId="4C837DDD" w14:textId="79A8EEFC" w:rsidR="00473AC1" w:rsidRDefault="00473AC1" w:rsidP="75E7E8C2">
          <w:pPr>
            <w:pStyle w:val="lfej"/>
            <w:ind w:left="-115"/>
          </w:pPr>
        </w:p>
      </w:tc>
      <w:tc>
        <w:tcPr>
          <w:tcW w:w="3118" w:type="dxa"/>
        </w:tcPr>
        <w:p w14:paraId="215A5B55" w14:textId="4B5EFC16" w:rsidR="00473AC1" w:rsidRDefault="00473AC1" w:rsidP="75E7E8C2">
          <w:pPr>
            <w:pStyle w:val="lfej"/>
            <w:jc w:val="center"/>
          </w:pPr>
        </w:p>
      </w:tc>
      <w:tc>
        <w:tcPr>
          <w:tcW w:w="3118" w:type="dxa"/>
        </w:tcPr>
        <w:p w14:paraId="08CD3A76" w14:textId="283AC16D" w:rsidR="00473AC1" w:rsidRDefault="00473AC1" w:rsidP="75E7E8C2">
          <w:pPr>
            <w:pStyle w:val="lfej"/>
            <w:ind w:right="-115"/>
            <w:jc w:val="right"/>
          </w:pPr>
        </w:p>
      </w:tc>
    </w:tr>
  </w:tbl>
  <w:p w14:paraId="4176297E" w14:textId="7CD13837" w:rsidR="00473AC1" w:rsidRDefault="00473AC1" w:rsidP="75E7E8C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47D1" w14:textId="3D0DDD49" w:rsidR="00473AC1" w:rsidRDefault="00473AC1" w:rsidP="75E7E8C2">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8C96" w14:textId="77777777" w:rsidR="00473AC1" w:rsidRPr="00881044" w:rsidRDefault="00473AC1" w:rsidP="00C74E0F">
    <w:pPr>
      <w:pStyle w:val="lfej"/>
      <w:rPr>
        <w:rStyle w:val="Oldalszm"/>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8C97" w14:textId="77777777" w:rsidR="00473AC1" w:rsidRPr="00FE4DD1" w:rsidRDefault="00473AC1" w:rsidP="00C74E0F">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009518"/>
      <w:docPartObj>
        <w:docPartGallery w:val="Page Numbers (Top of Page)"/>
        <w:docPartUnique/>
      </w:docPartObj>
    </w:sdtPr>
    <w:sdtEndPr>
      <w:rPr>
        <w:noProof/>
      </w:rPr>
    </w:sdtEndPr>
    <w:sdtContent>
      <w:p w14:paraId="2CB15785" w14:textId="77777777" w:rsidR="00473AC1" w:rsidRDefault="00473AC1">
        <w:pPr>
          <w:pStyle w:val="lfej"/>
          <w:jc w:val="center"/>
        </w:pPr>
        <w:r>
          <w:fldChar w:fldCharType="begin"/>
        </w:r>
        <w:r>
          <w:instrText xml:space="preserve"> PAGE   \* MERGEFORMAT </w:instrText>
        </w:r>
        <w:r>
          <w:fldChar w:fldCharType="separate"/>
        </w:r>
        <w:r>
          <w:rPr>
            <w:noProof/>
          </w:rPr>
          <w:t>20</w:t>
        </w:r>
        <w:r>
          <w:rPr>
            <w:noProof/>
          </w:rPr>
          <w:fldChar w:fldCharType="end"/>
        </w:r>
      </w:p>
    </w:sdtContent>
  </w:sdt>
  <w:p w14:paraId="2A775F7D" w14:textId="77777777" w:rsidR="00473AC1" w:rsidRDefault="00473AC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298"/>
    <w:multiLevelType w:val="hybridMultilevel"/>
    <w:tmpl w:val="44CCC2AC"/>
    <w:lvl w:ilvl="0" w:tplc="08783BEC">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6602D43"/>
    <w:multiLevelType w:val="hybridMultilevel"/>
    <w:tmpl w:val="390E53F2"/>
    <w:lvl w:ilvl="0" w:tplc="F872D380">
      <w:start w:val="1"/>
      <w:numFmt w:val="bullet"/>
      <w:lvlText w:val=""/>
      <w:lvlJc w:val="left"/>
      <w:pPr>
        <w:ind w:left="720" w:hanging="360"/>
      </w:pPr>
      <w:rPr>
        <w:rFonts w:ascii="Symbol" w:hAnsi="Symbol" w:hint="default"/>
      </w:rPr>
    </w:lvl>
    <w:lvl w:ilvl="1" w:tplc="86BC4448">
      <w:start w:val="1"/>
      <w:numFmt w:val="bullet"/>
      <w:lvlText w:val="o"/>
      <w:lvlJc w:val="left"/>
      <w:pPr>
        <w:ind w:left="1440" w:hanging="360"/>
      </w:pPr>
      <w:rPr>
        <w:rFonts w:ascii="Courier New" w:hAnsi="Courier New" w:hint="default"/>
      </w:rPr>
    </w:lvl>
    <w:lvl w:ilvl="2" w:tplc="F05C9352">
      <w:start w:val="1"/>
      <w:numFmt w:val="bullet"/>
      <w:lvlText w:val=""/>
      <w:lvlJc w:val="left"/>
      <w:pPr>
        <w:ind w:left="2160" w:hanging="360"/>
      </w:pPr>
      <w:rPr>
        <w:rFonts w:ascii="Wingdings" w:hAnsi="Wingdings" w:hint="default"/>
      </w:rPr>
    </w:lvl>
    <w:lvl w:ilvl="3" w:tplc="232EF98C">
      <w:start w:val="1"/>
      <w:numFmt w:val="bullet"/>
      <w:lvlText w:val=""/>
      <w:lvlJc w:val="left"/>
      <w:pPr>
        <w:ind w:left="2880" w:hanging="360"/>
      </w:pPr>
      <w:rPr>
        <w:rFonts w:ascii="Symbol" w:hAnsi="Symbol" w:hint="default"/>
      </w:rPr>
    </w:lvl>
    <w:lvl w:ilvl="4" w:tplc="03066B72">
      <w:start w:val="1"/>
      <w:numFmt w:val="bullet"/>
      <w:lvlText w:val="o"/>
      <w:lvlJc w:val="left"/>
      <w:pPr>
        <w:ind w:left="3600" w:hanging="360"/>
      </w:pPr>
      <w:rPr>
        <w:rFonts w:ascii="Courier New" w:hAnsi="Courier New" w:hint="default"/>
      </w:rPr>
    </w:lvl>
    <w:lvl w:ilvl="5" w:tplc="7A906010">
      <w:start w:val="1"/>
      <w:numFmt w:val="bullet"/>
      <w:lvlText w:val=""/>
      <w:lvlJc w:val="left"/>
      <w:pPr>
        <w:ind w:left="4320" w:hanging="360"/>
      </w:pPr>
      <w:rPr>
        <w:rFonts w:ascii="Wingdings" w:hAnsi="Wingdings" w:hint="default"/>
      </w:rPr>
    </w:lvl>
    <w:lvl w:ilvl="6" w:tplc="9F6A3F04">
      <w:start w:val="1"/>
      <w:numFmt w:val="bullet"/>
      <w:lvlText w:val=""/>
      <w:lvlJc w:val="left"/>
      <w:pPr>
        <w:ind w:left="5040" w:hanging="360"/>
      </w:pPr>
      <w:rPr>
        <w:rFonts w:ascii="Symbol" w:hAnsi="Symbol" w:hint="default"/>
      </w:rPr>
    </w:lvl>
    <w:lvl w:ilvl="7" w:tplc="D5603E42">
      <w:start w:val="1"/>
      <w:numFmt w:val="bullet"/>
      <w:lvlText w:val="o"/>
      <w:lvlJc w:val="left"/>
      <w:pPr>
        <w:ind w:left="5760" w:hanging="360"/>
      </w:pPr>
      <w:rPr>
        <w:rFonts w:ascii="Courier New" w:hAnsi="Courier New" w:hint="default"/>
      </w:rPr>
    </w:lvl>
    <w:lvl w:ilvl="8" w:tplc="F1D4D0F8">
      <w:start w:val="1"/>
      <w:numFmt w:val="bullet"/>
      <w:lvlText w:val=""/>
      <w:lvlJc w:val="left"/>
      <w:pPr>
        <w:ind w:left="6480" w:hanging="360"/>
      </w:pPr>
      <w:rPr>
        <w:rFonts w:ascii="Wingdings" w:hAnsi="Wingdings" w:hint="default"/>
      </w:rPr>
    </w:lvl>
  </w:abstractNum>
  <w:abstractNum w:abstractNumId="2" w15:restartNumberingAfterBreak="0">
    <w:nsid w:val="3CC7670D"/>
    <w:multiLevelType w:val="hybridMultilevel"/>
    <w:tmpl w:val="FDDC7674"/>
    <w:lvl w:ilvl="0" w:tplc="9120DF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1033469"/>
    <w:multiLevelType w:val="hybridMultilevel"/>
    <w:tmpl w:val="D612FE54"/>
    <w:lvl w:ilvl="0" w:tplc="85BCE940">
      <w:start w:val="1"/>
      <w:numFmt w:val="bullet"/>
      <w:lvlText w:val=""/>
      <w:lvlJc w:val="left"/>
      <w:pPr>
        <w:ind w:left="720" w:hanging="360"/>
      </w:pPr>
      <w:rPr>
        <w:rFonts w:ascii="Symbol" w:hAnsi="Symbol" w:hint="default"/>
      </w:rPr>
    </w:lvl>
    <w:lvl w:ilvl="1" w:tplc="EDE89D4A">
      <w:start w:val="1"/>
      <w:numFmt w:val="bullet"/>
      <w:lvlText w:val="o"/>
      <w:lvlJc w:val="left"/>
      <w:pPr>
        <w:ind w:left="1440" w:hanging="360"/>
      </w:pPr>
      <w:rPr>
        <w:rFonts w:ascii="Courier New" w:hAnsi="Courier New" w:hint="default"/>
      </w:rPr>
    </w:lvl>
    <w:lvl w:ilvl="2" w:tplc="91061732">
      <w:start w:val="1"/>
      <w:numFmt w:val="bullet"/>
      <w:lvlText w:val=""/>
      <w:lvlJc w:val="left"/>
      <w:pPr>
        <w:ind w:left="2160" w:hanging="360"/>
      </w:pPr>
      <w:rPr>
        <w:rFonts w:ascii="Wingdings" w:hAnsi="Wingdings" w:hint="default"/>
      </w:rPr>
    </w:lvl>
    <w:lvl w:ilvl="3" w:tplc="5D04C974">
      <w:start w:val="1"/>
      <w:numFmt w:val="bullet"/>
      <w:lvlText w:val=""/>
      <w:lvlJc w:val="left"/>
      <w:pPr>
        <w:ind w:left="2880" w:hanging="360"/>
      </w:pPr>
      <w:rPr>
        <w:rFonts w:ascii="Symbol" w:hAnsi="Symbol" w:hint="default"/>
      </w:rPr>
    </w:lvl>
    <w:lvl w:ilvl="4" w:tplc="1C648E36">
      <w:start w:val="1"/>
      <w:numFmt w:val="bullet"/>
      <w:lvlText w:val="o"/>
      <w:lvlJc w:val="left"/>
      <w:pPr>
        <w:ind w:left="3600" w:hanging="360"/>
      </w:pPr>
      <w:rPr>
        <w:rFonts w:ascii="Courier New" w:hAnsi="Courier New" w:hint="default"/>
      </w:rPr>
    </w:lvl>
    <w:lvl w:ilvl="5" w:tplc="2DB00CB0">
      <w:start w:val="1"/>
      <w:numFmt w:val="bullet"/>
      <w:lvlText w:val=""/>
      <w:lvlJc w:val="left"/>
      <w:pPr>
        <w:ind w:left="4320" w:hanging="360"/>
      </w:pPr>
      <w:rPr>
        <w:rFonts w:ascii="Wingdings" w:hAnsi="Wingdings" w:hint="default"/>
      </w:rPr>
    </w:lvl>
    <w:lvl w:ilvl="6" w:tplc="3C9E0854">
      <w:start w:val="1"/>
      <w:numFmt w:val="bullet"/>
      <w:lvlText w:val=""/>
      <w:lvlJc w:val="left"/>
      <w:pPr>
        <w:ind w:left="5040" w:hanging="360"/>
      </w:pPr>
      <w:rPr>
        <w:rFonts w:ascii="Symbol" w:hAnsi="Symbol" w:hint="default"/>
      </w:rPr>
    </w:lvl>
    <w:lvl w:ilvl="7" w:tplc="EF2AE296">
      <w:start w:val="1"/>
      <w:numFmt w:val="bullet"/>
      <w:lvlText w:val="o"/>
      <w:lvlJc w:val="left"/>
      <w:pPr>
        <w:ind w:left="5760" w:hanging="360"/>
      </w:pPr>
      <w:rPr>
        <w:rFonts w:ascii="Courier New" w:hAnsi="Courier New" w:hint="default"/>
      </w:rPr>
    </w:lvl>
    <w:lvl w:ilvl="8" w:tplc="1B7CE0FC">
      <w:start w:val="1"/>
      <w:numFmt w:val="bullet"/>
      <w:lvlText w:val=""/>
      <w:lvlJc w:val="left"/>
      <w:pPr>
        <w:ind w:left="6480" w:hanging="360"/>
      </w:pPr>
      <w:rPr>
        <w:rFonts w:ascii="Wingdings" w:hAnsi="Wingdings" w:hint="default"/>
      </w:rPr>
    </w:lvl>
  </w:abstractNum>
  <w:abstractNum w:abstractNumId="4" w15:restartNumberingAfterBreak="0">
    <w:nsid w:val="5573523A"/>
    <w:multiLevelType w:val="hybridMultilevel"/>
    <w:tmpl w:val="92D45DA0"/>
    <w:lvl w:ilvl="0" w:tplc="5E4290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70F720B"/>
    <w:multiLevelType w:val="hybridMultilevel"/>
    <w:tmpl w:val="9D346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47603289">
    <w:abstractNumId w:val="3"/>
  </w:num>
  <w:num w:numId="2" w16cid:durableId="1171026080">
    <w:abstractNumId w:val="4"/>
  </w:num>
  <w:num w:numId="3" w16cid:durableId="1245341741">
    <w:abstractNumId w:val="0"/>
  </w:num>
  <w:num w:numId="4" w16cid:durableId="1549414595">
    <w:abstractNumId w:val="5"/>
  </w:num>
  <w:num w:numId="5" w16cid:durableId="993993450">
    <w:abstractNumId w:val="2"/>
  </w:num>
  <w:num w:numId="6" w16cid:durableId="895353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FE"/>
    <w:rsid w:val="00000517"/>
    <w:rsid w:val="0000169C"/>
    <w:rsid w:val="00001DDD"/>
    <w:rsid w:val="000044C3"/>
    <w:rsid w:val="00007D4A"/>
    <w:rsid w:val="000103E9"/>
    <w:rsid w:val="000118DE"/>
    <w:rsid w:val="00015558"/>
    <w:rsid w:val="00015945"/>
    <w:rsid w:val="00020D17"/>
    <w:rsid w:val="0002105A"/>
    <w:rsid w:val="00022205"/>
    <w:rsid w:val="00022974"/>
    <w:rsid w:val="000237EA"/>
    <w:rsid w:val="00024158"/>
    <w:rsid w:val="0002586B"/>
    <w:rsid w:val="00025889"/>
    <w:rsid w:val="00026266"/>
    <w:rsid w:val="0002674A"/>
    <w:rsid w:val="000302F3"/>
    <w:rsid w:val="00031896"/>
    <w:rsid w:val="00031C82"/>
    <w:rsid w:val="00031C9D"/>
    <w:rsid w:val="00034760"/>
    <w:rsid w:val="000365DC"/>
    <w:rsid w:val="0003668B"/>
    <w:rsid w:val="0003701E"/>
    <w:rsid w:val="0004032B"/>
    <w:rsid w:val="000407DB"/>
    <w:rsid w:val="00043E49"/>
    <w:rsid w:val="00044042"/>
    <w:rsid w:val="000458BD"/>
    <w:rsid w:val="000471E4"/>
    <w:rsid w:val="000512BB"/>
    <w:rsid w:val="00051E9B"/>
    <w:rsid w:val="0005236D"/>
    <w:rsid w:val="00052502"/>
    <w:rsid w:val="0005250F"/>
    <w:rsid w:val="00052554"/>
    <w:rsid w:val="00052E4F"/>
    <w:rsid w:val="00054358"/>
    <w:rsid w:val="00054CDA"/>
    <w:rsid w:val="00055632"/>
    <w:rsid w:val="00057916"/>
    <w:rsid w:val="000611EC"/>
    <w:rsid w:val="000617B7"/>
    <w:rsid w:val="00064521"/>
    <w:rsid w:val="0006496D"/>
    <w:rsid w:val="00064D6A"/>
    <w:rsid w:val="00064E2A"/>
    <w:rsid w:val="00065E19"/>
    <w:rsid w:val="00067A57"/>
    <w:rsid w:val="00070EAC"/>
    <w:rsid w:val="00071FA3"/>
    <w:rsid w:val="00072A58"/>
    <w:rsid w:val="0007336F"/>
    <w:rsid w:val="0007525D"/>
    <w:rsid w:val="000770F3"/>
    <w:rsid w:val="00077440"/>
    <w:rsid w:val="0008062F"/>
    <w:rsid w:val="00081A0C"/>
    <w:rsid w:val="00081A16"/>
    <w:rsid w:val="00081FF0"/>
    <w:rsid w:val="00082ADE"/>
    <w:rsid w:val="000846A7"/>
    <w:rsid w:val="00085B09"/>
    <w:rsid w:val="00085C37"/>
    <w:rsid w:val="00085DCC"/>
    <w:rsid w:val="000874F4"/>
    <w:rsid w:val="00087C75"/>
    <w:rsid w:val="00091B18"/>
    <w:rsid w:val="00091F16"/>
    <w:rsid w:val="0009484D"/>
    <w:rsid w:val="00095983"/>
    <w:rsid w:val="00095C95"/>
    <w:rsid w:val="00096300"/>
    <w:rsid w:val="000A0A88"/>
    <w:rsid w:val="000A0C4E"/>
    <w:rsid w:val="000A18F9"/>
    <w:rsid w:val="000A1F24"/>
    <w:rsid w:val="000A2818"/>
    <w:rsid w:val="000A296F"/>
    <w:rsid w:val="000A2EAB"/>
    <w:rsid w:val="000A4669"/>
    <w:rsid w:val="000A4732"/>
    <w:rsid w:val="000A4839"/>
    <w:rsid w:val="000A531B"/>
    <w:rsid w:val="000A7964"/>
    <w:rsid w:val="000B1235"/>
    <w:rsid w:val="000B2569"/>
    <w:rsid w:val="000B49AE"/>
    <w:rsid w:val="000B58F0"/>
    <w:rsid w:val="000B6723"/>
    <w:rsid w:val="000B6BE0"/>
    <w:rsid w:val="000B7018"/>
    <w:rsid w:val="000C1105"/>
    <w:rsid w:val="000C13F2"/>
    <w:rsid w:val="000C1781"/>
    <w:rsid w:val="000C1B6F"/>
    <w:rsid w:val="000C20F7"/>
    <w:rsid w:val="000C2BFE"/>
    <w:rsid w:val="000C31E5"/>
    <w:rsid w:val="000C3D4C"/>
    <w:rsid w:val="000C46F3"/>
    <w:rsid w:val="000C7CC7"/>
    <w:rsid w:val="000D074C"/>
    <w:rsid w:val="000D1BA8"/>
    <w:rsid w:val="000D39EE"/>
    <w:rsid w:val="000D4A41"/>
    <w:rsid w:val="000D4E21"/>
    <w:rsid w:val="000D59E2"/>
    <w:rsid w:val="000D5A5C"/>
    <w:rsid w:val="000D6C88"/>
    <w:rsid w:val="000D76F4"/>
    <w:rsid w:val="000D7836"/>
    <w:rsid w:val="000D7C83"/>
    <w:rsid w:val="000D7EFD"/>
    <w:rsid w:val="000E08FE"/>
    <w:rsid w:val="000E3639"/>
    <w:rsid w:val="000E4202"/>
    <w:rsid w:val="000E4745"/>
    <w:rsid w:val="000E4B01"/>
    <w:rsid w:val="000E4BA6"/>
    <w:rsid w:val="000E4F73"/>
    <w:rsid w:val="000E5868"/>
    <w:rsid w:val="000E5AA8"/>
    <w:rsid w:val="000E690A"/>
    <w:rsid w:val="000E78FE"/>
    <w:rsid w:val="000F046E"/>
    <w:rsid w:val="000F13BA"/>
    <w:rsid w:val="000F63B6"/>
    <w:rsid w:val="000F765C"/>
    <w:rsid w:val="0010108E"/>
    <w:rsid w:val="00101618"/>
    <w:rsid w:val="001023AC"/>
    <w:rsid w:val="00103FE9"/>
    <w:rsid w:val="00104A6A"/>
    <w:rsid w:val="001074A1"/>
    <w:rsid w:val="0010753C"/>
    <w:rsid w:val="00110C6D"/>
    <w:rsid w:val="001135FA"/>
    <w:rsid w:val="001138B8"/>
    <w:rsid w:val="00115834"/>
    <w:rsid w:val="00115AF5"/>
    <w:rsid w:val="00117E64"/>
    <w:rsid w:val="001209E7"/>
    <w:rsid w:val="00120B53"/>
    <w:rsid w:val="001215DC"/>
    <w:rsid w:val="001229C6"/>
    <w:rsid w:val="0012490F"/>
    <w:rsid w:val="00125040"/>
    <w:rsid w:val="0012611D"/>
    <w:rsid w:val="001266D5"/>
    <w:rsid w:val="00126D53"/>
    <w:rsid w:val="00127579"/>
    <w:rsid w:val="00133EE6"/>
    <w:rsid w:val="0013421A"/>
    <w:rsid w:val="0013434A"/>
    <w:rsid w:val="00134BE6"/>
    <w:rsid w:val="00134EEA"/>
    <w:rsid w:val="0013596C"/>
    <w:rsid w:val="00135EA3"/>
    <w:rsid w:val="00136087"/>
    <w:rsid w:val="001366F9"/>
    <w:rsid w:val="001378AC"/>
    <w:rsid w:val="00142F01"/>
    <w:rsid w:val="00146517"/>
    <w:rsid w:val="00147C0E"/>
    <w:rsid w:val="00150CCD"/>
    <w:rsid w:val="0015256A"/>
    <w:rsid w:val="00153722"/>
    <w:rsid w:val="0015385C"/>
    <w:rsid w:val="00153C19"/>
    <w:rsid w:val="00155283"/>
    <w:rsid w:val="001552F0"/>
    <w:rsid w:val="00155301"/>
    <w:rsid w:val="00156079"/>
    <w:rsid w:val="001615DE"/>
    <w:rsid w:val="00161C4F"/>
    <w:rsid w:val="00162178"/>
    <w:rsid w:val="00167874"/>
    <w:rsid w:val="00170E23"/>
    <w:rsid w:val="00174A9A"/>
    <w:rsid w:val="001765F3"/>
    <w:rsid w:val="00180316"/>
    <w:rsid w:val="00180337"/>
    <w:rsid w:val="00182D6E"/>
    <w:rsid w:val="00183D4C"/>
    <w:rsid w:val="001849A2"/>
    <w:rsid w:val="00185268"/>
    <w:rsid w:val="001855C0"/>
    <w:rsid w:val="00186B09"/>
    <w:rsid w:val="0019060B"/>
    <w:rsid w:val="00190E21"/>
    <w:rsid w:val="00193514"/>
    <w:rsid w:val="00193DF7"/>
    <w:rsid w:val="00194065"/>
    <w:rsid w:val="00194E8F"/>
    <w:rsid w:val="00194EEE"/>
    <w:rsid w:val="001967FC"/>
    <w:rsid w:val="001970FB"/>
    <w:rsid w:val="00197516"/>
    <w:rsid w:val="001A025E"/>
    <w:rsid w:val="001A2835"/>
    <w:rsid w:val="001A4175"/>
    <w:rsid w:val="001A4E5E"/>
    <w:rsid w:val="001A57FD"/>
    <w:rsid w:val="001A5B43"/>
    <w:rsid w:val="001A5BE2"/>
    <w:rsid w:val="001A7E0B"/>
    <w:rsid w:val="001B0DB1"/>
    <w:rsid w:val="001B307C"/>
    <w:rsid w:val="001B389C"/>
    <w:rsid w:val="001B4158"/>
    <w:rsid w:val="001B416B"/>
    <w:rsid w:val="001B4DF1"/>
    <w:rsid w:val="001B50D2"/>
    <w:rsid w:val="001B6F61"/>
    <w:rsid w:val="001C0209"/>
    <w:rsid w:val="001C1935"/>
    <w:rsid w:val="001C456C"/>
    <w:rsid w:val="001D04A8"/>
    <w:rsid w:val="001D04FF"/>
    <w:rsid w:val="001D17F4"/>
    <w:rsid w:val="001D22D6"/>
    <w:rsid w:val="001D42E6"/>
    <w:rsid w:val="001D4975"/>
    <w:rsid w:val="001D49AD"/>
    <w:rsid w:val="001D6BA0"/>
    <w:rsid w:val="001D701F"/>
    <w:rsid w:val="001D709B"/>
    <w:rsid w:val="001D7FB5"/>
    <w:rsid w:val="001E0CF6"/>
    <w:rsid w:val="001E2D1E"/>
    <w:rsid w:val="001E4B4D"/>
    <w:rsid w:val="001E4C57"/>
    <w:rsid w:val="001E6717"/>
    <w:rsid w:val="001E6750"/>
    <w:rsid w:val="001E689B"/>
    <w:rsid w:val="001E7243"/>
    <w:rsid w:val="001F10C2"/>
    <w:rsid w:val="001F14EB"/>
    <w:rsid w:val="001F4D95"/>
    <w:rsid w:val="001F7400"/>
    <w:rsid w:val="001F7BB0"/>
    <w:rsid w:val="001F7CA7"/>
    <w:rsid w:val="00201050"/>
    <w:rsid w:val="00201886"/>
    <w:rsid w:val="00201D91"/>
    <w:rsid w:val="00202A40"/>
    <w:rsid w:val="00203266"/>
    <w:rsid w:val="0020367E"/>
    <w:rsid w:val="0020471C"/>
    <w:rsid w:val="00204EA6"/>
    <w:rsid w:val="0020759E"/>
    <w:rsid w:val="00210593"/>
    <w:rsid w:val="002107FF"/>
    <w:rsid w:val="00210B1E"/>
    <w:rsid w:val="00213E49"/>
    <w:rsid w:val="002147CD"/>
    <w:rsid w:val="00215B35"/>
    <w:rsid w:val="00215F73"/>
    <w:rsid w:val="00217D8B"/>
    <w:rsid w:val="0022104D"/>
    <w:rsid w:val="0022196A"/>
    <w:rsid w:val="00221A06"/>
    <w:rsid w:val="002223AF"/>
    <w:rsid w:val="00224466"/>
    <w:rsid w:val="0022447A"/>
    <w:rsid w:val="00224692"/>
    <w:rsid w:val="00224714"/>
    <w:rsid w:val="002247AD"/>
    <w:rsid w:val="002260BF"/>
    <w:rsid w:val="002267D0"/>
    <w:rsid w:val="00226A85"/>
    <w:rsid w:val="002276A7"/>
    <w:rsid w:val="0022DF0C"/>
    <w:rsid w:val="002310C9"/>
    <w:rsid w:val="00232288"/>
    <w:rsid w:val="00232FCD"/>
    <w:rsid w:val="00235F55"/>
    <w:rsid w:val="0023693F"/>
    <w:rsid w:val="00236BF8"/>
    <w:rsid w:val="0024009D"/>
    <w:rsid w:val="002400E5"/>
    <w:rsid w:val="002409BB"/>
    <w:rsid w:val="00241A82"/>
    <w:rsid w:val="00241E69"/>
    <w:rsid w:val="0024232D"/>
    <w:rsid w:val="0024586E"/>
    <w:rsid w:val="0025038B"/>
    <w:rsid w:val="0025229C"/>
    <w:rsid w:val="002564C4"/>
    <w:rsid w:val="00256C78"/>
    <w:rsid w:val="00257190"/>
    <w:rsid w:val="0026130A"/>
    <w:rsid w:val="00261F15"/>
    <w:rsid w:val="00262041"/>
    <w:rsid w:val="0026208D"/>
    <w:rsid w:val="002655BB"/>
    <w:rsid w:val="00265E51"/>
    <w:rsid w:val="00266768"/>
    <w:rsid w:val="002678FB"/>
    <w:rsid w:val="00271066"/>
    <w:rsid w:val="00272765"/>
    <w:rsid w:val="00272CF0"/>
    <w:rsid w:val="002736E9"/>
    <w:rsid w:val="0027381C"/>
    <w:rsid w:val="00275CF5"/>
    <w:rsid w:val="002763AE"/>
    <w:rsid w:val="00280C09"/>
    <w:rsid w:val="00281CE8"/>
    <w:rsid w:val="002827DF"/>
    <w:rsid w:val="00282A85"/>
    <w:rsid w:val="00285866"/>
    <w:rsid w:val="00286170"/>
    <w:rsid w:val="0028671F"/>
    <w:rsid w:val="00290289"/>
    <w:rsid w:val="002910F0"/>
    <w:rsid w:val="0029176A"/>
    <w:rsid w:val="002921A1"/>
    <w:rsid w:val="0029251A"/>
    <w:rsid w:val="0029365F"/>
    <w:rsid w:val="00293965"/>
    <w:rsid w:val="00295391"/>
    <w:rsid w:val="002954AA"/>
    <w:rsid w:val="00295EBB"/>
    <w:rsid w:val="002975B9"/>
    <w:rsid w:val="002A11AD"/>
    <w:rsid w:val="002A1BCD"/>
    <w:rsid w:val="002A34E6"/>
    <w:rsid w:val="002A41A8"/>
    <w:rsid w:val="002A4B97"/>
    <w:rsid w:val="002A4F7A"/>
    <w:rsid w:val="002A6144"/>
    <w:rsid w:val="002B0545"/>
    <w:rsid w:val="002B09F4"/>
    <w:rsid w:val="002B2B83"/>
    <w:rsid w:val="002B39F8"/>
    <w:rsid w:val="002B492B"/>
    <w:rsid w:val="002B4E58"/>
    <w:rsid w:val="002B5961"/>
    <w:rsid w:val="002B7BB9"/>
    <w:rsid w:val="002B7C36"/>
    <w:rsid w:val="002C1531"/>
    <w:rsid w:val="002C25D3"/>
    <w:rsid w:val="002C34B8"/>
    <w:rsid w:val="002C4EE9"/>
    <w:rsid w:val="002C5F14"/>
    <w:rsid w:val="002C688F"/>
    <w:rsid w:val="002C6917"/>
    <w:rsid w:val="002C6F14"/>
    <w:rsid w:val="002D04D3"/>
    <w:rsid w:val="002D0677"/>
    <w:rsid w:val="002D1B11"/>
    <w:rsid w:val="002D20E7"/>
    <w:rsid w:val="002D387C"/>
    <w:rsid w:val="002D4984"/>
    <w:rsid w:val="002D56EC"/>
    <w:rsid w:val="002D6497"/>
    <w:rsid w:val="002D6802"/>
    <w:rsid w:val="002D7478"/>
    <w:rsid w:val="002D7CCE"/>
    <w:rsid w:val="002D7D55"/>
    <w:rsid w:val="002E08A7"/>
    <w:rsid w:val="002E1C57"/>
    <w:rsid w:val="002E2022"/>
    <w:rsid w:val="002E31EF"/>
    <w:rsid w:val="002E401D"/>
    <w:rsid w:val="002E4CE9"/>
    <w:rsid w:val="002E4E83"/>
    <w:rsid w:val="002E502E"/>
    <w:rsid w:val="002E589F"/>
    <w:rsid w:val="002E5FBF"/>
    <w:rsid w:val="002E75A7"/>
    <w:rsid w:val="002E7744"/>
    <w:rsid w:val="002F0795"/>
    <w:rsid w:val="002F0E70"/>
    <w:rsid w:val="002F150D"/>
    <w:rsid w:val="002F2521"/>
    <w:rsid w:val="002F25C3"/>
    <w:rsid w:val="002F4854"/>
    <w:rsid w:val="002F4E3B"/>
    <w:rsid w:val="002F5E69"/>
    <w:rsid w:val="002F6126"/>
    <w:rsid w:val="002F6DDD"/>
    <w:rsid w:val="002F7F1A"/>
    <w:rsid w:val="0030136A"/>
    <w:rsid w:val="003016AA"/>
    <w:rsid w:val="003018B0"/>
    <w:rsid w:val="00303306"/>
    <w:rsid w:val="003050ED"/>
    <w:rsid w:val="00306C97"/>
    <w:rsid w:val="00306EFA"/>
    <w:rsid w:val="00307C4F"/>
    <w:rsid w:val="003100A2"/>
    <w:rsid w:val="003112A9"/>
    <w:rsid w:val="00311E85"/>
    <w:rsid w:val="003138FC"/>
    <w:rsid w:val="00313E8A"/>
    <w:rsid w:val="00314245"/>
    <w:rsid w:val="0031479F"/>
    <w:rsid w:val="00315E40"/>
    <w:rsid w:val="00316788"/>
    <w:rsid w:val="00316DCC"/>
    <w:rsid w:val="003208C8"/>
    <w:rsid w:val="00322101"/>
    <w:rsid w:val="0032261D"/>
    <w:rsid w:val="00323B30"/>
    <w:rsid w:val="00324B1E"/>
    <w:rsid w:val="0032514C"/>
    <w:rsid w:val="00326644"/>
    <w:rsid w:val="00327378"/>
    <w:rsid w:val="00327D30"/>
    <w:rsid w:val="003310E3"/>
    <w:rsid w:val="00331938"/>
    <w:rsid w:val="00331B23"/>
    <w:rsid w:val="00331DCD"/>
    <w:rsid w:val="00333A2D"/>
    <w:rsid w:val="0033462C"/>
    <w:rsid w:val="00334DE1"/>
    <w:rsid w:val="00336B23"/>
    <w:rsid w:val="00336E30"/>
    <w:rsid w:val="0034134A"/>
    <w:rsid w:val="0034232F"/>
    <w:rsid w:val="00343A3D"/>
    <w:rsid w:val="00343F69"/>
    <w:rsid w:val="00345686"/>
    <w:rsid w:val="00346073"/>
    <w:rsid w:val="00346908"/>
    <w:rsid w:val="00347F4F"/>
    <w:rsid w:val="00350210"/>
    <w:rsid w:val="00350F76"/>
    <w:rsid w:val="00351743"/>
    <w:rsid w:val="003517A3"/>
    <w:rsid w:val="00351831"/>
    <w:rsid w:val="00351D59"/>
    <w:rsid w:val="003524B0"/>
    <w:rsid w:val="003526BB"/>
    <w:rsid w:val="003550F2"/>
    <w:rsid w:val="003558B8"/>
    <w:rsid w:val="003559D3"/>
    <w:rsid w:val="00356959"/>
    <w:rsid w:val="0035701C"/>
    <w:rsid w:val="00360024"/>
    <w:rsid w:val="00362276"/>
    <w:rsid w:val="003632EE"/>
    <w:rsid w:val="00364745"/>
    <w:rsid w:val="0036497A"/>
    <w:rsid w:val="00366359"/>
    <w:rsid w:val="00370B57"/>
    <w:rsid w:val="00370CD6"/>
    <w:rsid w:val="0037227B"/>
    <w:rsid w:val="003754BF"/>
    <w:rsid w:val="00375C19"/>
    <w:rsid w:val="003772C6"/>
    <w:rsid w:val="00377D59"/>
    <w:rsid w:val="003804A3"/>
    <w:rsid w:val="00380D8A"/>
    <w:rsid w:val="00381A54"/>
    <w:rsid w:val="003824FA"/>
    <w:rsid w:val="00382EE1"/>
    <w:rsid w:val="003847D8"/>
    <w:rsid w:val="00384AA3"/>
    <w:rsid w:val="00385EC8"/>
    <w:rsid w:val="003865FB"/>
    <w:rsid w:val="00387FF8"/>
    <w:rsid w:val="00390A19"/>
    <w:rsid w:val="00390D71"/>
    <w:rsid w:val="0039133A"/>
    <w:rsid w:val="00391ACC"/>
    <w:rsid w:val="003942C9"/>
    <w:rsid w:val="003943D5"/>
    <w:rsid w:val="00395832"/>
    <w:rsid w:val="00397C7F"/>
    <w:rsid w:val="003A0943"/>
    <w:rsid w:val="003A0BA1"/>
    <w:rsid w:val="003A2419"/>
    <w:rsid w:val="003A4B83"/>
    <w:rsid w:val="003A4D97"/>
    <w:rsid w:val="003A5C78"/>
    <w:rsid w:val="003A6B84"/>
    <w:rsid w:val="003A7E2F"/>
    <w:rsid w:val="003B04CA"/>
    <w:rsid w:val="003B2E1F"/>
    <w:rsid w:val="003B356C"/>
    <w:rsid w:val="003B53B6"/>
    <w:rsid w:val="003B55AB"/>
    <w:rsid w:val="003B5A9A"/>
    <w:rsid w:val="003C09EA"/>
    <w:rsid w:val="003C1306"/>
    <w:rsid w:val="003C13C6"/>
    <w:rsid w:val="003C1F7C"/>
    <w:rsid w:val="003C20B2"/>
    <w:rsid w:val="003C2D6B"/>
    <w:rsid w:val="003C391B"/>
    <w:rsid w:val="003C501E"/>
    <w:rsid w:val="003C57BB"/>
    <w:rsid w:val="003C6F64"/>
    <w:rsid w:val="003D0602"/>
    <w:rsid w:val="003D16B4"/>
    <w:rsid w:val="003D21B5"/>
    <w:rsid w:val="003D27F6"/>
    <w:rsid w:val="003D4300"/>
    <w:rsid w:val="003D5132"/>
    <w:rsid w:val="003D61A8"/>
    <w:rsid w:val="003E2A67"/>
    <w:rsid w:val="003E46ED"/>
    <w:rsid w:val="003E4A11"/>
    <w:rsid w:val="003E4A41"/>
    <w:rsid w:val="003E508C"/>
    <w:rsid w:val="003E622C"/>
    <w:rsid w:val="003E634A"/>
    <w:rsid w:val="003E7547"/>
    <w:rsid w:val="003F1571"/>
    <w:rsid w:val="003F18A4"/>
    <w:rsid w:val="003F267F"/>
    <w:rsid w:val="003F3149"/>
    <w:rsid w:val="003F3151"/>
    <w:rsid w:val="003F417E"/>
    <w:rsid w:val="003F4F73"/>
    <w:rsid w:val="00400149"/>
    <w:rsid w:val="004003D1"/>
    <w:rsid w:val="00401229"/>
    <w:rsid w:val="004012A0"/>
    <w:rsid w:val="00401B4D"/>
    <w:rsid w:val="00402B47"/>
    <w:rsid w:val="00403D7E"/>
    <w:rsid w:val="00404793"/>
    <w:rsid w:val="0040704D"/>
    <w:rsid w:val="00411AC0"/>
    <w:rsid w:val="00411BDD"/>
    <w:rsid w:val="00414CDD"/>
    <w:rsid w:val="004163D7"/>
    <w:rsid w:val="004206D8"/>
    <w:rsid w:val="00421775"/>
    <w:rsid w:val="004220DE"/>
    <w:rsid w:val="00422213"/>
    <w:rsid w:val="0042380D"/>
    <w:rsid w:val="004269CF"/>
    <w:rsid w:val="00427EF9"/>
    <w:rsid w:val="00427F34"/>
    <w:rsid w:val="00427FBF"/>
    <w:rsid w:val="0043012E"/>
    <w:rsid w:val="00430D26"/>
    <w:rsid w:val="00433577"/>
    <w:rsid w:val="0043393D"/>
    <w:rsid w:val="00436C3A"/>
    <w:rsid w:val="004412D5"/>
    <w:rsid w:val="0044233D"/>
    <w:rsid w:val="00442993"/>
    <w:rsid w:val="0044396F"/>
    <w:rsid w:val="00444303"/>
    <w:rsid w:val="00444554"/>
    <w:rsid w:val="00444BD9"/>
    <w:rsid w:val="0044587B"/>
    <w:rsid w:val="00446026"/>
    <w:rsid w:val="004478CA"/>
    <w:rsid w:val="004523FE"/>
    <w:rsid w:val="00453786"/>
    <w:rsid w:val="00455A9C"/>
    <w:rsid w:val="004561EE"/>
    <w:rsid w:val="0045694E"/>
    <w:rsid w:val="00457124"/>
    <w:rsid w:val="00457711"/>
    <w:rsid w:val="00457918"/>
    <w:rsid w:val="00457950"/>
    <w:rsid w:val="004603AD"/>
    <w:rsid w:val="004605F2"/>
    <w:rsid w:val="00461216"/>
    <w:rsid w:val="00462EDD"/>
    <w:rsid w:val="00463BF1"/>
    <w:rsid w:val="00464B6D"/>
    <w:rsid w:val="00464D42"/>
    <w:rsid w:val="00465074"/>
    <w:rsid w:val="00466390"/>
    <w:rsid w:val="00466A47"/>
    <w:rsid w:val="00466C80"/>
    <w:rsid w:val="00467A58"/>
    <w:rsid w:val="00467BD6"/>
    <w:rsid w:val="00470868"/>
    <w:rsid w:val="004726B3"/>
    <w:rsid w:val="004727C2"/>
    <w:rsid w:val="004730BE"/>
    <w:rsid w:val="00473AC1"/>
    <w:rsid w:val="00474AC8"/>
    <w:rsid w:val="00477B37"/>
    <w:rsid w:val="004816C1"/>
    <w:rsid w:val="00482908"/>
    <w:rsid w:val="00482CC1"/>
    <w:rsid w:val="0048361E"/>
    <w:rsid w:val="004837DC"/>
    <w:rsid w:val="0048484D"/>
    <w:rsid w:val="00485019"/>
    <w:rsid w:val="004854D3"/>
    <w:rsid w:val="00485E1E"/>
    <w:rsid w:val="004879B8"/>
    <w:rsid w:val="00490330"/>
    <w:rsid w:val="0049287F"/>
    <w:rsid w:val="00492CAB"/>
    <w:rsid w:val="00494B89"/>
    <w:rsid w:val="00494D4B"/>
    <w:rsid w:val="004951E8"/>
    <w:rsid w:val="004966FE"/>
    <w:rsid w:val="00496C75"/>
    <w:rsid w:val="00496EAA"/>
    <w:rsid w:val="004971F1"/>
    <w:rsid w:val="004A0A15"/>
    <w:rsid w:val="004A2974"/>
    <w:rsid w:val="004A3001"/>
    <w:rsid w:val="004A3258"/>
    <w:rsid w:val="004A6A8F"/>
    <w:rsid w:val="004A6DD1"/>
    <w:rsid w:val="004B0F31"/>
    <w:rsid w:val="004B1132"/>
    <w:rsid w:val="004B1AF1"/>
    <w:rsid w:val="004B2CAC"/>
    <w:rsid w:val="004B2DC3"/>
    <w:rsid w:val="004B30A3"/>
    <w:rsid w:val="004B3295"/>
    <w:rsid w:val="004B3704"/>
    <w:rsid w:val="004B391E"/>
    <w:rsid w:val="004B60A5"/>
    <w:rsid w:val="004B7931"/>
    <w:rsid w:val="004B7DC9"/>
    <w:rsid w:val="004C0575"/>
    <w:rsid w:val="004C0F47"/>
    <w:rsid w:val="004C1AE7"/>
    <w:rsid w:val="004C1B57"/>
    <w:rsid w:val="004C3A05"/>
    <w:rsid w:val="004C3E54"/>
    <w:rsid w:val="004C5206"/>
    <w:rsid w:val="004C5E84"/>
    <w:rsid w:val="004C64E7"/>
    <w:rsid w:val="004C73AF"/>
    <w:rsid w:val="004C74F8"/>
    <w:rsid w:val="004D06BA"/>
    <w:rsid w:val="004D0EEC"/>
    <w:rsid w:val="004D32C3"/>
    <w:rsid w:val="004D3C6E"/>
    <w:rsid w:val="004D50F6"/>
    <w:rsid w:val="004D5146"/>
    <w:rsid w:val="004D549E"/>
    <w:rsid w:val="004D72BB"/>
    <w:rsid w:val="004D7623"/>
    <w:rsid w:val="004E069E"/>
    <w:rsid w:val="004E12D4"/>
    <w:rsid w:val="004E13F6"/>
    <w:rsid w:val="004E141D"/>
    <w:rsid w:val="004E1FF6"/>
    <w:rsid w:val="004E23DD"/>
    <w:rsid w:val="004E504E"/>
    <w:rsid w:val="004E6FA2"/>
    <w:rsid w:val="004E7487"/>
    <w:rsid w:val="004F2496"/>
    <w:rsid w:val="004F25F4"/>
    <w:rsid w:val="004F277F"/>
    <w:rsid w:val="004F3641"/>
    <w:rsid w:val="004F3AFD"/>
    <w:rsid w:val="004F3B57"/>
    <w:rsid w:val="004F3F73"/>
    <w:rsid w:val="004F41FE"/>
    <w:rsid w:val="004F4571"/>
    <w:rsid w:val="004F6040"/>
    <w:rsid w:val="004F63CD"/>
    <w:rsid w:val="00502998"/>
    <w:rsid w:val="00504F0B"/>
    <w:rsid w:val="0050611B"/>
    <w:rsid w:val="00507BC3"/>
    <w:rsid w:val="0051029C"/>
    <w:rsid w:val="00510390"/>
    <w:rsid w:val="00510655"/>
    <w:rsid w:val="005106CA"/>
    <w:rsid w:val="00512E06"/>
    <w:rsid w:val="00512F67"/>
    <w:rsid w:val="00515112"/>
    <w:rsid w:val="005171E0"/>
    <w:rsid w:val="005173AB"/>
    <w:rsid w:val="00520DE7"/>
    <w:rsid w:val="00521BEE"/>
    <w:rsid w:val="00523772"/>
    <w:rsid w:val="00523C26"/>
    <w:rsid w:val="005246B0"/>
    <w:rsid w:val="00525D74"/>
    <w:rsid w:val="00526D67"/>
    <w:rsid w:val="005271DC"/>
    <w:rsid w:val="005278BA"/>
    <w:rsid w:val="00527BF5"/>
    <w:rsid w:val="0053032B"/>
    <w:rsid w:val="00530561"/>
    <w:rsid w:val="00530DB0"/>
    <w:rsid w:val="0053190B"/>
    <w:rsid w:val="00531A41"/>
    <w:rsid w:val="00533CAF"/>
    <w:rsid w:val="005349A5"/>
    <w:rsid w:val="00540FF8"/>
    <w:rsid w:val="00541866"/>
    <w:rsid w:val="00541988"/>
    <w:rsid w:val="00541D66"/>
    <w:rsid w:val="00543F6A"/>
    <w:rsid w:val="00545562"/>
    <w:rsid w:val="00545BAB"/>
    <w:rsid w:val="0054669C"/>
    <w:rsid w:val="00546DC0"/>
    <w:rsid w:val="00547A9D"/>
    <w:rsid w:val="00547E18"/>
    <w:rsid w:val="0055132B"/>
    <w:rsid w:val="005518E4"/>
    <w:rsid w:val="005521BE"/>
    <w:rsid w:val="00553319"/>
    <w:rsid w:val="005535B5"/>
    <w:rsid w:val="00556984"/>
    <w:rsid w:val="0055711F"/>
    <w:rsid w:val="00557FA3"/>
    <w:rsid w:val="0056020F"/>
    <w:rsid w:val="00560E0A"/>
    <w:rsid w:val="0056202F"/>
    <w:rsid w:val="005635A9"/>
    <w:rsid w:val="005652EE"/>
    <w:rsid w:val="00565662"/>
    <w:rsid w:val="00567CCD"/>
    <w:rsid w:val="00570628"/>
    <w:rsid w:val="005710F5"/>
    <w:rsid w:val="00572182"/>
    <w:rsid w:val="00577BC5"/>
    <w:rsid w:val="005824F1"/>
    <w:rsid w:val="00584382"/>
    <w:rsid w:val="00584DFC"/>
    <w:rsid w:val="00585F22"/>
    <w:rsid w:val="005861AE"/>
    <w:rsid w:val="005865EE"/>
    <w:rsid w:val="00587EF6"/>
    <w:rsid w:val="00590630"/>
    <w:rsid w:val="00590E73"/>
    <w:rsid w:val="005916AF"/>
    <w:rsid w:val="00591D8B"/>
    <w:rsid w:val="00591E27"/>
    <w:rsid w:val="005920CB"/>
    <w:rsid w:val="0059272E"/>
    <w:rsid w:val="005933D0"/>
    <w:rsid w:val="00595277"/>
    <w:rsid w:val="005961B9"/>
    <w:rsid w:val="00597117"/>
    <w:rsid w:val="005971AF"/>
    <w:rsid w:val="00597EA7"/>
    <w:rsid w:val="005A0706"/>
    <w:rsid w:val="005A0AFC"/>
    <w:rsid w:val="005A1631"/>
    <w:rsid w:val="005A1E0F"/>
    <w:rsid w:val="005A246F"/>
    <w:rsid w:val="005A29CC"/>
    <w:rsid w:val="005A2C54"/>
    <w:rsid w:val="005A2FAA"/>
    <w:rsid w:val="005A34A7"/>
    <w:rsid w:val="005A684D"/>
    <w:rsid w:val="005A799B"/>
    <w:rsid w:val="005B053D"/>
    <w:rsid w:val="005B0833"/>
    <w:rsid w:val="005B2320"/>
    <w:rsid w:val="005B2606"/>
    <w:rsid w:val="005B326D"/>
    <w:rsid w:val="005B3CDC"/>
    <w:rsid w:val="005B3D58"/>
    <w:rsid w:val="005B4611"/>
    <w:rsid w:val="005B5A7D"/>
    <w:rsid w:val="005C0096"/>
    <w:rsid w:val="005C15F7"/>
    <w:rsid w:val="005C1AC5"/>
    <w:rsid w:val="005C32F3"/>
    <w:rsid w:val="005C34CA"/>
    <w:rsid w:val="005C3CF0"/>
    <w:rsid w:val="005C3E1F"/>
    <w:rsid w:val="005C3ECD"/>
    <w:rsid w:val="005C4E5A"/>
    <w:rsid w:val="005D02FC"/>
    <w:rsid w:val="005D119B"/>
    <w:rsid w:val="005D2900"/>
    <w:rsid w:val="005D3512"/>
    <w:rsid w:val="005D3B78"/>
    <w:rsid w:val="005D42A9"/>
    <w:rsid w:val="005D513C"/>
    <w:rsid w:val="005D5304"/>
    <w:rsid w:val="005E0C48"/>
    <w:rsid w:val="005E1651"/>
    <w:rsid w:val="005E31AC"/>
    <w:rsid w:val="005E34FD"/>
    <w:rsid w:val="005E45B0"/>
    <w:rsid w:val="005E5043"/>
    <w:rsid w:val="005E58C2"/>
    <w:rsid w:val="005F0581"/>
    <w:rsid w:val="005F1EEB"/>
    <w:rsid w:val="005F252F"/>
    <w:rsid w:val="005F5EDA"/>
    <w:rsid w:val="005F608E"/>
    <w:rsid w:val="005F7D0D"/>
    <w:rsid w:val="006013D2"/>
    <w:rsid w:val="00601C5A"/>
    <w:rsid w:val="00602E3C"/>
    <w:rsid w:val="00603461"/>
    <w:rsid w:val="006068B4"/>
    <w:rsid w:val="00607B0F"/>
    <w:rsid w:val="00607C87"/>
    <w:rsid w:val="006106CD"/>
    <w:rsid w:val="006116FE"/>
    <w:rsid w:val="00611B90"/>
    <w:rsid w:val="00614293"/>
    <w:rsid w:val="00614FF0"/>
    <w:rsid w:val="00616AB4"/>
    <w:rsid w:val="00617877"/>
    <w:rsid w:val="00617ED1"/>
    <w:rsid w:val="006200F6"/>
    <w:rsid w:val="00620CC0"/>
    <w:rsid w:val="00621840"/>
    <w:rsid w:val="006222FA"/>
    <w:rsid w:val="006224FC"/>
    <w:rsid w:val="006246EB"/>
    <w:rsid w:val="00625A7C"/>
    <w:rsid w:val="006260BC"/>
    <w:rsid w:val="00626339"/>
    <w:rsid w:val="00626577"/>
    <w:rsid w:val="0063002E"/>
    <w:rsid w:val="006314BC"/>
    <w:rsid w:val="00631F76"/>
    <w:rsid w:val="006320E9"/>
    <w:rsid w:val="00632B6F"/>
    <w:rsid w:val="006330AD"/>
    <w:rsid w:val="00637245"/>
    <w:rsid w:val="0063782C"/>
    <w:rsid w:val="00637F9C"/>
    <w:rsid w:val="00640595"/>
    <w:rsid w:val="00641968"/>
    <w:rsid w:val="00644395"/>
    <w:rsid w:val="006449C9"/>
    <w:rsid w:val="006461FB"/>
    <w:rsid w:val="00650D65"/>
    <w:rsid w:val="00650D9E"/>
    <w:rsid w:val="00656077"/>
    <w:rsid w:val="006569D7"/>
    <w:rsid w:val="00656DFE"/>
    <w:rsid w:val="00656E38"/>
    <w:rsid w:val="00657D8D"/>
    <w:rsid w:val="00660576"/>
    <w:rsid w:val="0066185B"/>
    <w:rsid w:val="0066786F"/>
    <w:rsid w:val="00667FF1"/>
    <w:rsid w:val="00670A50"/>
    <w:rsid w:val="0067190E"/>
    <w:rsid w:val="006737F6"/>
    <w:rsid w:val="00673E4A"/>
    <w:rsid w:val="00675784"/>
    <w:rsid w:val="006757CD"/>
    <w:rsid w:val="00676F5C"/>
    <w:rsid w:val="0067747F"/>
    <w:rsid w:val="00677483"/>
    <w:rsid w:val="006777EF"/>
    <w:rsid w:val="006817A6"/>
    <w:rsid w:val="006818BE"/>
    <w:rsid w:val="0068195E"/>
    <w:rsid w:val="00681D20"/>
    <w:rsid w:val="00681D46"/>
    <w:rsid w:val="00681D62"/>
    <w:rsid w:val="00681ED2"/>
    <w:rsid w:val="006821C2"/>
    <w:rsid w:val="006829CF"/>
    <w:rsid w:val="00684395"/>
    <w:rsid w:val="006843D1"/>
    <w:rsid w:val="00684D06"/>
    <w:rsid w:val="00685DCD"/>
    <w:rsid w:val="00686075"/>
    <w:rsid w:val="0068706A"/>
    <w:rsid w:val="006879C8"/>
    <w:rsid w:val="0068D30D"/>
    <w:rsid w:val="006909E9"/>
    <w:rsid w:val="0069214F"/>
    <w:rsid w:val="006921DD"/>
    <w:rsid w:val="00692C42"/>
    <w:rsid w:val="0069385B"/>
    <w:rsid w:val="006949BB"/>
    <w:rsid w:val="00695394"/>
    <w:rsid w:val="00695B1B"/>
    <w:rsid w:val="0069615E"/>
    <w:rsid w:val="00696F46"/>
    <w:rsid w:val="006A0D78"/>
    <w:rsid w:val="006A18B3"/>
    <w:rsid w:val="006A36E4"/>
    <w:rsid w:val="006A38AE"/>
    <w:rsid w:val="006A486D"/>
    <w:rsid w:val="006A4AFD"/>
    <w:rsid w:val="006A624D"/>
    <w:rsid w:val="006A6F7F"/>
    <w:rsid w:val="006B0D06"/>
    <w:rsid w:val="006B0E36"/>
    <w:rsid w:val="006B0F2B"/>
    <w:rsid w:val="006B1170"/>
    <w:rsid w:val="006B2682"/>
    <w:rsid w:val="006B3F67"/>
    <w:rsid w:val="006B5076"/>
    <w:rsid w:val="006B50D4"/>
    <w:rsid w:val="006B7816"/>
    <w:rsid w:val="006C1AFA"/>
    <w:rsid w:val="006C240C"/>
    <w:rsid w:val="006C2DF5"/>
    <w:rsid w:val="006C3879"/>
    <w:rsid w:val="006C5291"/>
    <w:rsid w:val="006C5426"/>
    <w:rsid w:val="006C7878"/>
    <w:rsid w:val="006C7960"/>
    <w:rsid w:val="006C7B4D"/>
    <w:rsid w:val="006D0DB6"/>
    <w:rsid w:val="006D25BB"/>
    <w:rsid w:val="006D304F"/>
    <w:rsid w:val="006D363A"/>
    <w:rsid w:val="006D3BF5"/>
    <w:rsid w:val="006D5492"/>
    <w:rsid w:val="006D57FF"/>
    <w:rsid w:val="006D626D"/>
    <w:rsid w:val="006D67B9"/>
    <w:rsid w:val="006D7645"/>
    <w:rsid w:val="006D7D00"/>
    <w:rsid w:val="006E045D"/>
    <w:rsid w:val="006E12D4"/>
    <w:rsid w:val="006E1380"/>
    <w:rsid w:val="006E1E70"/>
    <w:rsid w:val="006E311E"/>
    <w:rsid w:val="006E3762"/>
    <w:rsid w:val="006E3821"/>
    <w:rsid w:val="006E789B"/>
    <w:rsid w:val="006E7C4E"/>
    <w:rsid w:val="006F0156"/>
    <w:rsid w:val="006F0DD1"/>
    <w:rsid w:val="006F1C22"/>
    <w:rsid w:val="006F2528"/>
    <w:rsid w:val="006F263E"/>
    <w:rsid w:val="006F2D56"/>
    <w:rsid w:val="006F326F"/>
    <w:rsid w:val="006F6524"/>
    <w:rsid w:val="006F7D2B"/>
    <w:rsid w:val="0070016B"/>
    <w:rsid w:val="007007A3"/>
    <w:rsid w:val="00700FD8"/>
    <w:rsid w:val="007031B7"/>
    <w:rsid w:val="007046C5"/>
    <w:rsid w:val="0070715D"/>
    <w:rsid w:val="00710A26"/>
    <w:rsid w:val="00711792"/>
    <w:rsid w:val="00712EB6"/>
    <w:rsid w:val="00713E95"/>
    <w:rsid w:val="00714BC4"/>
    <w:rsid w:val="00715220"/>
    <w:rsid w:val="00715222"/>
    <w:rsid w:val="0071549A"/>
    <w:rsid w:val="007173BC"/>
    <w:rsid w:val="007176FE"/>
    <w:rsid w:val="0072076F"/>
    <w:rsid w:val="007211BE"/>
    <w:rsid w:val="00721D27"/>
    <w:rsid w:val="007224D4"/>
    <w:rsid w:val="007225C9"/>
    <w:rsid w:val="007229B6"/>
    <w:rsid w:val="00723659"/>
    <w:rsid w:val="007247B7"/>
    <w:rsid w:val="00725531"/>
    <w:rsid w:val="00726F02"/>
    <w:rsid w:val="00727AFB"/>
    <w:rsid w:val="00727FE7"/>
    <w:rsid w:val="007308FE"/>
    <w:rsid w:val="007310D9"/>
    <w:rsid w:val="00731A13"/>
    <w:rsid w:val="007342E3"/>
    <w:rsid w:val="00734D72"/>
    <w:rsid w:val="007359C7"/>
    <w:rsid w:val="00736977"/>
    <w:rsid w:val="0073772C"/>
    <w:rsid w:val="00741A5C"/>
    <w:rsid w:val="00742B4A"/>
    <w:rsid w:val="007449BF"/>
    <w:rsid w:val="00745FE6"/>
    <w:rsid w:val="0074788C"/>
    <w:rsid w:val="00751A9D"/>
    <w:rsid w:val="00752242"/>
    <w:rsid w:val="007535E7"/>
    <w:rsid w:val="00753A39"/>
    <w:rsid w:val="00755595"/>
    <w:rsid w:val="007557AF"/>
    <w:rsid w:val="00756037"/>
    <w:rsid w:val="00757FD8"/>
    <w:rsid w:val="007600C9"/>
    <w:rsid w:val="00761C71"/>
    <w:rsid w:val="007627B9"/>
    <w:rsid w:val="00762DDE"/>
    <w:rsid w:val="00763ED2"/>
    <w:rsid w:val="00763F5B"/>
    <w:rsid w:val="00766F20"/>
    <w:rsid w:val="00767472"/>
    <w:rsid w:val="00767D38"/>
    <w:rsid w:val="00770976"/>
    <w:rsid w:val="00772B2E"/>
    <w:rsid w:val="00775995"/>
    <w:rsid w:val="00776277"/>
    <w:rsid w:val="0077698F"/>
    <w:rsid w:val="007770BD"/>
    <w:rsid w:val="007804BF"/>
    <w:rsid w:val="00780E0D"/>
    <w:rsid w:val="0078168D"/>
    <w:rsid w:val="00781776"/>
    <w:rsid w:val="00783764"/>
    <w:rsid w:val="00783E66"/>
    <w:rsid w:val="007847A7"/>
    <w:rsid w:val="00785089"/>
    <w:rsid w:val="0078542D"/>
    <w:rsid w:val="00785DD9"/>
    <w:rsid w:val="0078755A"/>
    <w:rsid w:val="00787E89"/>
    <w:rsid w:val="00794A5E"/>
    <w:rsid w:val="0079570B"/>
    <w:rsid w:val="00796589"/>
    <w:rsid w:val="00796D93"/>
    <w:rsid w:val="007A45B7"/>
    <w:rsid w:val="007A4DC5"/>
    <w:rsid w:val="007A6AE5"/>
    <w:rsid w:val="007A6D89"/>
    <w:rsid w:val="007B0346"/>
    <w:rsid w:val="007B0B76"/>
    <w:rsid w:val="007B2A80"/>
    <w:rsid w:val="007B2B9E"/>
    <w:rsid w:val="007B2E0D"/>
    <w:rsid w:val="007B3563"/>
    <w:rsid w:val="007B6DF2"/>
    <w:rsid w:val="007B6E5B"/>
    <w:rsid w:val="007C2B68"/>
    <w:rsid w:val="007C4EF2"/>
    <w:rsid w:val="007C6787"/>
    <w:rsid w:val="007C7FEB"/>
    <w:rsid w:val="007D0565"/>
    <w:rsid w:val="007D310A"/>
    <w:rsid w:val="007D7E03"/>
    <w:rsid w:val="007E123A"/>
    <w:rsid w:val="007E13DB"/>
    <w:rsid w:val="007E22F7"/>
    <w:rsid w:val="007E2E82"/>
    <w:rsid w:val="007E4009"/>
    <w:rsid w:val="007E43EC"/>
    <w:rsid w:val="007E6FFE"/>
    <w:rsid w:val="007F08CB"/>
    <w:rsid w:val="007F131A"/>
    <w:rsid w:val="007F13C6"/>
    <w:rsid w:val="007F13D1"/>
    <w:rsid w:val="007F1E17"/>
    <w:rsid w:val="007F3648"/>
    <w:rsid w:val="007F3717"/>
    <w:rsid w:val="007F3D0C"/>
    <w:rsid w:val="007F45B4"/>
    <w:rsid w:val="007F5DD2"/>
    <w:rsid w:val="007F6469"/>
    <w:rsid w:val="007F76C4"/>
    <w:rsid w:val="007F778F"/>
    <w:rsid w:val="00800328"/>
    <w:rsid w:val="00801AAF"/>
    <w:rsid w:val="00801B64"/>
    <w:rsid w:val="0080295F"/>
    <w:rsid w:val="00802964"/>
    <w:rsid w:val="00802AA9"/>
    <w:rsid w:val="00803666"/>
    <w:rsid w:val="0080387B"/>
    <w:rsid w:val="00803A01"/>
    <w:rsid w:val="0080426C"/>
    <w:rsid w:val="008042C5"/>
    <w:rsid w:val="0080528F"/>
    <w:rsid w:val="0080731D"/>
    <w:rsid w:val="00812402"/>
    <w:rsid w:val="00812D11"/>
    <w:rsid w:val="00815AAA"/>
    <w:rsid w:val="00815E8F"/>
    <w:rsid w:val="008206F1"/>
    <w:rsid w:val="0082381D"/>
    <w:rsid w:val="008275C6"/>
    <w:rsid w:val="00827E74"/>
    <w:rsid w:val="008303AC"/>
    <w:rsid w:val="008317C5"/>
    <w:rsid w:val="00831975"/>
    <w:rsid w:val="00832955"/>
    <w:rsid w:val="008343F0"/>
    <w:rsid w:val="00835E74"/>
    <w:rsid w:val="00836208"/>
    <w:rsid w:val="0083681E"/>
    <w:rsid w:val="00837F7C"/>
    <w:rsid w:val="008408B4"/>
    <w:rsid w:val="00841ABD"/>
    <w:rsid w:val="0084253B"/>
    <w:rsid w:val="0084330A"/>
    <w:rsid w:val="00843640"/>
    <w:rsid w:val="00844879"/>
    <w:rsid w:val="008467BD"/>
    <w:rsid w:val="00847DD0"/>
    <w:rsid w:val="00852731"/>
    <w:rsid w:val="00856A6C"/>
    <w:rsid w:val="00856DEE"/>
    <w:rsid w:val="0086123B"/>
    <w:rsid w:val="00861563"/>
    <w:rsid w:val="008618F5"/>
    <w:rsid w:val="00863CDD"/>
    <w:rsid w:val="008642C6"/>
    <w:rsid w:val="008647C5"/>
    <w:rsid w:val="00865224"/>
    <w:rsid w:val="008655FB"/>
    <w:rsid w:val="00865CA2"/>
    <w:rsid w:val="00867A22"/>
    <w:rsid w:val="00872377"/>
    <w:rsid w:val="008728FD"/>
    <w:rsid w:val="00873644"/>
    <w:rsid w:val="00873BD8"/>
    <w:rsid w:val="00873F9F"/>
    <w:rsid w:val="00875487"/>
    <w:rsid w:val="00880C11"/>
    <w:rsid w:val="00880D1C"/>
    <w:rsid w:val="00884EDC"/>
    <w:rsid w:val="00885FCD"/>
    <w:rsid w:val="008877C7"/>
    <w:rsid w:val="00890B2A"/>
    <w:rsid w:val="00890C69"/>
    <w:rsid w:val="008916DB"/>
    <w:rsid w:val="00892166"/>
    <w:rsid w:val="0089371E"/>
    <w:rsid w:val="00893728"/>
    <w:rsid w:val="00897EAF"/>
    <w:rsid w:val="008A20E7"/>
    <w:rsid w:val="008A3B0D"/>
    <w:rsid w:val="008A3C12"/>
    <w:rsid w:val="008A4DB8"/>
    <w:rsid w:val="008A524B"/>
    <w:rsid w:val="008A66DB"/>
    <w:rsid w:val="008A6C91"/>
    <w:rsid w:val="008A7027"/>
    <w:rsid w:val="008A7D1D"/>
    <w:rsid w:val="008A7E51"/>
    <w:rsid w:val="008B047F"/>
    <w:rsid w:val="008B0614"/>
    <w:rsid w:val="008B14E9"/>
    <w:rsid w:val="008B2A36"/>
    <w:rsid w:val="008B4734"/>
    <w:rsid w:val="008B5D03"/>
    <w:rsid w:val="008B685D"/>
    <w:rsid w:val="008B75B5"/>
    <w:rsid w:val="008C06B6"/>
    <w:rsid w:val="008C22A1"/>
    <w:rsid w:val="008C2CFF"/>
    <w:rsid w:val="008C3359"/>
    <w:rsid w:val="008C355E"/>
    <w:rsid w:val="008C3E79"/>
    <w:rsid w:val="008C6211"/>
    <w:rsid w:val="008C74F0"/>
    <w:rsid w:val="008D01C3"/>
    <w:rsid w:val="008D0B8A"/>
    <w:rsid w:val="008D1089"/>
    <w:rsid w:val="008D17C3"/>
    <w:rsid w:val="008D1D54"/>
    <w:rsid w:val="008D1FFF"/>
    <w:rsid w:val="008D26F8"/>
    <w:rsid w:val="008D2842"/>
    <w:rsid w:val="008D2C21"/>
    <w:rsid w:val="008D3E76"/>
    <w:rsid w:val="008D41C5"/>
    <w:rsid w:val="008D6609"/>
    <w:rsid w:val="008E0260"/>
    <w:rsid w:val="008E0435"/>
    <w:rsid w:val="008E1BBA"/>
    <w:rsid w:val="008E2BC7"/>
    <w:rsid w:val="008E322E"/>
    <w:rsid w:val="008E5197"/>
    <w:rsid w:val="008E5513"/>
    <w:rsid w:val="008E5FE2"/>
    <w:rsid w:val="008E6833"/>
    <w:rsid w:val="008E6A94"/>
    <w:rsid w:val="008E6DF0"/>
    <w:rsid w:val="008E727C"/>
    <w:rsid w:val="008F0603"/>
    <w:rsid w:val="008F1384"/>
    <w:rsid w:val="008F18AC"/>
    <w:rsid w:val="008F2C57"/>
    <w:rsid w:val="008F4B41"/>
    <w:rsid w:val="008F511B"/>
    <w:rsid w:val="008F7D2C"/>
    <w:rsid w:val="009009EC"/>
    <w:rsid w:val="00901531"/>
    <w:rsid w:val="00902688"/>
    <w:rsid w:val="009033C0"/>
    <w:rsid w:val="00903806"/>
    <w:rsid w:val="00904BD8"/>
    <w:rsid w:val="00906285"/>
    <w:rsid w:val="0090700E"/>
    <w:rsid w:val="00907735"/>
    <w:rsid w:val="00911ADC"/>
    <w:rsid w:val="00911D45"/>
    <w:rsid w:val="009120C5"/>
    <w:rsid w:val="00916791"/>
    <w:rsid w:val="00917632"/>
    <w:rsid w:val="00920B37"/>
    <w:rsid w:val="00920F4D"/>
    <w:rsid w:val="009221A4"/>
    <w:rsid w:val="00922213"/>
    <w:rsid w:val="00924572"/>
    <w:rsid w:val="0092636F"/>
    <w:rsid w:val="009267C3"/>
    <w:rsid w:val="009278F9"/>
    <w:rsid w:val="00927CAB"/>
    <w:rsid w:val="00930092"/>
    <w:rsid w:val="0093390F"/>
    <w:rsid w:val="00933DA0"/>
    <w:rsid w:val="0093422D"/>
    <w:rsid w:val="00935118"/>
    <w:rsid w:val="009353CC"/>
    <w:rsid w:val="00935683"/>
    <w:rsid w:val="00936F84"/>
    <w:rsid w:val="009371F3"/>
    <w:rsid w:val="009422F9"/>
    <w:rsid w:val="009430F8"/>
    <w:rsid w:val="00943165"/>
    <w:rsid w:val="009440B1"/>
    <w:rsid w:val="00945147"/>
    <w:rsid w:val="009454E1"/>
    <w:rsid w:val="00945CE5"/>
    <w:rsid w:val="00945E04"/>
    <w:rsid w:val="00946E3A"/>
    <w:rsid w:val="00947C6B"/>
    <w:rsid w:val="00947DAB"/>
    <w:rsid w:val="0095149A"/>
    <w:rsid w:val="009521B4"/>
    <w:rsid w:val="0095423E"/>
    <w:rsid w:val="00955BAE"/>
    <w:rsid w:val="00960E81"/>
    <w:rsid w:val="009621AE"/>
    <w:rsid w:val="00964981"/>
    <w:rsid w:val="00964AB3"/>
    <w:rsid w:val="00964C0D"/>
    <w:rsid w:val="00964F0D"/>
    <w:rsid w:val="009657EE"/>
    <w:rsid w:val="009704FA"/>
    <w:rsid w:val="00970EE4"/>
    <w:rsid w:val="00971B20"/>
    <w:rsid w:val="0097271E"/>
    <w:rsid w:val="0097327C"/>
    <w:rsid w:val="0097329F"/>
    <w:rsid w:val="0097449A"/>
    <w:rsid w:val="009756D7"/>
    <w:rsid w:val="00975C2C"/>
    <w:rsid w:val="00976E1E"/>
    <w:rsid w:val="009778E0"/>
    <w:rsid w:val="00980084"/>
    <w:rsid w:val="00980E46"/>
    <w:rsid w:val="00980E56"/>
    <w:rsid w:val="0098157F"/>
    <w:rsid w:val="009866E5"/>
    <w:rsid w:val="0098678C"/>
    <w:rsid w:val="00987B39"/>
    <w:rsid w:val="00990E75"/>
    <w:rsid w:val="00991169"/>
    <w:rsid w:val="00991946"/>
    <w:rsid w:val="009926FC"/>
    <w:rsid w:val="00993967"/>
    <w:rsid w:val="009946F7"/>
    <w:rsid w:val="00995845"/>
    <w:rsid w:val="009969A9"/>
    <w:rsid w:val="00996A51"/>
    <w:rsid w:val="00996BA2"/>
    <w:rsid w:val="009A0101"/>
    <w:rsid w:val="009A069E"/>
    <w:rsid w:val="009A0B96"/>
    <w:rsid w:val="009A1DD5"/>
    <w:rsid w:val="009A20F3"/>
    <w:rsid w:val="009A3D4A"/>
    <w:rsid w:val="009A65D0"/>
    <w:rsid w:val="009A7DCA"/>
    <w:rsid w:val="009A7F54"/>
    <w:rsid w:val="009B1108"/>
    <w:rsid w:val="009B15B4"/>
    <w:rsid w:val="009B5E5D"/>
    <w:rsid w:val="009B5E74"/>
    <w:rsid w:val="009B7BB9"/>
    <w:rsid w:val="009C33A4"/>
    <w:rsid w:val="009C40EA"/>
    <w:rsid w:val="009C49CC"/>
    <w:rsid w:val="009C4C6C"/>
    <w:rsid w:val="009C73F5"/>
    <w:rsid w:val="009C7BDF"/>
    <w:rsid w:val="009D0583"/>
    <w:rsid w:val="009D0F61"/>
    <w:rsid w:val="009D353C"/>
    <w:rsid w:val="009D533D"/>
    <w:rsid w:val="009D55B4"/>
    <w:rsid w:val="009D64CC"/>
    <w:rsid w:val="009D7D92"/>
    <w:rsid w:val="009E34AE"/>
    <w:rsid w:val="009E3E8D"/>
    <w:rsid w:val="009E4399"/>
    <w:rsid w:val="009E49CA"/>
    <w:rsid w:val="009E60E7"/>
    <w:rsid w:val="009E65F5"/>
    <w:rsid w:val="009E6FFE"/>
    <w:rsid w:val="009F019D"/>
    <w:rsid w:val="009F0426"/>
    <w:rsid w:val="009F4052"/>
    <w:rsid w:val="009F5EE4"/>
    <w:rsid w:val="009F66DB"/>
    <w:rsid w:val="009F7C5E"/>
    <w:rsid w:val="00A01580"/>
    <w:rsid w:val="00A01BFF"/>
    <w:rsid w:val="00A023F8"/>
    <w:rsid w:val="00A0268E"/>
    <w:rsid w:val="00A02DDD"/>
    <w:rsid w:val="00A0423B"/>
    <w:rsid w:val="00A0698F"/>
    <w:rsid w:val="00A07653"/>
    <w:rsid w:val="00A10571"/>
    <w:rsid w:val="00A1161C"/>
    <w:rsid w:val="00A12022"/>
    <w:rsid w:val="00A13316"/>
    <w:rsid w:val="00A136DD"/>
    <w:rsid w:val="00A14C8C"/>
    <w:rsid w:val="00A161A8"/>
    <w:rsid w:val="00A20692"/>
    <w:rsid w:val="00A23458"/>
    <w:rsid w:val="00A24316"/>
    <w:rsid w:val="00A254CF"/>
    <w:rsid w:val="00A26E31"/>
    <w:rsid w:val="00A3167F"/>
    <w:rsid w:val="00A31F84"/>
    <w:rsid w:val="00A3350E"/>
    <w:rsid w:val="00A349BC"/>
    <w:rsid w:val="00A3501B"/>
    <w:rsid w:val="00A358EC"/>
    <w:rsid w:val="00A36579"/>
    <w:rsid w:val="00A36ED5"/>
    <w:rsid w:val="00A37B00"/>
    <w:rsid w:val="00A40C03"/>
    <w:rsid w:val="00A40F40"/>
    <w:rsid w:val="00A41272"/>
    <w:rsid w:val="00A43A0F"/>
    <w:rsid w:val="00A47DF6"/>
    <w:rsid w:val="00A5012D"/>
    <w:rsid w:val="00A50271"/>
    <w:rsid w:val="00A5085A"/>
    <w:rsid w:val="00A50F8A"/>
    <w:rsid w:val="00A54466"/>
    <w:rsid w:val="00A54ACF"/>
    <w:rsid w:val="00A55AA0"/>
    <w:rsid w:val="00A601F9"/>
    <w:rsid w:val="00A60BB8"/>
    <w:rsid w:val="00A61551"/>
    <w:rsid w:val="00A61DE1"/>
    <w:rsid w:val="00A62128"/>
    <w:rsid w:val="00A623E0"/>
    <w:rsid w:val="00A62991"/>
    <w:rsid w:val="00A62B93"/>
    <w:rsid w:val="00A6446F"/>
    <w:rsid w:val="00A64CED"/>
    <w:rsid w:val="00A650E2"/>
    <w:rsid w:val="00A658A3"/>
    <w:rsid w:val="00A66196"/>
    <w:rsid w:val="00A66651"/>
    <w:rsid w:val="00A67AF0"/>
    <w:rsid w:val="00A67F78"/>
    <w:rsid w:val="00A70976"/>
    <w:rsid w:val="00A71CD2"/>
    <w:rsid w:val="00A7235E"/>
    <w:rsid w:val="00A734E7"/>
    <w:rsid w:val="00A76FE3"/>
    <w:rsid w:val="00A77FE7"/>
    <w:rsid w:val="00A80FCF"/>
    <w:rsid w:val="00A813D3"/>
    <w:rsid w:val="00A82B69"/>
    <w:rsid w:val="00A82F6B"/>
    <w:rsid w:val="00A8723E"/>
    <w:rsid w:val="00A8797E"/>
    <w:rsid w:val="00A90970"/>
    <w:rsid w:val="00A928FF"/>
    <w:rsid w:val="00A94005"/>
    <w:rsid w:val="00A9433D"/>
    <w:rsid w:val="00A95CB6"/>
    <w:rsid w:val="00A95D1D"/>
    <w:rsid w:val="00A966B1"/>
    <w:rsid w:val="00A96796"/>
    <w:rsid w:val="00A9789C"/>
    <w:rsid w:val="00AA038F"/>
    <w:rsid w:val="00AA1864"/>
    <w:rsid w:val="00AA21D3"/>
    <w:rsid w:val="00AA21F5"/>
    <w:rsid w:val="00AA2D82"/>
    <w:rsid w:val="00AA5008"/>
    <w:rsid w:val="00AA7C1B"/>
    <w:rsid w:val="00AB083F"/>
    <w:rsid w:val="00AB129C"/>
    <w:rsid w:val="00AB3613"/>
    <w:rsid w:val="00AB7A63"/>
    <w:rsid w:val="00AC0CBB"/>
    <w:rsid w:val="00AC2A80"/>
    <w:rsid w:val="00AC5231"/>
    <w:rsid w:val="00AC5E67"/>
    <w:rsid w:val="00AC64A0"/>
    <w:rsid w:val="00AD034A"/>
    <w:rsid w:val="00AD1243"/>
    <w:rsid w:val="00AD169C"/>
    <w:rsid w:val="00AD2450"/>
    <w:rsid w:val="00AD2E40"/>
    <w:rsid w:val="00AD65BE"/>
    <w:rsid w:val="00AD6A38"/>
    <w:rsid w:val="00AD72B4"/>
    <w:rsid w:val="00AD7AA1"/>
    <w:rsid w:val="00AE3104"/>
    <w:rsid w:val="00AE43AD"/>
    <w:rsid w:val="00AE43BB"/>
    <w:rsid w:val="00AE4815"/>
    <w:rsid w:val="00AE53A6"/>
    <w:rsid w:val="00AE6B64"/>
    <w:rsid w:val="00AE6BB5"/>
    <w:rsid w:val="00AE73DC"/>
    <w:rsid w:val="00AE7710"/>
    <w:rsid w:val="00AF2CE8"/>
    <w:rsid w:val="00AF704D"/>
    <w:rsid w:val="00AF70F9"/>
    <w:rsid w:val="00AF7CEE"/>
    <w:rsid w:val="00AF7F6F"/>
    <w:rsid w:val="00B00CC3"/>
    <w:rsid w:val="00B0265A"/>
    <w:rsid w:val="00B04A14"/>
    <w:rsid w:val="00B05053"/>
    <w:rsid w:val="00B056CC"/>
    <w:rsid w:val="00B058B6"/>
    <w:rsid w:val="00B075D7"/>
    <w:rsid w:val="00B13AB1"/>
    <w:rsid w:val="00B14AB5"/>
    <w:rsid w:val="00B14D9C"/>
    <w:rsid w:val="00B155FE"/>
    <w:rsid w:val="00B15A4C"/>
    <w:rsid w:val="00B15CA6"/>
    <w:rsid w:val="00B15F8D"/>
    <w:rsid w:val="00B17819"/>
    <w:rsid w:val="00B206C1"/>
    <w:rsid w:val="00B2202B"/>
    <w:rsid w:val="00B221B5"/>
    <w:rsid w:val="00B22BD9"/>
    <w:rsid w:val="00B2454C"/>
    <w:rsid w:val="00B2544B"/>
    <w:rsid w:val="00B2734A"/>
    <w:rsid w:val="00B3244C"/>
    <w:rsid w:val="00B32682"/>
    <w:rsid w:val="00B33638"/>
    <w:rsid w:val="00B33C05"/>
    <w:rsid w:val="00B34A94"/>
    <w:rsid w:val="00B35B95"/>
    <w:rsid w:val="00B36150"/>
    <w:rsid w:val="00B40D0E"/>
    <w:rsid w:val="00B41B58"/>
    <w:rsid w:val="00B43A9F"/>
    <w:rsid w:val="00B44127"/>
    <w:rsid w:val="00B46352"/>
    <w:rsid w:val="00B51261"/>
    <w:rsid w:val="00B54171"/>
    <w:rsid w:val="00B56CB1"/>
    <w:rsid w:val="00B60534"/>
    <w:rsid w:val="00B6124E"/>
    <w:rsid w:val="00B622E5"/>
    <w:rsid w:val="00B62D08"/>
    <w:rsid w:val="00B63DA3"/>
    <w:rsid w:val="00B63EBC"/>
    <w:rsid w:val="00B64063"/>
    <w:rsid w:val="00B6763B"/>
    <w:rsid w:val="00B705F2"/>
    <w:rsid w:val="00B70AB8"/>
    <w:rsid w:val="00B70FE4"/>
    <w:rsid w:val="00B72569"/>
    <w:rsid w:val="00B72FDD"/>
    <w:rsid w:val="00B7456C"/>
    <w:rsid w:val="00B7458D"/>
    <w:rsid w:val="00B745F4"/>
    <w:rsid w:val="00B75545"/>
    <w:rsid w:val="00B762E2"/>
    <w:rsid w:val="00B771CD"/>
    <w:rsid w:val="00B8241D"/>
    <w:rsid w:val="00B83F74"/>
    <w:rsid w:val="00B843B9"/>
    <w:rsid w:val="00B8447F"/>
    <w:rsid w:val="00B84AD1"/>
    <w:rsid w:val="00B850B8"/>
    <w:rsid w:val="00B85AD1"/>
    <w:rsid w:val="00B91104"/>
    <w:rsid w:val="00B91ABD"/>
    <w:rsid w:val="00B92DCF"/>
    <w:rsid w:val="00B94CCA"/>
    <w:rsid w:val="00B95AD8"/>
    <w:rsid w:val="00B9640C"/>
    <w:rsid w:val="00B9670A"/>
    <w:rsid w:val="00B9709B"/>
    <w:rsid w:val="00B9738E"/>
    <w:rsid w:val="00B97A62"/>
    <w:rsid w:val="00BA016E"/>
    <w:rsid w:val="00BA04EA"/>
    <w:rsid w:val="00BA246F"/>
    <w:rsid w:val="00BA35CC"/>
    <w:rsid w:val="00BA3B98"/>
    <w:rsid w:val="00BA415E"/>
    <w:rsid w:val="00BA5D1C"/>
    <w:rsid w:val="00BA60BB"/>
    <w:rsid w:val="00BA62C3"/>
    <w:rsid w:val="00BB0472"/>
    <w:rsid w:val="00BB10E1"/>
    <w:rsid w:val="00BB12FE"/>
    <w:rsid w:val="00BB259D"/>
    <w:rsid w:val="00BB2A34"/>
    <w:rsid w:val="00BB4D90"/>
    <w:rsid w:val="00BB5D94"/>
    <w:rsid w:val="00BB75BE"/>
    <w:rsid w:val="00BB79F6"/>
    <w:rsid w:val="00BC03B1"/>
    <w:rsid w:val="00BC19CC"/>
    <w:rsid w:val="00BC2001"/>
    <w:rsid w:val="00BC24BF"/>
    <w:rsid w:val="00BC4B9F"/>
    <w:rsid w:val="00BC6D2B"/>
    <w:rsid w:val="00BC74C4"/>
    <w:rsid w:val="00BD1758"/>
    <w:rsid w:val="00BD2A9C"/>
    <w:rsid w:val="00BD2E25"/>
    <w:rsid w:val="00BD37C8"/>
    <w:rsid w:val="00BD3CEA"/>
    <w:rsid w:val="00BD4776"/>
    <w:rsid w:val="00BD63FF"/>
    <w:rsid w:val="00BD6602"/>
    <w:rsid w:val="00BD6AF3"/>
    <w:rsid w:val="00BD7229"/>
    <w:rsid w:val="00BD7C49"/>
    <w:rsid w:val="00BD7F31"/>
    <w:rsid w:val="00BE00CC"/>
    <w:rsid w:val="00BE055D"/>
    <w:rsid w:val="00BE0A4E"/>
    <w:rsid w:val="00BE0DA4"/>
    <w:rsid w:val="00BE0F9D"/>
    <w:rsid w:val="00BE2602"/>
    <w:rsid w:val="00BE354F"/>
    <w:rsid w:val="00BE3FC6"/>
    <w:rsid w:val="00BE4BAC"/>
    <w:rsid w:val="00BE530F"/>
    <w:rsid w:val="00BE5712"/>
    <w:rsid w:val="00BE7750"/>
    <w:rsid w:val="00BE7819"/>
    <w:rsid w:val="00BE7A65"/>
    <w:rsid w:val="00BF007B"/>
    <w:rsid w:val="00BF099A"/>
    <w:rsid w:val="00BF4035"/>
    <w:rsid w:val="00BF48C3"/>
    <w:rsid w:val="00BF5E09"/>
    <w:rsid w:val="00BF7707"/>
    <w:rsid w:val="00C00710"/>
    <w:rsid w:val="00C012D1"/>
    <w:rsid w:val="00C01545"/>
    <w:rsid w:val="00C0256F"/>
    <w:rsid w:val="00C02772"/>
    <w:rsid w:val="00C03376"/>
    <w:rsid w:val="00C03BE7"/>
    <w:rsid w:val="00C063C3"/>
    <w:rsid w:val="00C10ED3"/>
    <w:rsid w:val="00C1143E"/>
    <w:rsid w:val="00C11612"/>
    <w:rsid w:val="00C11940"/>
    <w:rsid w:val="00C12BFF"/>
    <w:rsid w:val="00C13291"/>
    <w:rsid w:val="00C13FAE"/>
    <w:rsid w:val="00C1582A"/>
    <w:rsid w:val="00C16149"/>
    <w:rsid w:val="00C178E3"/>
    <w:rsid w:val="00C21016"/>
    <w:rsid w:val="00C21761"/>
    <w:rsid w:val="00C2238F"/>
    <w:rsid w:val="00C224F5"/>
    <w:rsid w:val="00C24948"/>
    <w:rsid w:val="00C261DC"/>
    <w:rsid w:val="00C268BB"/>
    <w:rsid w:val="00C268F4"/>
    <w:rsid w:val="00C27BFB"/>
    <w:rsid w:val="00C27DF5"/>
    <w:rsid w:val="00C302BC"/>
    <w:rsid w:val="00C326EB"/>
    <w:rsid w:val="00C32924"/>
    <w:rsid w:val="00C32D53"/>
    <w:rsid w:val="00C35CE2"/>
    <w:rsid w:val="00C35E13"/>
    <w:rsid w:val="00C36894"/>
    <w:rsid w:val="00C36A62"/>
    <w:rsid w:val="00C45E7A"/>
    <w:rsid w:val="00C46F63"/>
    <w:rsid w:val="00C4762E"/>
    <w:rsid w:val="00C50404"/>
    <w:rsid w:val="00C5054A"/>
    <w:rsid w:val="00C52FED"/>
    <w:rsid w:val="00C5351F"/>
    <w:rsid w:val="00C53734"/>
    <w:rsid w:val="00C539FB"/>
    <w:rsid w:val="00C53C2A"/>
    <w:rsid w:val="00C561BC"/>
    <w:rsid w:val="00C566FB"/>
    <w:rsid w:val="00C56FEF"/>
    <w:rsid w:val="00C56FF4"/>
    <w:rsid w:val="00C61227"/>
    <w:rsid w:val="00C6157D"/>
    <w:rsid w:val="00C61D07"/>
    <w:rsid w:val="00C62668"/>
    <w:rsid w:val="00C63C88"/>
    <w:rsid w:val="00C64C54"/>
    <w:rsid w:val="00C65238"/>
    <w:rsid w:val="00C70F04"/>
    <w:rsid w:val="00C72068"/>
    <w:rsid w:val="00C74E0F"/>
    <w:rsid w:val="00C75D5A"/>
    <w:rsid w:val="00C75E27"/>
    <w:rsid w:val="00C7666C"/>
    <w:rsid w:val="00C768D3"/>
    <w:rsid w:val="00C770F2"/>
    <w:rsid w:val="00C7762C"/>
    <w:rsid w:val="00C776A0"/>
    <w:rsid w:val="00C8266F"/>
    <w:rsid w:val="00C83548"/>
    <w:rsid w:val="00C86437"/>
    <w:rsid w:val="00C86618"/>
    <w:rsid w:val="00C86EA4"/>
    <w:rsid w:val="00C87225"/>
    <w:rsid w:val="00C872F4"/>
    <w:rsid w:val="00C87909"/>
    <w:rsid w:val="00C91648"/>
    <w:rsid w:val="00C9408B"/>
    <w:rsid w:val="00C948F5"/>
    <w:rsid w:val="00C94EDE"/>
    <w:rsid w:val="00C950DD"/>
    <w:rsid w:val="00C95900"/>
    <w:rsid w:val="00C97255"/>
    <w:rsid w:val="00C97321"/>
    <w:rsid w:val="00CA0692"/>
    <w:rsid w:val="00CA0CEB"/>
    <w:rsid w:val="00CA1438"/>
    <w:rsid w:val="00CA1C2C"/>
    <w:rsid w:val="00CA3468"/>
    <w:rsid w:val="00CA629D"/>
    <w:rsid w:val="00CA6D70"/>
    <w:rsid w:val="00CA7B88"/>
    <w:rsid w:val="00CB01DA"/>
    <w:rsid w:val="00CB07DE"/>
    <w:rsid w:val="00CB09E7"/>
    <w:rsid w:val="00CB1A82"/>
    <w:rsid w:val="00CB3696"/>
    <w:rsid w:val="00CB4082"/>
    <w:rsid w:val="00CB459B"/>
    <w:rsid w:val="00CB571B"/>
    <w:rsid w:val="00CB6C6E"/>
    <w:rsid w:val="00CB6F27"/>
    <w:rsid w:val="00CB7E48"/>
    <w:rsid w:val="00CB7FE1"/>
    <w:rsid w:val="00CC075B"/>
    <w:rsid w:val="00CC0866"/>
    <w:rsid w:val="00CC0CAD"/>
    <w:rsid w:val="00CC11BD"/>
    <w:rsid w:val="00CC18D6"/>
    <w:rsid w:val="00CC24D0"/>
    <w:rsid w:val="00CC4689"/>
    <w:rsid w:val="00CC5289"/>
    <w:rsid w:val="00CC54EB"/>
    <w:rsid w:val="00CC703F"/>
    <w:rsid w:val="00CC706B"/>
    <w:rsid w:val="00CC73DD"/>
    <w:rsid w:val="00CC7777"/>
    <w:rsid w:val="00CD0671"/>
    <w:rsid w:val="00CD06BE"/>
    <w:rsid w:val="00CD0F03"/>
    <w:rsid w:val="00CD1AC2"/>
    <w:rsid w:val="00CD1AD4"/>
    <w:rsid w:val="00CD1BD7"/>
    <w:rsid w:val="00CD1DE1"/>
    <w:rsid w:val="00CD2095"/>
    <w:rsid w:val="00CD45B0"/>
    <w:rsid w:val="00CE01FC"/>
    <w:rsid w:val="00CE0C34"/>
    <w:rsid w:val="00CE0CA4"/>
    <w:rsid w:val="00CE0F40"/>
    <w:rsid w:val="00CE12F5"/>
    <w:rsid w:val="00CE1608"/>
    <w:rsid w:val="00CE1DF7"/>
    <w:rsid w:val="00CE4893"/>
    <w:rsid w:val="00CE4C8C"/>
    <w:rsid w:val="00CE5744"/>
    <w:rsid w:val="00CE7F07"/>
    <w:rsid w:val="00CF0DB6"/>
    <w:rsid w:val="00CF15E7"/>
    <w:rsid w:val="00CF1732"/>
    <w:rsid w:val="00CF533D"/>
    <w:rsid w:val="00CF551C"/>
    <w:rsid w:val="00CF5F2A"/>
    <w:rsid w:val="00CF667E"/>
    <w:rsid w:val="00CF75FB"/>
    <w:rsid w:val="00CF7986"/>
    <w:rsid w:val="00D008E3"/>
    <w:rsid w:val="00D0533C"/>
    <w:rsid w:val="00D06976"/>
    <w:rsid w:val="00D07BD8"/>
    <w:rsid w:val="00D07EA5"/>
    <w:rsid w:val="00D10EA2"/>
    <w:rsid w:val="00D11009"/>
    <w:rsid w:val="00D12DA6"/>
    <w:rsid w:val="00D14F38"/>
    <w:rsid w:val="00D1616F"/>
    <w:rsid w:val="00D16D89"/>
    <w:rsid w:val="00D21BAC"/>
    <w:rsid w:val="00D226F1"/>
    <w:rsid w:val="00D22ED2"/>
    <w:rsid w:val="00D23D8F"/>
    <w:rsid w:val="00D23FED"/>
    <w:rsid w:val="00D258D9"/>
    <w:rsid w:val="00D3076A"/>
    <w:rsid w:val="00D30DEE"/>
    <w:rsid w:val="00D31737"/>
    <w:rsid w:val="00D33705"/>
    <w:rsid w:val="00D33920"/>
    <w:rsid w:val="00D33A8A"/>
    <w:rsid w:val="00D33B8F"/>
    <w:rsid w:val="00D34CD7"/>
    <w:rsid w:val="00D35813"/>
    <w:rsid w:val="00D36123"/>
    <w:rsid w:val="00D3672D"/>
    <w:rsid w:val="00D371DA"/>
    <w:rsid w:val="00D4148C"/>
    <w:rsid w:val="00D436B8"/>
    <w:rsid w:val="00D4434A"/>
    <w:rsid w:val="00D44A68"/>
    <w:rsid w:val="00D45ADC"/>
    <w:rsid w:val="00D479D4"/>
    <w:rsid w:val="00D503EA"/>
    <w:rsid w:val="00D5055E"/>
    <w:rsid w:val="00D50A39"/>
    <w:rsid w:val="00D50A45"/>
    <w:rsid w:val="00D511E9"/>
    <w:rsid w:val="00D51456"/>
    <w:rsid w:val="00D545F7"/>
    <w:rsid w:val="00D557C7"/>
    <w:rsid w:val="00D5594E"/>
    <w:rsid w:val="00D5677F"/>
    <w:rsid w:val="00D569CA"/>
    <w:rsid w:val="00D57B63"/>
    <w:rsid w:val="00D6008D"/>
    <w:rsid w:val="00D6274C"/>
    <w:rsid w:val="00D63897"/>
    <w:rsid w:val="00D63A8A"/>
    <w:rsid w:val="00D65C55"/>
    <w:rsid w:val="00D661F0"/>
    <w:rsid w:val="00D6691A"/>
    <w:rsid w:val="00D7202A"/>
    <w:rsid w:val="00D72777"/>
    <w:rsid w:val="00D7299C"/>
    <w:rsid w:val="00D73002"/>
    <w:rsid w:val="00D7302C"/>
    <w:rsid w:val="00D754E0"/>
    <w:rsid w:val="00D76BD4"/>
    <w:rsid w:val="00D77DDB"/>
    <w:rsid w:val="00D80FC9"/>
    <w:rsid w:val="00D81D97"/>
    <w:rsid w:val="00D8222A"/>
    <w:rsid w:val="00D843D9"/>
    <w:rsid w:val="00D84846"/>
    <w:rsid w:val="00D86367"/>
    <w:rsid w:val="00D86A94"/>
    <w:rsid w:val="00D870CF"/>
    <w:rsid w:val="00D87F61"/>
    <w:rsid w:val="00D90B5A"/>
    <w:rsid w:val="00D916FA"/>
    <w:rsid w:val="00D91A99"/>
    <w:rsid w:val="00D92214"/>
    <w:rsid w:val="00D92384"/>
    <w:rsid w:val="00D925F7"/>
    <w:rsid w:val="00D9414C"/>
    <w:rsid w:val="00D96195"/>
    <w:rsid w:val="00D968BE"/>
    <w:rsid w:val="00DA143F"/>
    <w:rsid w:val="00DA15B5"/>
    <w:rsid w:val="00DA1682"/>
    <w:rsid w:val="00DA1C11"/>
    <w:rsid w:val="00DA30F4"/>
    <w:rsid w:val="00DA363F"/>
    <w:rsid w:val="00DA4434"/>
    <w:rsid w:val="00DA488F"/>
    <w:rsid w:val="00DA4FBC"/>
    <w:rsid w:val="00DA541C"/>
    <w:rsid w:val="00DA547D"/>
    <w:rsid w:val="00DA6CEE"/>
    <w:rsid w:val="00DA72D2"/>
    <w:rsid w:val="00DB02A9"/>
    <w:rsid w:val="00DB07FB"/>
    <w:rsid w:val="00DB12ED"/>
    <w:rsid w:val="00DB1326"/>
    <w:rsid w:val="00DB2547"/>
    <w:rsid w:val="00DB3DD8"/>
    <w:rsid w:val="00DB6953"/>
    <w:rsid w:val="00DB7DE0"/>
    <w:rsid w:val="00DC0B89"/>
    <w:rsid w:val="00DC15E6"/>
    <w:rsid w:val="00DC1F02"/>
    <w:rsid w:val="00DC22D9"/>
    <w:rsid w:val="00DC31DE"/>
    <w:rsid w:val="00DC46C9"/>
    <w:rsid w:val="00DC4E7F"/>
    <w:rsid w:val="00DC5639"/>
    <w:rsid w:val="00DD0EAE"/>
    <w:rsid w:val="00DD1BB1"/>
    <w:rsid w:val="00DD1EE7"/>
    <w:rsid w:val="00DD25C1"/>
    <w:rsid w:val="00DD30E6"/>
    <w:rsid w:val="00DD3916"/>
    <w:rsid w:val="00DD6B24"/>
    <w:rsid w:val="00DD7C34"/>
    <w:rsid w:val="00DD7FD1"/>
    <w:rsid w:val="00DE084E"/>
    <w:rsid w:val="00DE1B2C"/>
    <w:rsid w:val="00DE4C96"/>
    <w:rsid w:val="00DE7A5C"/>
    <w:rsid w:val="00DE7C03"/>
    <w:rsid w:val="00DF0A34"/>
    <w:rsid w:val="00DF1268"/>
    <w:rsid w:val="00DF1E55"/>
    <w:rsid w:val="00DF5152"/>
    <w:rsid w:val="00DF5E25"/>
    <w:rsid w:val="00DF63FB"/>
    <w:rsid w:val="00DF7F4C"/>
    <w:rsid w:val="00E012DF"/>
    <w:rsid w:val="00E022A9"/>
    <w:rsid w:val="00E02497"/>
    <w:rsid w:val="00E02EEE"/>
    <w:rsid w:val="00E0335A"/>
    <w:rsid w:val="00E03905"/>
    <w:rsid w:val="00E039B7"/>
    <w:rsid w:val="00E03AA3"/>
    <w:rsid w:val="00E049D4"/>
    <w:rsid w:val="00E04BAA"/>
    <w:rsid w:val="00E055C2"/>
    <w:rsid w:val="00E07128"/>
    <w:rsid w:val="00E12802"/>
    <w:rsid w:val="00E13207"/>
    <w:rsid w:val="00E14619"/>
    <w:rsid w:val="00E1527D"/>
    <w:rsid w:val="00E16566"/>
    <w:rsid w:val="00E166FB"/>
    <w:rsid w:val="00E167FF"/>
    <w:rsid w:val="00E17A94"/>
    <w:rsid w:val="00E2147C"/>
    <w:rsid w:val="00E23C29"/>
    <w:rsid w:val="00E23EA4"/>
    <w:rsid w:val="00E23FFC"/>
    <w:rsid w:val="00E26F1E"/>
    <w:rsid w:val="00E27C2A"/>
    <w:rsid w:val="00E27C42"/>
    <w:rsid w:val="00E3367D"/>
    <w:rsid w:val="00E36984"/>
    <w:rsid w:val="00E373AC"/>
    <w:rsid w:val="00E37BB5"/>
    <w:rsid w:val="00E37F8C"/>
    <w:rsid w:val="00E4062F"/>
    <w:rsid w:val="00E4131E"/>
    <w:rsid w:val="00E41BFB"/>
    <w:rsid w:val="00E42061"/>
    <w:rsid w:val="00E424F3"/>
    <w:rsid w:val="00E4406D"/>
    <w:rsid w:val="00E440AB"/>
    <w:rsid w:val="00E449FD"/>
    <w:rsid w:val="00E46055"/>
    <w:rsid w:val="00E46CB1"/>
    <w:rsid w:val="00E501C9"/>
    <w:rsid w:val="00E5484A"/>
    <w:rsid w:val="00E55CD7"/>
    <w:rsid w:val="00E561AD"/>
    <w:rsid w:val="00E56767"/>
    <w:rsid w:val="00E56F21"/>
    <w:rsid w:val="00E601EF"/>
    <w:rsid w:val="00E60670"/>
    <w:rsid w:val="00E60EB9"/>
    <w:rsid w:val="00E61389"/>
    <w:rsid w:val="00E632CB"/>
    <w:rsid w:val="00E63B72"/>
    <w:rsid w:val="00E63B79"/>
    <w:rsid w:val="00E67620"/>
    <w:rsid w:val="00E702C2"/>
    <w:rsid w:val="00E71F61"/>
    <w:rsid w:val="00E72811"/>
    <w:rsid w:val="00E72CB2"/>
    <w:rsid w:val="00E73AD4"/>
    <w:rsid w:val="00E81967"/>
    <w:rsid w:val="00E82306"/>
    <w:rsid w:val="00E823A7"/>
    <w:rsid w:val="00E83065"/>
    <w:rsid w:val="00E832D7"/>
    <w:rsid w:val="00E83D72"/>
    <w:rsid w:val="00E8589D"/>
    <w:rsid w:val="00E86C99"/>
    <w:rsid w:val="00E86D49"/>
    <w:rsid w:val="00E8721F"/>
    <w:rsid w:val="00E87537"/>
    <w:rsid w:val="00E92BE7"/>
    <w:rsid w:val="00E942CF"/>
    <w:rsid w:val="00E943EC"/>
    <w:rsid w:val="00E94D1D"/>
    <w:rsid w:val="00E97147"/>
    <w:rsid w:val="00E97430"/>
    <w:rsid w:val="00E978B6"/>
    <w:rsid w:val="00E97B76"/>
    <w:rsid w:val="00EA0D4A"/>
    <w:rsid w:val="00EA0EF7"/>
    <w:rsid w:val="00EA1037"/>
    <w:rsid w:val="00EA1F58"/>
    <w:rsid w:val="00EA29C4"/>
    <w:rsid w:val="00EA2D3A"/>
    <w:rsid w:val="00EA2DF8"/>
    <w:rsid w:val="00EA375F"/>
    <w:rsid w:val="00EA435E"/>
    <w:rsid w:val="00EA5289"/>
    <w:rsid w:val="00EA52A9"/>
    <w:rsid w:val="00EA5C30"/>
    <w:rsid w:val="00EA626E"/>
    <w:rsid w:val="00EA7832"/>
    <w:rsid w:val="00EB1850"/>
    <w:rsid w:val="00EB26A0"/>
    <w:rsid w:val="00EB382B"/>
    <w:rsid w:val="00EB5F9F"/>
    <w:rsid w:val="00EC00A2"/>
    <w:rsid w:val="00EC0376"/>
    <w:rsid w:val="00EC0C4A"/>
    <w:rsid w:val="00EC2203"/>
    <w:rsid w:val="00EC3394"/>
    <w:rsid w:val="00EC3951"/>
    <w:rsid w:val="00EC3CCC"/>
    <w:rsid w:val="00EC421A"/>
    <w:rsid w:val="00EC589B"/>
    <w:rsid w:val="00EC69BA"/>
    <w:rsid w:val="00ED0EA7"/>
    <w:rsid w:val="00ED1137"/>
    <w:rsid w:val="00ED17C4"/>
    <w:rsid w:val="00ED1AEF"/>
    <w:rsid w:val="00ED219E"/>
    <w:rsid w:val="00ED2D97"/>
    <w:rsid w:val="00ED40C7"/>
    <w:rsid w:val="00ED4A6F"/>
    <w:rsid w:val="00ED57BA"/>
    <w:rsid w:val="00ED6136"/>
    <w:rsid w:val="00ED79CF"/>
    <w:rsid w:val="00EE1DAE"/>
    <w:rsid w:val="00EE1E12"/>
    <w:rsid w:val="00EE2213"/>
    <w:rsid w:val="00EE34BB"/>
    <w:rsid w:val="00EE3EB9"/>
    <w:rsid w:val="00EE444B"/>
    <w:rsid w:val="00EE5EA4"/>
    <w:rsid w:val="00EF002E"/>
    <w:rsid w:val="00EF14BD"/>
    <w:rsid w:val="00EF1F5B"/>
    <w:rsid w:val="00EF22AA"/>
    <w:rsid w:val="00EF31E7"/>
    <w:rsid w:val="00EF4EF8"/>
    <w:rsid w:val="00EF5F48"/>
    <w:rsid w:val="00EF6820"/>
    <w:rsid w:val="00EF717B"/>
    <w:rsid w:val="00F01437"/>
    <w:rsid w:val="00F01A63"/>
    <w:rsid w:val="00F01C3C"/>
    <w:rsid w:val="00F030E1"/>
    <w:rsid w:val="00F03965"/>
    <w:rsid w:val="00F05220"/>
    <w:rsid w:val="00F05815"/>
    <w:rsid w:val="00F06549"/>
    <w:rsid w:val="00F07044"/>
    <w:rsid w:val="00F1118B"/>
    <w:rsid w:val="00F11762"/>
    <w:rsid w:val="00F153EF"/>
    <w:rsid w:val="00F22077"/>
    <w:rsid w:val="00F224A0"/>
    <w:rsid w:val="00F22614"/>
    <w:rsid w:val="00F249DA"/>
    <w:rsid w:val="00F26244"/>
    <w:rsid w:val="00F26645"/>
    <w:rsid w:val="00F30362"/>
    <w:rsid w:val="00F314E1"/>
    <w:rsid w:val="00F33AE7"/>
    <w:rsid w:val="00F34521"/>
    <w:rsid w:val="00F3505B"/>
    <w:rsid w:val="00F35767"/>
    <w:rsid w:val="00F357B2"/>
    <w:rsid w:val="00F3632E"/>
    <w:rsid w:val="00F37865"/>
    <w:rsid w:val="00F37E95"/>
    <w:rsid w:val="00F40920"/>
    <w:rsid w:val="00F40BBC"/>
    <w:rsid w:val="00F41577"/>
    <w:rsid w:val="00F4169D"/>
    <w:rsid w:val="00F43D33"/>
    <w:rsid w:val="00F46F72"/>
    <w:rsid w:val="00F46F83"/>
    <w:rsid w:val="00F47184"/>
    <w:rsid w:val="00F50CFA"/>
    <w:rsid w:val="00F53DB5"/>
    <w:rsid w:val="00F5521A"/>
    <w:rsid w:val="00F56068"/>
    <w:rsid w:val="00F57CC6"/>
    <w:rsid w:val="00F6044E"/>
    <w:rsid w:val="00F6258B"/>
    <w:rsid w:val="00F62EC5"/>
    <w:rsid w:val="00F632DF"/>
    <w:rsid w:val="00F6478D"/>
    <w:rsid w:val="00F71CAC"/>
    <w:rsid w:val="00F71FDE"/>
    <w:rsid w:val="00F72867"/>
    <w:rsid w:val="00F73CB9"/>
    <w:rsid w:val="00F7556A"/>
    <w:rsid w:val="00F75868"/>
    <w:rsid w:val="00F76EE9"/>
    <w:rsid w:val="00F805AE"/>
    <w:rsid w:val="00F8132B"/>
    <w:rsid w:val="00F840EB"/>
    <w:rsid w:val="00F90893"/>
    <w:rsid w:val="00F92C4C"/>
    <w:rsid w:val="00F93A93"/>
    <w:rsid w:val="00F9424C"/>
    <w:rsid w:val="00F946AB"/>
    <w:rsid w:val="00F95FB2"/>
    <w:rsid w:val="00F97910"/>
    <w:rsid w:val="00F97A64"/>
    <w:rsid w:val="00FA054E"/>
    <w:rsid w:val="00FA0C97"/>
    <w:rsid w:val="00FA31A9"/>
    <w:rsid w:val="00FA3BFF"/>
    <w:rsid w:val="00FA4634"/>
    <w:rsid w:val="00FA4EE4"/>
    <w:rsid w:val="00FA5AA9"/>
    <w:rsid w:val="00FA6A81"/>
    <w:rsid w:val="00FA7FDB"/>
    <w:rsid w:val="00FB114C"/>
    <w:rsid w:val="00FB1921"/>
    <w:rsid w:val="00FB23DF"/>
    <w:rsid w:val="00FB287A"/>
    <w:rsid w:val="00FB28BD"/>
    <w:rsid w:val="00FB35A4"/>
    <w:rsid w:val="00FB59DC"/>
    <w:rsid w:val="00FB7355"/>
    <w:rsid w:val="00FC0D58"/>
    <w:rsid w:val="00FC114E"/>
    <w:rsid w:val="00FC2081"/>
    <w:rsid w:val="00FC4076"/>
    <w:rsid w:val="00FC49F4"/>
    <w:rsid w:val="00FC4CD2"/>
    <w:rsid w:val="00FC4CF0"/>
    <w:rsid w:val="00FC4EDF"/>
    <w:rsid w:val="00FC4F7E"/>
    <w:rsid w:val="00FC6530"/>
    <w:rsid w:val="00FC73A6"/>
    <w:rsid w:val="00FC7D15"/>
    <w:rsid w:val="00FC7DF0"/>
    <w:rsid w:val="00FD0226"/>
    <w:rsid w:val="00FD3C21"/>
    <w:rsid w:val="00FD3F05"/>
    <w:rsid w:val="00FD46EE"/>
    <w:rsid w:val="00FD65B4"/>
    <w:rsid w:val="00FD7247"/>
    <w:rsid w:val="00FD77E6"/>
    <w:rsid w:val="00FE0ACB"/>
    <w:rsid w:val="00FE0CFB"/>
    <w:rsid w:val="00FE12D5"/>
    <w:rsid w:val="00FE2CD2"/>
    <w:rsid w:val="00FE30F2"/>
    <w:rsid w:val="00FE32C3"/>
    <w:rsid w:val="00FE5F63"/>
    <w:rsid w:val="00FE6C0F"/>
    <w:rsid w:val="00FE7686"/>
    <w:rsid w:val="00FE7FA2"/>
    <w:rsid w:val="00FF0720"/>
    <w:rsid w:val="00FF13AD"/>
    <w:rsid w:val="00FF17E5"/>
    <w:rsid w:val="00FF1D39"/>
    <w:rsid w:val="00FF30FF"/>
    <w:rsid w:val="00FF3A69"/>
    <w:rsid w:val="00FF50AB"/>
    <w:rsid w:val="00FF5AD9"/>
    <w:rsid w:val="00FF603C"/>
    <w:rsid w:val="00FF6CB2"/>
    <w:rsid w:val="010C1112"/>
    <w:rsid w:val="029C2633"/>
    <w:rsid w:val="03532116"/>
    <w:rsid w:val="03E3A3E9"/>
    <w:rsid w:val="03F51677"/>
    <w:rsid w:val="03F69F1A"/>
    <w:rsid w:val="05919A2D"/>
    <w:rsid w:val="05E9152B"/>
    <w:rsid w:val="06379433"/>
    <w:rsid w:val="063D6843"/>
    <w:rsid w:val="066432AC"/>
    <w:rsid w:val="069B7ADC"/>
    <w:rsid w:val="06BE6BE2"/>
    <w:rsid w:val="06FE8B66"/>
    <w:rsid w:val="0739E6C6"/>
    <w:rsid w:val="0763136A"/>
    <w:rsid w:val="07A6191C"/>
    <w:rsid w:val="07ABBEBB"/>
    <w:rsid w:val="07BA705A"/>
    <w:rsid w:val="0907052C"/>
    <w:rsid w:val="098051AA"/>
    <w:rsid w:val="0A24B9C4"/>
    <w:rsid w:val="0A613950"/>
    <w:rsid w:val="0A700B55"/>
    <w:rsid w:val="0B0022D9"/>
    <w:rsid w:val="0B48D58A"/>
    <w:rsid w:val="0C5E71B7"/>
    <w:rsid w:val="0C689E27"/>
    <w:rsid w:val="0C6C4946"/>
    <w:rsid w:val="0C85BE5D"/>
    <w:rsid w:val="0C9FAC85"/>
    <w:rsid w:val="0CB1253A"/>
    <w:rsid w:val="0DCFF88F"/>
    <w:rsid w:val="0DE04A9F"/>
    <w:rsid w:val="0E6BB81D"/>
    <w:rsid w:val="0E967858"/>
    <w:rsid w:val="0F03D9E1"/>
    <w:rsid w:val="0F3B75E8"/>
    <w:rsid w:val="0F95990C"/>
    <w:rsid w:val="0FD4C9D7"/>
    <w:rsid w:val="102F500D"/>
    <w:rsid w:val="10A4A11E"/>
    <w:rsid w:val="10FB2C97"/>
    <w:rsid w:val="1112F309"/>
    <w:rsid w:val="1114BA4E"/>
    <w:rsid w:val="112C6B7A"/>
    <w:rsid w:val="1198BEFD"/>
    <w:rsid w:val="11DD2B83"/>
    <w:rsid w:val="12008149"/>
    <w:rsid w:val="123EFD2F"/>
    <w:rsid w:val="12F4B78A"/>
    <w:rsid w:val="1323E382"/>
    <w:rsid w:val="13A3A09E"/>
    <w:rsid w:val="13A79940"/>
    <w:rsid w:val="13E847AC"/>
    <w:rsid w:val="13F426FA"/>
    <w:rsid w:val="142D8494"/>
    <w:rsid w:val="1486A01F"/>
    <w:rsid w:val="15270E72"/>
    <w:rsid w:val="154090C5"/>
    <w:rsid w:val="1561100D"/>
    <w:rsid w:val="15A58401"/>
    <w:rsid w:val="16287004"/>
    <w:rsid w:val="166F4922"/>
    <w:rsid w:val="17131A31"/>
    <w:rsid w:val="17C27382"/>
    <w:rsid w:val="17DC55AF"/>
    <w:rsid w:val="17FEF9E5"/>
    <w:rsid w:val="18B57E3D"/>
    <w:rsid w:val="18CE3240"/>
    <w:rsid w:val="19667954"/>
    <w:rsid w:val="19DEEE96"/>
    <w:rsid w:val="19E6C14B"/>
    <w:rsid w:val="1A7FDCA6"/>
    <w:rsid w:val="1A9A6D24"/>
    <w:rsid w:val="1AC17C3A"/>
    <w:rsid w:val="1ADA31FC"/>
    <w:rsid w:val="1B284C5D"/>
    <w:rsid w:val="1B597A7E"/>
    <w:rsid w:val="1BB71A66"/>
    <w:rsid w:val="1BD611AD"/>
    <w:rsid w:val="1CE469A7"/>
    <w:rsid w:val="1D481232"/>
    <w:rsid w:val="1DD9EF3C"/>
    <w:rsid w:val="1DF69EC9"/>
    <w:rsid w:val="1E25FE9E"/>
    <w:rsid w:val="1EBF714E"/>
    <w:rsid w:val="1EE22F19"/>
    <w:rsid w:val="1F152BF5"/>
    <w:rsid w:val="1F6DAFD8"/>
    <w:rsid w:val="1F84CC11"/>
    <w:rsid w:val="20BD1B28"/>
    <w:rsid w:val="218F7423"/>
    <w:rsid w:val="21A055E4"/>
    <w:rsid w:val="21CD325D"/>
    <w:rsid w:val="21F176C3"/>
    <w:rsid w:val="22B2E273"/>
    <w:rsid w:val="235944A0"/>
    <w:rsid w:val="242A3B97"/>
    <w:rsid w:val="244B8BA3"/>
    <w:rsid w:val="247593E9"/>
    <w:rsid w:val="2482AB30"/>
    <w:rsid w:val="24866881"/>
    <w:rsid w:val="248FB11B"/>
    <w:rsid w:val="24CA6B4B"/>
    <w:rsid w:val="25167A99"/>
    <w:rsid w:val="256E7D1F"/>
    <w:rsid w:val="263C3F53"/>
    <w:rsid w:val="266D0E36"/>
    <w:rsid w:val="2705F438"/>
    <w:rsid w:val="286F61AF"/>
    <w:rsid w:val="29171280"/>
    <w:rsid w:val="291EB04C"/>
    <w:rsid w:val="29AF17E1"/>
    <w:rsid w:val="29E24B52"/>
    <w:rsid w:val="2AB2F450"/>
    <w:rsid w:val="2AB70C23"/>
    <w:rsid w:val="2AEB4A54"/>
    <w:rsid w:val="2B04FDB1"/>
    <w:rsid w:val="2B1AC7DC"/>
    <w:rsid w:val="2BEF2B23"/>
    <w:rsid w:val="2BF1899A"/>
    <w:rsid w:val="2C3D54C4"/>
    <w:rsid w:val="2CC507A0"/>
    <w:rsid w:val="2CE0FEC2"/>
    <w:rsid w:val="2CF1AE67"/>
    <w:rsid w:val="2D99E544"/>
    <w:rsid w:val="2DEB2C8A"/>
    <w:rsid w:val="2E2AB90F"/>
    <w:rsid w:val="2E3CCF42"/>
    <w:rsid w:val="2E8E4643"/>
    <w:rsid w:val="2E8E7D31"/>
    <w:rsid w:val="2EE8C294"/>
    <w:rsid w:val="2F7661F3"/>
    <w:rsid w:val="2FA6F2C0"/>
    <w:rsid w:val="30B89212"/>
    <w:rsid w:val="30EDBFC2"/>
    <w:rsid w:val="30FC3356"/>
    <w:rsid w:val="3192DD79"/>
    <w:rsid w:val="3205A40E"/>
    <w:rsid w:val="320BC70F"/>
    <w:rsid w:val="32158470"/>
    <w:rsid w:val="3268830B"/>
    <w:rsid w:val="32C1C859"/>
    <w:rsid w:val="32F6F98A"/>
    <w:rsid w:val="33059570"/>
    <w:rsid w:val="33985B12"/>
    <w:rsid w:val="33E5B4FB"/>
    <w:rsid w:val="34DFCB06"/>
    <w:rsid w:val="34E998B1"/>
    <w:rsid w:val="34F06E92"/>
    <w:rsid w:val="3518770D"/>
    <w:rsid w:val="351F2960"/>
    <w:rsid w:val="3569ECBC"/>
    <w:rsid w:val="35821FBB"/>
    <w:rsid w:val="358BCD3F"/>
    <w:rsid w:val="35A59737"/>
    <w:rsid w:val="3630E3D9"/>
    <w:rsid w:val="36C1AD60"/>
    <w:rsid w:val="36E718BD"/>
    <w:rsid w:val="372DFBD6"/>
    <w:rsid w:val="375E6B6B"/>
    <w:rsid w:val="3782F5BA"/>
    <w:rsid w:val="381054FE"/>
    <w:rsid w:val="382BB0E4"/>
    <w:rsid w:val="38303276"/>
    <w:rsid w:val="38D94B9A"/>
    <w:rsid w:val="39728167"/>
    <w:rsid w:val="397FF86C"/>
    <w:rsid w:val="39F787EA"/>
    <w:rsid w:val="3A1863B5"/>
    <w:rsid w:val="3A252E23"/>
    <w:rsid w:val="3AC975C0"/>
    <w:rsid w:val="3AE1C658"/>
    <w:rsid w:val="3AE87F4D"/>
    <w:rsid w:val="3B3759A5"/>
    <w:rsid w:val="3B799BCC"/>
    <w:rsid w:val="3B983095"/>
    <w:rsid w:val="3BBDEFDF"/>
    <w:rsid w:val="3C09902F"/>
    <w:rsid w:val="3C205190"/>
    <w:rsid w:val="3C415B41"/>
    <w:rsid w:val="3C637521"/>
    <w:rsid w:val="3D1B7E88"/>
    <w:rsid w:val="3D23032C"/>
    <w:rsid w:val="3DF4D5B1"/>
    <w:rsid w:val="3E0BD2A6"/>
    <w:rsid w:val="3E587F8E"/>
    <w:rsid w:val="3EEBE81C"/>
    <w:rsid w:val="3F8285E0"/>
    <w:rsid w:val="3FC738EB"/>
    <w:rsid w:val="3FF7CE88"/>
    <w:rsid w:val="404A42F7"/>
    <w:rsid w:val="405C61C0"/>
    <w:rsid w:val="40CDF8D1"/>
    <w:rsid w:val="4131F494"/>
    <w:rsid w:val="41531929"/>
    <w:rsid w:val="41B4A28C"/>
    <w:rsid w:val="4254DCC1"/>
    <w:rsid w:val="42EDEF6D"/>
    <w:rsid w:val="43768F17"/>
    <w:rsid w:val="451C38B0"/>
    <w:rsid w:val="45866D16"/>
    <w:rsid w:val="46186346"/>
    <w:rsid w:val="464F45A7"/>
    <w:rsid w:val="4660B91A"/>
    <w:rsid w:val="475F3A1A"/>
    <w:rsid w:val="47C26FF6"/>
    <w:rsid w:val="47CA3E1F"/>
    <w:rsid w:val="4816A654"/>
    <w:rsid w:val="481A0B18"/>
    <w:rsid w:val="48375772"/>
    <w:rsid w:val="487623C5"/>
    <w:rsid w:val="4909FF02"/>
    <w:rsid w:val="4936E5BF"/>
    <w:rsid w:val="4959E051"/>
    <w:rsid w:val="4A1DDAEB"/>
    <w:rsid w:val="4A4DD050"/>
    <w:rsid w:val="4AA1AE5E"/>
    <w:rsid w:val="4B71E956"/>
    <w:rsid w:val="4C05280B"/>
    <w:rsid w:val="4C2A1218"/>
    <w:rsid w:val="4C8918ED"/>
    <w:rsid w:val="4D05D725"/>
    <w:rsid w:val="4D0967CF"/>
    <w:rsid w:val="4D65BC3A"/>
    <w:rsid w:val="4D8EC441"/>
    <w:rsid w:val="4DBA415A"/>
    <w:rsid w:val="4DE0175B"/>
    <w:rsid w:val="4E12A658"/>
    <w:rsid w:val="4E2B0E51"/>
    <w:rsid w:val="4EDF1A41"/>
    <w:rsid w:val="4EF92727"/>
    <w:rsid w:val="4F9EA472"/>
    <w:rsid w:val="4FCC0AD1"/>
    <w:rsid w:val="5018C294"/>
    <w:rsid w:val="510D766F"/>
    <w:rsid w:val="51115786"/>
    <w:rsid w:val="5170D769"/>
    <w:rsid w:val="526362D6"/>
    <w:rsid w:val="527DC273"/>
    <w:rsid w:val="52CC3B59"/>
    <w:rsid w:val="5369F3F4"/>
    <w:rsid w:val="537A5530"/>
    <w:rsid w:val="537B7A8F"/>
    <w:rsid w:val="547A2D94"/>
    <w:rsid w:val="547CDDA0"/>
    <w:rsid w:val="54ACA371"/>
    <w:rsid w:val="550BC2F9"/>
    <w:rsid w:val="558BDF90"/>
    <w:rsid w:val="559D80A3"/>
    <w:rsid w:val="56F1BA1B"/>
    <w:rsid w:val="57821025"/>
    <w:rsid w:val="57CD894D"/>
    <w:rsid w:val="58532BE8"/>
    <w:rsid w:val="587E035A"/>
    <w:rsid w:val="58A84EEA"/>
    <w:rsid w:val="58E96E3A"/>
    <w:rsid w:val="593AC637"/>
    <w:rsid w:val="593E5738"/>
    <w:rsid w:val="594C7A0B"/>
    <w:rsid w:val="59C112C8"/>
    <w:rsid w:val="5A4CF6CC"/>
    <w:rsid w:val="5AF03726"/>
    <w:rsid w:val="5B545F6C"/>
    <w:rsid w:val="5B67C7D7"/>
    <w:rsid w:val="5C24D288"/>
    <w:rsid w:val="5C6F8BC2"/>
    <w:rsid w:val="5CE41D62"/>
    <w:rsid w:val="5CEFEC53"/>
    <w:rsid w:val="5DC4A04A"/>
    <w:rsid w:val="5DD4D7CF"/>
    <w:rsid w:val="5E4023AB"/>
    <w:rsid w:val="5E7D70E4"/>
    <w:rsid w:val="5E97B0CB"/>
    <w:rsid w:val="5F62B1B6"/>
    <w:rsid w:val="5FAE97D8"/>
    <w:rsid w:val="5FD35E9D"/>
    <w:rsid w:val="600DB829"/>
    <w:rsid w:val="6079877E"/>
    <w:rsid w:val="61EE564A"/>
    <w:rsid w:val="62456E77"/>
    <w:rsid w:val="62BE2085"/>
    <w:rsid w:val="62C9B2EA"/>
    <w:rsid w:val="631FEBCA"/>
    <w:rsid w:val="639E9B9B"/>
    <w:rsid w:val="63BEA325"/>
    <w:rsid w:val="6462B5A6"/>
    <w:rsid w:val="649087DC"/>
    <w:rsid w:val="649395FB"/>
    <w:rsid w:val="64A4B944"/>
    <w:rsid w:val="64F692D4"/>
    <w:rsid w:val="656A1E2D"/>
    <w:rsid w:val="65772A6C"/>
    <w:rsid w:val="65A72BA2"/>
    <w:rsid w:val="6654291A"/>
    <w:rsid w:val="66BD4B63"/>
    <w:rsid w:val="671C4404"/>
    <w:rsid w:val="67205E4B"/>
    <w:rsid w:val="67630FE3"/>
    <w:rsid w:val="67929FA3"/>
    <w:rsid w:val="67997BEE"/>
    <w:rsid w:val="67E5EF71"/>
    <w:rsid w:val="688EC8D6"/>
    <w:rsid w:val="68C2C5D5"/>
    <w:rsid w:val="68DB40FC"/>
    <w:rsid w:val="691A7037"/>
    <w:rsid w:val="6924D4D1"/>
    <w:rsid w:val="6987D822"/>
    <w:rsid w:val="6A0510BF"/>
    <w:rsid w:val="6A66705C"/>
    <w:rsid w:val="6AB03904"/>
    <w:rsid w:val="6ABC4D12"/>
    <w:rsid w:val="6B3C2582"/>
    <w:rsid w:val="6B5B80CE"/>
    <w:rsid w:val="6BF9886D"/>
    <w:rsid w:val="6C7E551B"/>
    <w:rsid w:val="6D488CFE"/>
    <w:rsid w:val="6D92290A"/>
    <w:rsid w:val="6DC8581C"/>
    <w:rsid w:val="6DE954D4"/>
    <w:rsid w:val="6E235B12"/>
    <w:rsid w:val="702EE3C2"/>
    <w:rsid w:val="70481CF2"/>
    <w:rsid w:val="70A625F7"/>
    <w:rsid w:val="70C006E6"/>
    <w:rsid w:val="7193A06A"/>
    <w:rsid w:val="71C31FE3"/>
    <w:rsid w:val="71E6426E"/>
    <w:rsid w:val="71F51864"/>
    <w:rsid w:val="724E9FAD"/>
    <w:rsid w:val="727A167A"/>
    <w:rsid w:val="72AFD5C4"/>
    <w:rsid w:val="72D168A5"/>
    <w:rsid w:val="72F6ECCE"/>
    <w:rsid w:val="730FCCFB"/>
    <w:rsid w:val="73BF3F6F"/>
    <w:rsid w:val="73C5D9BC"/>
    <w:rsid w:val="73F401F8"/>
    <w:rsid w:val="74B9DF17"/>
    <w:rsid w:val="74CD2655"/>
    <w:rsid w:val="75207B8F"/>
    <w:rsid w:val="75809766"/>
    <w:rsid w:val="75BE7B32"/>
    <w:rsid w:val="75E7E8C2"/>
    <w:rsid w:val="766E7AF6"/>
    <w:rsid w:val="76825172"/>
    <w:rsid w:val="76B67B90"/>
    <w:rsid w:val="77316144"/>
    <w:rsid w:val="77359BF2"/>
    <w:rsid w:val="77446A4A"/>
    <w:rsid w:val="777ECC86"/>
    <w:rsid w:val="77D2CA7A"/>
    <w:rsid w:val="78206F1E"/>
    <w:rsid w:val="784B72B7"/>
    <w:rsid w:val="785BA168"/>
    <w:rsid w:val="7929D98B"/>
    <w:rsid w:val="79B17F01"/>
    <w:rsid w:val="79BEC7F1"/>
    <w:rsid w:val="79CB34D5"/>
    <w:rsid w:val="7A6AF975"/>
    <w:rsid w:val="7A75D9C9"/>
    <w:rsid w:val="7B254AC1"/>
    <w:rsid w:val="7B51F349"/>
    <w:rsid w:val="7BAD7C19"/>
    <w:rsid w:val="7BEE4526"/>
    <w:rsid w:val="7BF38582"/>
    <w:rsid w:val="7C285CBA"/>
    <w:rsid w:val="7C297149"/>
    <w:rsid w:val="7C97CD75"/>
    <w:rsid w:val="7D073C85"/>
    <w:rsid w:val="7D0CF5E0"/>
    <w:rsid w:val="7DA9163B"/>
    <w:rsid w:val="7DEED1A8"/>
    <w:rsid w:val="7E030E9E"/>
    <w:rsid w:val="7E1955CF"/>
    <w:rsid w:val="7F17C408"/>
    <w:rsid w:val="7FA29CDC"/>
    <w:rsid w:val="7FD379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689E2"/>
  <w15:docId w15:val="{38D6A328-5785-4CB2-BD85-E77B7552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B55A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155FE"/>
    <w:pPr>
      <w:tabs>
        <w:tab w:val="center" w:pos="4536"/>
        <w:tab w:val="right" w:pos="9072"/>
      </w:tabs>
      <w:spacing w:after="0" w:line="240" w:lineRule="auto"/>
    </w:pPr>
  </w:style>
  <w:style w:type="character" w:customStyle="1" w:styleId="lfejChar">
    <w:name w:val="Élőfej Char"/>
    <w:basedOn w:val="Bekezdsalapbettpusa"/>
    <w:link w:val="lfej"/>
    <w:uiPriority w:val="99"/>
    <w:rsid w:val="00B155FE"/>
  </w:style>
  <w:style w:type="paragraph" w:styleId="llb">
    <w:name w:val="footer"/>
    <w:basedOn w:val="Norml"/>
    <w:link w:val="llbChar"/>
    <w:uiPriority w:val="99"/>
    <w:unhideWhenUsed/>
    <w:rsid w:val="00B155FE"/>
    <w:pPr>
      <w:tabs>
        <w:tab w:val="center" w:pos="4536"/>
        <w:tab w:val="right" w:pos="9072"/>
      </w:tabs>
      <w:spacing w:after="0" w:line="240" w:lineRule="auto"/>
    </w:pPr>
  </w:style>
  <w:style w:type="character" w:customStyle="1" w:styleId="llbChar">
    <w:name w:val="Élőláb Char"/>
    <w:basedOn w:val="Bekezdsalapbettpusa"/>
    <w:link w:val="llb"/>
    <w:uiPriority w:val="99"/>
    <w:rsid w:val="00B155FE"/>
  </w:style>
  <w:style w:type="paragraph" w:styleId="Lbjegyzetszveg">
    <w:name w:val="footnote text"/>
    <w:basedOn w:val="Norml"/>
    <w:link w:val="LbjegyzetszvegChar"/>
    <w:uiPriority w:val="99"/>
    <w:semiHidden/>
    <w:unhideWhenUsed/>
    <w:rsid w:val="00B155F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155FE"/>
    <w:rPr>
      <w:sz w:val="20"/>
      <w:szCs w:val="20"/>
    </w:rPr>
  </w:style>
  <w:style w:type="character" w:styleId="Lbjegyzet-hivatkozs">
    <w:name w:val="footnote reference"/>
    <w:semiHidden/>
    <w:rsid w:val="00B155FE"/>
    <w:rPr>
      <w:vertAlign w:val="superscript"/>
    </w:rPr>
  </w:style>
  <w:style w:type="character" w:styleId="Oldalszm">
    <w:name w:val="page number"/>
    <w:basedOn w:val="Bekezdsalapbettpusa"/>
    <w:rsid w:val="00B155FE"/>
  </w:style>
  <w:style w:type="paragraph" w:styleId="Buborkszveg">
    <w:name w:val="Balloon Text"/>
    <w:basedOn w:val="Norml"/>
    <w:link w:val="BuborkszvegChar"/>
    <w:uiPriority w:val="99"/>
    <w:semiHidden/>
    <w:unhideWhenUsed/>
    <w:rsid w:val="0097327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7327C"/>
    <w:rPr>
      <w:rFonts w:ascii="Tahoma" w:hAnsi="Tahoma" w:cs="Tahoma"/>
      <w:sz w:val="16"/>
      <w:szCs w:val="16"/>
    </w:rPr>
  </w:style>
  <w:style w:type="paragraph" w:styleId="Listaszerbekezds">
    <w:name w:val="List Paragraph"/>
    <w:basedOn w:val="Norml"/>
    <w:uiPriority w:val="34"/>
    <w:qFormat/>
    <w:rsid w:val="00F71CAC"/>
    <w:pPr>
      <w:ind w:left="720"/>
      <w:contextualSpacing/>
    </w:p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 w:type="table" w:styleId="Rcsostblzat">
    <w:name w:val="Table Grid"/>
    <w:basedOn w:val="Normltblzat"/>
    <w:uiPriority w:val="39"/>
    <w:rsid w:val="00D4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E1656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Pr>
      <w:color w:val="0563C1" w:themeColor="hyperlink"/>
      <w:u w:val="single"/>
    </w:rPr>
  </w:style>
  <w:style w:type="table" w:styleId="Tblzatrcsos1vilgos1jellszn">
    <w:name w:val="Grid Table 1 Light Accent 1"/>
    <w:basedOn w:val="Normltblzat"/>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Megjegyzstrgya">
    <w:name w:val="annotation subject"/>
    <w:basedOn w:val="Jegyzetszveg"/>
    <w:next w:val="Jegyzetszveg"/>
    <w:link w:val="MegjegyzstrgyaChar"/>
    <w:uiPriority w:val="99"/>
    <w:semiHidden/>
    <w:unhideWhenUsed/>
    <w:rsid w:val="00C75D5A"/>
    <w:rPr>
      <w:b/>
      <w:bCs/>
    </w:rPr>
  </w:style>
  <w:style w:type="character" w:customStyle="1" w:styleId="MegjegyzstrgyaChar">
    <w:name w:val="Megjegyzés tárgya Char"/>
    <w:basedOn w:val="JegyzetszvegChar"/>
    <w:link w:val="Megjegyzstrgya"/>
    <w:uiPriority w:val="99"/>
    <w:semiHidden/>
    <w:rsid w:val="00C75D5A"/>
    <w:rPr>
      <w:b/>
      <w:bCs/>
      <w:sz w:val="20"/>
      <w:szCs w:val="20"/>
    </w:rPr>
  </w:style>
  <w:style w:type="paragraph" w:styleId="Vltozat">
    <w:name w:val="Revision"/>
    <w:hidden/>
    <w:uiPriority w:val="99"/>
    <w:semiHidden/>
    <w:rsid w:val="001621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1892">
      <w:bodyDiv w:val="1"/>
      <w:marLeft w:val="0"/>
      <w:marRight w:val="0"/>
      <w:marTop w:val="0"/>
      <w:marBottom w:val="0"/>
      <w:divBdr>
        <w:top w:val="none" w:sz="0" w:space="0" w:color="auto"/>
        <w:left w:val="none" w:sz="0" w:space="0" w:color="auto"/>
        <w:bottom w:val="none" w:sz="0" w:space="0" w:color="auto"/>
        <w:right w:val="none" w:sz="0" w:space="0" w:color="auto"/>
      </w:divBdr>
    </w:div>
    <w:div w:id="240256079">
      <w:bodyDiv w:val="1"/>
      <w:marLeft w:val="0"/>
      <w:marRight w:val="0"/>
      <w:marTop w:val="0"/>
      <w:marBottom w:val="0"/>
      <w:divBdr>
        <w:top w:val="none" w:sz="0" w:space="0" w:color="auto"/>
        <w:left w:val="none" w:sz="0" w:space="0" w:color="auto"/>
        <w:bottom w:val="none" w:sz="0" w:space="0" w:color="auto"/>
        <w:right w:val="none" w:sz="0" w:space="0" w:color="auto"/>
      </w:divBdr>
    </w:div>
    <w:div w:id="248008608">
      <w:bodyDiv w:val="1"/>
      <w:marLeft w:val="0"/>
      <w:marRight w:val="0"/>
      <w:marTop w:val="0"/>
      <w:marBottom w:val="0"/>
      <w:divBdr>
        <w:top w:val="none" w:sz="0" w:space="0" w:color="auto"/>
        <w:left w:val="none" w:sz="0" w:space="0" w:color="auto"/>
        <w:bottom w:val="none" w:sz="0" w:space="0" w:color="auto"/>
        <w:right w:val="none" w:sz="0" w:space="0" w:color="auto"/>
      </w:divBdr>
    </w:div>
    <w:div w:id="251550484">
      <w:bodyDiv w:val="1"/>
      <w:marLeft w:val="0"/>
      <w:marRight w:val="0"/>
      <w:marTop w:val="0"/>
      <w:marBottom w:val="0"/>
      <w:divBdr>
        <w:top w:val="none" w:sz="0" w:space="0" w:color="auto"/>
        <w:left w:val="none" w:sz="0" w:space="0" w:color="auto"/>
        <w:bottom w:val="none" w:sz="0" w:space="0" w:color="auto"/>
        <w:right w:val="none" w:sz="0" w:space="0" w:color="auto"/>
      </w:divBdr>
    </w:div>
    <w:div w:id="263924984">
      <w:bodyDiv w:val="1"/>
      <w:marLeft w:val="0"/>
      <w:marRight w:val="0"/>
      <w:marTop w:val="0"/>
      <w:marBottom w:val="0"/>
      <w:divBdr>
        <w:top w:val="none" w:sz="0" w:space="0" w:color="auto"/>
        <w:left w:val="none" w:sz="0" w:space="0" w:color="auto"/>
        <w:bottom w:val="none" w:sz="0" w:space="0" w:color="auto"/>
        <w:right w:val="none" w:sz="0" w:space="0" w:color="auto"/>
      </w:divBdr>
    </w:div>
    <w:div w:id="414713825">
      <w:bodyDiv w:val="1"/>
      <w:marLeft w:val="0"/>
      <w:marRight w:val="0"/>
      <w:marTop w:val="0"/>
      <w:marBottom w:val="0"/>
      <w:divBdr>
        <w:top w:val="none" w:sz="0" w:space="0" w:color="auto"/>
        <w:left w:val="none" w:sz="0" w:space="0" w:color="auto"/>
        <w:bottom w:val="none" w:sz="0" w:space="0" w:color="auto"/>
        <w:right w:val="none" w:sz="0" w:space="0" w:color="auto"/>
      </w:divBdr>
    </w:div>
    <w:div w:id="419377097">
      <w:bodyDiv w:val="1"/>
      <w:marLeft w:val="0"/>
      <w:marRight w:val="0"/>
      <w:marTop w:val="0"/>
      <w:marBottom w:val="0"/>
      <w:divBdr>
        <w:top w:val="none" w:sz="0" w:space="0" w:color="auto"/>
        <w:left w:val="none" w:sz="0" w:space="0" w:color="auto"/>
        <w:bottom w:val="none" w:sz="0" w:space="0" w:color="auto"/>
        <w:right w:val="none" w:sz="0" w:space="0" w:color="auto"/>
      </w:divBdr>
    </w:div>
    <w:div w:id="422839085">
      <w:bodyDiv w:val="1"/>
      <w:marLeft w:val="0"/>
      <w:marRight w:val="0"/>
      <w:marTop w:val="0"/>
      <w:marBottom w:val="0"/>
      <w:divBdr>
        <w:top w:val="none" w:sz="0" w:space="0" w:color="auto"/>
        <w:left w:val="none" w:sz="0" w:space="0" w:color="auto"/>
        <w:bottom w:val="none" w:sz="0" w:space="0" w:color="auto"/>
        <w:right w:val="none" w:sz="0" w:space="0" w:color="auto"/>
      </w:divBdr>
    </w:div>
    <w:div w:id="425614567">
      <w:bodyDiv w:val="1"/>
      <w:marLeft w:val="0"/>
      <w:marRight w:val="0"/>
      <w:marTop w:val="0"/>
      <w:marBottom w:val="0"/>
      <w:divBdr>
        <w:top w:val="none" w:sz="0" w:space="0" w:color="auto"/>
        <w:left w:val="none" w:sz="0" w:space="0" w:color="auto"/>
        <w:bottom w:val="none" w:sz="0" w:space="0" w:color="auto"/>
        <w:right w:val="none" w:sz="0" w:space="0" w:color="auto"/>
      </w:divBdr>
    </w:div>
    <w:div w:id="457265896">
      <w:bodyDiv w:val="1"/>
      <w:marLeft w:val="0"/>
      <w:marRight w:val="0"/>
      <w:marTop w:val="0"/>
      <w:marBottom w:val="0"/>
      <w:divBdr>
        <w:top w:val="none" w:sz="0" w:space="0" w:color="auto"/>
        <w:left w:val="none" w:sz="0" w:space="0" w:color="auto"/>
        <w:bottom w:val="none" w:sz="0" w:space="0" w:color="auto"/>
        <w:right w:val="none" w:sz="0" w:space="0" w:color="auto"/>
      </w:divBdr>
    </w:div>
    <w:div w:id="750005642">
      <w:bodyDiv w:val="1"/>
      <w:marLeft w:val="0"/>
      <w:marRight w:val="0"/>
      <w:marTop w:val="0"/>
      <w:marBottom w:val="0"/>
      <w:divBdr>
        <w:top w:val="none" w:sz="0" w:space="0" w:color="auto"/>
        <w:left w:val="none" w:sz="0" w:space="0" w:color="auto"/>
        <w:bottom w:val="none" w:sz="0" w:space="0" w:color="auto"/>
        <w:right w:val="none" w:sz="0" w:space="0" w:color="auto"/>
      </w:divBdr>
    </w:div>
    <w:div w:id="825049051">
      <w:bodyDiv w:val="1"/>
      <w:marLeft w:val="0"/>
      <w:marRight w:val="0"/>
      <w:marTop w:val="0"/>
      <w:marBottom w:val="0"/>
      <w:divBdr>
        <w:top w:val="none" w:sz="0" w:space="0" w:color="auto"/>
        <w:left w:val="none" w:sz="0" w:space="0" w:color="auto"/>
        <w:bottom w:val="none" w:sz="0" w:space="0" w:color="auto"/>
        <w:right w:val="none" w:sz="0" w:space="0" w:color="auto"/>
      </w:divBdr>
    </w:div>
    <w:div w:id="831945513">
      <w:bodyDiv w:val="1"/>
      <w:marLeft w:val="0"/>
      <w:marRight w:val="0"/>
      <w:marTop w:val="0"/>
      <w:marBottom w:val="0"/>
      <w:divBdr>
        <w:top w:val="none" w:sz="0" w:space="0" w:color="auto"/>
        <w:left w:val="none" w:sz="0" w:space="0" w:color="auto"/>
        <w:bottom w:val="none" w:sz="0" w:space="0" w:color="auto"/>
        <w:right w:val="none" w:sz="0" w:space="0" w:color="auto"/>
      </w:divBdr>
    </w:div>
    <w:div w:id="955060427">
      <w:bodyDiv w:val="1"/>
      <w:marLeft w:val="0"/>
      <w:marRight w:val="0"/>
      <w:marTop w:val="0"/>
      <w:marBottom w:val="0"/>
      <w:divBdr>
        <w:top w:val="none" w:sz="0" w:space="0" w:color="auto"/>
        <w:left w:val="none" w:sz="0" w:space="0" w:color="auto"/>
        <w:bottom w:val="none" w:sz="0" w:space="0" w:color="auto"/>
        <w:right w:val="none" w:sz="0" w:space="0" w:color="auto"/>
      </w:divBdr>
    </w:div>
    <w:div w:id="1020281846">
      <w:bodyDiv w:val="1"/>
      <w:marLeft w:val="0"/>
      <w:marRight w:val="0"/>
      <w:marTop w:val="0"/>
      <w:marBottom w:val="0"/>
      <w:divBdr>
        <w:top w:val="none" w:sz="0" w:space="0" w:color="auto"/>
        <w:left w:val="none" w:sz="0" w:space="0" w:color="auto"/>
        <w:bottom w:val="none" w:sz="0" w:space="0" w:color="auto"/>
        <w:right w:val="none" w:sz="0" w:space="0" w:color="auto"/>
      </w:divBdr>
    </w:div>
    <w:div w:id="1137841753">
      <w:bodyDiv w:val="1"/>
      <w:marLeft w:val="0"/>
      <w:marRight w:val="0"/>
      <w:marTop w:val="0"/>
      <w:marBottom w:val="0"/>
      <w:divBdr>
        <w:top w:val="none" w:sz="0" w:space="0" w:color="auto"/>
        <w:left w:val="none" w:sz="0" w:space="0" w:color="auto"/>
        <w:bottom w:val="none" w:sz="0" w:space="0" w:color="auto"/>
        <w:right w:val="none" w:sz="0" w:space="0" w:color="auto"/>
      </w:divBdr>
    </w:div>
    <w:div w:id="1145925425">
      <w:bodyDiv w:val="1"/>
      <w:marLeft w:val="0"/>
      <w:marRight w:val="0"/>
      <w:marTop w:val="0"/>
      <w:marBottom w:val="0"/>
      <w:divBdr>
        <w:top w:val="none" w:sz="0" w:space="0" w:color="auto"/>
        <w:left w:val="none" w:sz="0" w:space="0" w:color="auto"/>
        <w:bottom w:val="none" w:sz="0" w:space="0" w:color="auto"/>
        <w:right w:val="none" w:sz="0" w:space="0" w:color="auto"/>
      </w:divBdr>
    </w:div>
    <w:div w:id="1154029676">
      <w:bodyDiv w:val="1"/>
      <w:marLeft w:val="0"/>
      <w:marRight w:val="0"/>
      <w:marTop w:val="0"/>
      <w:marBottom w:val="0"/>
      <w:divBdr>
        <w:top w:val="none" w:sz="0" w:space="0" w:color="auto"/>
        <w:left w:val="none" w:sz="0" w:space="0" w:color="auto"/>
        <w:bottom w:val="none" w:sz="0" w:space="0" w:color="auto"/>
        <w:right w:val="none" w:sz="0" w:space="0" w:color="auto"/>
      </w:divBdr>
    </w:div>
    <w:div w:id="1194074906">
      <w:bodyDiv w:val="1"/>
      <w:marLeft w:val="0"/>
      <w:marRight w:val="0"/>
      <w:marTop w:val="0"/>
      <w:marBottom w:val="0"/>
      <w:divBdr>
        <w:top w:val="none" w:sz="0" w:space="0" w:color="auto"/>
        <w:left w:val="none" w:sz="0" w:space="0" w:color="auto"/>
        <w:bottom w:val="none" w:sz="0" w:space="0" w:color="auto"/>
        <w:right w:val="none" w:sz="0" w:space="0" w:color="auto"/>
      </w:divBdr>
    </w:div>
    <w:div w:id="1262031817">
      <w:bodyDiv w:val="1"/>
      <w:marLeft w:val="0"/>
      <w:marRight w:val="0"/>
      <w:marTop w:val="0"/>
      <w:marBottom w:val="0"/>
      <w:divBdr>
        <w:top w:val="none" w:sz="0" w:space="0" w:color="auto"/>
        <w:left w:val="none" w:sz="0" w:space="0" w:color="auto"/>
        <w:bottom w:val="none" w:sz="0" w:space="0" w:color="auto"/>
        <w:right w:val="none" w:sz="0" w:space="0" w:color="auto"/>
      </w:divBdr>
    </w:div>
    <w:div w:id="1299650999">
      <w:bodyDiv w:val="1"/>
      <w:marLeft w:val="0"/>
      <w:marRight w:val="0"/>
      <w:marTop w:val="0"/>
      <w:marBottom w:val="0"/>
      <w:divBdr>
        <w:top w:val="none" w:sz="0" w:space="0" w:color="auto"/>
        <w:left w:val="none" w:sz="0" w:space="0" w:color="auto"/>
        <w:bottom w:val="none" w:sz="0" w:space="0" w:color="auto"/>
        <w:right w:val="none" w:sz="0" w:space="0" w:color="auto"/>
      </w:divBdr>
    </w:div>
    <w:div w:id="1332442699">
      <w:bodyDiv w:val="1"/>
      <w:marLeft w:val="0"/>
      <w:marRight w:val="0"/>
      <w:marTop w:val="0"/>
      <w:marBottom w:val="0"/>
      <w:divBdr>
        <w:top w:val="none" w:sz="0" w:space="0" w:color="auto"/>
        <w:left w:val="none" w:sz="0" w:space="0" w:color="auto"/>
        <w:bottom w:val="none" w:sz="0" w:space="0" w:color="auto"/>
        <w:right w:val="none" w:sz="0" w:space="0" w:color="auto"/>
      </w:divBdr>
    </w:div>
    <w:div w:id="1362433673">
      <w:bodyDiv w:val="1"/>
      <w:marLeft w:val="0"/>
      <w:marRight w:val="0"/>
      <w:marTop w:val="0"/>
      <w:marBottom w:val="0"/>
      <w:divBdr>
        <w:top w:val="none" w:sz="0" w:space="0" w:color="auto"/>
        <w:left w:val="none" w:sz="0" w:space="0" w:color="auto"/>
        <w:bottom w:val="none" w:sz="0" w:space="0" w:color="auto"/>
        <w:right w:val="none" w:sz="0" w:space="0" w:color="auto"/>
      </w:divBdr>
    </w:div>
    <w:div w:id="1369573113">
      <w:bodyDiv w:val="1"/>
      <w:marLeft w:val="0"/>
      <w:marRight w:val="0"/>
      <w:marTop w:val="0"/>
      <w:marBottom w:val="0"/>
      <w:divBdr>
        <w:top w:val="none" w:sz="0" w:space="0" w:color="auto"/>
        <w:left w:val="none" w:sz="0" w:space="0" w:color="auto"/>
        <w:bottom w:val="none" w:sz="0" w:space="0" w:color="auto"/>
        <w:right w:val="none" w:sz="0" w:space="0" w:color="auto"/>
      </w:divBdr>
    </w:div>
    <w:div w:id="1514765667">
      <w:bodyDiv w:val="1"/>
      <w:marLeft w:val="0"/>
      <w:marRight w:val="0"/>
      <w:marTop w:val="0"/>
      <w:marBottom w:val="0"/>
      <w:divBdr>
        <w:top w:val="none" w:sz="0" w:space="0" w:color="auto"/>
        <w:left w:val="none" w:sz="0" w:space="0" w:color="auto"/>
        <w:bottom w:val="none" w:sz="0" w:space="0" w:color="auto"/>
        <w:right w:val="none" w:sz="0" w:space="0" w:color="auto"/>
      </w:divBdr>
    </w:div>
    <w:div w:id="1527596982">
      <w:bodyDiv w:val="1"/>
      <w:marLeft w:val="0"/>
      <w:marRight w:val="0"/>
      <w:marTop w:val="0"/>
      <w:marBottom w:val="0"/>
      <w:divBdr>
        <w:top w:val="none" w:sz="0" w:space="0" w:color="auto"/>
        <w:left w:val="none" w:sz="0" w:space="0" w:color="auto"/>
        <w:bottom w:val="none" w:sz="0" w:space="0" w:color="auto"/>
        <w:right w:val="none" w:sz="0" w:space="0" w:color="auto"/>
      </w:divBdr>
    </w:div>
    <w:div w:id="1538201461">
      <w:bodyDiv w:val="1"/>
      <w:marLeft w:val="0"/>
      <w:marRight w:val="0"/>
      <w:marTop w:val="0"/>
      <w:marBottom w:val="0"/>
      <w:divBdr>
        <w:top w:val="none" w:sz="0" w:space="0" w:color="auto"/>
        <w:left w:val="none" w:sz="0" w:space="0" w:color="auto"/>
        <w:bottom w:val="none" w:sz="0" w:space="0" w:color="auto"/>
        <w:right w:val="none" w:sz="0" w:space="0" w:color="auto"/>
      </w:divBdr>
    </w:div>
    <w:div w:id="1587760903">
      <w:bodyDiv w:val="1"/>
      <w:marLeft w:val="0"/>
      <w:marRight w:val="0"/>
      <w:marTop w:val="0"/>
      <w:marBottom w:val="0"/>
      <w:divBdr>
        <w:top w:val="none" w:sz="0" w:space="0" w:color="auto"/>
        <w:left w:val="none" w:sz="0" w:space="0" w:color="auto"/>
        <w:bottom w:val="none" w:sz="0" w:space="0" w:color="auto"/>
        <w:right w:val="none" w:sz="0" w:space="0" w:color="auto"/>
      </w:divBdr>
    </w:div>
    <w:div w:id="1611275865">
      <w:bodyDiv w:val="1"/>
      <w:marLeft w:val="0"/>
      <w:marRight w:val="0"/>
      <w:marTop w:val="0"/>
      <w:marBottom w:val="0"/>
      <w:divBdr>
        <w:top w:val="none" w:sz="0" w:space="0" w:color="auto"/>
        <w:left w:val="none" w:sz="0" w:space="0" w:color="auto"/>
        <w:bottom w:val="none" w:sz="0" w:space="0" w:color="auto"/>
        <w:right w:val="none" w:sz="0" w:space="0" w:color="auto"/>
      </w:divBdr>
    </w:div>
    <w:div w:id="1633056647">
      <w:bodyDiv w:val="1"/>
      <w:marLeft w:val="0"/>
      <w:marRight w:val="0"/>
      <w:marTop w:val="0"/>
      <w:marBottom w:val="0"/>
      <w:divBdr>
        <w:top w:val="none" w:sz="0" w:space="0" w:color="auto"/>
        <w:left w:val="none" w:sz="0" w:space="0" w:color="auto"/>
        <w:bottom w:val="none" w:sz="0" w:space="0" w:color="auto"/>
        <w:right w:val="none" w:sz="0" w:space="0" w:color="auto"/>
      </w:divBdr>
    </w:div>
    <w:div w:id="1774401931">
      <w:bodyDiv w:val="1"/>
      <w:marLeft w:val="0"/>
      <w:marRight w:val="0"/>
      <w:marTop w:val="0"/>
      <w:marBottom w:val="0"/>
      <w:divBdr>
        <w:top w:val="none" w:sz="0" w:space="0" w:color="auto"/>
        <w:left w:val="none" w:sz="0" w:space="0" w:color="auto"/>
        <w:bottom w:val="none" w:sz="0" w:space="0" w:color="auto"/>
        <w:right w:val="none" w:sz="0" w:space="0" w:color="auto"/>
      </w:divBdr>
    </w:div>
    <w:div w:id="1891844003">
      <w:bodyDiv w:val="1"/>
      <w:marLeft w:val="0"/>
      <w:marRight w:val="0"/>
      <w:marTop w:val="0"/>
      <w:marBottom w:val="0"/>
      <w:divBdr>
        <w:top w:val="none" w:sz="0" w:space="0" w:color="auto"/>
        <w:left w:val="none" w:sz="0" w:space="0" w:color="auto"/>
        <w:bottom w:val="none" w:sz="0" w:space="0" w:color="auto"/>
        <w:right w:val="none" w:sz="0" w:space="0" w:color="auto"/>
      </w:divBdr>
    </w:div>
    <w:div w:id="2032297061">
      <w:bodyDiv w:val="1"/>
      <w:marLeft w:val="0"/>
      <w:marRight w:val="0"/>
      <w:marTop w:val="0"/>
      <w:marBottom w:val="0"/>
      <w:divBdr>
        <w:top w:val="none" w:sz="0" w:space="0" w:color="auto"/>
        <w:left w:val="none" w:sz="0" w:space="0" w:color="auto"/>
        <w:bottom w:val="none" w:sz="0" w:space="0" w:color="auto"/>
        <w:right w:val="none" w:sz="0" w:space="0" w:color="auto"/>
      </w:divBdr>
    </w:div>
    <w:div w:id="2069765688">
      <w:bodyDiv w:val="1"/>
      <w:marLeft w:val="0"/>
      <w:marRight w:val="0"/>
      <w:marTop w:val="0"/>
      <w:marBottom w:val="0"/>
      <w:divBdr>
        <w:top w:val="none" w:sz="0" w:space="0" w:color="auto"/>
        <w:left w:val="none" w:sz="0" w:space="0" w:color="auto"/>
        <w:bottom w:val="none" w:sz="0" w:space="0" w:color="auto"/>
        <w:right w:val="none" w:sz="0" w:space="0" w:color="auto"/>
      </w:divBdr>
    </w:div>
    <w:div w:id="20827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CDF1BD466E83E842902559549E0F08F2" ma:contentTypeVersion="5" ma:contentTypeDescription="Új dokumentum létrehozása." ma:contentTypeScope="" ma:versionID="4b44a68e156a5b79248640aeafc70798">
  <xsd:schema xmlns:xsd="http://www.w3.org/2001/XMLSchema" xmlns:xs="http://www.w3.org/2001/XMLSchema" xmlns:p="http://schemas.microsoft.com/office/2006/metadata/properties" xmlns:ns2="cb7eed14-1ed6-4f4f-9464-e9d73fc2f8e9" xmlns:ns3="9669010e-b829-4d86-87dd-cdce11b02043" targetNamespace="http://schemas.microsoft.com/office/2006/metadata/properties" ma:root="true" ma:fieldsID="bd0071a6f26b893e5271513f12c665f5" ns2:_="" ns3:_="">
    <xsd:import namespace="cb7eed14-1ed6-4f4f-9464-e9d73fc2f8e9"/>
    <xsd:import namespace="9669010e-b829-4d86-87dd-cdce11b02043"/>
    <xsd:element name="properties">
      <xsd:complexType>
        <xsd:sequence>
          <xsd:element name="documentManagement">
            <xsd:complexType>
              <xsd:all>
                <xsd:element ref="ns2:T_x00e9_ma" minOccurs="0"/>
                <xsd:element ref="ns2:_x00c9_v"/>
                <xsd:element ref="ns2:L_x00e1_that_x00f3_s_x00e1_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eed14-1ed6-4f4f-9464-e9d73fc2f8e9" elementFormDefault="qualified">
    <xsd:import namespace="http://schemas.microsoft.com/office/2006/documentManagement/types"/>
    <xsd:import namespace="http://schemas.microsoft.com/office/infopath/2007/PartnerControls"/>
    <xsd:element name="T_x00e9_ma" ma:index="2" nillable="true" ma:displayName="Téma" ma:format="Dropdown" ma:internalName="T_x00e9_ma">
      <xsd:simpleType>
        <xsd:restriction base="dms:Choice">
          <xsd:enumeration value="Tervezés"/>
          <xsd:enumeration value="Zárszámadás"/>
          <xsd:enumeration value="Törvénymódosítás"/>
          <xsd:enumeration value="ÁSZ ellenőrzés"/>
          <xsd:enumeration value="Gyorsjelentés"/>
          <xsd:enumeration value="Monitoring"/>
          <xsd:enumeration value="Tervezési tájékoztató"/>
          <xsd:enumeration value="Útmutató"/>
          <xsd:enumeration value="Munkaprogram"/>
          <xsd:enumeration value="Ütemterv"/>
          <xsd:enumeration value="Módosító"/>
          <xsd:enumeration value="Kormányülés"/>
          <xsd:enumeration value="Gazdasági kabinet"/>
          <xsd:enumeration value="Stratégiai kabinet"/>
          <xsd:enumeration value="IFMIS"/>
          <xsd:enumeration value="Fejezeten belüli átcsoportosítás"/>
          <xsd:enumeration value="Címlista"/>
          <xsd:enumeration value="BEÜ"/>
          <xsd:enumeration value="Koronavírus"/>
          <xsd:enumeration value="Tudásbázis"/>
          <xsd:enumeration value="Kiemelt fejlesztési igények"/>
          <xsd:enumeration value="Iktatás"/>
        </xsd:restriction>
      </xsd:simpleType>
    </xsd:element>
    <xsd:element name="_x00c9_v" ma:index="3" ma:displayName="Év" ma:default="2018" ma:format="Dropdown" ma:internalName="_x00c9_v">
      <xsd:simpleType>
        <xsd:restriction base="dms:Choic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restriction>
      </xsd:simpleType>
    </xsd:element>
    <xsd:element name="L_x00e1_that_x00f3_s_x00e1_g" ma:index="4" nillable="true" ma:displayName="Láthatóság" ma:default="Publikus" ma:format="Dropdown" ma:internalName="L_x00e1_that_x00f3_s_x00e1_g">
      <xsd:simpleType>
        <xsd:restriction base="dms:Choice">
          <xsd:enumeration value="Publikus"/>
          <xsd:enumeration value="Csak admin látja (verziókat tartalmaz)"/>
        </xsd:restriction>
      </xsd:simpleType>
    </xsd:element>
  </xsd:schema>
  <xsd:schema xmlns:xsd="http://www.w3.org/2001/XMLSchema" xmlns:xs="http://www.w3.org/2001/XMLSchema" xmlns:dms="http://schemas.microsoft.com/office/2006/documentManagement/types" xmlns:pc="http://schemas.microsoft.com/office/infopath/2007/PartnerControls" targetNamespace="9669010e-b829-4d86-87dd-cdce11b02043" elementFormDefault="qualified">
    <xsd:import namespace="http://schemas.microsoft.com/office/2006/documentManagement/types"/>
    <xsd:import namespace="http://schemas.microsoft.com/office/infopath/2007/PartnerControls"/>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c9_v xmlns="cb7eed14-1ed6-4f4f-9464-e9d73fc2f8e9">2025</_x00c9_v>
    <T_x00e9_ma xmlns="cb7eed14-1ed6-4f4f-9464-e9d73fc2f8e9">Monitoring</T_x00e9_ma>
    <L_x00e1_that_x00f3_s_x00e1_g xmlns="cb7eed14-1ed6-4f4f-9464-e9d73fc2f8e9">Publikus</L_x00e1_that_x00f3_s_x00e1_g>
  </documentManagement>
</p:properties>
</file>

<file path=customXml/itemProps1.xml><?xml version="1.0" encoding="utf-8"?>
<ds:datastoreItem xmlns:ds="http://schemas.openxmlformats.org/officeDocument/2006/customXml" ds:itemID="{D45E50AF-6A38-4D56-A55D-D65BA869B7B4}">
  <ds:schemaRefs>
    <ds:schemaRef ds:uri="http://schemas.openxmlformats.org/officeDocument/2006/bibliography"/>
  </ds:schemaRefs>
</ds:datastoreItem>
</file>

<file path=customXml/itemProps2.xml><?xml version="1.0" encoding="utf-8"?>
<ds:datastoreItem xmlns:ds="http://schemas.openxmlformats.org/officeDocument/2006/customXml" ds:itemID="{1AAFD48C-7926-4BF1-87F7-A322FB813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eed14-1ed6-4f4f-9464-e9d73fc2f8e9"/>
    <ds:schemaRef ds:uri="9669010e-b829-4d86-87dd-cdce11b02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0F6AD-19C0-4D6B-ABDF-2564A2CC5C1F}">
  <ds:schemaRefs>
    <ds:schemaRef ds:uri="http://schemas.microsoft.com/sharepoint/v3/contenttype/forms"/>
  </ds:schemaRefs>
</ds:datastoreItem>
</file>

<file path=customXml/itemProps4.xml><?xml version="1.0" encoding="utf-8"?>
<ds:datastoreItem xmlns:ds="http://schemas.openxmlformats.org/officeDocument/2006/customXml" ds:itemID="{C84C958D-48DC-4564-B24D-56E63215790F}">
  <ds:schemaRefs>
    <ds:schemaRef ds:uri="http://schemas.microsoft.com/office/2006/documentManagement/types"/>
    <ds:schemaRef ds:uri="http://purl.org/dc/elements/1.1/"/>
    <ds:schemaRef ds:uri="cb7eed14-1ed6-4f4f-9464-e9d73fc2f8e9"/>
    <ds:schemaRef ds:uri="http://schemas.microsoft.com/office/infopath/2007/PartnerControls"/>
    <ds:schemaRef ds:uri="http://schemas.openxmlformats.org/package/2006/metadata/core-properties"/>
    <ds:schemaRef ds:uri="9669010e-b829-4d86-87dd-cdce11b02043"/>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5031</Words>
  <Characters>34720</Characters>
  <DocSecurity>4</DocSecurity>
  <Lines>289</Lines>
  <Paragraphs>79</Paragraphs>
  <ScaleCrop>false</ScaleCrop>
  <HeadingPairs>
    <vt:vector size="2" baseType="variant">
      <vt:variant>
        <vt:lpstr>Cím</vt:lpstr>
      </vt:variant>
      <vt:variant>
        <vt:i4>1</vt:i4>
      </vt:variant>
    </vt:vector>
  </HeadingPairs>
  <TitlesOfParts>
    <vt:vector size="1" baseType="lpstr">
      <vt:lpstr>monitoring_2025_08</vt:lpstr>
    </vt:vector>
  </TitlesOfParts>
  <LinksUpToDate>false</LinksUpToDate>
  <CharactersWithSpaces>39672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2025-09-15T12:24:00Z</cp:lastPrinted>
  <dcterms:created xsi:type="dcterms:W3CDTF">2025-09-18T07:27:00Z</dcterms:created>
  <dcterms:modified xsi:type="dcterms:W3CDTF">2025-09-18T07:27:00Z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0x010100CDF1BD466E83E842902559549E0F08F2</vt:lpwstr>
  </property>
</Properties>
</file>