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F0192" w14:textId="7E95C68C" w:rsidR="005E3DB1" w:rsidRPr="00AE23C3" w:rsidRDefault="7823C623" w:rsidP="7823C623">
      <w:pPr>
        <w:tabs>
          <w:tab w:val="center" w:pos="4536"/>
        </w:tabs>
        <w:ind w:left="-142" w:right="-1" w:firstLine="142"/>
        <w:jc w:val="left"/>
        <w:rPr>
          <w:b/>
          <w:bCs/>
          <w:smallCaps/>
          <w:sz w:val="32"/>
          <w:szCs w:val="32"/>
        </w:rPr>
      </w:pPr>
      <w:r w:rsidRPr="7823C623">
        <w:rPr>
          <w:b/>
          <w:bCs/>
          <w:smallCaps/>
          <w:sz w:val="32"/>
          <w:szCs w:val="32"/>
        </w:rPr>
        <w:t>Pénzügyminisztérium</w:t>
      </w:r>
    </w:p>
    <w:p w14:paraId="5D4F0193" w14:textId="77777777" w:rsidR="005E3DB1" w:rsidRPr="00AE23C3" w:rsidRDefault="005E3DB1" w:rsidP="00BD2597">
      <w:pPr>
        <w:ind w:left="-142" w:firstLine="142"/>
      </w:pPr>
    </w:p>
    <w:p w14:paraId="5D4F0194" w14:textId="77777777" w:rsidR="005E3DB1" w:rsidRPr="00AE23C3" w:rsidRDefault="005E3DB1" w:rsidP="000556FC">
      <w:pPr>
        <w:pStyle w:val="Cm"/>
        <w:ind w:right="0"/>
        <w:rPr>
          <w:b w:val="0"/>
        </w:rPr>
      </w:pPr>
    </w:p>
    <w:p w14:paraId="5D4F0195" w14:textId="77777777" w:rsidR="005E3DB1" w:rsidRPr="00AE23C3" w:rsidRDefault="005E3DB1" w:rsidP="000556FC">
      <w:pPr>
        <w:pStyle w:val="Cm"/>
        <w:ind w:right="0"/>
        <w:rPr>
          <w:b w:val="0"/>
        </w:rPr>
      </w:pPr>
    </w:p>
    <w:p w14:paraId="5D4F0197" w14:textId="77777777" w:rsidR="005E3DB1" w:rsidRPr="00AE23C3" w:rsidRDefault="005E3DB1" w:rsidP="000556FC">
      <w:pPr>
        <w:pStyle w:val="Cm"/>
        <w:ind w:right="0"/>
        <w:rPr>
          <w:b w:val="0"/>
        </w:rPr>
      </w:pPr>
    </w:p>
    <w:p w14:paraId="79075E45" w14:textId="77777777" w:rsidR="00171DAF" w:rsidRPr="00AE23C3" w:rsidRDefault="00171DAF" w:rsidP="000556FC">
      <w:pPr>
        <w:pStyle w:val="Cm"/>
        <w:ind w:right="0"/>
        <w:rPr>
          <w:b w:val="0"/>
        </w:rPr>
      </w:pPr>
    </w:p>
    <w:p w14:paraId="5D4F0198" w14:textId="77777777" w:rsidR="005E3DB1" w:rsidRPr="00AE23C3" w:rsidRDefault="005E3DB1" w:rsidP="000556FC">
      <w:pPr>
        <w:pStyle w:val="Cm"/>
        <w:ind w:right="0"/>
        <w:rPr>
          <w:b w:val="0"/>
        </w:rPr>
      </w:pPr>
    </w:p>
    <w:p w14:paraId="5D4F0199" w14:textId="77777777" w:rsidR="008D430E" w:rsidRPr="00AE23C3" w:rsidRDefault="008D430E" w:rsidP="000556FC">
      <w:pPr>
        <w:pStyle w:val="Cm"/>
        <w:ind w:right="0"/>
        <w:rPr>
          <w:b w:val="0"/>
          <w:sz w:val="26"/>
          <w:szCs w:val="26"/>
        </w:rPr>
      </w:pPr>
    </w:p>
    <w:p w14:paraId="5D4F019A" w14:textId="77777777" w:rsidR="005E3DB1" w:rsidRPr="00AE23C3" w:rsidRDefault="005E3DB1" w:rsidP="000556FC">
      <w:pPr>
        <w:pStyle w:val="Cm"/>
        <w:ind w:right="0"/>
        <w:rPr>
          <w:b w:val="0"/>
        </w:rPr>
      </w:pPr>
    </w:p>
    <w:p w14:paraId="5D4F019B" w14:textId="77777777" w:rsidR="005E3DB1" w:rsidRPr="00AE23C3" w:rsidRDefault="005E3DB1" w:rsidP="000556FC">
      <w:pPr>
        <w:pStyle w:val="Cm"/>
        <w:ind w:right="0"/>
        <w:rPr>
          <w:b w:val="0"/>
        </w:rPr>
      </w:pPr>
    </w:p>
    <w:p w14:paraId="5D4F019C" w14:textId="77777777" w:rsidR="005E3DB1" w:rsidRPr="00AE23C3" w:rsidRDefault="005E3DB1" w:rsidP="000556FC">
      <w:pPr>
        <w:pStyle w:val="Cm"/>
        <w:ind w:right="0"/>
        <w:rPr>
          <w:b w:val="0"/>
        </w:rPr>
      </w:pPr>
    </w:p>
    <w:p w14:paraId="5D4F019D" w14:textId="77777777" w:rsidR="00F630A3" w:rsidRPr="00AE23C3" w:rsidRDefault="00F630A3" w:rsidP="000556FC">
      <w:pPr>
        <w:pStyle w:val="Cm"/>
        <w:ind w:right="0"/>
        <w:rPr>
          <w:b w:val="0"/>
        </w:rPr>
      </w:pPr>
    </w:p>
    <w:p w14:paraId="5D4F019E" w14:textId="77777777" w:rsidR="000C5968" w:rsidRPr="00AE23C3" w:rsidRDefault="000C5968" w:rsidP="000556FC">
      <w:pPr>
        <w:pStyle w:val="Cm"/>
        <w:ind w:right="0"/>
        <w:rPr>
          <w:b w:val="0"/>
        </w:rPr>
      </w:pPr>
    </w:p>
    <w:p w14:paraId="5D4F019F" w14:textId="77777777" w:rsidR="005E3DB1" w:rsidRPr="00AE23C3" w:rsidRDefault="005E3DB1" w:rsidP="000556FC">
      <w:pPr>
        <w:pStyle w:val="Cm"/>
        <w:ind w:right="0"/>
      </w:pPr>
      <w:r w:rsidRPr="00AE23C3">
        <w:t>Tájékoztató</w:t>
      </w:r>
      <w:r w:rsidRPr="00AE23C3">
        <w:footnoteReference w:customMarkFollows="1" w:id="2"/>
        <w:t>*</w:t>
      </w:r>
    </w:p>
    <w:p w14:paraId="5D4F01A0" w14:textId="34FAA89A" w:rsidR="00B93477" w:rsidRPr="00756B4D" w:rsidRDefault="7823C623" w:rsidP="7823C623">
      <w:pPr>
        <w:pStyle w:val="Cmsor2"/>
        <w:tabs>
          <w:tab w:val="left" w:pos="2694"/>
        </w:tabs>
        <w:spacing w:before="0" w:after="120"/>
        <w:ind w:right="-1"/>
        <w:rPr>
          <w:i/>
          <w:caps w:val="0"/>
        </w:rPr>
      </w:pPr>
      <w:r w:rsidRPr="00756B4D">
        <w:rPr>
          <w:i/>
          <w:caps w:val="0"/>
        </w:rPr>
        <w:t>az államháztartás központi alrendszerének</w:t>
      </w:r>
      <w:r w:rsidR="69871672" w:rsidRPr="00756B4D">
        <w:rPr>
          <w:caps w:val="0"/>
        </w:rPr>
        <w:br/>
      </w:r>
      <w:r w:rsidRPr="00756B4D">
        <w:rPr>
          <w:i/>
          <w:caps w:val="0"/>
        </w:rPr>
        <w:t>2022. október végi helyzetéről</w:t>
      </w:r>
    </w:p>
    <w:p w14:paraId="5D4F01A1" w14:textId="77777777" w:rsidR="005E3DB1" w:rsidRPr="00AE23C3" w:rsidRDefault="005E3DB1" w:rsidP="00443520">
      <w:pPr>
        <w:pStyle w:val="Cmsor2"/>
        <w:tabs>
          <w:tab w:val="left" w:pos="2694"/>
        </w:tabs>
        <w:spacing w:before="0" w:after="120"/>
        <w:ind w:right="-1"/>
        <w:jc w:val="both"/>
        <w:rPr>
          <w:i/>
          <w:caps w:val="0"/>
          <w:szCs w:val="26"/>
        </w:rPr>
      </w:pPr>
    </w:p>
    <w:p w14:paraId="5D4F01A2" w14:textId="77777777" w:rsidR="005E3DB1" w:rsidRPr="00AE23C3" w:rsidRDefault="005E3DB1" w:rsidP="000556FC">
      <w:pPr>
        <w:tabs>
          <w:tab w:val="left" w:pos="2694"/>
        </w:tabs>
      </w:pPr>
    </w:p>
    <w:p w14:paraId="5D4F01A3" w14:textId="77777777" w:rsidR="005E3DB1" w:rsidRPr="00AE23C3" w:rsidRDefault="005E3DB1" w:rsidP="000556FC">
      <w:pPr>
        <w:pStyle w:val="lfej"/>
        <w:tabs>
          <w:tab w:val="clear" w:pos="4153"/>
          <w:tab w:val="clear" w:pos="8306"/>
          <w:tab w:val="left" w:pos="2694"/>
        </w:tabs>
      </w:pPr>
    </w:p>
    <w:p w14:paraId="5D4F01A4" w14:textId="77777777" w:rsidR="005E3DB1" w:rsidRPr="00AE23C3" w:rsidRDefault="005E3DB1" w:rsidP="000556FC">
      <w:pPr>
        <w:tabs>
          <w:tab w:val="left" w:pos="2694"/>
        </w:tabs>
      </w:pPr>
    </w:p>
    <w:p w14:paraId="5D4F01A5" w14:textId="77777777" w:rsidR="005E3DB1" w:rsidRPr="00AE23C3" w:rsidRDefault="005E3DB1" w:rsidP="000556FC">
      <w:pPr>
        <w:tabs>
          <w:tab w:val="left" w:pos="2694"/>
        </w:tabs>
      </w:pPr>
    </w:p>
    <w:p w14:paraId="5D4F01A6" w14:textId="77777777" w:rsidR="005E3DB1" w:rsidRPr="00AE23C3" w:rsidRDefault="005E3DB1" w:rsidP="000556FC">
      <w:pPr>
        <w:tabs>
          <w:tab w:val="left" w:pos="2694"/>
        </w:tabs>
      </w:pPr>
    </w:p>
    <w:p w14:paraId="5D4F01A7" w14:textId="77777777" w:rsidR="005E3DB1" w:rsidRPr="00AE23C3" w:rsidRDefault="005E3DB1" w:rsidP="000556FC"/>
    <w:p w14:paraId="5D4F01A8" w14:textId="77777777" w:rsidR="00771455" w:rsidRPr="00AE23C3" w:rsidRDefault="00771455" w:rsidP="000556FC"/>
    <w:p w14:paraId="5D4F01A9" w14:textId="77777777" w:rsidR="00C37774" w:rsidRPr="00AE23C3" w:rsidRDefault="00C37774" w:rsidP="000556FC"/>
    <w:p w14:paraId="5D4F01AA" w14:textId="77777777" w:rsidR="00C37774" w:rsidRPr="00AE23C3" w:rsidRDefault="00C37774" w:rsidP="000556FC"/>
    <w:p w14:paraId="5D4F01AB" w14:textId="77777777" w:rsidR="00C37774" w:rsidRPr="00AE23C3" w:rsidRDefault="00C37774" w:rsidP="000556FC"/>
    <w:p w14:paraId="5D4F01AC" w14:textId="3B4BEDD1" w:rsidR="007E4053" w:rsidRPr="00AE23C3" w:rsidRDefault="00FA7AFF" w:rsidP="7823C623">
      <w:pPr>
        <w:tabs>
          <w:tab w:val="left" w:pos="2694"/>
        </w:tabs>
        <w:jc w:val="center"/>
        <w:rPr>
          <w:b/>
          <w:bCs/>
          <w:sz w:val="22"/>
          <w:szCs w:val="22"/>
        </w:rPr>
      </w:pPr>
      <w:r w:rsidRPr="00AE23C3">
        <w:rPr>
          <w:b/>
          <w:bCs/>
          <w:noProof/>
          <w:sz w:val="22"/>
          <w:szCs w:val="22"/>
        </w:rPr>
        <mc:AlternateContent>
          <mc:Choice Requires="wps">
            <w:drawing>
              <wp:anchor distT="0" distB="0" distL="114300" distR="114300" simplePos="0" relativeHeight="251658240" behindDoc="0" locked="0" layoutInCell="1" allowOverlap="1" wp14:anchorId="5D4F0455" wp14:editId="6DDE0D92">
                <wp:simplePos x="0" y="0"/>
                <wp:positionH relativeFrom="column">
                  <wp:posOffset>2336732</wp:posOffset>
                </wp:positionH>
                <wp:positionV relativeFrom="paragraph">
                  <wp:posOffset>980217</wp:posOffset>
                </wp:positionV>
                <wp:extent cx="971550" cy="393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5E471" id="Rectangle 2" o:spid="_x0000_s1026" style="position:absolute;margin-left:184pt;margin-top:77.2pt;width:76.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zDew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" stroked="f"/>
            </w:pict>
          </mc:Fallback>
        </mc:AlternateContent>
      </w:r>
      <w:r w:rsidR="00A67C37" w:rsidRPr="00AE23C3">
        <w:rPr>
          <w:b/>
          <w:bCs/>
          <w:sz w:val="22"/>
          <w:szCs w:val="22"/>
        </w:rPr>
        <w:t>20</w:t>
      </w:r>
      <w:r w:rsidR="00C90993" w:rsidRPr="00AE23C3">
        <w:rPr>
          <w:b/>
          <w:bCs/>
          <w:sz w:val="22"/>
          <w:szCs w:val="22"/>
        </w:rPr>
        <w:t>2</w:t>
      </w:r>
      <w:r w:rsidR="001E46F9" w:rsidRPr="00AE23C3">
        <w:rPr>
          <w:b/>
          <w:bCs/>
          <w:sz w:val="22"/>
          <w:szCs w:val="22"/>
        </w:rPr>
        <w:t>2</w:t>
      </w:r>
      <w:r w:rsidR="007E4053" w:rsidRPr="00AE23C3">
        <w:rPr>
          <w:b/>
          <w:bCs/>
          <w:sz w:val="22"/>
          <w:szCs w:val="22"/>
        </w:rPr>
        <w:t>.</w:t>
      </w:r>
      <w:r w:rsidR="00F30C75" w:rsidRPr="00AE23C3">
        <w:rPr>
          <w:b/>
          <w:bCs/>
          <w:sz w:val="22"/>
          <w:szCs w:val="22"/>
        </w:rPr>
        <w:t xml:space="preserve"> </w:t>
      </w:r>
      <w:r w:rsidR="00CF4EF5">
        <w:rPr>
          <w:b/>
          <w:bCs/>
          <w:sz w:val="22"/>
          <w:szCs w:val="22"/>
        </w:rPr>
        <w:t>november</w:t>
      </w:r>
    </w:p>
    <w:p w14:paraId="5D4F01AD" w14:textId="77777777" w:rsidR="007E4053" w:rsidRPr="00AE23C3" w:rsidRDefault="007E4053" w:rsidP="000556FC">
      <w:pPr>
        <w:tabs>
          <w:tab w:val="left" w:pos="2694"/>
        </w:tabs>
        <w:jc w:val="center"/>
        <w:rPr>
          <w:b/>
          <w:bCs/>
          <w:szCs w:val="28"/>
        </w:rPr>
        <w:sectPr w:rsidR="007E4053" w:rsidRPr="00AE23C3" w:rsidSect="00D46179">
          <w:footerReference w:type="default" r:id="rId11"/>
          <w:footerReference w:type="first" r:id="rId12"/>
          <w:footnotePr>
            <w:numRestart w:val="eachPage"/>
          </w:footnotePr>
          <w:pgSz w:w="11907" w:h="16840" w:code="9"/>
          <w:pgMar w:top="1418" w:right="1418" w:bottom="1418" w:left="1418" w:header="709" w:footer="709" w:gutter="0"/>
          <w:pgNumType w:fmt="numberInDash" w:start="0"/>
          <w:cols w:space="708"/>
          <w:titlePg/>
          <w:docGrid w:linePitch="354"/>
        </w:sectPr>
      </w:pPr>
    </w:p>
    <w:p w14:paraId="5D4F01AE" w14:textId="77777777" w:rsidR="00B93477" w:rsidRPr="004D3B69" w:rsidRDefault="7823C623" w:rsidP="7823C623">
      <w:pPr>
        <w:pStyle w:val="Cmsor4"/>
        <w:jc w:val="center"/>
        <w:rPr>
          <w:caps/>
        </w:rPr>
      </w:pPr>
      <w:r w:rsidRPr="7823C623">
        <w:rPr>
          <w:caps/>
        </w:rPr>
        <w:lastRenderedPageBreak/>
        <w:t>Összefoglalás</w:t>
      </w:r>
    </w:p>
    <w:p w14:paraId="4C9EF975" w14:textId="77777777" w:rsidR="00F04FDE" w:rsidRPr="000669B7" w:rsidRDefault="00F04FDE" w:rsidP="000669B7">
      <w:pPr>
        <w:rPr>
          <w:bCs/>
        </w:rPr>
      </w:pPr>
    </w:p>
    <w:p w14:paraId="49AA7AD3" w14:textId="77777777" w:rsidR="00E45EFB" w:rsidRDefault="00E45EFB" w:rsidP="00F15CBF">
      <w:pPr>
        <w:widowControl w:val="0"/>
        <w:rPr>
          <w:b/>
        </w:rPr>
      </w:pPr>
      <w:r w:rsidRPr="00E45EFB">
        <w:rPr>
          <w:b/>
        </w:rPr>
        <w:t>A szankciók okozta energiaválság egész Európát nehéz helyzetbe sodorta. Szankciós felárat kell fizetni minden energiahordozóért, ezért amíg a szankciók életben vannak, addig a kormány takarékos gazdálkodást folytat, és önmagán is spórol. Ennek részeként a kormány a költségvetési szerveknél is fegyelmezett gazdálkodást rendelt el.</w:t>
      </w:r>
      <w:r>
        <w:rPr>
          <w:b/>
        </w:rPr>
        <w:t xml:space="preserve"> </w:t>
      </w:r>
    </w:p>
    <w:p w14:paraId="5CE55585" w14:textId="2C36C3E6" w:rsidR="00E45EFB" w:rsidRPr="00E45EFB" w:rsidRDefault="00E45EFB" w:rsidP="00F15CBF">
      <w:pPr>
        <w:widowControl w:val="0"/>
        <w:rPr>
          <w:b/>
        </w:rPr>
      </w:pPr>
      <w:r w:rsidRPr="00E45EFB">
        <w:rPr>
          <w:b/>
        </w:rPr>
        <w:t>Az intézkedéseknek köszönhetően szeptember után októberben is 100 milliárd forint feletti többlettel zárt a költségvetés. Továbbra is biztosítottak a rezsicsökkentés fenntartásához, a biztonságos energiaellátáshoz, a családtámogatások fenntartásához és a nyugdíjak értékének megőrzéséhez szükséges források.</w:t>
      </w:r>
    </w:p>
    <w:p w14:paraId="0150949E" w14:textId="7725E92C" w:rsidR="00E45EFB" w:rsidRPr="00E45EFB" w:rsidRDefault="00E45EFB" w:rsidP="00F15CBF">
      <w:pPr>
        <w:widowControl w:val="0"/>
      </w:pPr>
      <w:r w:rsidRPr="00E45EFB">
        <w:t>Október végéig az államháztartás központi alrendszere 2590,4 milliárd forintos hiánnyal zárt. Ezen belül a központi költségvetés 2683,9 milliárd forintos hiányt, az elkülönített állami pénzalapok 289,2 milliárd forintos többletet, a társadalombiztosítás pénzügyi alapjai 195,7 milliárd forintos hiányt értek el. Októberben a központi alrendszer 101,3</w:t>
      </w:r>
      <w:r w:rsidR="00452AD4">
        <w:t> </w:t>
      </w:r>
      <w:r w:rsidRPr="00E45EFB">
        <w:t>milliárd forint többletet ért el, szemben az előző évi azonos havi 630,1 milliárd forintos deficittel. Ez az elmúlt 20 év harmadik legnagyobb október havi többlete.</w:t>
      </w:r>
    </w:p>
    <w:p w14:paraId="4EB4BC7B" w14:textId="77777777" w:rsidR="00E45EFB" w:rsidRPr="00E45EFB" w:rsidRDefault="00E45EFB" w:rsidP="00F15CBF">
      <w:pPr>
        <w:widowControl w:val="0"/>
      </w:pPr>
      <w:r w:rsidRPr="00E45EFB">
        <w:t>A központi alrendszer október végi adó- és járulékbevételei az előző év azonos időszakához képest mintegy 17,1%-kal magasabb összegben alakultak.</w:t>
      </w:r>
    </w:p>
    <w:p w14:paraId="7CCAB3A7" w14:textId="17BB07A6" w:rsidR="007A7049" w:rsidRPr="00E45EFB" w:rsidRDefault="00E45EFB" w:rsidP="00F15CBF">
      <w:pPr>
        <w:widowControl w:val="0"/>
        <w:rPr>
          <w:szCs w:val="26"/>
        </w:rPr>
      </w:pPr>
      <w:r w:rsidRPr="00E45EFB">
        <w:t>Magasabban teljesültek az egy évvel korábbihoz képest – többek között – a lakástámogatások, a szakmai fejezeti kezelésű előirányzatok kiadásai, valamint az uniós programok kiadásai. Ugyancsak meghaladták az egy évvel korábbi kifizetést a nyugellátásokra és a gyógyító-megelőző ellátásra fordított összegek is. Nyugellátásokra 3862,3 milliárd forintot, a gyógyító-megelőző ellátásra pedig 1798,0 milliárd forintot fordított a kormány október végéig.</w:t>
      </w:r>
      <w:r w:rsidR="00A71473" w:rsidRPr="00E45EFB">
        <w:rPr>
          <w:szCs w:val="26"/>
        </w:rPr>
        <w:br w:type="page"/>
      </w:r>
    </w:p>
    <w:p w14:paraId="73FFC378" w14:textId="78C91DE3" w:rsidR="00CF2C49" w:rsidRPr="004D3B69" w:rsidRDefault="7823C623" w:rsidP="00CF2C49">
      <w:pPr>
        <w:keepNext/>
        <w:rPr>
          <w:szCs w:val="26"/>
        </w:rPr>
      </w:pPr>
      <w:r>
        <w:lastRenderedPageBreak/>
        <w:t>Az államháztartás központi alrendszerének 2022. október végi főbb pénzforgalmi adatai a következők:</w:t>
      </w:r>
    </w:p>
    <w:p w14:paraId="44F948F8" w14:textId="77777777" w:rsidR="005D30CF" w:rsidRPr="00AE23C3" w:rsidRDefault="005D30CF" w:rsidP="00CF2C49">
      <w:pPr>
        <w:keepNext/>
      </w:pPr>
    </w:p>
    <w:tbl>
      <w:tblPr>
        <w:tblW w:w="9984" w:type="dxa"/>
        <w:jc w:val="center"/>
        <w:tblLayout w:type="fixed"/>
        <w:tblCellMar>
          <w:left w:w="70" w:type="dxa"/>
          <w:right w:w="70" w:type="dxa"/>
        </w:tblCellMar>
        <w:tblLook w:val="04A0" w:firstRow="1" w:lastRow="0" w:firstColumn="1" w:lastColumn="0" w:noHBand="0" w:noVBand="1"/>
      </w:tblPr>
      <w:tblGrid>
        <w:gridCol w:w="2283"/>
        <w:gridCol w:w="1059"/>
        <w:gridCol w:w="1195"/>
        <w:gridCol w:w="1073"/>
        <w:gridCol w:w="1129"/>
        <w:gridCol w:w="1200"/>
        <w:gridCol w:w="1134"/>
        <w:gridCol w:w="911"/>
      </w:tblGrid>
      <w:tr w:rsidR="00AE23C3" w:rsidRPr="007312CB" w14:paraId="70B10677" w14:textId="77777777" w:rsidTr="7823C623">
        <w:trPr>
          <w:trHeight w:val="1833"/>
          <w:jc w:val="center"/>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BB898D" w14:textId="77777777" w:rsidR="00B959E3" w:rsidRPr="007312CB" w:rsidRDefault="7823C623" w:rsidP="7823C623">
            <w:pPr>
              <w:spacing w:after="0"/>
              <w:jc w:val="left"/>
              <w:rPr>
                <w:sz w:val="22"/>
                <w:szCs w:val="22"/>
              </w:rPr>
            </w:pPr>
            <w:r w:rsidRPr="7823C623">
              <w:rPr>
                <w:sz w:val="22"/>
                <w:szCs w:val="22"/>
              </w:rPr>
              <w:t> </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4F429196" w14:textId="77777777" w:rsidR="00C342CD" w:rsidRDefault="7823C623" w:rsidP="7823C623">
            <w:pPr>
              <w:spacing w:after="0"/>
              <w:jc w:val="center"/>
              <w:rPr>
                <w:sz w:val="22"/>
                <w:szCs w:val="22"/>
              </w:rPr>
            </w:pPr>
            <w:r w:rsidRPr="7823C623">
              <w:rPr>
                <w:sz w:val="22"/>
                <w:szCs w:val="22"/>
              </w:rPr>
              <w:t xml:space="preserve">2021. évi előzetes </w:t>
            </w:r>
            <w:r w:rsidR="69871672">
              <w:br/>
            </w:r>
            <w:r w:rsidRPr="7823C623">
              <w:rPr>
                <w:sz w:val="22"/>
                <w:szCs w:val="22"/>
              </w:rPr>
              <w:t>tény</w:t>
            </w:r>
            <w:r w:rsidR="69871672">
              <w:br/>
            </w:r>
            <w:r w:rsidRPr="7823C623">
              <w:rPr>
                <w:sz w:val="22"/>
                <w:szCs w:val="22"/>
              </w:rPr>
              <w:t>milliárd forintban</w:t>
            </w:r>
            <w:r w:rsidR="69871672">
              <w:br/>
            </w:r>
          </w:p>
          <w:p w14:paraId="1E98DA4A" w14:textId="47D7FD23" w:rsidR="00B959E3" w:rsidRPr="007312CB" w:rsidRDefault="7823C623" w:rsidP="7823C623">
            <w:pPr>
              <w:spacing w:after="0"/>
              <w:jc w:val="center"/>
              <w:rPr>
                <w:sz w:val="22"/>
                <w:szCs w:val="22"/>
              </w:rPr>
            </w:pPr>
            <w:r w:rsidRPr="7823C623">
              <w:rPr>
                <w:sz w:val="22"/>
                <w:szCs w:val="22"/>
              </w:rPr>
              <w:t>(1)</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08104024" w14:textId="6A379E73" w:rsidR="00D3203A" w:rsidRPr="007312CB" w:rsidRDefault="7823C623" w:rsidP="7823C623">
            <w:pPr>
              <w:spacing w:after="0"/>
              <w:jc w:val="center"/>
              <w:rPr>
                <w:sz w:val="22"/>
                <w:szCs w:val="22"/>
              </w:rPr>
            </w:pPr>
            <w:r w:rsidRPr="7823C623">
              <w:rPr>
                <w:sz w:val="22"/>
                <w:szCs w:val="22"/>
              </w:rPr>
              <w:t>2021. I-X. hó tény</w:t>
            </w:r>
            <w:r w:rsidR="69871672">
              <w:br/>
            </w:r>
            <w:r w:rsidRPr="7823C623">
              <w:rPr>
                <w:sz w:val="22"/>
                <w:szCs w:val="22"/>
              </w:rPr>
              <w:t>milliárd forintban</w:t>
            </w:r>
            <w:r w:rsidR="69871672">
              <w:br/>
            </w:r>
          </w:p>
          <w:p w14:paraId="4416F2CB" w14:textId="77777777" w:rsidR="00C342CD" w:rsidRDefault="00C342CD" w:rsidP="3A6DDD3D">
            <w:pPr>
              <w:spacing w:after="0"/>
              <w:jc w:val="center"/>
              <w:rPr>
                <w:sz w:val="22"/>
                <w:szCs w:val="22"/>
              </w:rPr>
            </w:pPr>
          </w:p>
          <w:p w14:paraId="68FB0A4B" w14:textId="02FB91AD" w:rsidR="00B959E3" w:rsidRPr="007312CB" w:rsidRDefault="7823C623" w:rsidP="7823C623">
            <w:pPr>
              <w:spacing w:after="0"/>
              <w:jc w:val="center"/>
              <w:rPr>
                <w:sz w:val="22"/>
                <w:szCs w:val="22"/>
              </w:rPr>
            </w:pPr>
            <w:r w:rsidRPr="7823C623">
              <w:rPr>
                <w:sz w:val="22"/>
                <w:szCs w:val="22"/>
              </w:rPr>
              <w:t>(2)</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1BDBD66E" w14:textId="5BFCBDA0" w:rsidR="00DA155A" w:rsidRPr="007312CB" w:rsidRDefault="7823C623" w:rsidP="7823C623">
            <w:pPr>
              <w:spacing w:after="0"/>
              <w:jc w:val="center"/>
              <w:rPr>
                <w:sz w:val="22"/>
                <w:szCs w:val="22"/>
              </w:rPr>
            </w:pPr>
            <w:r w:rsidRPr="7823C623">
              <w:rPr>
                <w:sz w:val="22"/>
                <w:szCs w:val="22"/>
              </w:rPr>
              <w:t>éves előzetes tény=100%</w:t>
            </w:r>
            <w:r w:rsidR="69871672">
              <w:br/>
            </w:r>
            <w:r w:rsidRPr="7823C623">
              <w:rPr>
                <w:sz w:val="22"/>
                <w:szCs w:val="22"/>
              </w:rPr>
              <w:t>Index (%)</w:t>
            </w:r>
            <w:r w:rsidR="69871672">
              <w:br/>
            </w:r>
          </w:p>
          <w:p w14:paraId="01C6CF0B" w14:textId="5ACD1EE7" w:rsidR="00B959E3" w:rsidRPr="007312CB" w:rsidRDefault="7823C623" w:rsidP="7823C623">
            <w:pPr>
              <w:spacing w:after="0"/>
              <w:jc w:val="center"/>
              <w:rPr>
                <w:sz w:val="22"/>
                <w:szCs w:val="22"/>
              </w:rPr>
            </w:pPr>
            <w:r w:rsidRPr="7823C623">
              <w:rPr>
                <w:sz w:val="22"/>
                <w:szCs w:val="22"/>
              </w:rPr>
              <w:t>(2/1)</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14:paraId="51B0F599" w14:textId="2168B38F" w:rsidR="001C1680" w:rsidRPr="007312CB" w:rsidRDefault="7823C623" w:rsidP="7823C623">
            <w:pPr>
              <w:spacing w:after="0"/>
              <w:jc w:val="center"/>
              <w:rPr>
                <w:sz w:val="22"/>
                <w:szCs w:val="22"/>
              </w:rPr>
            </w:pPr>
            <w:r w:rsidRPr="7823C623">
              <w:rPr>
                <w:sz w:val="22"/>
                <w:szCs w:val="22"/>
              </w:rPr>
              <w:t>2022. évi törvényi előirányzat milliárd forintban</w:t>
            </w:r>
            <w:r w:rsidR="69871672">
              <w:br/>
            </w:r>
          </w:p>
          <w:p w14:paraId="43018CC6" w14:textId="319F30E6" w:rsidR="00B959E3" w:rsidRPr="007312CB" w:rsidRDefault="7823C623" w:rsidP="7823C623">
            <w:pPr>
              <w:spacing w:after="0"/>
              <w:jc w:val="center"/>
              <w:rPr>
                <w:sz w:val="22"/>
                <w:szCs w:val="22"/>
              </w:rPr>
            </w:pPr>
            <w:r w:rsidRPr="7823C623">
              <w:rPr>
                <w:sz w:val="22"/>
                <w:szCs w:val="22"/>
              </w:rPr>
              <w:t>(3)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CCADFCD" w14:textId="486F154C" w:rsidR="001C1680" w:rsidRPr="007312CB" w:rsidRDefault="7823C623" w:rsidP="7823C623">
            <w:pPr>
              <w:spacing w:after="0"/>
              <w:jc w:val="center"/>
              <w:rPr>
                <w:sz w:val="22"/>
                <w:szCs w:val="22"/>
              </w:rPr>
            </w:pPr>
            <w:r w:rsidRPr="7823C623">
              <w:rPr>
                <w:sz w:val="22"/>
                <w:szCs w:val="22"/>
              </w:rPr>
              <w:t>2022. I-X. hó tény</w:t>
            </w:r>
            <w:r w:rsidR="69871672">
              <w:br/>
            </w:r>
            <w:r w:rsidRPr="7823C623">
              <w:rPr>
                <w:sz w:val="22"/>
                <w:szCs w:val="22"/>
              </w:rPr>
              <w:t>milliárd forintban</w:t>
            </w:r>
            <w:r w:rsidR="69871672">
              <w:br/>
            </w:r>
          </w:p>
          <w:p w14:paraId="4323B0AF" w14:textId="77777777" w:rsidR="00C342CD" w:rsidRPr="007312CB" w:rsidRDefault="00C342CD" w:rsidP="3A6DDD3D">
            <w:pPr>
              <w:spacing w:after="0"/>
              <w:jc w:val="center"/>
              <w:rPr>
                <w:sz w:val="22"/>
                <w:szCs w:val="22"/>
              </w:rPr>
            </w:pPr>
          </w:p>
          <w:p w14:paraId="2D824F1E" w14:textId="79E6D637" w:rsidR="00B959E3" w:rsidRPr="007312CB" w:rsidRDefault="7823C623" w:rsidP="7823C623">
            <w:pPr>
              <w:spacing w:after="0"/>
              <w:jc w:val="center"/>
              <w:rPr>
                <w:sz w:val="22"/>
                <w:szCs w:val="22"/>
              </w:rPr>
            </w:pPr>
            <w:r w:rsidRPr="7823C623">
              <w:rPr>
                <w:sz w:val="22"/>
                <w:szCs w:val="22"/>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4D3ED7A" w14:textId="77777777" w:rsidR="00D3203A" w:rsidRPr="007312CB" w:rsidRDefault="7823C623" w:rsidP="7823C623">
            <w:pPr>
              <w:spacing w:after="0"/>
              <w:jc w:val="center"/>
              <w:rPr>
                <w:sz w:val="22"/>
                <w:szCs w:val="22"/>
              </w:rPr>
            </w:pPr>
            <w:r w:rsidRPr="7823C623">
              <w:rPr>
                <w:sz w:val="22"/>
                <w:szCs w:val="22"/>
              </w:rPr>
              <w:t>előirányzat=</w:t>
            </w:r>
            <w:r w:rsidR="69871672">
              <w:br/>
            </w:r>
            <w:r w:rsidRPr="7823C623">
              <w:rPr>
                <w:sz w:val="22"/>
                <w:szCs w:val="22"/>
              </w:rPr>
              <w:t>100%</w:t>
            </w:r>
            <w:r w:rsidR="69871672">
              <w:br/>
            </w:r>
            <w:r w:rsidRPr="7823C623">
              <w:rPr>
                <w:sz w:val="22"/>
                <w:szCs w:val="22"/>
              </w:rPr>
              <w:t>Index (%)</w:t>
            </w:r>
            <w:r w:rsidR="69871672">
              <w:br/>
            </w:r>
          </w:p>
          <w:p w14:paraId="4B3E0E34" w14:textId="77777777" w:rsidR="00C342CD" w:rsidRPr="007312CB" w:rsidRDefault="00C342CD" w:rsidP="3A6DDD3D">
            <w:pPr>
              <w:spacing w:after="0"/>
              <w:jc w:val="center"/>
              <w:rPr>
                <w:sz w:val="22"/>
                <w:szCs w:val="22"/>
              </w:rPr>
            </w:pPr>
          </w:p>
          <w:p w14:paraId="7B21EB71" w14:textId="314A3C96" w:rsidR="00B959E3" w:rsidRPr="007312CB" w:rsidRDefault="7823C623" w:rsidP="7823C623">
            <w:pPr>
              <w:spacing w:after="0"/>
              <w:jc w:val="center"/>
              <w:rPr>
                <w:sz w:val="22"/>
                <w:szCs w:val="22"/>
              </w:rPr>
            </w:pPr>
            <w:r w:rsidRPr="7823C623">
              <w:rPr>
                <w:sz w:val="22"/>
                <w:szCs w:val="22"/>
              </w:rPr>
              <w:t>(4/3)</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7AF47B7C" w14:textId="77777777" w:rsidR="00E507EB" w:rsidRPr="007312CB" w:rsidRDefault="7823C623" w:rsidP="7823C623">
            <w:pPr>
              <w:spacing w:after="0"/>
              <w:jc w:val="center"/>
              <w:rPr>
                <w:sz w:val="22"/>
                <w:szCs w:val="22"/>
              </w:rPr>
            </w:pPr>
            <w:r w:rsidRPr="7823C623">
              <w:rPr>
                <w:sz w:val="22"/>
                <w:szCs w:val="22"/>
              </w:rPr>
              <w:t>előző év</w:t>
            </w:r>
          </w:p>
          <w:p w14:paraId="506ECBD9" w14:textId="047C0353" w:rsidR="00D3203A" w:rsidRPr="007312CB" w:rsidRDefault="7823C623" w:rsidP="7823C623">
            <w:pPr>
              <w:spacing w:after="0"/>
              <w:jc w:val="center"/>
              <w:rPr>
                <w:sz w:val="22"/>
                <w:szCs w:val="22"/>
              </w:rPr>
            </w:pPr>
            <w:r w:rsidRPr="7823C623">
              <w:rPr>
                <w:sz w:val="22"/>
                <w:szCs w:val="22"/>
              </w:rPr>
              <w:t>=</w:t>
            </w:r>
            <w:r w:rsidR="69871672">
              <w:br/>
            </w:r>
            <w:r w:rsidRPr="7823C623">
              <w:rPr>
                <w:sz w:val="22"/>
                <w:szCs w:val="22"/>
              </w:rPr>
              <w:t>100%</w:t>
            </w:r>
            <w:r w:rsidR="69871672">
              <w:br/>
            </w:r>
            <w:r w:rsidRPr="7823C623">
              <w:rPr>
                <w:sz w:val="22"/>
                <w:szCs w:val="22"/>
              </w:rPr>
              <w:t>Index (%)</w:t>
            </w:r>
            <w:r w:rsidR="69871672">
              <w:br/>
            </w:r>
          </w:p>
          <w:p w14:paraId="5F523B12" w14:textId="6D6B8233" w:rsidR="00B959E3" w:rsidRPr="007312CB" w:rsidRDefault="7823C623" w:rsidP="7823C623">
            <w:pPr>
              <w:spacing w:after="0"/>
              <w:jc w:val="center"/>
              <w:rPr>
                <w:sz w:val="22"/>
                <w:szCs w:val="22"/>
              </w:rPr>
            </w:pPr>
            <w:r w:rsidRPr="7823C623">
              <w:rPr>
                <w:sz w:val="22"/>
                <w:szCs w:val="22"/>
              </w:rPr>
              <w:t>(4/2)</w:t>
            </w:r>
          </w:p>
        </w:tc>
      </w:tr>
      <w:tr w:rsidR="007C4FAC" w:rsidRPr="001E0145" w14:paraId="1088129E" w14:textId="77777777" w:rsidTr="7823C623">
        <w:trPr>
          <w:trHeight w:val="964"/>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251F6C5" w14:textId="77777777" w:rsidR="007C4FAC" w:rsidRPr="001E0145" w:rsidRDefault="007C4FAC" w:rsidP="007C4FAC">
            <w:pPr>
              <w:spacing w:after="0"/>
              <w:jc w:val="left"/>
              <w:rPr>
                <w:b/>
                <w:bCs/>
                <w:sz w:val="22"/>
                <w:szCs w:val="22"/>
              </w:rPr>
            </w:pPr>
            <w:r w:rsidRPr="001E0145">
              <w:rPr>
                <w:b/>
                <w:bCs/>
                <w:sz w:val="22"/>
                <w:szCs w:val="22"/>
              </w:rPr>
              <w:t>Központi költségvetés egyenlege</w:t>
            </w:r>
          </w:p>
        </w:tc>
        <w:tc>
          <w:tcPr>
            <w:tcW w:w="1059" w:type="dxa"/>
            <w:tcBorders>
              <w:top w:val="nil"/>
              <w:left w:val="nil"/>
              <w:bottom w:val="single" w:sz="4" w:space="0" w:color="auto"/>
              <w:right w:val="single" w:sz="4" w:space="0" w:color="auto"/>
            </w:tcBorders>
            <w:shd w:val="clear" w:color="auto" w:fill="auto"/>
            <w:noWrap/>
            <w:vAlign w:val="center"/>
          </w:tcPr>
          <w:p w14:paraId="2D74C101" w14:textId="0E53DB97" w:rsidR="007C4FAC" w:rsidRPr="001E0145" w:rsidRDefault="007C4FAC" w:rsidP="007C4FAC">
            <w:pPr>
              <w:spacing w:after="0"/>
              <w:jc w:val="right"/>
              <w:rPr>
                <w:b/>
                <w:bCs/>
                <w:sz w:val="22"/>
                <w:szCs w:val="22"/>
              </w:rPr>
            </w:pPr>
            <w:r w:rsidRPr="001E0145">
              <w:rPr>
                <w:b/>
                <w:bCs/>
                <w:sz w:val="22"/>
                <w:szCs w:val="22"/>
                <w:lang w:eastAsia="en-US"/>
              </w:rPr>
              <w:t xml:space="preserve">-4 662,3 </w:t>
            </w:r>
          </w:p>
        </w:tc>
        <w:tc>
          <w:tcPr>
            <w:tcW w:w="1195" w:type="dxa"/>
            <w:tcBorders>
              <w:top w:val="nil"/>
              <w:left w:val="nil"/>
              <w:bottom w:val="single" w:sz="4" w:space="0" w:color="auto"/>
              <w:right w:val="single" w:sz="4" w:space="0" w:color="auto"/>
            </w:tcBorders>
            <w:shd w:val="clear" w:color="auto" w:fill="auto"/>
            <w:noWrap/>
            <w:vAlign w:val="center"/>
          </w:tcPr>
          <w:p w14:paraId="731D0A3E" w14:textId="421BF17E" w:rsidR="007C4FAC" w:rsidRPr="001E0145" w:rsidRDefault="007C4FAC" w:rsidP="007C4FAC">
            <w:pPr>
              <w:spacing w:after="0"/>
              <w:jc w:val="right"/>
              <w:rPr>
                <w:b/>
                <w:bCs/>
                <w:sz w:val="22"/>
                <w:szCs w:val="22"/>
              </w:rPr>
            </w:pPr>
            <w:r w:rsidRPr="001E0145">
              <w:rPr>
                <w:b/>
                <w:bCs/>
                <w:sz w:val="22"/>
                <w:szCs w:val="22"/>
                <w:lang w:eastAsia="en-US"/>
              </w:rPr>
              <w:t xml:space="preserve">-2 704,4 </w:t>
            </w:r>
          </w:p>
        </w:tc>
        <w:tc>
          <w:tcPr>
            <w:tcW w:w="1073" w:type="dxa"/>
            <w:tcBorders>
              <w:top w:val="nil"/>
              <w:left w:val="nil"/>
              <w:bottom w:val="single" w:sz="4" w:space="0" w:color="auto"/>
              <w:right w:val="single" w:sz="4" w:space="0" w:color="auto"/>
            </w:tcBorders>
            <w:shd w:val="clear" w:color="auto" w:fill="auto"/>
            <w:noWrap/>
            <w:vAlign w:val="center"/>
          </w:tcPr>
          <w:p w14:paraId="3C1EE648" w14:textId="450C4D1C" w:rsidR="007C4FAC" w:rsidRPr="001E0145" w:rsidRDefault="007C4FAC" w:rsidP="007C4FAC">
            <w:pPr>
              <w:spacing w:after="0"/>
              <w:jc w:val="right"/>
              <w:rPr>
                <w:sz w:val="22"/>
                <w:szCs w:val="22"/>
              </w:rPr>
            </w:pPr>
            <w:r w:rsidRPr="001E0145">
              <w:rPr>
                <w:sz w:val="22"/>
                <w:szCs w:val="22"/>
                <w:lang w:eastAsia="en-US"/>
              </w:rPr>
              <w:t xml:space="preserve">58,0 </w:t>
            </w:r>
          </w:p>
        </w:tc>
        <w:tc>
          <w:tcPr>
            <w:tcW w:w="1129" w:type="dxa"/>
            <w:tcBorders>
              <w:top w:val="nil"/>
              <w:left w:val="nil"/>
              <w:bottom w:val="single" w:sz="4" w:space="0" w:color="auto"/>
              <w:right w:val="single" w:sz="4" w:space="0" w:color="auto"/>
            </w:tcBorders>
            <w:shd w:val="clear" w:color="auto" w:fill="auto"/>
            <w:noWrap/>
            <w:vAlign w:val="center"/>
          </w:tcPr>
          <w:p w14:paraId="08753871" w14:textId="03F6F8F4" w:rsidR="007C4FAC" w:rsidRPr="001E0145" w:rsidRDefault="007C4FAC" w:rsidP="007C4FAC">
            <w:pPr>
              <w:spacing w:after="0"/>
              <w:jc w:val="right"/>
              <w:rPr>
                <w:b/>
                <w:bCs/>
                <w:sz w:val="22"/>
                <w:szCs w:val="22"/>
              </w:rPr>
            </w:pPr>
            <w:r w:rsidRPr="001E0145">
              <w:rPr>
                <w:b/>
                <w:bCs/>
                <w:sz w:val="22"/>
                <w:szCs w:val="22"/>
                <w:lang w:eastAsia="en-US"/>
              </w:rPr>
              <w:t xml:space="preserve">-3 131,3 </w:t>
            </w:r>
          </w:p>
        </w:tc>
        <w:tc>
          <w:tcPr>
            <w:tcW w:w="1200" w:type="dxa"/>
            <w:tcBorders>
              <w:top w:val="nil"/>
              <w:left w:val="nil"/>
              <w:bottom w:val="single" w:sz="4" w:space="0" w:color="auto"/>
              <w:right w:val="single" w:sz="4" w:space="0" w:color="auto"/>
            </w:tcBorders>
            <w:shd w:val="clear" w:color="auto" w:fill="auto"/>
            <w:noWrap/>
            <w:vAlign w:val="center"/>
          </w:tcPr>
          <w:p w14:paraId="14030A31" w14:textId="34B94A96" w:rsidR="007C4FAC" w:rsidRPr="001E0145" w:rsidRDefault="007C4FAC" w:rsidP="007C4FAC">
            <w:pPr>
              <w:spacing w:after="0"/>
              <w:jc w:val="right"/>
              <w:rPr>
                <w:b/>
                <w:bCs/>
                <w:sz w:val="22"/>
                <w:szCs w:val="22"/>
              </w:rPr>
            </w:pPr>
            <w:r w:rsidRPr="001E0145">
              <w:rPr>
                <w:b/>
                <w:bCs/>
                <w:sz w:val="22"/>
                <w:szCs w:val="22"/>
                <w:lang w:eastAsia="en-US"/>
              </w:rPr>
              <w:t xml:space="preserve">-2 683,9 </w:t>
            </w:r>
          </w:p>
        </w:tc>
        <w:tc>
          <w:tcPr>
            <w:tcW w:w="1134" w:type="dxa"/>
            <w:tcBorders>
              <w:top w:val="nil"/>
              <w:left w:val="nil"/>
              <w:bottom w:val="single" w:sz="4" w:space="0" w:color="auto"/>
              <w:right w:val="single" w:sz="4" w:space="0" w:color="auto"/>
            </w:tcBorders>
            <w:shd w:val="clear" w:color="auto" w:fill="auto"/>
            <w:noWrap/>
            <w:vAlign w:val="center"/>
          </w:tcPr>
          <w:p w14:paraId="53AAA3AF" w14:textId="436F1AD5" w:rsidR="007C4FAC" w:rsidRPr="001E0145" w:rsidRDefault="007C4FAC" w:rsidP="007C4FAC">
            <w:pPr>
              <w:spacing w:after="0"/>
              <w:jc w:val="right"/>
              <w:rPr>
                <w:sz w:val="22"/>
                <w:szCs w:val="22"/>
              </w:rPr>
            </w:pPr>
            <w:r w:rsidRPr="001E0145">
              <w:rPr>
                <w:sz w:val="22"/>
                <w:szCs w:val="22"/>
                <w:lang w:eastAsia="en-US"/>
              </w:rPr>
              <w:t xml:space="preserve">85,7 </w:t>
            </w:r>
          </w:p>
        </w:tc>
        <w:tc>
          <w:tcPr>
            <w:tcW w:w="911" w:type="dxa"/>
            <w:tcBorders>
              <w:top w:val="nil"/>
              <w:left w:val="nil"/>
              <w:bottom w:val="single" w:sz="4" w:space="0" w:color="auto"/>
              <w:right w:val="single" w:sz="4" w:space="0" w:color="auto"/>
            </w:tcBorders>
            <w:shd w:val="clear" w:color="auto" w:fill="auto"/>
            <w:noWrap/>
            <w:vAlign w:val="center"/>
          </w:tcPr>
          <w:p w14:paraId="54565F05" w14:textId="18653C04" w:rsidR="007C4FAC" w:rsidRPr="001E0145" w:rsidRDefault="007C4FAC" w:rsidP="007C4FAC">
            <w:pPr>
              <w:spacing w:after="0"/>
              <w:jc w:val="right"/>
              <w:rPr>
                <w:sz w:val="22"/>
                <w:szCs w:val="22"/>
              </w:rPr>
            </w:pPr>
            <w:r w:rsidRPr="001E0145">
              <w:rPr>
                <w:sz w:val="22"/>
                <w:szCs w:val="22"/>
                <w:lang w:eastAsia="en-US"/>
              </w:rPr>
              <w:t xml:space="preserve">99,2 </w:t>
            </w:r>
          </w:p>
        </w:tc>
      </w:tr>
      <w:tr w:rsidR="007C4FAC" w:rsidRPr="001E0145" w14:paraId="6DC30B00" w14:textId="77777777" w:rsidTr="7823C623">
        <w:trPr>
          <w:trHeight w:val="300"/>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F3EFC08" w14:textId="77777777" w:rsidR="007C4FAC" w:rsidRPr="001E0145" w:rsidRDefault="007C4FAC" w:rsidP="007C4FAC">
            <w:pPr>
              <w:spacing w:after="0"/>
              <w:jc w:val="right"/>
              <w:rPr>
                <w:sz w:val="22"/>
                <w:szCs w:val="22"/>
              </w:rPr>
            </w:pPr>
            <w:r w:rsidRPr="001E0145">
              <w:rPr>
                <w:sz w:val="22"/>
                <w:szCs w:val="22"/>
              </w:rPr>
              <w:t>bevétel:</w:t>
            </w:r>
          </w:p>
        </w:tc>
        <w:tc>
          <w:tcPr>
            <w:tcW w:w="1059" w:type="dxa"/>
            <w:tcBorders>
              <w:top w:val="nil"/>
              <w:left w:val="nil"/>
              <w:bottom w:val="single" w:sz="4" w:space="0" w:color="auto"/>
              <w:right w:val="single" w:sz="4" w:space="0" w:color="auto"/>
            </w:tcBorders>
            <w:shd w:val="clear" w:color="auto" w:fill="auto"/>
            <w:noWrap/>
            <w:vAlign w:val="center"/>
          </w:tcPr>
          <w:p w14:paraId="3E57A76F" w14:textId="7EBC28BC" w:rsidR="007C4FAC" w:rsidRPr="001E0145" w:rsidRDefault="007C4FAC" w:rsidP="007C4FAC">
            <w:pPr>
              <w:spacing w:after="0"/>
              <w:jc w:val="right"/>
              <w:rPr>
                <w:sz w:val="22"/>
                <w:szCs w:val="22"/>
              </w:rPr>
            </w:pPr>
            <w:r w:rsidRPr="001E0145">
              <w:rPr>
                <w:sz w:val="22"/>
                <w:szCs w:val="22"/>
                <w:lang w:eastAsia="en-US"/>
              </w:rPr>
              <w:t xml:space="preserve">17 350,6 </w:t>
            </w:r>
          </w:p>
        </w:tc>
        <w:tc>
          <w:tcPr>
            <w:tcW w:w="1195" w:type="dxa"/>
            <w:tcBorders>
              <w:top w:val="nil"/>
              <w:left w:val="nil"/>
              <w:bottom w:val="single" w:sz="4" w:space="0" w:color="auto"/>
              <w:right w:val="single" w:sz="4" w:space="0" w:color="auto"/>
            </w:tcBorders>
            <w:shd w:val="clear" w:color="auto" w:fill="auto"/>
            <w:noWrap/>
            <w:vAlign w:val="center"/>
          </w:tcPr>
          <w:p w14:paraId="43BF0FB6" w14:textId="1373B8D9" w:rsidR="007C4FAC" w:rsidRPr="001E0145" w:rsidRDefault="007C4FAC" w:rsidP="007C4FAC">
            <w:pPr>
              <w:spacing w:after="0"/>
              <w:jc w:val="right"/>
              <w:rPr>
                <w:sz w:val="22"/>
                <w:szCs w:val="22"/>
              </w:rPr>
            </w:pPr>
            <w:r w:rsidRPr="001E0145">
              <w:rPr>
                <w:sz w:val="22"/>
                <w:szCs w:val="22"/>
                <w:lang w:eastAsia="en-US"/>
              </w:rPr>
              <w:t xml:space="preserve">13 816,3 </w:t>
            </w:r>
          </w:p>
        </w:tc>
        <w:tc>
          <w:tcPr>
            <w:tcW w:w="1073" w:type="dxa"/>
            <w:tcBorders>
              <w:top w:val="nil"/>
              <w:left w:val="nil"/>
              <w:bottom w:val="single" w:sz="4" w:space="0" w:color="auto"/>
              <w:right w:val="single" w:sz="4" w:space="0" w:color="auto"/>
            </w:tcBorders>
            <w:shd w:val="clear" w:color="auto" w:fill="auto"/>
            <w:noWrap/>
            <w:vAlign w:val="center"/>
          </w:tcPr>
          <w:p w14:paraId="13CA9069" w14:textId="59871CBF" w:rsidR="007C4FAC" w:rsidRPr="001E0145" w:rsidRDefault="007C4FAC" w:rsidP="007C4FAC">
            <w:pPr>
              <w:spacing w:after="0"/>
              <w:jc w:val="right"/>
              <w:rPr>
                <w:sz w:val="22"/>
                <w:szCs w:val="22"/>
              </w:rPr>
            </w:pPr>
            <w:r w:rsidRPr="001E0145">
              <w:rPr>
                <w:sz w:val="22"/>
                <w:szCs w:val="22"/>
                <w:lang w:eastAsia="en-US"/>
              </w:rPr>
              <w:t xml:space="preserve">79,6 </w:t>
            </w:r>
          </w:p>
        </w:tc>
        <w:tc>
          <w:tcPr>
            <w:tcW w:w="1129" w:type="dxa"/>
            <w:tcBorders>
              <w:top w:val="nil"/>
              <w:left w:val="nil"/>
              <w:bottom w:val="single" w:sz="4" w:space="0" w:color="auto"/>
              <w:right w:val="single" w:sz="4" w:space="0" w:color="auto"/>
            </w:tcBorders>
            <w:shd w:val="clear" w:color="auto" w:fill="auto"/>
            <w:noWrap/>
            <w:vAlign w:val="center"/>
          </w:tcPr>
          <w:p w14:paraId="5D12D712" w14:textId="2F66A2E8" w:rsidR="007C4FAC" w:rsidRPr="001E0145" w:rsidRDefault="007C4FAC" w:rsidP="007C4FAC">
            <w:pPr>
              <w:spacing w:after="0"/>
              <w:jc w:val="right"/>
              <w:rPr>
                <w:sz w:val="22"/>
                <w:szCs w:val="22"/>
              </w:rPr>
            </w:pPr>
            <w:r w:rsidRPr="001E0145">
              <w:rPr>
                <w:sz w:val="22"/>
                <w:szCs w:val="22"/>
                <w:lang w:eastAsia="en-US"/>
              </w:rPr>
              <w:t xml:space="preserve">17 066,8 </w:t>
            </w:r>
          </w:p>
        </w:tc>
        <w:tc>
          <w:tcPr>
            <w:tcW w:w="1200" w:type="dxa"/>
            <w:tcBorders>
              <w:top w:val="nil"/>
              <w:left w:val="nil"/>
              <w:bottom w:val="single" w:sz="4" w:space="0" w:color="auto"/>
              <w:right w:val="single" w:sz="4" w:space="0" w:color="auto"/>
            </w:tcBorders>
            <w:shd w:val="clear" w:color="auto" w:fill="auto"/>
            <w:noWrap/>
            <w:vAlign w:val="center"/>
          </w:tcPr>
          <w:p w14:paraId="36D1BFF5" w14:textId="0F8457C1" w:rsidR="007C4FAC" w:rsidRPr="001E0145" w:rsidRDefault="007C4FAC" w:rsidP="007C4FAC">
            <w:pPr>
              <w:spacing w:after="0"/>
              <w:jc w:val="right"/>
              <w:rPr>
                <w:sz w:val="22"/>
                <w:szCs w:val="22"/>
              </w:rPr>
            </w:pPr>
            <w:r w:rsidRPr="001E0145">
              <w:rPr>
                <w:sz w:val="22"/>
                <w:szCs w:val="22"/>
                <w:lang w:eastAsia="en-US"/>
              </w:rPr>
              <w:t xml:space="preserve">17 003,8 </w:t>
            </w:r>
          </w:p>
        </w:tc>
        <w:tc>
          <w:tcPr>
            <w:tcW w:w="1134" w:type="dxa"/>
            <w:tcBorders>
              <w:top w:val="nil"/>
              <w:left w:val="nil"/>
              <w:bottom w:val="single" w:sz="4" w:space="0" w:color="auto"/>
              <w:right w:val="single" w:sz="4" w:space="0" w:color="auto"/>
            </w:tcBorders>
            <w:shd w:val="clear" w:color="auto" w:fill="auto"/>
            <w:noWrap/>
            <w:vAlign w:val="center"/>
          </w:tcPr>
          <w:p w14:paraId="27BDDB7E" w14:textId="632746CD" w:rsidR="007C4FAC" w:rsidRPr="001E0145" w:rsidRDefault="007C4FAC" w:rsidP="007C4FAC">
            <w:pPr>
              <w:spacing w:after="0"/>
              <w:jc w:val="right"/>
              <w:rPr>
                <w:sz w:val="22"/>
                <w:szCs w:val="22"/>
              </w:rPr>
            </w:pPr>
            <w:r w:rsidRPr="001E0145">
              <w:rPr>
                <w:sz w:val="22"/>
                <w:szCs w:val="22"/>
                <w:lang w:eastAsia="en-US"/>
              </w:rPr>
              <w:t xml:space="preserve">99,6 </w:t>
            </w:r>
          </w:p>
        </w:tc>
        <w:tc>
          <w:tcPr>
            <w:tcW w:w="911" w:type="dxa"/>
            <w:tcBorders>
              <w:top w:val="nil"/>
              <w:left w:val="nil"/>
              <w:bottom w:val="single" w:sz="4" w:space="0" w:color="auto"/>
              <w:right w:val="single" w:sz="4" w:space="0" w:color="auto"/>
            </w:tcBorders>
            <w:shd w:val="clear" w:color="auto" w:fill="auto"/>
            <w:noWrap/>
            <w:vAlign w:val="center"/>
          </w:tcPr>
          <w:p w14:paraId="399A412C" w14:textId="74D40F72" w:rsidR="007C4FAC" w:rsidRPr="001E0145" w:rsidRDefault="007C4FAC" w:rsidP="007C4FAC">
            <w:pPr>
              <w:spacing w:after="0"/>
              <w:jc w:val="right"/>
              <w:rPr>
                <w:sz w:val="22"/>
                <w:szCs w:val="22"/>
              </w:rPr>
            </w:pPr>
            <w:r w:rsidRPr="001E0145">
              <w:rPr>
                <w:sz w:val="22"/>
                <w:szCs w:val="22"/>
                <w:lang w:eastAsia="en-US"/>
              </w:rPr>
              <w:t xml:space="preserve">123,1 </w:t>
            </w:r>
          </w:p>
        </w:tc>
      </w:tr>
      <w:tr w:rsidR="007C4FAC" w:rsidRPr="001E0145" w14:paraId="74D58A88" w14:textId="77777777" w:rsidTr="7823C623">
        <w:trPr>
          <w:trHeight w:val="300"/>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E89ECEB" w14:textId="77777777" w:rsidR="007C4FAC" w:rsidRPr="001E0145" w:rsidRDefault="007C4FAC" w:rsidP="007C4FAC">
            <w:pPr>
              <w:spacing w:after="0"/>
              <w:jc w:val="right"/>
              <w:rPr>
                <w:sz w:val="22"/>
                <w:szCs w:val="22"/>
              </w:rPr>
            </w:pPr>
            <w:r w:rsidRPr="001E0145">
              <w:rPr>
                <w:sz w:val="22"/>
                <w:szCs w:val="22"/>
              </w:rPr>
              <w:t>kiadás:</w:t>
            </w:r>
          </w:p>
        </w:tc>
        <w:tc>
          <w:tcPr>
            <w:tcW w:w="1059" w:type="dxa"/>
            <w:tcBorders>
              <w:top w:val="nil"/>
              <w:left w:val="nil"/>
              <w:bottom w:val="single" w:sz="4" w:space="0" w:color="auto"/>
              <w:right w:val="single" w:sz="4" w:space="0" w:color="auto"/>
            </w:tcBorders>
            <w:shd w:val="clear" w:color="auto" w:fill="auto"/>
            <w:noWrap/>
            <w:vAlign w:val="center"/>
          </w:tcPr>
          <w:p w14:paraId="3C52DF32" w14:textId="0661749D" w:rsidR="007C4FAC" w:rsidRPr="001E0145" w:rsidRDefault="007C4FAC" w:rsidP="007C4FAC">
            <w:pPr>
              <w:spacing w:after="0"/>
              <w:jc w:val="right"/>
              <w:rPr>
                <w:sz w:val="22"/>
                <w:szCs w:val="22"/>
              </w:rPr>
            </w:pPr>
            <w:r w:rsidRPr="001E0145">
              <w:rPr>
                <w:sz w:val="22"/>
                <w:szCs w:val="22"/>
                <w:lang w:eastAsia="en-US"/>
              </w:rPr>
              <w:t xml:space="preserve">22 012,9 </w:t>
            </w:r>
          </w:p>
        </w:tc>
        <w:tc>
          <w:tcPr>
            <w:tcW w:w="1195" w:type="dxa"/>
            <w:tcBorders>
              <w:top w:val="nil"/>
              <w:left w:val="nil"/>
              <w:bottom w:val="single" w:sz="4" w:space="0" w:color="auto"/>
              <w:right w:val="single" w:sz="4" w:space="0" w:color="auto"/>
            </w:tcBorders>
            <w:shd w:val="clear" w:color="auto" w:fill="auto"/>
            <w:noWrap/>
            <w:vAlign w:val="center"/>
          </w:tcPr>
          <w:p w14:paraId="52494353" w14:textId="63C36999" w:rsidR="007C4FAC" w:rsidRPr="001E0145" w:rsidRDefault="007C4FAC" w:rsidP="007C4FAC">
            <w:pPr>
              <w:spacing w:after="0"/>
              <w:jc w:val="right"/>
              <w:rPr>
                <w:sz w:val="22"/>
                <w:szCs w:val="22"/>
              </w:rPr>
            </w:pPr>
            <w:r w:rsidRPr="001E0145">
              <w:rPr>
                <w:sz w:val="22"/>
                <w:szCs w:val="22"/>
                <w:lang w:eastAsia="en-US"/>
              </w:rPr>
              <w:t xml:space="preserve">16 520,7 </w:t>
            </w:r>
          </w:p>
        </w:tc>
        <w:tc>
          <w:tcPr>
            <w:tcW w:w="1073" w:type="dxa"/>
            <w:tcBorders>
              <w:top w:val="nil"/>
              <w:left w:val="nil"/>
              <w:bottom w:val="single" w:sz="4" w:space="0" w:color="auto"/>
              <w:right w:val="single" w:sz="4" w:space="0" w:color="auto"/>
            </w:tcBorders>
            <w:shd w:val="clear" w:color="auto" w:fill="auto"/>
            <w:noWrap/>
            <w:vAlign w:val="center"/>
          </w:tcPr>
          <w:p w14:paraId="5FA8AFE7" w14:textId="5AB7061F" w:rsidR="007C4FAC" w:rsidRPr="001E0145" w:rsidRDefault="007C4FAC" w:rsidP="007C4FAC">
            <w:pPr>
              <w:spacing w:after="0"/>
              <w:jc w:val="right"/>
              <w:rPr>
                <w:sz w:val="22"/>
                <w:szCs w:val="22"/>
              </w:rPr>
            </w:pPr>
            <w:r w:rsidRPr="001E0145">
              <w:rPr>
                <w:sz w:val="22"/>
                <w:szCs w:val="22"/>
                <w:lang w:eastAsia="en-US"/>
              </w:rPr>
              <w:t xml:space="preserve">75,1 </w:t>
            </w:r>
          </w:p>
        </w:tc>
        <w:tc>
          <w:tcPr>
            <w:tcW w:w="1129" w:type="dxa"/>
            <w:tcBorders>
              <w:top w:val="nil"/>
              <w:left w:val="nil"/>
              <w:bottom w:val="single" w:sz="4" w:space="0" w:color="auto"/>
              <w:right w:val="single" w:sz="4" w:space="0" w:color="auto"/>
            </w:tcBorders>
            <w:shd w:val="clear" w:color="auto" w:fill="auto"/>
            <w:noWrap/>
            <w:vAlign w:val="center"/>
          </w:tcPr>
          <w:p w14:paraId="65710835" w14:textId="3A72B08C" w:rsidR="007C4FAC" w:rsidRPr="001E0145" w:rsidRDefault="007C4FAC" w:rsidP="007C4FAC">
            <w:pPr>
              <w:spacing w:after="0"/>
              <w:jc w:val="right"/>
              <w:rPr>
                <w:sz w:val="22"/>
                <w:szCs w:val="22"/>
              </w:rPr>
            </w:pPr>
            <w:r w:rsidRPr="001E0145">
              <w:rPr>
                <w:sz w:val="22"/>
                <w:szCs w:val="22"/>
                <w:lang w:eastAsia="en-US"/>
              </w:rPr>
              <w:t xml:space="preserve">20 198,1 </w:t>
            </w:r>
          </w:p>
        </w:tc>
        <w:tc>
          <w:tcPr>
            <w:tcW w:w="1200" w:type="dxa"/>
            <w:tcBorders>
              <w:top w:val="nil"/>
              <w:left w:val="nil"/>
              <w:bottom w:val="single" w:sz="4" w:space="0" w:color="auto"/>
              <w:right w:val="single" w:sz="4" w:space="0" w:color="auto"/>
            </w:tcBorders>
            <w:shd w:val="clear" w:color="auto" w:fill="auto"/>
            <w:noWrap/>
            <w:vAlign w:val="center"/>
          </w:tcPr>
          <w:p w14:paraId="3C54CA8C" w14:textId="5CEBCA2B" w:rsidR="007C4FAC" w:rsidRPr="001E0145" w:rsidRDefault="007C4FAC" w:rsidP="007C4FAC">
            <w:pPr>
              <w:spacing w:after="0"/>
              <w:jc w:val="right"/>
              <w:rPr>
                <w:sz w:val="22"/>
                <w:szCs w:val="22"/>
              </w:rPr>
            </w:pPr>
            <w:r w:rsidRPr="001E0145">
              <w:rPr>
                <w:sz w:val="22"/>
                <w:szCs w:val="22"/>
                <w:lang w:eastAsia="en-US"/>
              </w:rPr>
              <w:t xml:space="preserve">19 687,7 </w:t>
            </w:r>
          </w:p>
        </w:tc>
        <w:tc>
          <w:tcPr>
            <w:tcW w:w="1134" w:type="dxa"/>
            <w:tcBorders>
              <w:top w:val="nil"/>
              <w:left w:val="nil"/>
              <w:bottom w:val="single" w:sz="4" w:space="0" w:color="auto"/>
              <w:right w:val="single" w:sz="4" w:space="0" w:color="auto"/>
            </w:tcBorders>
            <w:shd w:val="clear" w:color="auto" w:fill="auto"/>
            <w:noWrap/>
            <w:vAlign w:val="center"/>
          </w:tcPr>
          <w:p w14:paraId="1BEB28EA" w14:textId="5CB7AF42" w:rsidR="007C4FAC" w:rsidRPr="001E0145" w:rsidRDefault="007C4FAC" w:rsidP="007C4FAC">
            <w:pPr>
              <w:spacing w:after="0"/>
              <w:jc w:val="right"/>
              <w:rPr>
                <w:sz w:val="22"/>
                <w:szCs w:val="22"/>
              </w:rPr>
            </w:pPr>
            <w:r w:rsidRPr="001E0145">
              <w:rPr>
                <w:sz w:val="22"/>
                <w:szCs w:val="22"/>
                <w:lang w:eastAsia="en-US"/>
              </w:rPr>
              <w:t xml:space="preserve">97,5 </w:t>
            </w:r>
          </w:p>
        </w:tc>
        <w:tc>
          <w:tcPr>
            <w:tcW w:w="911" w:type="dxa"/>
            <w:tcBorders>
              <w:top w:val="nil"/>
              <w:left w:val="nil"/>
              <w:bottom w:val="single" w:sz="4" w:space="0" w:color="auto"/>
              <w:right w:val="single" w:sz="4" w:space="0" w:color="auto"/>
            </w:tcBorders>
            <w:shd w:val="clear" w:color="auto" w:fill="auto"/>
            <w:noWrap/>
            <w:vAlign w:val="center"/>
          </w:tcPr>
          <w:p w14:paraId="278D5A7F" w14:textId="0DCB5670" w:rsidR="007C4FAC" w:rsidRPr="001E0145" w:rsidRDefault="007C4FAC" w:rsidP="007C4FAC">
            <w:pPr>
              <w:spacing w:after="0"/>
              <w:jc w:val="right"/>
              <w:rPr>
                <w:sz w:val="22"/>
                <w:szCs w:val="22"/>
              </w:rPr>
            </w:pPr>
            <w:r w:rsidRPr="001E0145">
              <w:rPr>
                <w:sz w:val="22"/>
                <w:szCs w:val="22"/>
                <w:lang w:eastAsia="en-US"/>
              </w:rPr>
              <w:t xml:space="preserve">119,2 </w:t>
            </w:r>
          </w:p>
        </w:tc>
      </w:tr>
      <w:tr w:rsidR="007C4FAC" w:rsidRPr="001E0145" w14:paraId="655361EB" w14:textId="77777777" w:rsidTr="7823C623">
        <w:trPr>
          <w:trHeight w:val="964"/>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F307FCA" w14:textId="77777777" w:rsidR="007C4FAC" w:rsidRPr="001E0145" w:rsidRDefault="007C4FAC" w:rsidP="007C4FAC">
            <w:pPr>
              <w:spacing w:after="0"/>
              <w:jc w:val="left"/>
              <w:rPr>
                <w:b/>
                <w:bCs/>
                <w:sz w:val="22"/>
                <w:szCs w:val="22"/>
              </w:rPr>
            </w:pPr>
            <w:r w:rsidRPr="001E0145">
              <w:rPr>
                <w:b/>
                <w:bCs/>
                <w:sz w:val="22"/>
                <w:szCs w:val="22"/>
              </w:rPr>
              <w:t>Elkülönített állami pénzalapok egyenlege</w:t>
            </w:r>
          </w:p>
        </w:tc>
        <w:tc>
          <w:tcPr>
            <w:tcW w:w="1059" w:type="dxa"/>
            <w:tcBorders>
              <w:top w:val="nil"/>
              <w:left w:val="nil"/>
              <w:bottom w:val="single" w:sz="4" w:space="0" w:color="auto"/>
              <w:right w:val="single" w:sz="4" w:space="0" w:color="auto"/>
            </w:tcBorders>
            <w:shd w:val="clear" w:color="auto" w:fill="auto"/>
            <w:noWrap/>
            <w:vAlign w:val="center"/>
          </w:tcPr>
          <w:p w14:paraId="42A32FF1" w14:textId="4CBFC9E6" w:rsidR="007C4FAC" w:rsidRPr="001E0145" w:rsidRDefault="007C4FAC" w:rsidP="007C4FAC">
            <w:pPr>
              <w:spacing w:after="0"/>
              <w:jc w:val="right"/>
              <w:rPr>
                <w:b/>
                <w:bCs/>
                <w:sz w:val="22"/>
                <w:szCs w:val="22"/>
              </w:rPr>
            </w:pPr>
            <w:r w:rsidRPr="001E0145">
              <w:rPr>
                <w:b/>
                <w:bCs/>
                <w:sz w:val="22"/>
                <w:szCs w:val="22"/>
                <w:lang w:eastAsia="en-US"/>
              </w:rPr>
              <w:t xml:space="preserve">-19,8 </w:t>
            </w:r>
          </w:p>
        </w:tc>
        <w:tc>
          <w:tcPr>
            <w:tcW w:w="1195" w:type="dxa"/>
            <w:tcBorders>
              <w:top w:val="nil"/>
              <w:left w:val="nil"/>
              <w:bottom w:val="single" w:sz="4" w:space="0" w:color="auto"/>
              <w:right w:val="single" w:sz="4" w:space="0" w:color="auto"/>
            </w:tcBorders>
            <w:shd w:val="clear" w:color="auto" w:fill="auto"/>
            <w:noWrap/>
            <w:vAlign w:val="center"/>
          </w:tcPr>
          <w:p w14:paraId="0972F5F0" w14:textId="74B153C5" w:rsidR="007C4FAC" w:rsidRPr="001E0145" w:rsidRDefault="007C4FAC" w:rsidP="007C4FAC">
            <w:pPr>
              <w:spacing w:after="0"/>
              <w:jc w:val="right"/>
              <w:rPr>
                <w:b/>
                <w:bCs/>
                <w:sz w:val="22"/>
                <w:szCs w:val="22"/>
              </w:rPr>
            </w:pPr>
            <w:r w:rsidRPr="001E0145">
              <w:rPr>
                <w:b/>
                <w:bCs/>
                <w:sz w:val="22"/>
                <w:szCs w:val="22"/>
                <w:lang w:eastAsia="en-US"/>
              </w:rPr>
              <w:t xml:space="preserve">47,3 </w:t>
            </w:r>
          </w:p>
        </w:tc>
        <w:tc>
          <w:tcPr>
            <w:tcW w:w="1073" w:type="dxa"/>
            <w:tcBorders>
              <w:top w:val="nil"/>
              <w:left w:val="nil"/>
              <w:bottom w:val="single" w:sz="4" w:space="0" w:color="auto"/>
              <w:right w:val="single" w:sz="4" w:space="0" w:color="auto"/>
            </w:tcBorders>
            <w:shd w:val="clear" w:color="auto" w:fill="auto"/>
            <w:noWrap/>
            <w:vAlign w:val="center"/>
          </w:tcPr>
          <w:p w14:paraId="1A51B34F" w14:textId="51E796E4" w:rsidR="007C4FAC" w:rsidRPr="001E0145" w:rsidRDefault="007C4FAC" w:rsidP="007C4FAC">
            <w:pPr>
              <w:spacing w:after="0"/>
              <w:jc w:val="right"/>
              <w:rPr>
                <w:sz w:val="22"/>
                <w:szCs w:val="22"/>
              </w:rPr>
            </w:pPr>
            <w:r w:rsidRPr="001E0145">
              <w:rPr>
                <w:sz w:val="22"/>
                <w:szCs w:val="22"/>
                <w:lang w:eastAsia="en-US"/>
              </w:rPr>
              <w:t> </w:t>
            </w:r>
          </w:p>
        </w:tc>
        <w:tc>
          <w:tcPr>
            <w:tcW w:w="1129" w:type="dxa"/>
            <w:tcBorders>
              <w:top w:val="nil"/>
              <w:left w:val="nil"/>
              <w:bottom w:val="single" w:sz="4" w:space="0" w:color="auto"/>
              <w:right w:val="single" w:sz="4" w:space="0" w:color="auto"/>
            </w:tcBorders>
            <w:shd w:val="clear" w:color="auto" w:fill="auto"/>
            <w:noWrap/>
            <w:vAlign w:val="center"/>
          </w:tcPr>
          <w:p w14:paraId="4B589D3D" w14:textId="3C947914" w:rsidR="007C4FAC" w:rsidRPr="001E0145" w:rsidRDefault="007C4FAC" w:rsidP="007C4FAC">
            <w:pPr>
              <w:spacing w:after="0"/>
              <w:jc w:val="right"/>
              <w:rPr>
                <w:b/>
                <w:bCs/>
                <w:sz w:val="22"/>
                <w:szCs w:val="22"/>
              </w:rPr>
            </w:pPr>
            <w:r w:rsidRPr="001E0145">
              <w:rPr>
                <w:b/>
                <w:bCs/>
                <w:sz w:val="22"/>
                <w:szCs w:val="22"/>
                <w:lang w:eastAsia="en-US"/>
              </w:rPr>
              <w:t xml:space="preserve">125,4 </w:t>
            </w:r>
          </w:p>
        </w:tc>
        <w:tc>
          <w:tcPr>
            <w:tcW w:w="1200" w:type="dxa"/>
            <w:tcBorders>
              <w:top w:val="nil"/>
              <w:left w:val="nil"/>
              <w:bottom w:val="single" w:sz="4" w:space="0" w:color="auto"/>
              <w:right w:val="single" w:sz="4" w:space="0" w:color="auto"/>
            </w:tcBorders>
            <w:shd w:val="clear" w:color="auto" w:fill="auto"/>
            <w:noWrap/>
            <w:vAlign w:val="center"/>
          </w:tcPr>
          <w:p w14:paraId="21950833" w14:textId="26F5BC59" w:rsidR="007C4FAC" w:rsidRPr="001E0145" w:rsidRDefault="007C4FAC" w:rsidP="007C4FAC">
            <w:pPr>
              <w:spacing w:after="0"/>
              <w:jc w:val="right"/>
              <w:rPr>
                <w:b/>
                <w:bCs/>
                <w:sz w:val="22"/>
                <w:szCs w:val="22"/>
              </w:rPr>
            </w:pPr>
            <w:r w:rsidRPr="001E0145">
              <w:rPr>
                <w:b/>
                <w:bCs/>
                <w:sz w:val="22"/>
                <w:szCs w:val="22"/>
                <w:lang w:eastAsia="en-US"/>
              </w:rPr>
              <w:t xml:space="preserve">289,2 </w:t>
            </w:r>
          </w:p>
        </w:tc>
        <w:tc>
          <w:tcPr>
            <w:tcW w:w="1134" w:type="dxa"/>
            <w:tcBorders>
              <w:top w:val="nil"/>
              <w:left w:val="nil"/>
              <w:bottom w:val="single" w:sz="4" w:space="0" w:color="auto"/>
              <w:right w:val="single" w:sz="4" w:space="0" w:color="auto"/>
            </w:tcBorders>
            <w:shd w:val="clear" w:color="auto" w:fill="auto"/>
            <w:noWrap/>
            <w:vAlign w:val="center"/>
          </w:tcPr>
          <w:p w14:paraId="6D685A9A" w14:textId="3C477222" w:rsidR="007C4FAC" w:rsidRPr="001E0145" w:rsidRDefault="007C4FAC" w:rsidP="007C4FAC">
            <w:pPr>
              <w:spacing w:after="0"/>
              <w:jc w:val="right"/>
              <w:rPr>
                <w:sz w:val="22"/>
                <w:szCs w:val="22"/>
              </w:rPr>
            </w:pPr>
            <w:r w:rsidRPr="001E0145">
              <w:rPr>
                <w:sz w:val="22"/>
                <w:szCs w:val="22"/>
                <w:lang w:eastAsia="en-US"/>
              </w:rPr>
              <w:t xml:space="preserve">230,6 </w:t>
            </w:r>
          </w:p>
        </w:tc>
        <w:tc>
          <w:tcPr>
            <w:tcW w:w="911" w:type="dxa"/>
            <w:tcBorders>
              <w:top w:val="nil"/>
              <w:left w:val="nil"/>
              <w:bottom w:val="single" w:sz="4" w:space="0" w:color="auto"/>
              <w:right w:val="single" w:sz="4" w:space="0" w:color="auto"/>
            </w:tcBorders>
            <w:shd w:val="clear" w:color="auto" w:fill="auto"/>
            <w:noWrap/>
            <w:vAlign w:val="center"/>
          </w:tcPr>
          <w:p w14:paraId="5768AA20" w14:textId="1BF246FD" w:rsidR="007C4FAC" w:rsidRPr="001E0145" w:rsidRDefault="007C4FAC" w:rsidP="007C4FAC">
            <w:pPr>
              <w:spacing w:after="0"/>
              <w:jc w:val="right"/>
              <w:rPr>
                <w:sz w:val="22"/>
                <w:szCs w:val="22"/>
              </w:rPr>
            </w:pPr>
            <w:r w:rsidRPr="001E0145">
              <w:rPr>
                <w:sz w:val="22"/>
                <w:szCs w:val="22"/>
                <w:lang w:eastAsia="en-US"/>
              </w:rPr>
              <w:t xml:space="preserve">611,4 </w:t>
            </w:r>
          </w:p>
        </w:tc>
      </w:tr>
      <w:tr w:rsidR="007C4FAC" w:rsidRPr="001E0145" w14:paraId="5A1A66AD" w14:textId="77777777" w:rsidTr="7823C623">
        <w:trPr>
          <w:trHeight w:val="300"/>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AE05B79" w14:textId="77777777" w:rsidR="007C4FAC" w:rsidRPr="001E0145" w:rsidRDefault="007C4FAC" w:rsidP="007C4FAC">
            <w:pPr>
              <w:spacing w:after="0"/>
              <w:jc w:val="right"/>
              <w:rPr>
                <w:sz w:val="22"/>
                <w:szCs w:val="22"/>
              </w:rPr>
            </w:pPr>
            <w:r w:rsidRPr="001E0145">
              <w:rPr>
                <w:sz w:val="22"/>
                <w:szCs w:val="22"/>
              </w:rPr>
              <w:t>bevétel:</w:t>
            </w:r>
          </w:p>
        </w:tc>
        <w:tc>
          <w:tcPr>
            <w:tcW w:w="1059" w:type="dxa"/>
            <w:tcBorders>
              <w:top w:val="nil"/>
              <w:left w:val="nil"/>
              <w:bottom w:val="single" w:sz="4" w:space="0" w:color="auto"/>
              <w:right w:val="single" w:sz="4" w:space="0" w:color="auto"/>
            </w:tcBorders>
            <w:shd w:val="clear" w:color="auto" w:fill="auto"/>
            <w:noWrap/>
            <w:vAlign w:val="center"/>
          </w:tcPr>
          <w:p w14:paraId="1C220867" w14:textId="389A1A13" w:rsidR="007C4FAC" w:rsidRPr="001E0145" w:rsidRDefault="007C4FAC" w:rsidP="007C4FAC">
            <w:pPr>
              <w:spacing w:after="0"/>
              <w:jc w:val="right"/>
              <w:rPr>
                <w:sz w:val="22"/>
                <w:szCs w:val="22"/>
              </w:rPr>
            </w:pPr>
            <w:r w:rsidRPr="001E0145">
              <w:rPr>
                <w:sz w:val="22"/>
                <w:szCs w:val="22"/>
                <w:lang w:eastAsia="en-US"/>
              </w:rPr>
              <w:t xml:space="preserve">690,9 </w:t>
            </w:r>
          </w:p>
        </w:tc>
        <w:tc>
          <w:tcPr>
            <w:tcW w:w="1195" w:type="dxa"/>
            <w:tcBorders>
              <w:top w:val="nil"/>
              <w:left w:val="nil"/>
              <w:bottom w:val="single" w:sz="4" w:space="0" w:color="auto"/>
              <w:right w:val="single" w:sz="4" w:space="0" w:color="auto"/>
            </w:tcBorders>
            <w:shd w:val="clear" w:color="auto" w:fill="auto"/>
            <w:noWrap/>
            <w:vAlign w:val="center"/>
          </w:tcPr>
          <w:p w14:paraId="60A909EB" w14:textId="0AE70D4B" w:rsidR="007C4FAC" w:rsidRPr="001E0145" w:rsidRDefault="007C4FAC" w:rsidP="007C4FAC">
            <w:pPr>
              <w:spacing w:after="0"/>
              <w:jc w:val="right"/>
              <w:rPr>
                <w:sz w:val="22"/>
                <w:szCs w:val="22"/>
              </w:rPr>
            </w:pPr>
            <w:r w:rsidRPr="001E0145">
              <w:rPr>
                <w:sz w:val="22"/>
                <w:szCs w:val="22"/>
                <w:lang w:eastAsia="en-US"/>
              </w:rPr>
              <w:t xml:space="preserve">578,1 </w:t>
            </w:r>
          </w:p>
        </w:tc>
        <w:tc>
          <w:tcPr>
            <w:tcW w:w="1073" w:type="dxa"/>
            <w:tcBorders>
              <w:top w:val="nil"/>
              <w:left w:val="nil"/>
              <w:bottom w:val="single" w:sz="4" w:space="0" w:color="auto"/>
              <w:right w:val="single" w:sz="4" w:space="0" w:color="auto"/>
            </w:tcBorders>
            <w:shd w:val="clear" w:color="auto" w:fill="auto"/>
            <w:noWrap/>
            <w:vAlign w:val="center"/>
          </w:tcPr>
          <w:p w14:paraId="4FEE668B" w14:textId="5CF5A72C" w:rsidR="007C4FAC" w:rsidRPr="001E0145" w:rsidRDefault="007C4FAC" w:rsidP="007C4FAC">
            <w:pPr>
              <w:spacing w:after="0"/>
              <w:jc w:val="right"/>
              <w:rPr>
                <w:sz w:val="22"/>
                <w:szCs w:val="22"/>
              </w:rPr>
            </w:pPr>
            <w:r w:rsidRPr="001E0145">
              <w:rPr>
                <w:sz w:val="22"/>
                <w:szCs w:val="22"/>
                <w:lang w:eastAsia="en-US"/>
              </w:rPr>
              <w:t xml:space="preserve">83,7 </w:t>
            </w:r>
          </w:p>
        </w:tc>
        <w:tc>
          <w:tcPr>
            <w:tcW w:w="1129" w:type="dxa"/>
            <w:tcBorders>
              <w:top w:val="nil"/>
              <w:left w:val="nil"/>
              <w:bottom w:val="single" w:sz="4" w:space="0" w:color="auto"/>
              <w:right w:val="single" w:sz="4" w:space="0" w:color="auto"/>
            </w:tcBorders>
            <w:shd w:val="clear" w:color="auto" w:fill="auto"/>
            <w:noWrap/>
            <w:vAlign w:val="center"/>
          </w:tcPr>
          <w:p w14:paraId="07E0CB1A" w14:textId="571B3446" w:rsidR="007C4FAC" w:rsidRPr="001E0145" w:rsidRDefault="007C4FAC" w:rsidP="007C4FAC">
            <w:pPr>
              <w:spacing w:after="0"/>
              <w:jc w:val="right"/>
              <w:rPr>
                <w:sz w:val="22"/>
                <w:szCs w:val="22"/>
              </w:rPr>
            </w:pPr>
            <w:r w:rsidRPr="001E0145">
              <w:rPr>
                <w:sz w:val="22"/>
                <w:szCs w:val="22"/>
                <w:lang w:eastAsia="en-US"/>
              </w:rPr>
              <w:t xml:space="preserve">703,3 </w:t>
            </w:r>
          </w:p>
        </w:tc>
        <w:tc>
          <w:tcPr>
            <w:tcW w:w="1200" w:type="dxa"/>
            <w:tcBorders>
              <w:top w:val="nil"/>
              <w:left w:val="nil"/>
              <w:bottom w:val="single" w:sz="4" w:space="0" w:color="auto"/>
              <w:right w:val="single" w:sz="4" w:space="0" w:color="auto"/>
            </w:tcBorders>
            <w:shd w:val="clear" w:color="auto" w:fill="auto"/>
            <w:noWrap/>
            <w:vAlign w:val="center"/>
          </w:tcPr>
          <w:p w14:paraId="55DC4770" w14:textId="49B153D8" w:rsidR="007C4FAC" w:rsidRPr="001E0145" w:rsidRDefault="007C4FAC" w:rsidP="007C4FAC">
            <w:pPr>
              <w:spacing w:after="0"/>
              <w:jc w:val="right"/>
              <w:rPr>
                <w:sz w:val="22"/>
                <w:szCs w:val="22"/>
              </w:rPr>
            </w:pPr>
            <w:r w:rsidRPr="001E0145">
              <w:rPr>
                <w:sz w:val="22"/>
                <w:szCs w:val="22"/>
                <w:lang w:eastAsia="en-US"/>
              </w:rPr>
              <w:t xml:space="preserve">697,3 </w:t>
            </w:r>
          </w:p>
        </w:tc>
        <w:tc>
          <w:tcPr>
            <w:tcW w:w="1134" w:type="dxa"/>
            <w:tcBorders>
              <w:top w:val="nil"/>
              <w:left w:val="nil"/>
              <w:bottom w:val="single" w:sz="4" w:space="0" w:color="auto"/>
              <w:right w:val="single" w:sz="4" w:space="0" w:color="auto"/>
            </w:tcBorders>
            <w:shd w:val="clear" w:color="auto" w:fill="auto"/>
            <w:noWrap/>
            <w:vAlign w:val="center"/>
          </w:tcPr>
          <w:p w14:paraId="7EAD66DB" w14:textId="32EA6D52" w:rsidR="007C4FAC" w:rsidRPr="001E0145" w:rsidRDefault="007C4FAC" w:rsidP="007C4FAC">
            <w:pPr>
              <w:spacing w:after="0"/>
              <w:jc w:val="right"/>
              <w:rPr>
                <w:sz w:val="22"/>
                <w:szCs w:val="22"/>
              </w:rPr>
            </w:pPr>
            <w:r w:rsidRPr="001E0145">
              <w:rPr>
                <w:sz w:val="22"/>
                <w:szCs w:val="22"/>
                <w:lang w:eastAsia="en-US"/>
              </w:rPr>
              <w:t xml:space="preserve">99,1 </w:t>
            </w:r>
          </w:p>
        </w:tc>
        <w:tc>
          <w:tcPr>
            <w:tcW w:w="911" w:type="dxa"/>
            <w:tcBorders>
              <w:top w:val="nil"/>
              <w:left w:val="nil"/>
              <w:bottom w:val="single" w:sz="4" w:space="0" w:color="auto"/>
              <w:right w:val="single" w:sz="4" w:space="0" w:color="auto"/>
            </w:tcBorders>
            <w:shd w:val="clear" w:color="auto" w:fill="auto"/>
            <w:noWrap/>
            <w:vAlign w:val="center"/>
          </w:tcPr>
          <w:p w14:paraId="5D4FD139" w14:textId="6670B32F" w:rsidR="007C4FAC" w:rsidRPr="001E0145" w:rsidRDefault="007C4FAC" w:rsidP="007C4FAC">
            <w:pPr>
              <w:spacing w:after="0"/>
              <w:jc w:val="right"/>
              <w:rPr>
                <w:sz w:val="22"/>
                <w:szCs w:val="22"/>
              </w:rPr>
            </w:pPr>
            <w:r w:rsidRPr="001E0145">
              <w:rPr>
                <w:sz w:val="22"/>
                <w:szCs w:val="22"/>
                <w:lang w:eastAsia="en-US"/>
              </w:rPr>
              <w:t xml:space="preserve">120,6 </w:t>
            </w:r>
          </w:p>
        </w:tc>
      </w:tr>
      <w:tr w:rsidR="007C4FAC" w:rsidRPr="001E0145" w14:paraId="2386841A" w14:textId="77777777" w:rsidTr="7823C623">
        <w:trPr>
          <w:trHeight w:val="300"/>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1E1D510" w14:textId="77777777" w:rsidR="007C4FAC" w:rsidRPr="001E0145" w:rsidRDefault="007C4FAC" w:rsidP="007C4FAC">
            <w:pPr>
              <w:spacing w:after="0"/>
              <w:jc w:val="right"/>
              <w:rPr>
                <w:sz w:val="22"/>
                <w:szCs w:val="22"/>
              </w:rPr>
            </w:pPr>
            <w:r w:rsidRPr="001E0145">
              <w:rPr>
                <w:sz w:val="22"/>
                <w:szCs w:val="22"/>
              </w:rPr>
              <w:t>kiadás:</w:t>
            </w:r>
          </w:p>
        </w:tc>
        <w:tc>
          <w:tcPr>
            <w:tcW w:w="1059" w:type="dxa"/>
            <w:tcBorders>
              <w:top w:val="nil"/>
              <w:left w:val="nil"/>
              <w:bottom w:val="single" w:sz="4" w:space="0" w:color="auto"/>
              <w:right w:val="single" w:sz="4" w:space="0" w:color="auto"/>
            </w:tcBorders>
            <w:shd w:val="clear" w:color="auto" w:fill="auto"/>
            <w:noWrap/>
            <w:vAlign w:val="center"/>
          </w:tcPr>
          <w:p w14:paraId="0FB794F7" w14:textId="0C970E75" w:rsidR="007C4FAC" w:rsidRPr="001E0145" w:rsidRDefault="007C4FAC" w:rsidP="007C4FAC">
            <w:pPr>
              <w:spacing w:after="0"/>
              <w:jc w:val="right"/>
              <w:rPr>
                <w:sz w:val="22"/>
                <w:szCs w:val="22"/>
              </w:rPr>
            </w:pPr>
            <w:r w:rsidRPr="001E0145">
              <w:rPr>
                <w:sz w:val="22"/>
                <w:szCs w:val="22"/>
                <w:lang w:eastAsia="en-US"/>
              </w:rPr>
              <w:t xml:space="preserve">710,7 </w:t>
            </w:r>
          </w:p>
        </w:tc>
        <w:tc>
          <w:tcPr>
            <w:tcW w:w="1195" w:type="dxa"/>
            <w:tcBorders>
              <w:top w:val="nil"/>
              <w:left w:val="nil"/>
              <w:bottom w:val="single" w:sz="4" w:space="0" w:color="auto"/>
              <w:right w:val="single" w:sz="4" w:space="0" w:color="auto"/>
            </w:tcBorders>
            <w:shd w:val="clear" w:color="auto" w:fill="auto"/>
            <w:noWrap/>
            <w:vAlign w:val="center"/>
          </w:tcPr>
          <w:p w14:paraId="10DA8C85" w14:textId="1A126610" w:rsidR="007C4FAC" w:rsidRPr="001E0145" w:rsidRDefault="007C4FAC" w:rsidP="007C4FAC">
            <w:pPr>
              <w:spacing w:after="0"/>
              <w:jc w:val="right"/>
              <w:rPr>
                <w:sz w:val="22"/>
                <w:szCs w:val="22"/>
              </w:rPr>
            </w:pPr>
            <w:r w:rsidRPr="001E0145">
              <w:rPr>
                <w:sz w:val="22"/>
                <w:szCs w:val="22"/>
                <w:lang w:eastAsia="en-US"/>
              </w:rPr>
              <w:t xml:space="preserve">530,8 </w:t>
            </w:r>
          </w:p>
        </w:tc>
        <w:tc>
          <w:tcPr>
            <w:tcW w:w="1073" w:type="dxa"/>
            <w:tcBorders>
              <w:top w:val="nil"/>
              <w:left w:val="nil"/>
              <w:bottom w:val="single" w:sz="4" w:space="0" w:color="auto"/>
              <w:right w:val="single" w:sz="4" w:space="0" w:color="auto"/>
            </w:tcBorders>
            <w:shd w:val="clear" w:color="auto" w:fill="auto"/>
            <w:noWrap/>
            <w:vAlign w:val="center"/>
          </w:tcPr>
          <w:p w14:paraId="2B4D740E" w14:textId="4EE23932" w:rsidR="007C4FAC" w:rsidRPr="001E0145" w:rsidRDefault="007C4FAC" w:rsidP="007C4FAC">
            <w:pPr>
              <w:spacing w:after="0"/>
              <w:jc w:val="right"/>
              <w:rPr>
                <w:sz w:val="22"/>
                <w:szCs w:val="22"/>
              </w:rPr>
            </w:pPr>
            <w:r w:rsidRPr="001E0145">
              <w:rPr>
                <w:sz w:val="22"/>
                <w:szCs w:val="22"/>
                <w:lang w:eastAsia="en-US"/>
              </w:rPr>
              <w:t xml:space="preserve">74,7 </w:t>
            </w:r>
          </w:p>
        </w:tc>
        <w:tc>
          <w:tcPr>
            <w:tcW w:w="1129" w:type="dxa"/>
            <w:tcBorders>
              <w:top w:val="nil"/>
              <w:left w:val="nil"/>
              <w:bottom w:val="single" w:sz="4" w:space="0" w:color="auto"/>
              <w:right w:val="single" w:sz="4" w:space="0" w:color="auto"/>
            </w:tcBorders>
            <w:shd w:val="clear" w:color="auto" w:fill="auto"/>
            <w:noWrap/>
            <w:vAlign w:val="center"/>
          </w:tcPr>
          <w:p w14:paraId="5569F73B" w14:textId="57B914A5" w:rsidR="007C4FAC" w:rsidRPr="001E0145" w:rsidRDefault="007C4FAC" w:rsidP="007C4FAC">
            <w:pPr>
              <w:spacing w:after="0"/>
              <w:jc w:val="right"/>
              <w:rPr>
                <w:sz w:val="22"/>
                <w:szCs w:val="22"/>
              </w:rPr>
            </w:pPr>
            <w:r w:rsidRPr="001E0145">
              <w:rPr>
                <w:sz w:val="22"/>
                <w:szCs w:val="22"/>
                <w:lang w:eastAsia="en-US"/>
              </w:rPr>
              <w:t xml:space="preserve">577,9 </w:t>
            </w:r>
          </w:p>
        </w:tc>
        <w:tc>
          <w:tcPr>
            <w:tcW w:w="1200" w:type="dxa"/>
            <w:tcBorders>
              <w:top w:val="nil"/>
              <w:left w:val="nil"/>
              <w:bottom w:val="single" w:sz="4" w:space="0" w:color="auto"/>
              <w:right w:val="single" w:sz="4" w:space="0" w:color="auto"/>
            </w:tcBorders>
            <w:shd w:val="clear" w:color="auto" w:fill="auto"/>
            <w:noWrap/>
            <w:vAlign w:val="center"/>
          </w:tcPr>
          <w:p w14:paraId="5D3E6A79" w14:textId="7259E3D7" w:rsidR="007C4FAC" w:rsidRPr="001E0145" w:rsidRDefault="007C4FAC" w:rsidP="007C4FAC">
            <w:pPr>
              <w:spacing w:after="0"/>
              <w:jc w:val="right"/>
              <w:rPr>
                <w:sz w:val="22"/>
                <w:szCs w:val="22"/>
              </w:rPr>
            </w:pPr>
            <w:r w:rsidRPr="001E0145">
              <w:rPr>
                <w:sz w:val="22"/>
                <w:szCs w:val="22"/>
                <w:lang w:eastAsia="en-US"/>
              </w:rPr>
              <w:t xml:space="preserve">408,1 </w:t>
            </w:r>
          </w:p>
        </w:tc>
        <w:tc>
          <w:tcPr>
            <w:tcW w:w="1134" w:type="dxa"/>
            <w:tcBorders>
              <w:top w:val="nil"/>
              <w:left w:val="nil"/>
              <w:bottom w:val="single" w:sz="4" w:space="0" w:color="auto"/>
              <w:right w:val="single" w:sz="4" w:space="0" w:color="auto"/>
            </w:tcBorders>
            <w:shd w:val="clear" w:color="auto" w:fill="auto"/>
            <w:noWrap/>
            <w:vAlign w:val="center"/>
          </w:tcPr>
          <w:p w14:paraId="3E878E35" w14:textId="7D86B081" w:rsidR="007C4FAC" w:rsidRPr="001E0145" w:rsidRDefault="007C4FAC" w:rsidP="007C4FAC">
            <w:pPr>
              <w:spacing w:after="0"/>
              <w:jc w:val="right"/>
              <w:rPr>
                <w:sz w:val="22"/>
                <w:szCs w:val="22"/>
              </w:rPr>
            </w:pPr>
            <w:r w:rsidRPr="001E0145">
              <w:rPr>
                <w:sz w:val="22"/>
                <w:szCs w:val="22"/>
                <w:lang w:eastAsia="en-US"/>
              </w:rPr>
              <w:t xml:space="preserve">70,6 </w:t>
            </w:r>
          </w:p>
        </w:tc>
        <w:tc>
          <w:tcPr>
            <w:tcW w:w="911" w:type="dxa"/>
            <w:tcBorders>
              <w:top w:val="nil"/>
              <w:left w:val="nil"/>
              <w:bottom w:val="single" w:sz="4" w:space="0" w:color="auto"/>
              <w:right w:val="single" w:sz="4" w:space="0" w:color="auto"/>
            </w:tcBorders>
            <w:shd w:val="clear" w:color="auto" w:fill="auto"/>
            <w:noWrap/>
            <w:vAlign w:val="center"/>
          </w:tcPr>
          <w:p w14:paraId="71675075" w14:textId="332E3961" w:rsidR="007C4FAC" w:rsidRPr="001E0145" w:rsidRDefault="007C4FAC" w:rsidP="007C4FAC">
            <w:pPr>
              <w:spacing w:after="0"/>
              <w:jc w:val="right"/>
              <w:rPr>
                <w:sz w:val="22"/>
                <w:szCs w:val="22"/>
              </w:rPr>
            </w:pPr>
            <w:r w:rsidRPr="001E0145">
              <w:rPr>
                <w:sz w:val="22"/>
                <w:szCs w:val="22"/>
                <w:lang w:eastAsia="en-US"/>
              </w:rPr>
              <w:t xml:space="preserve">76,9 </w:t>
            </w:r>
          </w:p>
        </w:tc>
      </w:tr>
      <w:tr w:rsidR="007C4FAC" w:rsidRPr="001E0145" w14:paraId="30E4B94C" w14:textId="77777777" w:rsidTr="7823C623">
        <w:trPr>
          <w:trHeight w:val="964"/>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A86ACFD" w14:textId="76CDF02F" w:rsidR="007C4FAC" w:rsidRPr="001E0145" w:rsidRDefault="007C4FAC" w:rsidP="007C4FAC">
            <w:pPr>
              <w:spacing w:after="0"/>
              <w:jc w:val="left"/>
              <w:rPr>
                <w:b/>
                <w:bCs/>
                <w:sz w:val="22"/>
                <w:szCs w:val="22"/>
              </w:rPr>
            </w:pPr>
            <w:r w:rsidRPr="001E0145">
              <w:rPr>
                <w:b/>
                <w:bCs/>
                <w:sz w:val="22"/>
                <w:szCs w:val="22"/>
              </w:rPr>
              <w:t>Társadalombiztosítás pénzügyi alapjainak egyenlege</w:t>
            </w:r>
          </w:p>
        </w:tc>
        <w:tc>
          <w:tcPr>
            <w:tcW w:w="1059" w:type="dxa"/>
            <w:tcBorders>
              <w:top w:val="nil"/>
              <w:left w:val="nil"/>
              <w:bottom w:val="single" w:sz="4" w:space="0" w:color="auto"/>
              <w:right w:val="single" w:sz="4" w:space="0" w:color="auto"/>
            </w:tcBorders>
            <w:shd w:val="clear" w:color="auto" w:fill="auto"/>
            <w:noWrap/>
            <w:vAlign w:val="center"/>
          </w:tcPr>
          <w:p w14:paraId="1BA7540F" w14:textId="0F5C031A" w:rsidR="007C4FAC" w:rsidRPr="001E0145" w:rsidRDefault="007C4FAC" w:rsidP="007C4FAC">
            <w:pPr>
              <w:spacing w:after="0"/>
              <w:jc w:val="right"/>
              <w:rPr>
                <w:b/>
                <w:bCs/>
                <w:sz w:val="22"/>
                <w:szCs w:val="22"/>
              </w:rPr>
            </w:pPr>
            <w:r w:rsidRPr="001E0145">
              <w:rPr>
                <w:b/>
                <w:bCs/>
                <w:sz w:val="22"/>
                <w:szCs w:val="22"/>
                <w:lang w:eastAsia="en-US"/>
              </w:rPr>
              <w:t xml:space="preserve">-419,4 </w:t>
            </w:r>
          </w:p>
        </w:tc>
        <w:tc>
          <w:tcPr>
            <w:tcW w:w="1195" w:type="dxa"/>
            <w:tcBorders>
              <w:top w:val="nil"/>
              <w:left w:val="nil"/>
              <w:bottom w:val="single" w:sz="4" w:space="0" w:color="auto"/>
              <w:right w:val="single" w:sz="4" w:space="0" w:color="auto"/>
            </w:tcBorders>
            <w:shd w:val="clear" w:color="auto" w:fill="auto"/>
            <w:noWrap/>
            <w:vAlign w:val="center"/>
          </w:tcPr>
          <w:p w14:paraId="7D507785" w14:textId="57EFAD26" w:rsidR="007C4FAC" w:rsidRPr="001E0145" w:rsidRDefault="007C4FAC" w:rsidP="007C4FAC">
            <w:pPr>
              <w:spacing w:after="0"/>
              <w:jc w:val="right"/>
              <w:rPr>
                <w:b/>
                <w:bCs/>
                <w:sz w:val="22"/>
                <w:szCs w:val="22"/>
              </w:rPr>
            </w:pPr>
            <w:r w:rsidRPr="001E0145">
              <w:rPr>
                <w:b/>
                <w:bCs/>
                <w:sz w:val="22"/>
                <w:szCs w:val="22"/>
                <w:lang w:eastAsia="en-US"/>
              </w:rPr>
              <w:t xml:space="preserve">-265,1 </w:t>
            </w:r>
          </w:p>
        </w:tc>
        <w:tc>
          <w:tcPr>
            <w:tcW w:w="1073" w:type="dxa"/>
            <w:tcBorders>
              <w:top w:val="nil"/>
              <w:left w:val="nil"/>
              <w:bottom w:val="single" w:sz="4" w:space="0" w:color="auto"/>
              <w:right w:val="single" w:sz="4" w:space="0" w:color="auto"/>
            </w:tcBorders>
            <w:shd w:val="clear" w:color="auto" w:fill="auto"/>
            <w:noWrap/>
            <w:vAlign w:val="center"/>
          </w:tcPr>
          <w:p w14:paraId="130632BD" w14:textId="20D26732" w:rsidR="007C4FAC" w:rsidRPr="001E0145" w:rsidRDefault="007C4FAC" w:rsidP="007C4FAC">
            <w:pPr>
              <w:spacing w:after="0"/>
              <w:jc w:val="right"/>
              <w:rPr>
                <w:sz w:val="22"/>
                <w:szCs w:val="22"/>
              </w:rPr>
            </w:pPr>
            <w:r w:rsidRPr="001E0145">
              <w:rPr>
                <w:sz w:val="22"/>
                <w:szCs w:val="22"/>
                <w:lang w:eastAsia="en-US"/>
              </w:rPr>
              <w:t xml:space="preserve">63,2 </w:t>
            </w:r>
          </w:p>
        </w:tc>
        <w:tc>
          <w:tcPr>
            <w:tcW w:w="1129" w:type="dxa"/>
            <w:tcBorders>
              <w:top w:val="nil"/>
              <w:left w:val="nil"/>
              <w:bottom w:val="single" w:sz="4" w:space="0" w:color="auto"/>
              <w:right w:val="single" w:sz="4" w:space="0" w:color="auto"/>
            </w:tcBorders>
            <w:shd w:val="clear" w:color="auto" w:fill="auto"/>
            <w:noWrap/>
            <w:vAlign w:val="center"/>
          </w:tcPr>
          <w:p w14:paraId="6FD5353A" w14:textId="42CD9B37" w:rsidR="007C4FAC" w:rsidRPr="001E0145" w:rsidRDefault="007C4FAC" w:rsidP="007C4FAC">
            <w:pPr>
              <w:spacing w:after="0"/>
              <w:jc w:val="right"/>
              <w:rPr>
                <w:b/>
                <w:bCs/>
                <w:sz w:val="22"/>
                <w:szCs w:val="22"/>
              </w:rPr>
            </w:pPr>
            <w:r w:rsidRPr="001E0145">
              <w:rPr>
                <w:b/>
                <w:bCs/>
                <w:sz w:val="22"/>
                <w:szCs w:val="22"/>
                <w:lang w:eastAsia="en-US"/>
              </w:rPr>
              <w:t xml:space="preserve">-146,8 </w:t>
            </w:r>
          </w:p>
        </w:tc>
        <w:tc>
          <w:tcPr>
            <w:tcW w:w="1200" w:type="dxa"/>
            <w:tcBorders>
              <w:top w:val="nil"/>
              <w:left w:val="nil"/>
              <w:bottom w:val="single" w:sz="4" w:space="0" w:color="auto"/>
              <w:right w:val="single" w:sz="4" w:space="0" w:color="auto"/>
            </w:tcBorders>
            <w:shd w:val="clear" w:color="auto" w:fill="auto"/>
            <w:noWrap/>
            <w:vAlign w:val="center"/>
          </w:tcPr>
          <w:p w14:paraId="6167F797" w14:textId="64C873B5" w:rsidR="007C4FAC" w:rsidRPr="001E0145" w:rsidRDefault="007C4FAC" w:rsidP="007C4FAC">
            <w:pPr>
              <w:spacing w:after="0"/>
              <w:jc w:val="right"/>
              <w:rPr>
                <w:b/>
                <w:bCs/>
                <w:sz w:val="22"/>
                <w:szCs w:val="22"/>
              </w:rPr>
            </w:pPr>
            <w:r w:rsidRPr="001E0145">
              <w:rPr>
                <w:b/>
                <w:bCs/>
                <w:sz w:val="22"/>
                <w:szCs w:val="22"/>
                <w:lang w:eastAsia="en-US"/>
              </w:rPr>
              <w:t xml:space="preserve">-195,7 </w:t>
            </w:r>
          </w:p>
        </w:tc>
        <w:tc>
          <w:tcPr>
            <w:tcW w:w="1134" w:type="dxa"/>
            <w:tcBorders>
              <w:top w:val="nil"/>
              <w:left w:val="nil"/>
              <w:bottom w:val="single" w:sz="4" w:space="0" w:color="auto"/>
              <w:right w:val="single" w:sz="4" w:space="0" w:color="auto"/>
            </w:tcBorders>
            <w:shd w:val="clear" w:color="auto" w:fill="auto"/>
            <w:noWrap/>
            <w:vAlign w:val="center"/>
          </w:tcPr>
          <w:p w14:paraId="6C925011" w14:textId="790BC1B7" w:rsidR="007C4FAC" w:rsidRPr="001E0145" w:rsidRDefault="007C4FAC" w:rsidP="007C4FAC">
            <w:pPr>
              <w:spacing w:after="0"/>
              <w:jc w:val="right"/>
              <w:rPr>
                <w:sz w:val="22"/>
                <w:szCs w:val="22"/>
              </w:rPr>
            </w:pPr>
            <w:r w:rsidRPr="001E0145">
              <w:rPr>
                <w:sz w:val="22"/>
                <w:szCs w:val="22"/>
                <w:lang w:eastAsia="en-US"/>
              </w:rPr>
              <w:t xml:space="preserve">133,3 </w:t>
            </w:r>
          </w:p>
        </w:tc>
        <w:tc>
          <w:tcPr>
            <w:tcW w:w="911" w:type="dxa"/>
            <w:tcBorders>
              <w:top w:val="nil"/>
              <w:left w:val="nil"/>
              <w:bottom w:val="single" w:sz="4" w:space="0" w:color="auto"/>
              <w:right w:val="single" w:sz="4" w:space="0" w:color="auto"/>
            </w:tcBorders>
            <w:shd w:val="clear" w:color="auto" w:fill="auto"/>
            <w:noWrap/>
            <w:vAlign w:val="center"/>
          </w:tcPr>
          <w:p w14:paraId="441691D0" w14:textId="531376F3" w:rsidR="007C4FAC" w:rsidRPr="001E0145" w:rsidRDefault="007C4FAC" w:rsidP="007C4FAC">
            <w:pPr>
              <w:spacing w:after="0"/>
              <w:jc w:val="right"/>
              <w:rPr>
                <w:sz w:val="22"/>
                <w:szCs w:val="22"/>
              </w:rPr>
            </w:pPr>
            <w:r w:rsidRPr="001E0145">
              <w:rPr>
                <w:sz w:val="22"/>
                <w:szCs w:val="22"/>
                <w:lang w:eastAsia="en-US"/>
              </w:rPr>
              <w:t xml:space="preserve">73,8 </w:t>
            </w:r>
          </w:p>
        </w:tc>
      </w:tr>
      <w:tr w:rsidR="007C4FAC" w:rsidRPr="001E0145" w14:paraId="24D38D01" w14:textId="77777777" w:rsidTr="7823C623">
        <w:trPr>
          <w:trHeight w:val="300"/>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1A55F31" w14:textId="77777777" w:rsidR="007C4FAC" w:rsidRPr="001E0145" w:rsidRDefault="007C4FAC" w:rsidP="007C4FAC">
            <w:pPr>
              <w:spacing w:after="0"/>
              <w:jc w:val="right"/>
              <w:rPr>
                <w:sz w:val="22"/>
                <w:szCs w:val="22"/>
              </w:rPr>
            </w:pPr>
            <w:r w:rsidRPr="001E0145">
              <w:rPr>
                <w:sz w:val="22"/>
                <w:szCs w:val="22"/>
              </w:rPr>
              <w:t>bevétel:</w:t>
            </w:r>
          </w:p>
        </w:tc>
        <w:tc>
          <w:tcPr>
            <w:tcW w:w="1059" w:type="dxa"/>
            <w:tcBorders>
              <w:top w:val="nil"/>
              <w:left w:val="nil"/>
              <w:bottom w:val="single" w:sz="4" w:space="0" w:color="auto"/>
              <w:right w:val="single" w:sz="4" w:space="0" w:color="auto"/>
            </w:tcBorders>
            <w:shd w:val="clear" w:color="auto" w:fill="auto"/>
            <w:noWrap/>
            <w:vAlign w:val="center"/>
          </w:tcPr>
          <w:p w14:paraId="5041B8AF" w14:textId="2CC730A7" w:rsidR="007C4FAC" w:rsidRPr="001E0145" w:rsidRDefault="007C4FAC" w:rsidP="007C4FAC">
            <w:pPr>
              <w:spacing w:after="0"/>
              <w:jc w:val="right"/>
              <w:rPr>
                <w:sz w:val="22"/>
                <w:szCs w:val="22"/>
              </w:rPr>
            </w:pPr>
            <w:r w:rsidRPr="001E0145">
              <w:rPr>
                <w:sz w:val="22"/>
                <w:szCs w:val="22"/>
                <w:lang w:eastAsia="en-US"/>
              </w:rPr>
              <w:t xml:space="preserve">6 952,9 </w:t>
            </w:r>
          </w:p>
        </w:tc>
        <w:tc>
          <w:tcPr>
            <w:tcW w:w="1195" w:type="dxa"/>
            <w:tcBorders>
              <w:top w:val="nil"/>
              <w:left w:val="nil"/>
              <w:bottom w:val="single" w:sz="4" w:space="0" w:color="auto"/>
              <w:right w:val="single" w:sz="4" w:space="0" w:color="auto"/>
            </w:tcBorders>
            <w:shd w:val="clear" w:color="auto" w:fill="auto"/>
            <w:noWrap/>
            <w:vAlign w:val="center"/>
          </w:tcPr>
          <w:p w14:paraId="04570245" w14:textId="70A2517A" w:rsidR="007C4FAC" w:rsidRPr="001E0145" w:rsidRDefault="007C4FAC" w:rsidP="007C4FAC">
            <w:pPr>
              <w:spacing w:after="0"/>
              <w:jc w:val="right"/>
              <w:rPr>
                <w:sz w:val="22"/>
                <w:szCs w:val="22"/>
              </w:rPr>
            </w:pPr>
            <w:r w:rsidRPr="001E0145">
              <w:rPr>
                <w:sz w:val="22"/>
                <w:szCs w:val="22"/>
                <w:lang w:eastAsia="en-US"/>
              </w:rPr>
              <w:t xml:space="preserve">5 583,3 </w:t>
            </w:r>
          </w:p>
        </w:tc>
        <w:tc>
          <w:tcPr>
            <w:tcW w:w="1073" w:type="dxa"/>
            <w:tcBorders>
              <w:top w:val="nil"/>
              <w:left w:val="nil"/>
              <w:bottom w:val="single" w:sz="4" w:space="0" w:color="auto"/>
              <w:right w:val="single" w:sz="4" w:space="0" w:color="auto"/>
            </w:tcBorders>
            <w:shd w:val="clear" w:color="auto" w:fill="auto"/>
            <w:noWrap/>
            <w:vAlign w:val="center"/>
          </w:tcPr>
          <w:p w14:paraId="18FECBBD" w14:textId="1E1CBB38" w:rsidR="007C4FAC" w:rsidRPr="001E0145" w:rsidRDefault="007C4FAC" w:rsidP="007C4FAC">
            <w:pPr>
              <w:spacing w:after="0"/>
              <w:jc w:val="right"/>
              <w:rPr>
                <w:sz w:val="22"/>
                <w:szCs w:val="22"/>
              </w:rPr>
            </w:pPr>
            <w:r w:rsidRPr="001E0145">
              <w:rPr>
                <w:sz w:val="22"/>
                <w:szCs w:val="22"/>
                <w:lang w:eastAsia="en-US"/>
              </w:rPr>
              <w:t xml:space="preserve">80,3 </w:t>
            </w:r>
          </w:p>
        </w:tc>
        <w:tc>
          <w:tcPr>
            <w:tcW w:w="1129" w:type="dxa"/>
            <w:tcBorders>
              <w:top w:val="nil"/>
              <w:left w:val="nil"/>
              <w:bottom w:val="single" w:sz="4" w:space="0" w:color="auto"/>
              <w:right w:val="single" w:sz="4" w:space="0" w:color="auto"/>
            </w:tcBorders>
            <w:shd w:val="clear" w:color="auto" w:fill="auto"/>
            <w:noWrap/>
            <w:vAlign w:val="center"/>
          </w:tcPr>
          <w:p w14:paraId="01DACDC2" w14:textId="4F471D99" w:rsidR="007C4FAC" w:rsidRPr="001E0145" w:rsidRDefault="007C4FAC" w:rsidP="007C4FAC">
            <w:pPr>
              <w:spacing w:after="0"/>
              <w:jc w:val="right"/>
              <w:rPr>
                <w:sz w:val="22"/>
                <w:szCs w:val="22"/>
              </w:rPr>
            </w:pPr>
            <w:r w:rsidRPr="001E0145">
              <w:rPr>
                <w:sz w:val="22"/>
                <w:szCs w:val="22"/>
                <w:lang w:eastAsia="en-US"/>
              </w:rPr>
              <w:t xml:space="preserve">7 623,7 </w:t>
            </w:r>
          </w:p>
        </w:tc>
        <w:tc>
          <w:tcPr>
            <w:tcW w:w="1200" w:type="dxa"/>
            <w:tcBorders>
              <w:top w:val="nil"/>
              <w:left w:val="nil"/>
              <w:bottom w:val="single" w:sz="4" w:space="0" w:color="auto"/>
              <w:right w:val="single" w:sz="4" w:space="0" w:color="auto"/>
            </w:tcBorders>
            <w:shd w:val="clear" w:color="auto" w:fill="auto"/>
            <w:noWrap/>
            <w:vAlign w:val="center"/>
          </w:tcPr>
          <w:p w14:paraId="42143284" w14:textId="764750A5" w:rsidR="007C4FAC" w:rsidRPr="001E0145" w:rsidRDefault="007C4FAC" w:rsidP="007C4FAC">
            <w:pPr>
              <w:spacing w:after="0"/>
              <w:jc w:val="right"/>
              <w:rPr>
                <w:sz w:val="22"/>
                <w:szCs w:val="22"/>
              </w:rPr>
            </w:pPr>
            <w:r w:rsidRPr="001E0145">
              <w:rPr>
                <w:sz w:val="22"/>
                <w:szCs w:val="22"/>
                <w:lang w:eastAsia="en-US"/>
              </w:rPr>
              <w:t xml:space="preserve">6 727,9 </w:t>
            </w:r>
          </w:p>
        </w:tc>
        <w:tc>
          <w:tcPr>
            <w:tcW w:w="1134" w:type="dxa"/>
            <w:tcBorders>
              <w:top w:val="nil"/>
              <w:left w:val="nil"/>
              <w:bottom w:val="single" w:sz="4" w:space="0" w:color="auto"/>
              <w:right w:val="single" w:sz="4" w:space="0" w:color="auto"/>
            </w:tcBorders>
            <w:shd w:val="clear" w:color="auto" w:fill="auto"/>
            <w:noWrap/>
            <w:vAlign w:val="center"/>
          </w:tcPr>
          <w:p w14:paraId="1BE2BDC9" w14:textId="28EDB085" w:rsidR="007C4FAC" w:rsidRPr="001E0145" w:rsidRDefault="007C4FAC" w:rsidP="007C4FAC">
            <w:pPr>
              <w:spacing w:after="0"/>
              <w:jc w:val="right"/>
              <w:rPr>
                <w:sz w:val="22"/>
                <w:szCs w:val="22"/>
              </w:rPr>
            </w:pPr>
            <w:r w:rsidRPr="001E0145">
              <w:rPr>
                <w:sz w:val="22"/>
                <w:szCs w:val="22"/>
                <w:lang w:eastAsia="en-US"/>
              </w:rPr>
              <w:t xml:space="preserve">88,2 </w:t>
            </w:r>
          </w:p>
        </w:tc>
        <w:tc>
          <w:tcPr>
            <w:tcW w:w="911" w:type="dxa"/>
            <w:tcBorders>
              <w:top w:val="nil"/>
              <w:left w:val="nil"/>
              <w:bottom w:val="single" w:sz="4" w:space="0" w:color="auto"/>
              <w:right w:val="single" w:sz="4" w:space="0" w:color="auto"/>
            </w:tcBorders>
            <w:shd w:val="clear" w:color="auto" w:fill="auto"/>
            <w:noWrap/>
            <w:vAlign w:val="center"/>
          </w:tcPr>
          <w:p w14:paraId="64978B9A" w14:textId="4199AB6B" w:rsidR="007C4FAC" w:rsidRPr="001E0145" w:rsidRDefault="007C4FAC" w:rsidP="007C4FAC">
            <w:pPr>
              <w:spacing w:after="0"/>
              <w:jc w:val="right"/>
              <w:rPr>
                <w:sz w:val="22"/>
                <w:szCs w:val="22"/>
              </w:rPr>
            </w:pPr>
            <w:r w:rsidRPr="001E0145">
              <w:rPr>
                <w:sz w:val="22"/>
                <w:szCs w:val="22"/>
                <w:lang w:eastAsia="en-US"/>
              </w:rPr>
              <w:t xml:space="preserve">120,5 </w:t>
            </w:r>
          </w:p>
        </w:tc>
      </w:tr>
      <w:tr w:rsidR="007C4FAC" w:rsidRPr="001E0145" w14:paraId="718BFEFC" w14:textId="77777777" w:rsidTr="7823C623">
        <w:trPr>
          <w:trHeight w:val="300"/>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2D53514" w14:textId="77777777" w:rsidR="007C4FAC" w:rsidRPr="001E0145" w:rsidRDefault="007C4FAC" w:rsidP="007C4FAC">
            <w:pPr>
              <w:spacing w:after="0"/>
              <w:jc w:val="right"/>
              <w:rPr>
                <w:sz w:val="22"/>
                <w:szCs w:val="22"/>
              </w:rPr>
            </w:pPr>
            <w:r w:rsidRPr="001E0145">
              <w:rPr>
                <w:sz w:val="22"/>
                <w:szCs w:val="22"/>
              </w:rPr>
              <w:t>kiadás:</w:t>
            </w:r>
          </w:p>
        </w:tc>
        <w:tc>
          <w:tcPr>
            <w:tcW w:w="1059" w:type="dxa"/>
            <w:tcBorders>
              <w:top w:val="nil"/>
              <w:left w:val="nil"/>
              <w:bottom w:val="single" w:sz="4" w:space="0" w:color="auto"/>
              <w:right w:val="single" w:sz="4" w:space="0" w:color="auto"/>
            </w:tcBorders>
            <w:shd w:val="clear" w:color="auto" w:fill="auto"/>
            <w:noWrap/>
            <w:vAlign w:val="center"/>
          </w:tcPr>
          <w:p w14:paraId="286238AD" w14:textId="3F51FE30" w:rsidR="007C4FAC" w:rsidRPr="001E0145" w:rsidRDefault="007C4FAC" w:rsidP="007C4FAC">
            <w:pPr>
              <w:spacing w:after="0"/>
              <w:jc w:val="right"/>
              <w:rPr>
                <w:sz w:val="22"/>
                <w:szCs w:val="22"/>
              </w:rPr>
            </w:pPr>
            <w:r w:rsidRPr="001E0145">
              <w:rPr>
                <w:sz w:val="22"/>
                <w:szCs w:val="22"/>
                <w:lang w:eastAsia="en-US"/>
              </w:rPr>
              <w:t xml:space="preserve">7 372,3 </w:t>
            </w:r>
          </w:p>
        </w:tc>
        <w:tc>
          <w:tcPr>
            <w:tcW w:w="1195" w:type="dxa"/>
            <w:tcBorders>
              <w:top w:val="nil"/>
              <w:left w:val="nil"/>
              <w:bottom w:val="single" w:sz="4" w:space="0" w:color="auto"/>
              <w:right w:val="single" w:sz="4" w:space="0" w:color="auto"/>
            </w:tcBorders>
            <w:shd w:val="clear" w:color="auto" w:fill="auto"/>
            <w:noWrap/>
            <w:vAlign w:val="center"/>
          </w:tcPr>
          <w:p w14:paraId="5B251AB7" w14:textId="47915ADE" w:rsidR="007C4FAC" w:rsidRPr="001E0145" w:rsidRDefault="007C4FAC" w:rsidP="007C4FAC">
            <w:pPr>
              <w:spacing w:after="0"/>
              <w:jc w:val="right"/>
              <w:rPr>
                <w:sz w:val="22"/>
                <w:szCs w:val="22"/>
              </w:rPr>
            </w:pPr>
            <w:r w:rsidRPr="001E0145">
              <w:rPr>
                <w:sz w:val="22"/>
                <w:szCs w:val="22"/>
                <w:lang w:eastAsia="en-US"/>
              </w:rPr>
              <w:t xml:space="preserve">5 848,3 </w:t>
            </w:r>
          </w:p>
        </w:tc>
        <w:tc>
          <w:tcPr>
            <w:tcW w:w="1073" w:type="dxa"/>
            <w:tcBorders>
              <w:top w:val="nil"/>
              <w:left w:val="nil"/>
              <w:bottom w:val="single" w:sz="4" w:space="0" w:color="auto"/>
              <w:right w:val="single" w:sz="4" w:space="0" w:color="auto"/>
            </w:tcBorders>
            <w:shd w:val="clear" w:color="auto" w:fill="auto"/>
            <w:noWrap/>
            <w:vAlign w:val="center"/>
          </w:tcPr>
          <w:p w14:paraId="397EBE77" w14:textId="2E57D1EA" w:rsidR="007C4FAC" w:rsidRPr="001E0145" w:rsidRDefault="007C4FAC" w:rsidP="007C4FAC">
            <w:pPr>
              <w:spacing w:after="0"/>
              <w:jc w:val="right"/>
              <w:rPr>
                <w:sz w:val="22"/>
                <w:szCs w:val="22"/>
              </w:rPr>
            </w:pPr>
            <w:r w:rsidRPr="001E0145">
              <w:rPr>
                <w:sz w:val="22"/>
                <w:szCs w:val="22"/>
                <w:lang w:eastAsia="en-US"/>
              </w:rPr>
              <w:t xml:space="preserve">79,3 </w:t>
            </w:r>
          </w:p>
        </w:tc>
        <w:tc>
          <w:tcPr>
            <w:tcW w:w="1129" w:type="dxa"/>
            <w:tcBorders>
              <w:top w:val="nil"/>
              <w:left w:val="nil"/>
              <w:bottom w:val="single" w:sz="4" w:space="0" w:color="auto"/>
              <w:right w:val="single" w:sz="4" w:space="0" w:color="auto"/>
            </w:tcBorders>
            <w:shd w:val="clear" w:color="auto" w:fill="auto"/>
            <w:noWrap/>
            <w:vAlign w:val="center"/>
          </w:tcPr>
          <w:p w14:paraId="4E5DA8DB" w14:textId="7A1CBA9F" w:rsidR="007C4FAC" w:rsidRPr="001E0145" w:rsidRDefault="007C4FAC" w:rsidP="007C4FAC">
            <w:pPr>
              <w:spacing w:after="0"/>
              <w:jc w:val="right"/>
              <w:rPr>
                <w:sz w:val="22"/>
                <w:szCs w:val="22"/>
              </w:rPr>
            </w:pPr>
            <w:r w:rsidRPr="001E0145">
              <w:rPr>
                <w:sz w:val="22"/>
                <w:szCs w:val="22"/>
                <w:lang w:eastAsia="en-US"/>
              </w:rPr>
              <w:t xml:space="preserve">7 770,5 </w:t>
            </w:r>
          </w:p>
        </w:tc>
        <w:tc>
          <w:tcPr>
            <w:tcW w:w="1200" w:type="dxa"/>
            <w:tcBorders>
              <w:top w:val="nil"/>
              <w:left w:val="nil"/>
              <w:bottom w:val="single" w:sz="4" w:space="0" w:color="auto"/>
              <w:right w:val="single" w:sz="4" w:space="0" w:color="auto"/>
            </w:tcBorders>
            <w:shd w:val="clear" w:color="auto" w:fill="auto"/>
            <w:noWrap/>
            <w:vAlign w:val="center"/>
          </w:tcPr>
          <w:p w14:paraId="7A23BA4A" w14:textId="3B3063F1" w:rsidR="007C4FAC" w:rsidRPr="001E0145" w:rsidRDefault="007C4FAC" w:rsidP="007C4FAC">
            <w:pPr>
              <w:spacing w:after="0"/>
              <w:jc w:val="right"/>
              <w:rPr>
                <w:sz w:val="22"/>
                <w:szCs w:val="22"/>
              </w:rPr>
            </w:pPr>
            <w:r w:rsidRPr="001E0145">
              <w:rPr>
                <w:sz w:val="22"/>
                <w:szCs w:val="22"/>
                <w:lang w:eastAsia="en-US"/>
              </w:rPr>
              <w:t xml:space="preserve">6 923,6 </w:t>
            </w:r>
          </w:p>
        </w:tc>
        <w:tc>
          <w:tcPr>
            <w:tcW w:w="1134" w:type="dxa"/>
            <w:tcBorders>
              <w:top w:val="nil"/>
              <w:left w:val="nil"/>
              <w:bottom w:val="single" w:sz="4" w:space="0" w:color="auto"/>
              <w:right w:val="single" w:sz="4" w:space="0" w:color="auto"/>
            </w:tcBorders>
            <w:shd w:val="clear" w:color="auto" w:fill="auto"/>
            <w:noWrap/>
            <w:vAlign w:val="center"/>
          </w:tcPr>
          <w:p w14:paraId="47AE95D4" w14:textId="4A76E9E5" w:rsidR="007C4FAC" w:rsidRPr="001E0145" w:rsidRDefault="007C4FAC" w:rsidP="007C4FAC">
            <w:pPr>
              <w:spacing w:after="0"/>
              <w:jc w:val="right"/>
              <w:rPr>
                <w:sz w:val="22"/>
                <w:szCs w:val="22"/>
              </w:rPr>
            </w:pPr>
            <w:r w:rsidRPr="001E0145">
              <w:rPr>
                <w:sz w:val="22"/>
                <w:szCs w:val="22"/>
                <w:lang w:eastAsia="en-US"/>
              </w:rPr>
              <w:t xml:space="preserve">89,1 </w:t>
            </w:r>
          </w:p>
        </w:tc>
        <w:tc>
          <w:tcPr>
            <w:tcW w:w="911" w:type="dxa"/>
            <w:tcBorders>
              <w:top w:val="nil"/>
              <w:left w:val="nil"/>
              <w:bottom w:val="single" w:sz="4" w:space="0" w:color="auto"/>
              <w:right w:val="single" w:sz="4" w:space="0" w:color="auto"/>
            </w:tcBorders>
            <w:shd w:val="clear" w:color="auto" w:fill="auto"/>
            <w:noWrap/>
            <w:vAlign w:val="center"/>
          </w:tcPr>
          <w:p w14:paraId="0FB6C40E" w14:textId="4EF7CBC2" w:rsidR="007C4FAC" w:rsidRPr="001E0145" w:rsidRDefault="007C4FAC" w:rsidP="007C4FAC">
            <w:pPr>
              <w:spacing w:after="0"/>
              <w:jc w:val="right"/>
              <w:rPr>
                <w:sz w:val="22"/>
                <w:szCs w:val="22"/>
              </w:rPr>
            </w:pPr>
            <w:r w:rsidRPr="001E0145">
              <w:rPr>
                <w:sz w:val="22"/>
                <w:szCs w:val="22"/>
                <w:lang w:eastAsia="en-US"/>
              </w:rPr>
              <w:t xml:space="preserve">118,4 </w:t>
            </w:r>
          </w:p>
        </w:tc>
      </w:tr>
      <w:tr w:rsidR="007C4FAC" w:rsidRPr="001E0145" w14:paraId="1C0801EE" w14:textId="77777777" w:rsidTr="7823C623">
        <w:trPr>
          <w:trHeight w:val="964"/>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2C208B4" w14:textId="77777777" w:rsidR="007C4FAC" w:rsidRPr="001E0145" w:rsidRDefault="007C4FAC" w:rsidP="007C4FAC">
            <w:pPr>
              <w:spacing w:after="0"/>
              <w:jc w:val="left"/>
              <w:rPr>
                <w:b/>
                <w:bCs/>
                <w:sz w:val="22"/>
                <w:szCs w:val="22"/>
              </w:rPr>
            </w:pPr>
            <w:r w:rsidRPr="001E0145">
              <w:rPr>
                <w:b/>
                <w:bCs/>
                <w:sz w:val="22"/>
                <w:szCs w:val="22"/>
              </w:rPr>
              <w:t>Egyenleg összesen</w:t>
            </w:r>
          </w:p>
        </w:tc>
        <w:tc>
          <w:tcPr>
            <w:tcW w:w="1059" w:type="dxa"/>
            <w:tcBorders>
              <w:top w:val="nil"/>
              <w:left w:val="nil"/>
              <w:bottom w:val="single" w:sz="4" w:space="0" w:color="auto"/>
              <w:right w:val="single" w:sz="4" w:space="0" w:color="auto"/>
            </w:tcBorders>
            <w:shd w:val="clear" w:color="auto" w:fill="auto"/>
            <w:noWrap/>
            <w:vAlign w:val="center"/>
          </w:tcPr>
          <w:p w14:paraId="08D49E50" w14:textId="1350BBF4" w:rsidR="007C4FAC" w:rsidRPr="001E0145" w:rsidRDefault="007C4FAC" w:rsidP="007C4FAC">
            <w:pPr>
              <w:spacing w:after="0"/>
              <w:jc w:val="right"/>
              <w:rPr>
                <w:b/>
                <w:bCs/>
                <w:sz w:val="22"/>
                <w:szCs w:val="22"/>
              </w:rPr>
            </w:pPr>
            <w:r w:rsidRPr="001E0145">
              <w:rPr>
                <w:b/>
                <w:bCs/>
                <w:sz w:val="22"/>
                <w:szCs w:val="22"/>
                <w:lang w:eastAsia="en-US"/>
              </w:rPr>
              <w:t xml:space="preserve">-5 101,5 </w:t>
            </w:r>
          </w:p>
        </w:tc>
        <w:tc>
          <w:tcPr>
            <w:tcW w:w="1195" w:type="dxa"/>
            <w:tcBorders>
              <w:top w:val="nil"/>
              <w:left w:val="nil"/>
              <w:bottom w:val="single" w:sz="4" w:space="0" w:color="auto"/>
              <w:right w:val="single" w:sz="4" w:space="0" w:color="auto"/>
            </w:tcBorders>
            <w:shd w:val="clear" w:color="auto" w:fill="auto"/>
            <w:noWrap/>
            <w:vAlign w:val="center"/>
          </w:tcPr>
          <w:p w14:paraId="5FCA0A06" w14:textId="1B473764" w:rsidR="007C4FAC" w:rsidRPr="001E0145" w:rsidRDefault="007C4FAC" w:rsidP="007C4FAC">
            <w:pPr>
              <w:spacing w:after="0"/>
              <w:jc w:val="right"/>
              <w:rPr>
                <w:b/>
                <w:bCs/>
                <w:sz w:val="22"/>
                <w:szCs w:val="22"/>
              </w:rPr>
            </w:pPr>
            <w:r w:rsidRPr="001E0145">
              <w:rPr>
                <w:b/>
                <w:bCs/>
                <w:sz w:val="22"/>
                <w:szCs w:val="22"/>
                <w:lang w:eastAsia="en-US"/>
              </w:rPr>
              <w:t xml:space="preserve">-2 922,2 </w:t>
            </w:r>
          </w:p>
        </w:tc>
        <w:tc>
          <w:tcPr>
            <w:tcW w:w="1073" w:type="dxa"/>
            <w:tcBorders>
              <w:top w:val="nil"/>
              <w:left w:val="nil"/>
              <w:bottom w:val="single" w:sz="4" w:space="0" w:color="auto"/>
              <w:right w:val="single" w:sz="4" w:space="0" w:color="auto"/>
            </w:tcBorders>
            <w:shd w:val="clear" w:color="auto" w:fill="auto"/>
            <w:noWrap/>
            <w:vAlign w:val="center"/>
          </w:tcPr>
          <w:p w14:paraId="64EF7366" w14:textId="1624B034" w:rsidR="007C4FAC" w:rsidRPr="001E0145" w:rsidRDefault="007C4FAC" w:rsidP="007C4FAC">
            <w:pPr>
              <w:spacing w:after="0"/>
              <w:jc w:val="right"/>
              <w:rPr>
                <w:sz w:val="22"/>
                <w:szCs w:val="22"/>
              </w:rPr>
            </w:pPr>
            <w:r w:rsidRPr="001E0145">
              <w:rPr>
                <w:sz w:val="22"/>
                <w:szCs w:val="22"/>
                <w:lang w:eastAsia="en-US"/>
              </w:rPr>
              <w:t xml:space="preserve">57,3 </w:t>
            </w:r>
          </w:p>
        </w:tc>
        <w:tc>
          <w:tcPr>
            <w:tcW w:w="1129" w:type="dxa"/>
            <w:tcBorders>
              <w:top w:val="nil"/>
              <w:left w:val="nil"/>
              <w:bottom w:val="single" w:sz="4" w:space="0" w:color="auto"/>
              <w:right w:val="single" w:sz="4" w:space="0" w:color="auto"/>
            </w:tcBorders>
            <w:shd w:val="clear" w:color="auto" w:fill="auto"/>
            <w:noWrap/>
            <w:vAlign w:val="center"/>
          </w:tcPr>
          <w:p w14:paraId="512B0D7C" w14:textId="18886933" w:rsidR="007C4FAC" w:rsidRPr="001E0145" w:rsidRDefault="007C4FAC" w:rsidP="007C4FAC">
            <w:pPr>
              <w:spacing w:after="0"/>
              <w:jc w:val="right"/>
              <w:rPr>
                <w:b/>
                <w:bCs/>
                <w:sz w:val="22"/>
                <w:szCs w:val="22"/>
              </w:rPr>
            </w:pPr>
            <w:r w:rsidRPr="001E0145">
              <w:rPr>
                <w:b/>
                <w:bCs/>
                <w:sz w:val="22"/>
                <w:szCs w:val="22"/>
                <w:lang w:eastAsia="en-US"/>
              </w:rPr>
              <w:t xml:space="preserve">-3 152,7 </w:t>
            </w:r>
          </w:p>
        </w:tc>
        <w:tc>
          <w:tcPr>
            <w:tcW w:w="1200" w:type="dxa"/>
            <w:tcBorders>
              <w:top w:val="nil"/>
              <w:left w:val="nil"/>
              <w:bottom w:val="single" w:sz="4" w:space="0" w:color="auto"/>
              <w:right w:val="single" w:sz="4" w:space="0" w:color="auto"/>
            </w:tcBorders>
            <w:shd w:val="clear" w:color="auto" w:fill="auto"/>
            <w:noWrap/>
            <w:vAlign w:val="center"/>
          </w:tcPr>
          <w:p w14:paraId="7BB12A6E" w14:textId="443886BE" w:rsidR="007C4FAC" w:rsidRPr="001E0145" w:rsidRDefault="007C4FAC" w:rsidP="007C4FAC">
            <w:pPr>
              <w:spacing w:after="0"/>
              <w:jc w:val="right"/>
              <w:rPr>
                <w:b/>
                <w:bCs/>
                <w:sz w:val="22"/>
                <w:szCs w:val="22"/>
              </w:rPr>
            </w:pPr>
            <w:r w:rsidRPr="001E0145">
              <w:rPr>
                <w:b/>
                <w:bCs/>
                <w:sz w:val="22"/>
                <w:szCs w:val="22"/>
                <w:lang w:eastAsia="en-US"/>
              </w:rPr>
              <w:t xml:space="preserve">-2 590,4 </w:t>
            </w:r>
          </w:p>
        </w:tc>
        <w:tc>
          <w:tcPr>
            <w:tcW w:w="1134" w:type="dxa"/>
            <w:tcBorders>
              <w:top w:val="nil"/>
              <w:left w:val="nil"/>
              <w:bottom w:val="single" w:sz="4" w:space="0" w:color="auto"/>
              <w:right w:val="single" w:sz="4" w:space="0" w:color="auto"/>
            </w:tcBorders>
            <w:shd w:val="clear" w:color="auto" w:fill="auto"/>
            <w:noWrap/>
            <w:vAlign w:val="center"/>
          </w:tcPr>
          <w:p w14:paraId="56B5BCBD" w14:textId="47961039" w:rsidR="007C4FAC" w:rsidRPr="001E0145" w:rsidRDefault="007C4FAC" w:rsidP="007C4FAC">
            <w:pPr>
              <w:spacing w:after="0"/>
              <w:jc w:val="right"/>
              <w:rPr>
                <w:sz w:val="22"/>
                <w:szCs w:val="22"/>
              </w:rPr>
            </w:pPr>
            <w:r w:rsidRPr="001E0145">
              <w:rPr>
                <w:sz w:val="22"/>
                <w:szCs w:val="22"/>
                <w:lang w:eastAsia="en-US"/>
              </w:rPr>
              <w:t xml:space="preserve">82,2 </w:t>
            </w:r>
          </w:p>
        </w:tc>
        <w:tc>
          <w:tcPr>
            <w:tcW w:w="911" w:type="dxa"/>
            <w:tcBorders>
              <w:top w:val="nil"/>
              <w:left w:val="nil"/>
              <w:bottom w:val="single" w:sz="4" w:space="0" w:color="auto"/>
              <w:right w:val="single" w:sz="4" w:space="0" w:color="auto"/>
            </w:tcBorders>
            <w:shd w:val="clear" w:color="auto" w:fill="auto"/>
            <w:noWrap/>
            <w:vAlign w:val="center"/>
          </w:tcPr>
          <w:p w14:paraId="15168564" w14:textId="62F93572" w:rsidR="007C4FAC" w:rsidRPr="001E0145" w:rsidRDefault="007C4FAC" w:rsidP="007C4FAC">
            <w:pPr>
              <w:spacing w:after="0"/>
              <w:jc w:val="right"/>
              <w:rPr>
                <w:sz w:val="22"/>
                <w:szCs w:val="22"/>
              </w:rPr>
            </w:pPr>
            <w:r w:rsidRPr="001E0145">
              <w:rPr>
                <w:sz w:val="22"/>
                <w:szCs w:val="22"/>
                <w:lang w:eastAsia="en-US"/>
              </w:rPr>
              <w:t xml:space="preserve">88,6 </w:t>
            </w:r>
          </w:p>
        </w:tc>
      </w:tr>
      <w:tr w:rsidR="007C4FAC" w:rsidRPr="001E0145" w14:paraId="3D085499" w14:textId="77777777" w:rsidTr="7823C623">
        <w:trPr>
          <w:trHeight w:val="300"/>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A3ECE91" w14:textId="77777777" w:rsidR="007C4FAC" w:rsidRPr="001E0145" w:rsidRDefault="007C4FAC" w:rsidP="007C4FAC">
            <w:pPr>
              <w:spacing w:after="0"/>
              <w:jc w:val="right"/>
              <w:rPr>
                <w:sz w:val="22"/>
                <w:szCs w:val="22"/>
              </w:rPr>
            </w:pPr>
            <w:r w:rsidRPr="001E0145">
              <w:rPr>
                <w:sz w:val="22"/>
                <w:szCs w:val="22"/>
              </w:rPr>
              <w:t>bevétel:</w:t>
            </w:r>
          </w:p>
        </w:tc>
        <w:tc>
          <w:tcPr>
            <w:tcW w:w="1059" w:type="dxa"/>
            <w:tcBorders>
              <w:top w:val="nil"/>
              <w:left w:val="nil"/>
              <w:bottom w:val="single" w:sz="4" w:space="0" w:color="auto"/>
              <w:right w:val="single" w:sz="4" w:space="0" w:color="auto"/>
            </w:tcBorders>
            <w:shd w:val="clear" w:color="auto" w:fill="auto"/>
            <w:noWrap/>
            <w:vAlign w:val="center"/>
          </w:tcPr>
          <w:p w14:paraId="568778FA" w14:textId="0D842EFC" w:rsidR="007C4FAC" w:rsidRPr="001E0145" w:rsidRDefault="007C4FAC" w:rsidP="007C4FAC">
            <w:pPr>
              <w:spacing w:after="0"/>
              <w:jc w:val="right"/>
              <w:rPr>
                <w:sz w:val="22"/>
                <w:szCs w:val="22"/>
              </w:rPr>
            </w:pPr>
            <w:r w:rsidRPr="001E0145">
              <w:rPr>
                <w:sz w:val="22"/>
                <w:szCs w:val="22"/>
                <w:lang w:eastAsia="en-US"/>
              </w:rPr>
              <w:t xml:space="preserve">24 994,4 </w:t>
            </w:r>
          </w:p>
        </w:tc>
        <w:tc>
          <w:tcPr>
            <w:tcW w:w="1195" w:type="dxa"/>
            <w:tcBorders>
              <w:top w:val="nil"/>
              <w:left w:val="nil"/>
              <w:bottom w:val="single" w:sz="4" w:space="0" w:color="auto"/>
              <w:right w:val="single" w:sz="4" w:space="0" w:color="auto"/>
            </w:tcBorders>
            <w:shd w:val="clear" w:color="auto" w:fill="auto"/>
            <w:noWrap/>
            <w:vAlign w:val="center"/>
          </w:tcPr>
          <w:p w14:paraId="2638E2AB" w14:textId="230B217C" w:rsidR="007C4FAC" w:rsidRPr="001E0145" w:rsidRDefault="007C4FAC" w:rsidP="007C4FAC">
            <w:pPr>
              <w:spacing w:after="0"/>
              <w:jc w:val="right"/>
              <w:rPr>
                <w:sz w:val="22"/>
                <w:szCs w:val="22"/>
              </w:rPr>
            </w:pPr>
            <w:r w:rsidRPr="001E0145">
              <w:rPr>
                <w:sz w:val="22"/>
                <w:szCs w:val="22"/>
                <w:lang w:eastAsia="en-US"/>
              </w:rPr>
              <w:t xml:space="preserve">19 977,7 </w:t>
            </w:r>
          </w:p>
        </w:tc>
        <w:tc>
          <w:tcPr>
            <w:tcW w:w="1073" w:type="dxa"/>
            <w:tcBorders>
              <w:top w:val="nil"/>
              <w:left w:val="nil"/>
              <w:bottom w:val="single" w:sz="4" w:space="0" w:color="auto"/>
              <w:right w:val="single" w:sz="4" w:space="0" w:color="auto"/>
            </w:tcBorders>
            <w:shd w:val="clear" w:color="auto" w:fill="auto"/>
            <w:noWrap/>
            <w:vAlign w:val="center"/>
          </w:tcPr>
          <w:p w14:paraId="6F5C7769" w14:textId="7D1064C4" w:rsidR="007C4FAC" w:rsidRPr="001E0145" w:rsidRDefault="007C4FAC" w:rsidP="007C4FAC">
            <w:pPr>
              <w:spacing w:after="0"/>
              <w:jc w:val="right"/>
              <w:rPr>
                <w:sz w:val="22"/>
                <w:szCs w:val="22"/>
              </w:rPr>
            </w:pPr>
            <w:r w:rsidRPr="001E0145">
              <w:rPr>
                <w:sz w:val="22"/>
                <w:szCs w:val="22"/>
                <w:lang w:eastAsia="en-US"/>
              </w:rPr>
              <w:t xml:space="preserve">79,9 </w:t>
            </w:r>
          </w:p>
        </w:tc>
        <w:tc>
          <w:tcPr>
            <w:tcW w:w="1129" w:type="dxa"/>
            <w:tcBorders>
              <w:top w:val="nil"/>
              <w:left w:val="nil"/>
              <w:bottom w:val="single" w:sz="4" w:space="0" w:color="auto"/>
              <w:right w:val="single" w:sz="4" w:space="0" w:color="auto"/>
            </w:tcBorders>
            <w:shd w:val="clear" w:color="auto" w:fill="auto"/>
            <w:noWrap/>
            <w:vAlign w:val="center"/>
          </w:tcPr>
          <w:p w14:paraId="495DE750" w14:textId="78F6A16B" w:rsidR="007C4FAC" w:rsidRPr="001E0145" w:rsidRDefault="007C4FAC" w:rsidP="007C4FAC">
            <w:pPr>
              <w:spacing w:after="0"/>
              <w:jc w:val="right"/>
              <w:rPr>
                <w:sz w:val="22"/>
                <w:szCs w:val="22"/>
              </w:rPr>
            </w:pPr>
            <w:r w:rsidRPr="001E0145">
              <w:rPr>
                <w:sz w:val="22"/>
                <w:szCs w:val="22"/>
                <w:lang w:eastAsia="en-US"/>
              </w:rPr>
              <w:t xml:space="preserve">25 393,8 </w:t>
            </w:r>
          </w:p>
        </w:tc>
        <w:tc>
          <w:tcPr>
            <w:tcW w:w="1200" w:type="dxa"/>
            <w:tcBorders>
              <w:top w:val="nil"/>
              <w:left w:val="nil"/>
              <w:bottom w:val="single" w:sz="4" w:space="0" w:color="auto"/>
              <w:right w:val="single" w:sz="4" w:space="0" w:color="auto"/>
            </w:tcBorders>
            <w:shd w:val="clear" w:color="auto" w:fill="auto"/>
            <w:noWrap/>
            <w:vAlign w:val="center"/>
          </w:tcPr>
          <w:p w14:paraId="327FBEC1" w14:textId="289B8D91" w:rsidR="007C4FAC" w:rsidRPr="001E0145" w:rsidRDefault="007C4FAC" w:rsidP="007C4FAC">
            <w:pPr>
              <w:spacing w:after="0"/>
              <w:jc w:val="right"/>
              <w:rPr>
                <w:sz w:val="22"/>
                <w:szCs w:val="22"/>
              </w:rPr>
            </w:pPr>
            <w:r w:rsidRPr="001E0145">
              <w:rPr>
                <w:sz w:val="22"/>
                <w:szCs w:val="22"/>
                <w:lang w:eastAsia="en-US"/>
              </w:rPr>
              <w:t xml:space="preserve">24 429,0 </w:t>
            </w:r>
          </w:p>
        </w:tc>
        <w:tc>
          <w:tcPr>
            <w:tcW w:w="1134" w:type="dxa"/>
            <w:tcBorders>
              <w:top w:val="nil"/>
              <w:left w:val="nil"/>
              <w:bottom w:val="single" w:sz="4" w:space="0" w:color="auto"/>
              <w:right w:val="single" w:sz="4" w:space="0" w:color="auto"/>
            </w:tcBorders>
            <w:shd w:val="clear" w:color="auto" w:fill="auto"/>
            <w:noWrap/>
            <w:vAlign w:val="center"/>
          </w:tcPr>
          <w:p w14:paraId="69C5D205" w14:textId="7292CBB7" w:rsidR="007C4FAC" w:rsidRPr="001E0145" w:rsidRDefault="007C4FAC" w:rsidP="007C4FAC">
            <w:pPr>
              <w:spacing w:after="0"/>
              <w:jc w:val="right"/>
              <w:rPr>
                <w:sz w:val="22"/>
                <w:szCs w:val="22"/>
              </w:rPr>
            </w:pPr>
            <w:r w:rsidRPr="001E0145">
              <w:rPr>
                <w:sz w:val="22"/>
                <w:szCs w:val="22"/>
                <w:lang w:eastAsia="en-US"/>
              </w:rPr>
              <w:t xml:space="preserve">96,2 </w:t>
            </w:r>
          </w:p>
        </w:tc>
        <w:tc>
          <w:tcPr>
            <w:tcW w:w="911" w:type="dxa"/>
            <w:tcBorders>
              <w:top w:val="nil"/>
              <w:left w:val="nil"/>
              <w:bottom w:val="single" w:sz="4" w:space="0" w:color="auto"/>
              <w:right w:val="single" w:sz="4" w:space="0" w:color="auto"/>
            </w:tcBorders>
            <w:shd w:val="clear" w:color="auto" w:fill="auto"/>
            <w:noWrap/>
            <w:vAlign w:val="center"/>
          </w:tcPr>
          <w:p w14:paraId="6516F6D6" w14:textId="049E15BC" w:rsidR="007C4FAC" w:rsidRPr="001E0145" w:rsidRDefault="007C4FAC" w:rsidP="007C4FAC">
            <w:pPr>
              <w:spacing w:after="0"/>
              <w:jc w:val="right"/>
              <w:rPr>
                <w:sz w:val="22"/>
                <w:szCs w:val="22"/>
              </w:rPr>
            </w:pPr>
            <w:r w:rsidRPr="001E0145">
              <w:rPr>
                <w:sz w:val="22"/>
                <w:szCs w:val="22"/>
                <w:lang w:eastAsia="en-US"/>
              </w:rPr>
              <w:t xml:space="preserve">122,3 </w:t>
            </w:r>
          </w:p>
        </w:tc>
      </w:tr>
      <w:tr w:rsidR="007C4FAC" w:rsidRPr="001E0145" w14:paraId="46862983" w14:textId="77777777" w:rsidTr="7823C623">
        <w:trPr>
          <w:trHeight w:val="300"/>
          <w:jc w:val="center"/>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3A237CB" w14:textId="77777777" w:rsidR="007C4FAC" w:rsidRPr="001E0145" w:rsidRDefault="007C4FAC" w:rsidP="007C4FAC">
            <w:pPr>
              <w:spacing w:after="0"/>
              <w:jc w:val="right"/>
              <w:rPr>
                <w:sz w:val="22"/>
                <w:szCs w:val="22"/>
              </w:rPr>
            </w:pPr>
            <w:r w:rsidRPr="001E0145">
              <w:rPr>
                <w:sz w:val="22"/>
                <w:szCs w:val="22"/>
              </w:rPr>
              <w:t>kiadás:</w:t>
            </w:r>
          </w:p>
        </w:tc>
        <w:tc>
          <w:tcPr>
            <w:tcW w:w="1059" w:type="dxa"/>
            <w:tcBorders>
              <w:top w:val="nil"/>
              <w:left w:val="nil"/>
              <w:bottom w:val="single" w:sz="4" w:space="0" w:color="auto"/>
              <w:right w:val="single" w:sz="4" w:space="0" w:color="auto"/>
            </w:tcBorders>
            <w:shd w:val="clear" w:color="auto" w:fill="auto"/>
            <w:noWrap/>
            <w:vAlign w:val="center"/>
          </w:tcPr>
          <w:p w14:paraId="014321CB" w14:textId="3FB4704A" w:rsidR="007C4FAC" w:rsidRPr="001E0145" w:rsidRDefault="007C4FAC" w:rsidP="007C4FAC">
            <w:pPr>
              <w:spacing w:after="0"/>
              <w:jc w:val="right"/>
              <w:rPr>
                <w:sz w:val="22"/>
                <w:szCs w:val="22"/>
              </w:rPr>
            </w:pPr>
            <w:r w:rsidRPr="001E0145">
              <w:rPr>
                <w:sz w:val="22"/>
                <w:szCs w:val="22"/>
                <w:lang w:eastAsia="en-US"/>
              </w:rPr>
              <w:t xml:space="preserve">30 095,9 </w:t>
            </w:r>
          </w:p>
        </w:tc>
        <w:tc>
          <w:tcPr>
            <w:tcW w:w="1195" w:type="dxa"/>
            <w:tcBorders>
              <w:top w:val="nil"/>
              <w:left w:val="nil"/>
              <w:bottom w:val="single" w:sz="4" w:space="0" w:color="auto"/>
              <w:right w:val="single" w:sz="4" w:space="0" w:color="auto"/>
            </w:tcBorders>
            <w:shd w:val="clear" w:color="auto" w:fill="auto"/>
            <w:noWrap/>
            <w:vAlign w:val="center"/>
          </w:tcPr>
          <w:p w14:paraId="07742152" w14:textId="08449A0F" w:rsidR="007C4FAC" w:rsidRPr="001E0145" w:rsidRDefault="007C4FAC" w:rsidP="007C4FAC">
            <w:pPr>
              <w:spacing w:after="0"/>
              <w:jc w:val="right"/>
              <w:rPr>
                <w:sz w:val="22"/>
                <w:szCs w:val="22"/>
              </w:rPr>
            </w:pPr>
            <w:r w:rsidRPr="001E0145">
              <w:rPr>
                <w:sz w:val="22"/>
                <w:szCs w:val="22"/>
                <w:lang w:eastAsia="en-US"/>
              </w:rPr>
              <w:t xml:space="preserve">22 899,8 </w:t>
            </w:r>
          </w:p>
        </w:tc>
        <w:tc>
          <w:tcPr>
            <w:tcW w:w="1073" w:type="dxa"/>
            <w:tcBorders>
              <w:top w:val="nil"/>
              <w:left w:val="nil"/>
              <w:bottom w:val="single" w:sz="4" w:space="0" w:color="auto"/>
              <w:right w:val="single" w:sz="4" w:space="0" w:color="auto"/>
            </w:tcBorders>
            <w:shd w:val="clear" w:color="auto" w:fill="auto"/>
            <w:noWrap/>
            <w:vAlign w:val="center"/>
          </w:tcPr>
          <w:p w14:paraId="0D2EFF97" w14:textId="4AD6D663" w:rsidR="007C4FAC" w:rsidRPr="001E0145" w:rsidRDefault="007C4FAC" w:rsidP="007C4FAC">
            <w:pPr>
              <w:spacing w:after="0"/>
              <w:jc w:val="right"/>
              <w:rPr>
                <w:sz w:val="22"/>
                <w:szCs w:val="22"/>
              </w:rPr>
            </w:pPr>
            <w:r w:rsidRPr="001E0145">
              <w:rPr>
                <w:sz w:val="22"/>
                <w:szCs w:val="22"/>
                <w:lang w:eastAsia="en-US"/>
              </w:rPr>
              <w:t xml:space="preserve">76,1 </w:t>
            </w:r>
          </w:p>
        </w:tc>
        <w:tc>
          <w:tcPr>
            <w:tcW w:w="1129" w:type="dxa"/>
            <w:tcBorders>
              <w:top w:val="nil"/>
              <w:left w:val="nil"/>
              <w:bottom w:val="single" w:sz="4" w:space="0" w:color="auto"/>
              <w:right w:val="single" w:sz="4" w:space="0" w:color="auto"/>
            </w:tcBorders>
            <w:shd w:val="clear" w:color="auto" w:fill="auto"/>
            <w:noWrap/>
            <w:vAlign w:val="center"/>
          </w:tcPr>
          <w:p w14:paraId="5F0FF6B1" w14:textId="2EEB82DC" w:rsidR="007C4FAC" w:rsidRPr="001E0145" w:rsidRDefault="007C4FAC" w:rsidP="007C4FAC">
            <w:pPr>
              <w:spacing w:after="0"/>
              <w:jc w:val="right"/>
              <w:rPr>
                <w:sz w:val="22"/>
                <w:szCs w:val="22"/>
              </w:rPr>
            </w:pPr>
            <w:r w:rsidRPr="001E0145">
              <w:rPr>
                <w:sz w:val="22"/>
                <w:szCs w:val="22"/>
                <w:lang w:eastAsia="en-US"/>
              </w:rPr>
              <w:t xml:space="preserve">28 546,5 </w:t>
            </w:r>
          </w:p>
        </w:tc>
        <w:tc>
          <w:tcPr>
            <w:tcW w:w="1200" w:type="dxa"/>
            <w:tcBorders>
              <w:top w:val="nil"/>
              <w:left w:val="nil"/>
              <w:bottom w:val="single" w:sz="4" w:space="0" w:color="auto"/>
              <w:right w:val="single" w:sz="4" w:space="0" w:color="auto"/>
            </w:tcBorders>
            <w:shd w:val="clear" w:color="auto" w:fill="auto"/>
            <w:noWrap/>
            <w:vAlign w:val="center"/>
          </w:tcPr>
          <w:p w14:paraId="0277DAA7" w14:textId="1C08052B" w:rsidR="007C4FAC" w:rsidRPr="001E0145" w:rsidRDefault="007C4FAC" w:rsidP="007C4FAC">
            <w:pPr>
              <w:spacing w:after="0"/>
              <w:jc w:val="right"/>
              <w:rPr>
                <w:sz w:val="22"/>
                <w:szCs w:val="22"/>
              </w:rPr>
            </w:pPr>
            <w:r w:rsidRPr="001E0145">
              <w:rPr>
                <w:sz w:val="22"/>
                <w:szCs w:val="22"/>
                <w:lang w:eastAsia="en-US"/>
              </w:rPr>
              <w:t xml:space="preserve">27 019,4 </w:t>
            </w:r>
          </w:p>
        </w:tc>
        <w:tc>
          <w:tcPr>
            <w:tcW w:w="1134" w:type="dxa"/>
            <w:tcBorders>
              <w:top w:val="nil"/>
              <w:left w:val="nil"/>
              <w:bottom w:val="single" w:sz="4" w:space="0" w:color="auto"/>
              <w:right w:val="single" w:sz="4" w:space="0" w:color="auto"/>
            </w:tcBorders>
            <w:shd w:val="clear" w:color="auto" w:fill="auto"/>
            <w:noWrap/>
            <w:vAlign w:val="center"/>
          </w:tcPr>
          <w:p w14:paraId="4B0BFB81" w14:textId="7ABB14E4" w:rsidR="007C4FAC" w:rsidRPr="001E0145" w:rsidRDefault="007C4FAC" w:rsidP="007C4FAC">
            <w:pPr>
              <w:spacing w:after="0"/>
              <w:jc w:val="right"/>
              <w:rPr>
                <w:sz w:val="22"/>
                <w:szCs w:val="22"/>
              </w:rPr>
            </w:pPr>
            <w:r w:rsidRPr="001E0145">
              <w:rPr>
                <w:sz w:val="22"/>
                <w:szCs w:val="22"/>
                <w:lang w:eastAsia="en-US"/>
              </w:rPr>
              <w:t xml:space="preserve">94,7 </w:t>
            </w:r>
          </w:p>
        </w:tc>
        <w:tc>
          <w:tcPr>
            <w:tcW w:w="911" w:type="dxa"/>
            <w:tcBorders>
              <w:top w:val="nil"/>
              <w:left w:val="nil"/>
              <w:bottom w:val="single" w:sz="4" w:space="0" w:color="auto"/>
              <w:right w:val="single" w:sz="4" w:space="0" w:color="auto"/>
            </w:tcBorders>
            <w:shd w:val="clear" w:color="auto" w:fill="auto"/>
            <w:noWrap/>
            <w:vAlign w:val="center"/>
          </w:tcPr>
          <w:p w14:paraId="25BC5E9B" w14:textId="761D5999" w:rsidR="007C4FAC" w:rsidRPr="001E0145" w:rsidRDefault="007C4FAC" w:rsidP="007C4FAC">
            <w:pPr>
              <w:spacing w:after="0"/>
              <w:jc w:val="right"/>
              <w:rPr>
                <w:sz w:val="22"/>
                <w:szCs w:val="22"/>
              </w:rPr>
            </w:pPr>
            <w:r w:rsidRPr="001E0145">
              <w:rPr>
                <w:sz w:val="22"/>
                <w:szCs w:val="22"/>
                <w:lang w:eastAsia="en-US"/>
              </w:rPr>
              <w:t xml:space="preserve">118,0 </w:t>
            </w:r>
          </w:p>
        </w:tc>
      </w:tr>
    </w:tbl>
    <w:p w14:paraId="475BFD86" w14:textId="0F00C463" w:rsidR="009B7DC5" w:rsidRPr="001E0145" w:rsidRDefault="009B7DC5" w:rsidP="008D2B71">
      <w:pPr>
        <w:rPr>
          <w:b/>
          <w:bCs/>
        </w:rPr>
      </w:pPr>
      <w:r w:rsidRPr="001E0145">
        <w:rPr>
          <w:b/>
          <w:bCs/>
        </w:rPr>
        <w:br w:type="page"/>
      </w:r>
    </w:p>
    <w:p w14:paraId="5D4F01B7" w14:textId="6839E02E" w:rsidR="000D0735" w:rsidRPr="004D3B69" w:rsidRDefault="7823C623" w:rsidP="7823C623">
      <w:pPr>
        <w:jc w:val="center"/>
        <w:rPr>
          <w:b/>
          <w:bCs/>
        </w:rPr>
      </w:pPr>
      <w:r w:rsidRPr="7823C623">
        <w:rPr>
          <w:b/>
          <w:bCs/>
        </w:rPr>
        <w:lastRenderedPageBreak/>
        <w:t>I.</w:t>
      </w:r>
    </w:p>
    <w:p w14:paraId="5D4F01B8" w14:textId="77777777" w:rsidR="003C135C" w:rsidRPr="004D3B69" w:rsidRDefault="7823C623" w:rsidP="003C135C">
      <w:pPr>
        <w:pStyle w:val="Cmsor2"/>
        <w:spacing w:before="0" w:after="120"/>
      </w:pPr>
      <w:r>
        <w:t xml:space="preserve">A központi alrendszer pénzügyi folyamatainak </w:t>
      </w:r>
      <w:r w:rsidR="69871672">
        <w:br/>
      </w:r>
      <w:r>
        <w:t>alakulása</w:t>
      </w:r>
    </w:p>
    <w:p w14:paraId="16926C64" w14:textId="71016927" w:rsidR="00D05D14" w:rsidRPr="004D3B69" w:rsidRDefault="7823C623" w:rsidP="00F15CBF">
      <w:pPr>
        <w:pStyle w:val="Cmsor3"/>
        <w:numPr>
          <w:ilvl w:val="0"/>
          <w:numId w:val="8"/>
        </w:numPr>
        <w:spacing w:before="0" w:after="120"/>
        <w:jc w:val="left"/>
        <w:rPr>
          <w:sz w:val="26"/>
          <w:szCs w:val="26"/>
        </w:rPr>
      </w:pPr>
      <w:r w:rsidRPr="7823C623">
        <w:rPr>
          <w:sz w:val="26"/>
          <w:szCs w:val="26"/>
        </w:rPr>
        <w:t>A főbb bevételek</w:t>
      </w:r>
    </w:p>
    <w:p w14:paraId="365D1078" w14:textId="6E4826B1" w:rsidR="00161C64" w:rsidRPr="00161C64" w:rsidRDefault="7823C623" w:rsidP="00F15CBF">
      <w:pPr>
        <w:rPr>
          <w:b/>
          <w:bCs/>
        </w:rPr>
      </w:pPr>
      <w:r w:rsidRPr="7823C623">
        <w:rPr>
          <w:b/>
          <w:bCs/>
        </w:rPr>
        <w:t>A központi alrendszer október végi 24 429,0 milliárd forint összegű bevételei az előző év azonos időszakához képest 4451,3 milliárd forinttal, 22,3%-kal magasabb összegben alakultak.</w:t>
      </w:r>
    </w:p>
    <w:p w14:paraId="38EFCA35" w14:textId="57F698C0" w:rsidR="00161C64" w:rsidRPr="00161C64" w:rsidRDefault="7823C623" w:rsidP="00F15CBF">
      <w:pPr>
        <w:rPr>
          <w:b/>
          <w:bCs/>
        </w:rPr>
      </w:pPr>
      <w:r w:rsidRPr="7823C623">
        <w:rPr>
          <w:b/>
          <w:bCs/>
        </w:rPr>
        <w:t>A bevételek kapcsán kiemelendő, hogy október végéig az előző év azonos időszakához képest az adó- és járulékbevételek 17,1%-kal magasabban teljesültek.</w:t>
      </w:r>
      <w:r w:rsidR="001A7A7F">
        <w:rPr>
          <w:b/>
          <w:bCs/>
        </w:rPr>
        <w:t xml:space="preserve"> </w:t>
      </w:r>
      <w:r w:rsidRPr="7823C623">
        <w:rPr>
          <w:b/>
          <w:bCs/>
        </w:rPr>
        <w:t>Ugyancsak meghaladták az egy évvel korábbi teljesítést – többek között – a költségvetési szervek bevételei, az állami vagyonnal kapcsolatos befizetések, valamint az uniós programok bevételei.</w:t>
      </w:r>
    </w:p>
    <w:p w14:paraId="64911BD0" w14:textId="6B05DD41" w:rsidR="00B75F89" w:rsidRPr="00AE23C3" w:rsidRDefault="0062244E" w:rsidP="00161C64">
      <w:pPr>
        <w:rPr>
          <w:szCs w:val="26"/>
        </w:rPr>
      </w:pPr>
      <w:r w:rsidRPr="0062244E">
        <w:rPr>
          <w:noProof/>
          <w:szCs w:val="26"/>
        </w:rPr>
        <w:drawing>
          <wp:inline distT="0" distB="0" distL="0" distR="0" wp14:anchorId="17AE600A" wp14:editId="38AB56FE">
            <wp:extent cx="5940425" cy="2240438"/>
            <wp:effectExtent l="0" t="0" r="3175" b="7620"/>
            <wp:docPr id="4" name="Kép 4" descr="Z:\Áht_gyors_moni\2022_10_okt\0_feljegyzés_monitoring\ábrák\bevétel_megoszlá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Áht_gyors_moni\2022_10_okt\0_feljegyzés_monitoring\ábrák\bevétel_megoszlá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240438"/>
                    </a:xfrm>
                    <a:prstGeom prst="rect">
                      <a:avLst/>
                    </a:prstGeom>
                    <a:noFill/>
                    <a:ln>
                      <a:noFill/>
                    </a:ln>
                  </pic:spPr>
                </pic:pic>
              </a:graphicData>
            </a:graphic>
          </wp:inline>
        </w:drawing>
      </w:r>
    </w:p>
    <w:p w14:paraId="33A2479F" w14:textId="683CDBB0" w:rsidR="009F03E4" w:rsidRPr="00AE23C3" w:rsidRDefault="009F03E4" w:rsidP="00483A53">
      <w:pPr>
        <w:rPr>
          <w:szCs w:val="26"/>
        </w:rPr>
      </w:pPr>
    </w:p>
    <w:p w14:paraId="04AE4E9F" w14:textId="2FC1A8DF" w:rsidR="001C2E8B" w:rsidRPr="00AE23C3" w:rsidRDefault="7823C623" w:rsidP="00EB00F3">
      <w:r w:rsidRPr="7823C623">
        <w:rPr>
          <w:b/>
          <w:bCs/>
        </w:rPr>
        <w:t xml:space="preserve">Társasági adó </w:t>
      </w:r>
      <w:r>
        <w:t xml:space="preserve">jogcímen </w:t>
      </w:r>
      <w:r w:rsidR="001C2E8B">
        <w:t>október</w:t>
      </w:r>
      <w:r>
        <w:t xml:space="preserve"> végéig </w:t>
      </w:r>
      <w:r w:rsidR="001C2E8B" w:rsidRPr="001C2E8B">
        <w:t>647,2 milliárd forint realizálódott, amely az előző év azonos időszakának egyenlegét 165,9 milliárd forinttal haladta meg. A bázisévhez viszonyítva az eltérést a májusi elszámolásokhoz köthető, az előző évinél több mint 50 milliárd forinttal magasabb pénzforgalom és az előlegek előző évinél magasabb szintje, valamint egyedi és eltérő üzleti éves adózók elszámolásához köthető befizetések okozzák.</w:t>
      </w:r>
    </w:p>
    <w:p w14:paraId="1E80BB0D" w14:textId="1E85BD13" w:rsidR="00E51D6B" w:rsidRPr="00AE23C3" w:rsidRDefault="7823C623" w:rsidP="00EB00F3">
      <w:r>
        <w:t>A</w:t>
      </w:r>
      <w:r w:rsidRPr="7823C623">
        <w:rPr>
          <w:b/>
          <w:bCs/>
        </w:rPr>
        <w:t xml:space="preserve"> pénzügyi szervezetek különadójából</w:t>
      </w:r>
      <w:r>
        <w:t xml:space="preserve"> származó bevétel </w:t>
      </w:r>
      <w:r w:rsidR="00E51D6B">
        <w:t>októ</w:t>
      </w:r>
      <w:r>
        <w:t xml:space="preserve">ber végéig </w:t>
      </w:r>
      <w:r w:rsidR="00E51D6B" w:rsidRPr="00E51D6B">
        <w:t>185,1 milliárd forint volt, mely az előző év azonos időszakának egyenlegét 138,</w:t>
      </w:r>
      <w:r w:rsidR="00407157">
        <w:t>1</w:t>
      </w:r>
      <w:r w:rsidR="00E51D6B" w:rsidRPr="00E51D6B">
        <w:t xml:space="preserve"> milliárd forinttal haladta meg. Ennek oka a bevallási adatok alapján előírt magasabb előlegkötelezettségek, valamint a 2022. évben ideiglenesen bevezetett különadó</w:t>
      </w:r>
      <w:r w:rsidR="00E51D6B">
        <w:t>.</w:t>
      </w:r>
    </w:p>
    <w:p w14:paraId="1FE78D74" w14:textId="02E77624" w:rsidR="00E51D6B" w:rsidRPr="00AE23C3" w:rsidRDefault="7823C623" w:rsidP="00EB00F3">
      <w:r>
        <w:t>A</w:t>
      </w:r>
      <w:r w:rsidRPr="7823C623">
        <w:rPr>
          <w:b/>
          <w:bCs/>
        </w:rPr>
        <w:t xml:space="preserve"> kisadózók tételes adójából</w:t>
      </w:r>
      <w:r>
        <w:t xml:space="preserve"> </w:t>
      </w:r>
      <w:r w:rsidR="00E51D6B">
        <w:t>októ</w:t>
      </w:r>
      <w:r>
        <w:t xml:space="preserve">ber végéig a költségvetésnek </w:t>
      </w:r>
      <w:r w:rsidR="00E51D6B" w:rsidRPr="00E51D6B">
        <w:t>171,8 milliárd forint bevétele keletkezett, mely 13,</w:t>
      </w:r>
      <w:r w:rsidR="00A83996">
        <w:t>7</w:t>
      </w:r>
      <w:r w:rsidR="00E51D6B" w:rsidRPr="00E51D6B">
        <w:t xml:space="preserve"> milliárd forinttal magasabb az egy évvel korábbinál. Ennek legfőbb oka az adóalanyok számának bővülése az előző év azonos időszakához képest, illetve a kifizetők által megfizetett 40%-os adóból származó bevétel.</w:t>
      </w:r>
    </w:p>
    <w:p w14:paraId="09AFFE11" w14:textId="15FDE7BF" w:rsidR="00E51D6B" w:rsidRDefault="7823C623" w:rsidP="00F854D5">
      <w:r>
        <w:t>A</w:t>
      </w:r>
      <w:r w:rsidRPr="7823C623">
        <w:rPr>
          <w:b/>
          <w:bCs/>
        </w:rPr>
        <w:t xml:space="preserve"> kisvállalati adóból</w:t>
      </w:r>
      <w:r>
        <w:t xml:space="preserve"> származó bevétel </w:t>
      </w:r>
      <w:r w:rsidR="00E51D6B">
        <w:t>októ</w:t>
      </w:r>
      <w:r>
        <w:t xml:space="preserve">ber végéig </w:t>
      </w:r>
      <w:r w:rsidR="00E51D6B" w:rsidRPr="00E51D6B">
        <w:t>132,1 milliárd forint volt, mely 31,</w:t>
      </w:r>
      <w:r w:rsidR="00A01722">
        <w:t xml:space="preserve">7 </w:t>
      </w:r>
      <w:r w:rsidR="00E51D6B" w:rsidRPr="00E51D6B">
        <w:t>milliárd forinttal magasabb az egy évvel korábbinál. Ennek oka az adóalanyok számának jelentős mértékű bővülése</w:t>
      </w:r>
      <w:r w:rsidR="00E51D6B">
        <w:t>.</w:t>
      </w:r>
    </w:p>
    <w:p w14:paraId="36F2DF75" w14:textId="59637080" w:rsidR="000851FF" w:rsidRPr="00553934" w:rsidRDefault="7823C623" w:rsidP="00EB00F3">
      <w:r>
        <w:lastRenderedPageBreak/>
        <w:t xml:space="preserve">Az </w:t>
      </w:r>
      <w:r w:rsidRPr="7823C623">
        <w:rPr>
          <w:b/>
          <w:bCs/>
        </w:rPr>
        <w:t>egyéb központosított bevételek</w:t>
      </w:r>
      <w:r>
        <w:t xml:space="preserve">ből </w:t>
      </w:r>
      <w:r w:rsidR="00E51D6B">
        <w:t>október</w:t>
      </w:r>
      <w:r>
        <w:t xml:space="preserve"> végéig összesen </w:t>
      </w:r>
      <w:r w:rsidR="00E51D6B" w:rsidRPr="00E51D6B">
        <w:t>461,9</w:t>
      </w:r>
      <w:r>
        <w:t xml:space="preserve"> milliárd forint bevétel teljesült, amely a törvényi előirányzat </w:t>
      </w:r>
      <w:r w:rsidR="00E51D6B" w:rsidRPr="00E51D6B">
        <w:t>88,9%</w:t>
      </w:r>
      <w:r>
        <w:t xml:space="preserve">-ának felel meg. Ezen belül kiemelendő az elektronikus útdíj </w:t>
      </w:r>
      <w:r w:rsidR="00E51D6B">
        <w:t>224</w:t>
      </w:r>
      <w:r w:rsidR="003E7566">
        <w:t>,</w:t>
      </w:r>
      <w:r w:rsidR="00E51D6B">
        <w:t>8</w:t>
      </w:r>
      <w:r>
        <w:t> milliárd forintot kitevő összege.</w:t>
      </w:r>
    </w:p>
    <w:p w14:paraId="67B6174D" w14:textId="1631C664" w:rsidR="00C54EBC" w:rsidRDefault="7823C623" w:rsidP="00EB00F3">
      <w:r w:rsidRPr="7823C623">
        <w:rPr>
          <w:b/>
          <w:bCs/>
        </w:rPr>
        <w:t xml:space="preserve">Kiskereskedelmi adó </w:t>
      </w:r>
      <w:r>
        <w:t xml:space="preserve">jogcímen </w:t>
      </w:r>
      <w:r w:rsidR="00C54EBC">
        <w:t>októ</w:t>
      </w:r>
      <w:r>
        <w:t xml:space="preserve">ber végéig </w:t>
      </w:r>
      <w:r w:rsidR="00C54EBC" w:rsidRPr="00C54EBC">
        <w:t>89,9 milliárd forint bevétel teljesült, amely az előző évi azonos időszaki bevételnél 24,</w:t>
      </w:r>
      <w:r w:rsidR="00AF2D44">
        <w:t>6</w:t>
      </w:r>
      <w:r w:rsidR="00C54EBC" w:rsidRPr="00C54EBC">
        <w:t xml:space="preserve"> milliárd forinttal magasabb. Ennek oka, hogy az elszámolásokhoz köthető befizetések</w:t>
      </w:r>
      <w:r w:rsidR="00C54EBC">
        <w:t xml:space="preserve"> – </w:t>
      </w:r>
      <w:r w:rsidR="00C54EBC" w:rsidRPr="00C54EBC">
        <w:t xml:space="preserve">és ennek következtében </w:t>
      </w:r>
      <w:r w:rsidR="00C54EBC">
        <w:t>a júliusi</w:t>
      </w:r>
      <w:r w:rsidR="00C54EBC" w:rsidRPr="00C54EBC">
        <w:t xml:space="preserve"> első előlegfizetés </w:t>
      </w:r>
      <w:r w:rsidR="00C54EBC">
        <w:t>is – magasabb szinten teljesültek</w:t>
      </w:r>
      <w:r w:rsidR="00C54EBC" w:rsidRPr="00C54EBC">
        <w:t>.</w:t>
      </w:r>
    </w:p>
    <w:p w14:paraId="01025744" w14:textId="6B58AEC7" w:rsidR="00C54EBC" w:rsidRPr="00F854D5" w:rsidRDefault="7823C623" w:rsidP="00B14E35">
      <w:pPr>
        <w:widowControl w:val="0"/>
      </w:pPr>
      <w:r>
        <w:t xml:space="preserve">A </w:t>
      </w:r>
      <w:r w:rsidRPr="7823C623">
        <w:rPr>
          <w:b/>
          <w:bCs/>
        </w:rPr>
        <w:t>rehabilitációs hozzájárulásból</w:t>
      </w:r>
      <w:r w:rsidR="00C54EBC">
        <w:t xml:space="preserve"> származó bevétel október</w:t>
      </w:r>
      <w:r>
        <w:t xml:space="preserve"> végéig </w:t>
      </w:r>
      <w:r w:rsidR="00C54EBC" w:rsidRPr="00C54EBC">
        <w:t>129,5 milliárd forint volt, amely 20,3 milliárd forinttal magasabb az egy évvel korábbi összegnél</w:t>
      </w:r>
      <w:r w:rsidR="00C54EBC">
        <w:t>.</w:t>
      </w:r>
    </w:p>
    <w:p w14:paraId="1A97461B" w14:textId="2DEB1978" w:rsidR="00F854D5" w:rsidRPr="00811F0F" w:rsidRDefault="00C54EBC" w:rsidP="000900E7">
      <w:pPr>
        <w:widowControl w:val="0"/>
        <w:tabs>
          <w:tab w:val="left" w:pos="3105"/>
        </w:tabs>
        <w:rPr>
          <w:szCs w:val="26"/>
        </w:rPr>
      </w:pPr>
      <w:r>
        <w:t>Október</w:t>
      </w:r>
      <w:r w:rsidR="7823C623">
        <w:t xml:space="preserve"> végéig az </w:t>
      </w:r>
      <w:r w:rsidR="7823C623" w:rsidRPr="7823C623">
        <w:rPr>
          <w:b/>
          <w:bCs/>
        </w:rPr>
        <w:t>általános forgalmi adóból</w:t>
      </w:r>
      <w:r w:rsidR="7823C623">
        <w:t xml:space="preserve"> 5</w:t>
      </w:r>
      <w:r>
        <w:t>765</w:t>
      </w:r>
      <w:r w:rsidR="7823C623">
        <w:t>,</w:t>
      </w:r>
      <w:r>
        <w:t>1</w:t>
      </w:r>
      <w:r w:rsidR="7823C623">
        <w:t xml:space="preserve"> milliárd forint bevétele keletkezett a költségvetésnek, ami az egy évvel korábbi bevételt 1</w:t>
      </w:r>
      <w:r>
        <w:t>318</w:t>
      </w:r>
      <w:r w:rsidR="7823C623">
        <w:t>,</w:t>
      </w:r>
      <w:r>
        <w:t>6</w:t>
      </w:r>
      <w:r w:rsidR="7823C623">
        <w:t xml:space="preserve"> milliárd forinttal haladta meg.</w:t>
      </w:r>
    </w:p>
    <w:tbl>
      <w:tblPr>
        <w:tblW w:w="6374" w:type="dxa"/>
        <w:jc w:val="center"/>
        <w:tblCellMar>
          <w:left w:w="70" w:type="dxa"/>
          <w:right w:w="70" w:type="dxa"/>
        </w:tblCellMar>
        <w:tblLook w:val="04A0" w:firstRow="1" w:lastRow="0" w:firstColumn="1" w:lastColumn="0" w:noHBand="0" w:noVBand="1"/>
      </w:tblPr>
      <w:tblGrid>
        <w:gridCol w:w="1448"/>
        <w:gridCol w:w="1134"/>
        <w:gridCol w:w="1134"/>
        <w:gridCol w:w="1134"/>
        <w:gridCol w:w="1173"/>
        <w:gridCol w:w="351"/>
      </w:tblGrid>
      <w:tr w:rsidR="00AE23C3" w:rsidRPr="00AE23C3" w14:paraId="2CDE1D04" w14:textId="77777777" w:rsidTr="7823C623">
        <w:trPr>
          <w:trHeight w:val="255"/>
          <w:jc w:val="center"/>
        </w:trPr>
        <w:tc>
          <w:tcPr>
            <w:tcW w:w="6374" w:type="dxa"/>
            <w:gridSpan w:val="6"/>
            <w:tcBorders>
              <w:top w:val="nil"/>
              <w:left w:val="nil"/>
              <w:bottom w:val="nil"/>
              <w:right w:val="nil"/>
            </w:tcBorders>
            <w:shd w:val="clear" w:color="auto" w:fill="auto"/>
            <w:noWrap/>
            <w:vAlign w:val="bottom"/>
            <w:hideMark/>
          </w:tcPr>
          <w:p w14:paraId="193F4F9E" w14:textId="77777777" w:rsidR="004702E7" w:rsidRPr="00760310" w:rsidRDefault="7823C623" w:rsidP="7823C623">
            <w:pPr>
              <w:widowControl w:val="0"/>
              <w:jc w:val="center"/>
              <w:rPr>
                <w:b/>
                <w:bCs/>
                <w:sz w:val="22"/>
                <w:szCs w:val="22"/>
              </w:rPr>
            </w:pPr>
            <w:r w:rsidRPr="7823C623">
              <w:rPr>
                <w:b/>
                <w:bCs/>
                <w:sz w:val="22"/>
                <w:szCs w:val="22"/>
              </w:rPr>
              <w:t>Általános forgalmi adó bevétel alakulása (milliárd forint)</w:t>
            </w:r>
          </w:p>
        </w:tc>
      </w:tr>
      <w:tr w:rsidR="00AE23C3" w:rsidRPr="00AE23C3" w14:paraId="6088BDF7" w14:textId="77777777" w:rsidTr="7823C623">
        <w:trPr>
          <w:gridAfter w:val="1"/>
          <w:wAfter w:w="351" w:type="dxa"/>
          <w:trHeight w:val="283"/>
          <w:jc w:val="center"/>
        </w:trPr>
        <w:tc>
          <w:tcPr>
            <w:tcW w:w="14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BFA44" w14:textId="77777777" w:rsidR="004702E7" w:rsidRPr="00760310" w:rsidRDefault="7823C623" w:rsidP="7823C623">
            <w:pPr>
              <w:spacing w:after="0"/>
              <w:jc w:val="center"/>
              <w:rPr>
                <w:b/>
                <w:bCs/>
                <w:sz w:val="22"/>
                <w:szCs w:val="22"/>
              </w:rPr>
            </w:pPr>
            <w:r w:rsidRPr="7823C623">
              <w:rPr>
                <w:b/>
                <w:bCs/>
                <w:sz w:val="22"/>
                <w:szCs w:val="22"/>
              </w:rPr>
              <w:t>Megnevezés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8CFE69" w14:textId="2FE0B0E6" w:rsidR="004702E7" w:rsidRPr="00760310" w:rsidRDefault="7823C623" w:rsidP="7823C623">
            <w:pPr>
              <w:spacing w:after="0"/>
              <w:jc w:val="center"/>
              <w:rPr>
                <w:b/>
                <w:bCs/>
                <w:sz w:val="22"/>
                <w:szCs w:val="22"/>
              </w:rPr>
            </w:pPr>
            <w:r w:rsidRPr="7823C623">
              <w:rPr>
                <w:b/>
                <w:bCs/>
                <w:sz w:val="22"/>
                <w:szCs w:val="22"/>
              </w:rPr>
              <w:t>2021.</w:t>
            </w:r>
            <w:r w:rsidR="69871672">
              <w:br/>
            </w:r>
            <w:r w:rsidR="008F0946">
              <w:rPr>
                <w:b/>
                <w:bCs/>
                <w:sz w:val="22"/>
                <w:szCs w:val="22"/>
              </w:rPr>
              <w:t>I-</w:t>
            </w:r>
            <w:r w:rsidRPr="7823C623">
              <w:rPr>
                <w:b/>
                <w:bCs/>
                <w:sz w:val="22"/>
                <w:szCs w:val="22"/>
              </w:rPr>
              <w:t>X. hó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08D7B7" w14:textId="4020EC58" w:rsidR="004702E7" w:rsidRPr="00760310" w:rsidRDefault="7823C623" w:rsidP="7823C623">
            <w:pPr>
              <w:spacing w:after="0"/>
              <w:jc w:val="center"/>
              <w:rPr>
                <w:b/>
                <w:bCs/>
                <w:sz w:val="22"/>
                <w:szCs w:val="22"/>
              </w:rPr>
            </w:pPr>
            <w:r w:rsidRPr="7823C623">
              <w:rPr>
                <w:b/>
                <w:bCs/>
                <w:sz w:val="22"/>
                <w:szCs w:val="22"/>
              </w:rPr>
              <w:t>2022.</w:t>
            </w:r>
            <w:r w:rsidR="69871672">
              <w:br/>
            </w:r>
            <w:r w:rsidR="004F0620">
              <w:rPr>
                <w:b/>
                <w:bCs/>
                <w:sz w:val="22"/>
                <w:szCs w:val="22"/>
              </w:rPr>
              <w:t>I-</w:t>
            </w:r>
            <w:r w:rsidRPr="7823C623">
              <w:rPr>
                <w:b/>
                <w:bCs/>
                <w:sz w:val="22"/>
                <w:szCs w:val="22"/>
              </w:rPr>
              <w:t>X. hó</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84B97" w14:textId="77777777" w:rsidR="004702E7" w:rsidRPr="00760310" w:rsidRDefault="7823C623" w:rsidP="7823C623">
            <w:pPr>
              <w:spacing w:after="0"/>
              <w:jc w:val="center"/>
              <w:rPr>
                <w:b/>
                <w:bCs/>
                <w:sz w:val="22"/>
                <w:szCs w:val="22"/>
              </w:rPr>
            </w:pPr>
            <w:r w:rsidRPr="7823C623">
              <w:rPr>
                <w:b/>
                <w:bCs/>
                <w:sz w:val="22"/>
                <w:szCs w:val="22"/>
              </w:rPr>
              <w:t>Eltérés</w:t>
            </w:r>
          </w:p>
        </w:tc>
      </w:tr>
      <w:tr w:rsidR="00AE23C3" w:rsidRPr="00AE23C3" w14:paraId="6FBF33D6" w14:textId="77777777" w:rsidTr="7823C623">
        <w:trPr>
          <w:gridAfter w:val="1"/>
          <w:wAfter w:w="351" w:type="dxa"/>
          <w:trHeight w:val="283"/>
          <w:jc w:val="center"/>
        </w:trPr>
        <w:tc>
          <w:tcPr>
            <w:tcW w:w="1448" w:type="dxa"/>
            <w:vMerge/>
            <w:tcBorders>
              <w:top w:val="single" w:sz="4" w:space="0" w:color="auto"/>
              <w:left w:val="single" w:sz="4" w:space="0" w:color="auto"/>
              <w:bottom w:val="single" w:sz="4" w:space="0" w:color="auto"/>
              <w:right w:val="single" w:sz="4" w:space="0" w:color="auto"/>
            </w:tcBorders>
            <w:vAlign w:val="center"/>
            <w:hideMark/>
          </w:tcPr>
          <w:p w14:paraId="78EC8BF6" w14:textId="77777777" w:rsidR="004702E7" w:rsidRPr="00760310" w:rsidRDefault="004702E7" w:rsidP="00B91971">
            <w:pPr>
              <w:spacing w:after="0"/>
              <w:jc w:val="left"/>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C25767" w14:textId="77777777" w:rsidR="004702E7" w:rsidRPr="00760310" w:rsidRDefault="004702E7" w:rsidP="00B91971">
            <w:pPr>
              <w:spacing w:after="0"/>
              <w:jc w:val="left"/>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9FC7C9" w14:textId="77777777" w:rsidR="004702E7" w:rsidRPr="00760310" w:rsidRDefault="004702E7" w:rsidP="00B91971">
            <w:pPr>
              <w:spacing w:after="0"/>
              <w:jc w:val="lef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03ACB" w14:textId="77777777" w:rsidR="004702E7" w:rsidRPr="00760310" w:rsidRDefault="7823C623" w:rsidP="7823C623">
            <w:pPr>
              <w:spacing w:after="0"/>
              <w:jc w:val="center"/>
              <w:rPr>
                <w:b/>
                <w:bCs/>
                <w:sz w:val="22"/>
                <w:szCs w:val="22"/>
              </w:rPr>
            </w:pPr>
            <w:r w:rsidRPr="7823C623">
              <w:rPr>
                <w:b/>
                <w:bCs/>
                <w:sz w:val="22"/>
                <w:szCs w:val="22"/>
              </w:rPr>
              <w:t>Mrd Ft</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C503F" w14:textId="77777777" w:rsidR="004702E7" w:rsidRPr="00760310" w:rsidRDefault="7823C623" w:rsidP="7823C623">
            <w:pPr>
              <w:spacing w:after="0"/>
              <w:jc w:val="center"/>
              <w:rPr>
                <w:b/>
                <w:bCs/>
                <w:sz w:val="22"/>
                <w:szCs w:val="22"/>
              </w:rPr>
            </w:pPr>
            <w:r w:rsidRPr="7823C623">
              <w:rPr>
                <w:b/>
                <w:bCs/>
                <w:sz w:val="22"/>
                <w:szCs w:val="22"/>
              </w:rPr>
              <w:t>%</w:t>
            </w:r>
          </w:p>
        </w:tc>
      </w:tr>
      <w:tr w:rsidR="008F0946" w:rsidRPr="00AE23C3" w14:paraId="696B4B9D" w14:textId="77777777" w:rsidTr="004F0620">
        <w:trPr>
          <w:gridAfter w:val="1"/>
          <w:wAfter w:w="351" w:type="dxa"/>
          <w:trHeight w:val="283"/>
          <w:jc w:val="center"/>
        </w:trPr>
        <w:tc>
          <w:tcPr>
            <w:tcW w:w="1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4865D" w14:textId="77777777" w:rsidR="008F0946" w:rsidRPr="00760310" w:rsidRDefault="008F0946" w:rsidP="008F0946">
            <w:pPr>
              <w:spacing w:after="0"/>
              <w:jc w:val="left"/>
              <w:rPr>
                <w:sz w:val="22"/>
                <w:szCs w:val="22"/>
              </w:rPr>
            </w:pPr>
            <w:r w:rsidRPr="7823C623">
              <w:rPr>
                <w:sz w:val="22"/>
                <w:szCs w:val="22"/>
              </w:rPr>
              <w:t>Befizetés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36DBC" w14:textId="427BF2C9" w:rsidR="008F0946" w:rsidRPr="008F0946" w:rsidRDefault="008F0946" w:rsidP="004F0620">
            <w:pPr>
              <w:spacing w:after="0"/>
              <w:jc w:val="right"/>
              <w:rPr>
                <w:sz w:val="22"/>
                <w:szCs w:val="22"/>
              </w:rPr>
            </w:pPr>
            <w:r w:rsidRPr="008F0946">
              <w:rPr>
                <w:sz w:val="22"/>
                <w:szCs w:val="22"/>
              </w:rPr>
              <w:t>7469,3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597DE" w14:textId="1BDA3783" w:rsidR="008F0946" w:rsidRPr="008F0946" w:rsidRDefault="008F0946" w:rsidP="004F0620">
            <w:pPr>
              <w:spacing w:after="0"/>
              <w:jc w:val="right"/>
              <w:rPr>
                <w:sz w:val="22"/>
                <w:szCs w:val="22"/>
              </w:rPr>
            </w:pPr>
            <w:r w:rsidRPr="008F0946">
              <w:rPr>
                <w:sz w:val="22"/>
                <w:szCs w:val="22"/>
              </w:rPr>
              <w:t>9932,9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FFFEE" w14:textId="476A4AAC" w:rsidR="008F0946" w:rsidRPr="008F0946" w:rsidRDefault="008F0946" w:rsidP="004F0620">
            <w:pPr>
              <w:spacing w:after="0"/>
              <w:jc w:val="right"/>
              <w:rPr>
                <w:sz w:val="22"/>
                <w:szCs w:val="22"/>
              </w:rPr>
            </w:pPr>
            <w:r w:rsidRPr="008F0946">
              <w:rPr>
                <w:sz w:val="22"/>
                <w:szCs w:val="22"/>
              </w:rPr>
              <w:t>2463,6</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A36F5" w14:textId="73A44B15" w:rsidR="008F0946" w:rsidRPr="008F0946" w:rsidRDefault="008F0946" w:rsidP="004F0620">
            <w:pPr>
              <w:spacing w:after="0"/>
              <w:jc w:val="right"/>
              <w:rPr>
                <w:sz w:val="22"/>
                <w:szCs w:val="22"/>
              </w:rPr>
            </w:pPr>
            <w:r w:rsidRPr="008F0946">
              <w:rPr>
                <w:sz w:val="22"/>
                <w:szCs w:val="22"/>
              </w:rPr>
              <w:t>133,0</w:t>
            </w:r>
          </w:p>
        </w:tc>
      </w:tr>
      <w:tr w:rsidR="008F0946" w:rsidRPr="00AE23C3" w14:paraId="6B18998E" w14:textId="77777777" w:rsidTr="004F0620">
        <w:trPr>
          <w:gridAfter w:val="1"/>
          <w:wAfter w:w="351" w:type="dxa"/>
          <w:trHeight w:val="283"/>
          <w:jc w:val="center"/>
        </w:trPr>
        <w:tc>
          <w:tcPr>
            <w:tcW w:w="1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0B48E" w14:textId="77777777" w:rsidR="008F0946" w:rsidRPr="00760310" w:rsidRDefault="008F0946" w:rsidP="008F0946">
            <w:pPr>
              <w:spacing w:after="0"/>
              <w:jc w:val="left"/>
              <w:rPr>
                <w:sz w:val="22"/>
                <w:szCs w:val="22"/>
              </w:rPr>
            </w:pPr>
            <w:r w:rsidRPr="7823C623">
              <w:rPr>
                <w:sz w:val="22"/>
                <w:szCs w:val="22"/>
              </w:rPr>
              <w:t>Kiutalás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B825A" w14:textId="5FF7A75E" w:rsidR="008F0946" w:rsidRPr="008F0946" w:rsidRDefault="008F0946" w:rsidP="004F0620">
            <w:pPr>
              <w:spacing w:after="0"/>
              <w:jc w:val="right"/>
              <w:rPr>
                <w:sz w:val="22"/>
                <w:szCs w:val="22"/>
              </w:rPr>
            </w:pPr>
            <w:r w:rsidRPr="008F0946">
              <w:rPr>
                <w:sz w:val="22"/>
                <w:szCs w:val="22"/>
              </w:rPr>
              <w:t>3022,8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49D92" w14:textId="3FEA2E3D" w:rsidR="008F0946" w:rsidRPr="008F0946" w:rsidRDefault="008F0946" w:rsidP="004F0620">
            <w:pPr>
              <w:spacing w:after="0"/>
              <w:jc w:val="right"/>
              <w:rPr>
                <w:sz w:val="22"/>
                <w:szCs w:val="22"/>
              </w:rPr>
            </w:pPr>
            <w:r w:rsidRPr="008F0946">
              <w:rPr>
                <w:sz w:val="22"/>
                <w:szCs w:val="22"/>
              </w:rPr>
              <w:t>4167,8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DD2F0" w14:textId="1BD9E6EE" w:rsidR="008F0946" w:rsidRPr="008F0946" w:rsidRDefault="008F0946" w:rsidP="004F0620">
            <w:pPr>
              <w:spacing w:after="0"/>
              <w:jc w:val="right"/>
              <w:rPr>
                <w:sz w:val="22"/>
                <w:szCs w:val="22"/>
              </w:rPr>
            </w:pPr>
            <w:r w:rsidRPr="008F0946">
              <w:rPr>
                <w:sz w:val="22"/>
                <w:szCs w:val="22"/>
              </w:rPr>
              <w:t>1145,0</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2266A" w14:textId="04B876B8" w:rsidR="008F0946" w:rsidRPr="008F0946" w:rsidRDefault="008F0946" w:rsidP="004F0620">
            <w:pPr>
              <w:spacing w:after="0"/>
              <w:jc w:val="right"/>
              <w:rPr>
                <w:sz w:val="22"/>
                <w:szCs w:val="22"/>
              </w:rPr>
            </w:pPr>
            <w:r w:rsidRPr="008F0946">
              <w:rPr>
                <w:sz w:val="22"/>
                <w:szCs w:val="22"/>
              </w:rPr>
              <w:t>137,9</w:t>
            </w:r>
          </w:p>
        </w:tc>
      </w:tr>
      <w:tr w:rsidR="008F0946" w:rsidRPr="00AE23C3" w14:paraId="6B4C6B67" w14:textId="77777777" w:rsidTr="004F0620">
        <w:trPr>
          <w:gridAfter w:val="1"/>
          <w:wAfter w:w="351" w:type="dxa"/>
          <w:trHeight w:val="283"/>
          <w:jc w:val="center"/>
        </w:trPr>
        <w:tc>
          <w:tcPr>
            <w:tcW w:w="1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7CFE7" w14:textId="77777777" w:rsidR="008F0946" w:rsidRPr="00760310" w:rsidRDefault="008F0946" w:rsidP="008F0946">
            <w:pPr>
              <w:spacing w:after="0"/>
              <w:jc w:val="left"/>
              <w:rPr>
                <w:b/>
                <w:bCs/>
                <w:sz w:val="22"/>
                <w:szCs w:val="22"/>
              </w:rPr>
            </w:pPr>
            <w:r w:rsidRPr="7823C623">
              <w:rPr>
                <w:b/>
                <w:bCs/>
                <w:sz w:val="22"/>
                <w:szCs w:val="22"/>
              </w:rPr>
              <w:t>Egyenleg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F995F" w14:textId="62086456" w:rsidR="008F0946" w:rsidRPr="008F0946" w:rsidRDefault="008F0946" w:rsidP="004F0620">
            <w:pPr>
              <w:spacing w:after="0"/>
              <w:jc w:val="right"/>
              <w:rPr>
                <w:b/>
                <w:bCs/>
                <w:sz w:val="22"/>
                <w:szCs w:val="22"/>
              </w:rPr>
            </w:pPr>
            <w:r w:rsidRPr="008F0946">
              <w:rPr>
                <w:b/>
                <w:sz w:val="22"/>
                <w:szCs w:val="22"/>
              </w:rPr>
              <w:t>4446,5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BC427" w14:textId="1031F2A5" w:rsidR="008F0946" w:rsidRPr="008F0946" w:rsidRDefault="008F0946" w:rsidP="004F0620">
            <w:pPr>
              <w:spacing w:after="0"/>
              <w:jc w:val="right"/>
              <w:rPr>
                <w:b/>
                <w:bCs/>
                <w:sz w:val="22"/>
                <w:szCs w:val="22"/>
              </w:rPr>
            </w:pPr>
            <w:r w:rsidRPr="008F0946">
              <w:rPr>
                <w:b/>
                <w:sz w:val="22"/>
                <w:szCs w:val="22"/>
              </w:rPr>
              <w:t>5765,1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0E2B5" w14:textId="2949069E" w:rsidR="008F0946" w:rsidRPr="008F0946" w:rsidRDefault="008F0946" w:rsidP="004F0620">
            <w:pPr>
              <w:spacing w:after="0"/>
              <w:jc w:val="right"/>
              <w:rPr>
                <w:b/>
                <w:bCs/>
                <w:sz w:val="22"/>
                <w:szCs w:val="22"/>
              </w:rPr>
            </w:pPr>
            <w:r w:rsidRPr="008F0946">
              <w:rPr>
                <w:b/>
                <w:sz w:val="22"/>
                <w:szCs w:val="22"/>
              </w:rPr>
              <w:t>1318,6</w:t>
            </w:r>
          </w:p>
        </w:tc>
        <w:tc>
          <w:tcPr>
            <w:tcW w:w="11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63217" w14:textId="2C602DED" w:rsidR="008F0946" w:rsidRPr="008F0946" w:rsidRDefault="008F0946" w:rsidP="004F0620">
            <w:pPr>
              <w:spacing w:after="0"/>
              <w:jc w:val="right"/>
              <w:rPr>
                <w:b/>
                <w:bCs/>
                <w:sz w:val="22"/>
                <w:szCs w:val="22"/>
              </w:rPr>
            </w:pPr>
            <w:r w:rsidRPr="008F0946">
              <w:rPr>
                <w:b/>
                <w:sz w:val="22"/>
                <w:szCs w:val="22"/>
              </w:rPr>
              <w:t>129,7</w:t>
            </w:r>
          </w:p>
        </w:tc>
      </w:tr>
    </w:tbl>
    <w:p w14:paraId="2F3CCABD" w14:textId="29034758" w:rsidR="00C54EBC" w:rsidRPr="00AE23C3" w:rsidRDefault="00C54EBC" w:rsidP="000E1C9E">
      <w:pPr>
        <w:widowControl w:val="0"/>
        <w:spacing w:before="120"/>
      </w:pPr>
      <w:r w:rsidRPr="00C54EBC">
        <w:t xml:space="preserve">A belföldi, az import és dohánytermékek utáni áfabevétel egyaránt növekedett. A belföldi befizetések növekedése </w:t>
      </w:r>
      <w:r>
        <w:t xml:space="preserve">elsősorban a feldolgozóiparhoz, valamint a </w:t>
      </w:r>
      <w:proofErr w:type="spellStart"/>
      <w:r>
        <w:t>villamosenergia-</w:t>
      </w:r>
      <w:proofErr w:type="spellEnd"/>
      <w:r>
        <w:t>, gáz-, gőzellátás iparághoz köthető</w:t>
      </w:r>
      <w:r w:rsidRPr="00C54EBC">
        <w:t>. Az import utáni befizetések növekedéséhez hozzájárult az importált termékek volumenének és beszerzési árának növekedése. A dohánytermékek utáni bevételek előző év azonos időszakához viszonyított alakulását befolyásolják a bázisévi és a 2022. júliusi jövedéki adómérték-emelések, valamint a készletezésnek köszönhető forgalomnövekedés. A kiutalások növekedéséhez hozzájárult a köztes ágazatok magasabb befizetése.</w:t>
      </w:r>
    </w:p>
    <w:p w14:paraId="28F8F84E" w14:textId="0E37748A" w:rsidR="006C4AB2" w:rsidRPr="00AE23C3" w:rsidRDefault="0062244E" w:rsidP="00CA53B5">
      <w:pPr>
        <w:widowControl w:val="0"/>
        <w:jc w:val="center"/>
      </w:pPr>
      <w:r w:rsidRPr="0062244E">
        <w:rPr>
          <w:noProof/>
        </w:rPr>
        <w:drawing>
          <wp:inline distT="0" distB="0" distL="0" distR="0" wp14:anchorId="7EC73247" wp14:editId="780606FE">
            <wp:extent cx="5218430" cy="3488928"/>
            <wp:effectExtent l="0" t="0" r="1270" b="0"/>
            <wp:docPr id="5" name="Kép 5" descr="Z:\Áht_gyors_moni\2022_10_okt\0_feljegyzés_monitoring\ábrák\___á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Áht_gyors_moni\2022_10_okt\0_feljegyzés_monitoring\ábrák\___áf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3563" cy="3505731"/>
                    </a:xfrm>
                    <a:prstGeom prst="rect">
                      <a:avLst/>
                    </a:prstGeom>
                    <a:noFill/>
                    <a:ln>
                      <a:noFill/>
                    </a:ln>
                  </pic:spPr>
                </pic:pic>
              </a:graphicData>
            </a:graphic>
          </wp:inline>
        </w:drawing>
      </w:r>
    </w:p>
    <w:p w14:paraId="7BEC5EB0" w14:textId="55646A00" w:rsidR="00A47B5B" w:rsidRPr="00AE23C3" w:rsidRDefault="7823C623" w:rsidP="0000352A">
      <w:r>
        <w:lastRenderedPageBreak/>
        <w:t xml:space="preserve">A </w:t>
      </w:r>
      <w:r w:rsidRPr="7823C623">
        <w:rPr>
          <w:b/>
          <w:bCs/>
        </w:rPr>
        <w:t>jövedéki adóból</w:t>
      </w:r>
      <w:r w:rsidR="00A47B5B">
        <w:t xml:space="preserve"> származó bevétel októ</w:t>
      </w:r>
      <w:r>
        <w:t xml:space="preserve">ber végéig </w:t>
      </w:r>
      <w:r w:rsidR="00A47B5B" w:rsidRPr="00A47B5B">
        <w:t>1017,4 milliárd forintot tett ki, amely 6,9 milliárd forinttal alacsonyabb az egy évvel korábbi bevételnél.</w:t>
      </w:r>
    </w:p>
    <w:tbl>
      <w:tblPr>
        <w:tblW w:w="8079" w:type="dxa"/>
        <w:jc w:val="center"/>
        <w:tblCellMar>
          <w:left w:w="70" w:type="dxa"/>
          <w:right w:w="70" w:type="dxa"/>
        </w:tblCellMar>
        <w:tblLook w:val="04A0" w:firstRow="1" w:lastRow="0" w:firstColumn="1" w:lastColumn="0" w:noHBand="0" w:noVBand="1"/>
      </w:tblPr>
      <w:tblGrid>
        <w:gridCol w:w="3542"/>
        <w:gridCol w:w="1134"/>
        <w:gridCol w:w="1134"/>
        <w:gridCol w:w="1134"/>
        <w:gridCol w:w="1135"/>
      </w:tblGrid>
      <w:tr w:rsidR="00AE23C3" w:rsidRPr="00AE23C3" w14:paraId="3A81EA80" w14:textId="77777777" w:rsidTr="7823C623">
        <w:trPr>
          <w:trHeight w:val="255"/>
          <w:jc w:val="center"/>
        </w:trPr>
        <w:tc>
          <w:tcPr>
            <w:tcW w:w="8079" w:type="dxa"/>
            <w:gridSpan w:val="5"/>
            <w:tcBorders>
              <w:top w:val="nil"/>
              <w:left w:val="nil"/>
              <w:bottom w:val="single" w:sz="4" w:space="0" w:color="auto"/>
              <w:right w:val="nil"/>
            </w:tcBorders>
            <w:shd w:val="clear" w:color="auto" w:fill="auto"/>
            <w:noWrap/>
            <w:vAlign w:val="bottom"/>
            <w:hideMark/>
          </w:tcPr>
          <w:p w14:paraId="6E79320C" w14:textId="77777777" w:rsidR="00024A56" w:rsidRPr="004D3B69" w:rsidRDefault="7823C623" w:rsidP="7823C623">
            <w:pPr>
              <w:spacing w:before="120"/>
              <w:jc w:val="center"/>
              <w:rPr>
                <w:b/>
                <w:bCs/>
                <w:sz w:val="22"/>
                <w:szCs w:val="22"/>
              </w:rPr>
            </w:pPr>
            <w:r w:rsidRPr="7823C623">
              <w:rPr>
                <w:b/>
                <w:bCs/>
                <w:sz w:val="22"/>
                <w:szCs w:val="22"/>
              </w:rPr>
              <w:t>Jövedéki adó bevétel alakulása (milliárd forint)</w:t>
            </w:r>
          </w:p>
        </w:tc>
      </w:tr>
      <w:tr w:rsidR="00AE23C3" w:rsidRPr="00AE23C3" w14:paraId="34A1C44D" w14:textId="77777777" w:rsidTr="7823C623">
        <w:trPr>
          <w:trHeight w:val="283"/>
          <w:jc w:val="center"/>
        </w:trPr>
        <w:tc>
          <w:tcPr>
            <w:tcW w:w="35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D96E8" w14:textId="77777777" w:rsidR="00024A56" w:rsidRPr="00AE23C3" w:rsidRDefault="7823C623" w:rsidP="7823C623">
            <w:pPr>
              <w:spacing w:after="0"/>
              <w:jc w:val="center"/>
              <w:rPr>
                <w:b/>
                <w:bCs/>
                <w:sz w:val="22"/>
                <w:szCs w:val="22"/>
              </w:rPr>
            </w:pPr>
            <w:r w:rsidRPr="7823C623">
              <w:rPr>
                <w:b/>
                <w:bCs/>
                <w:sz w:val="22"/>
                <w:szCs w:val="22"/>
              </w:rPr>
              <w:t>Megnevezés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932975" w14:textId="19A856D3" w:rsidR="00024A56" w:rsidRPr="004D3B69" w:rsidRDefault="7823C623" w:rsidP="7823C623">
            <w:pPr>
              <w:spacing w:after="0"/>
              <w:jc w:val="center"/>
              <w:rPr>
                <w:b/>
                <w:bCs/>
                <w:sz w:val="22"/>
                <w:szCs w:val="22"/>
              </w:rPr>
            </w:pPr>
            <w:r w:rsidRPr="7823C623">
              <w:rPr>
                <w:b/>
                <w:bCs/>
                <w:sz w:val="22"/>
                <w:szCs w:val="22"/>
              </w:rPr>
              <w:t>2021.</w:t>
            </w:r>
            <w:r w:rsidR="69871672">
              <w:br/>
            </w:r>
            <w:r w:rsidR="00D472D1">
              <w:rPr>
                <w:b/>
                <w:bCs/>
                <w:sz w:val="22"/>
                <w:szCs w:val="22"/>
              </w:rPr>
              <w:t>I-</w:t>
            </w:r>
            <w:r w:rsidRPr="7823C623">
              <w:rPr>
                <w:b/>
                <w:bCs/>
                <w:sz w:val="22"/>
                <w:szCs w:val="22"/>
              </w:rPr>
              <w:t>X. hó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AA4BEA" w14:textId="2770D799" w:rsidR="00024A56" w:rsidRPr="004D3B69" w:rsidRDefault="7823C623" w:rsidP="7823C623">
            <w:pPr>
              <w:spacing w:after="0"/>
              <w:jc w:val="center"/>
              <w:rPr>
                <w:b/>
                <w:bCs/>
                <w:sz w:val="22"/>
                <w:szCs w:val="22"/>
              </w:rPr>
            </w:pPr>
            <w:r w:rsidRPr="7823C623">
              <w:rPr>
                <w:b/>
                <w:bCs/>
                <w:sz w:val="22"/>
                <w:szCs w:val="22"/>
              </w:rPr>
              <w:t>2022.</w:t>
            </w:r>
            <w:r w:rsidR="69871672">
              <w:br/>
            </w:r>
            <w:r w:rsidR="00D472D1">
              <w:rPr>
                <w:b/>
                <w:bCs/>
                <w:sz w:val="22"/>
                <w:szCs w:val="22"/>
              </w:rPr>
              <w:t>I-</w:t>
            </w:r>
            <w:r w:rsidRPr="7823C623">
              <w:rPr>
                <w:b/>
                <w:bCs/>
                <w:sz w:val="22"/>
                <w:szCs w:val="22"/>
              </w:rPr>
              <w:t>X. hó</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F24C1" w14:textId="77777777" w:rsidR="00024A56" w:rsidRPr="004D3B69" w:rsidRDefault="7823C623" w:rsidP="7823C623">
            <w:pPr>
              <w:spacing w:after="0"/>
              <w:jc w:val="center"/>
              <w:rPr>
                <w:b/>
                <w:bCs/>
                <w:sz w:val="22"/>
                <w:szCs w:val="22"/>
              </w:rPr>
            </w:pPr>
            <w:r w:rsidRPr="7823C623">
              <w:rPr>
                <w:b/>
                <w:bCs/>
                <w:sz w:val="22"/>
                <w:szCs w:val="22"/>
              </w:rPr>
              <w:t>Eltérés</w:t>
            </w:r>
          </w:p>
        </w:tc>
      </w:tr>
      <w:tr w:rsidR="00AE23C3" w:rsidRPr="00AE23C3" w14:paraId="0A0EA470" w14:textId="77777777" w:rsidTr="7823C623">
        <w:trPr>
          <w:trHeight w:val="283"/>
          <w:jc w:val="center"/>
        </w:trPr>
        <w:tc>
          <w:tcPr>
            <w:tcW w:w="3542" w:type="dxa"/>
            <w:vMerge/>
            <w:tcBorders>
              <w:top w:val="single" w:sz="4" w:space="0" w:color="auto"/>
              <w:left w:val="single" w:sz="4" w:space="0" w:color="auto"/>
              <w:bottom w:val="single" w:sz="4" w:space="0" w:color="auto"/>
              <w:right w:val="single" w:sz="4" w:space="0" w:color="auto"/>
            </w:tcBorders>
            <w:vAlign w:val="center"/>
            <w:hideMark/>
          </w:tcPr>
          <w:p w14:paraId="3CF47CB0" w14:textId="77777777" w:rsidR="00024A56" w:rsidRPr="00AE23C3" w:rsidRDefault="00024A56" w:rsidP="00024A56">
            <w:pPr>
              <w:spacing w:after="0"/>
              <w:jc w:val="left"/>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60470E" w14:textId="77777777" w:rsidR="00024A56" w:rsidRPr="004D3B69" w:rsidRDefault="00024A56" w:rsidP="006B3219">
            <w:pPr>
              <w:spacing w:after="0"/>
              <w:jc w:val="cente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9292C5" w14:textId="77777777" w:rsidR="00024A56" w:rsidRPr="004D3B69" w:rsidRDefault="00024A56" w:rsidP="006B3219">
            <w:pPr>
              <w:spacing w:after="0"/>
              <w:jc w:val="center"/>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54943" w14:textId="77777777" w:rsidR="00024A56" w:rsidRPr="004D3B69" w:rsidRDefault="7823C623" w:rsidP="7823C623">
            <w:pPr>
              <w:spacing w:after="0"/>
              <w:jc w:val="center"/>
              <w:rPr>
                <w:b/>
                <w:bCs/>
                <w:sz w:val="22"/>
                <w:szCs w:val="22"/>
              </w:rPr>
            </w:pPr>
            <w:r w:rsidRPr="7823C623">
              <w:rPr>
                <w:b/>
                <w:bCs/>
                <w:sz w:val="22"/>
                <w:szCs w:val="22"/>
              </w:rPr>
              <w:t>Mrd Ft</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863EF" w14:textId="77777777" w:rsidR="00024A56" w:rsidRPr="004D3B69" w:rsidRDefault="7823C623" w:rsidP="7823C623">
            <w:pPr>
              <w:spacing w:after="0"/>
              <w:jc w:val="center"/>
              <w:rPr>
                <w:b/>
                <w:bCs/>
                <w:sz w:val="22"/>
                <w:szCs w:val="22"/>
              </w:rPr>
            </w:pPr>
            <w:r w:rsidRPr="7823C623">
              <w:rPr>
                <w:b/>
                <w:bCs/>
                <w:sz w:val="22"/>
                <w:szCs w:val="22"/>
              </w:rPr>
              <w:t>%</w:t>
            </w:r>
          </w:p>
        </w:tc>
      </w:tr>
      <w:tr w:rsidR="008F0946" w:rsidRPr="00AC3474" w14:paraId="508557F8" w14:textId="77777777" w:rsidTr="00452AD4">
        <w:trPr>
          <w:trHeight w:val="283"/>
          <w:jc w:val="center"/>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723A4" w14:textId="2A4E5FB9" w:rsidR="008F0946" w:rsidRPr="00AE23C3" w:rsidRDefault="008F0946" w:rsidP="008F0946">
            <w:pPr>
              <w:spacing w:after="0"/>
              <w:jc w:val="left"/>
              <w:rPr>
                <w:sz w:val="22"/>
                <w:szCs w:val="22"/>
              </w:rPr>
            </w:pPr>
            <w:r w:rsidRPr="7823C623">
              <w:rPr>
                <w:sz w:val="22"/>
                <w:szCs w:val="22"/>
              </w:rPr>
              <w:t>Üzemanyag jövedéki adó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F4B4E" w14:textId="77DC202B" w:rsidR="008F0946" w:rsidRPr="008F0946" w:rsidRDefault="008F0946" w:rsidP="00452AD4">
            <w:pPr>
              <w:spacing w:after="0"/>
              <w:jc w:val="right"/>
              <w:rPr>
                <w:sz w:val="22"/>
                <w:szCs w:val="22"/>
              </w:rPr>
            </w:pPr>
            <w:r w:rsidRPr="008F0946">
              <w:rPr>
                <w:sz w:val="22"/>
                <w:szCs w:val="22"/>
              </w:rPr>
              <w:t>587,8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8CB93" w14:textId="4FAEE90E" w:rsidR="008F0946" w:rsidRPr="008F0946" w:rsidRDefault="008F0946" w:rsidP="00452AD4">
            <w:pPr>
              <w:spacing w:after="0"/>
              <w:jc w:val="right"/>
              <w:rPr>
                <w:sz w:val="22"/>
                <w:szCs w:val="22"/>
              </w:rPr>
            </w:pPr>
            <w:r w:rsidRPr="008F0946">
              <w:rPr>
                <w:sz w:val="22"/>
                <w:szCs w:val="22"/>
              </w:rPr>
              <w:t>526,7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690E2" w14:textId="3411AC2C" w:rsidR="008F0946" w:rsidRPr="008F0946" w:rsidRDefault="008F0946" w:rsidP="00452AD4">
            <w:pPr>
              <w:spacing w:after="0"/>
              <w:jc w:val="right"/>
              <w:rPr>
                <w:sz w:val="22"/>
                <w:szCs w:val="22"/>
              </w:rPr>
            </w:pPr>
            <w:r w:rsidRPr="008F0946">
              <w:rPr>
                <w:sz w:val="22"/>
                <w:szCs w:val="22"/>
              </w:rPr>
              <w:t>-61,1</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0F6B5" w14:textId="1380049D" w:rsidR="008F0946" w:rsidRPr="008F0946" w:rsidRDefault="008F0946" w:rsidP="00452AD4">
            <w:pPr>
              <w:spacing w:after="0"/>
              <w:jc w:val="right"/>
              <w:rPr>
                <w:sz w:val="22"/>
                <w:szCs w:val="22"/>
              </w:rPr>
            </w:pPr>
            <w:r w:rsidRPr="008F0946">
              <w:rPr>
                <w:sz w:val="22"/>
                <w:szCs w:val="22"/>
              </w:rPr>
              <w:t>89,6</w:t>
            </w:r>
          </w:p>
        </w:tc>
      </w:tr>
      <w:tr w:rsidR="008F0946" w:rsidRPr="00AC3474" w14:paraId="57AD209F" w14:textId="77777777" w:rsidTr="00452AD4">
        <w:trPr>
          <w:trHeight w:val="283"/>
          <w:jc w:val="center"/>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C933F" w14:textId="1E295CF4" w:rsidR="008F0946" w:rsidRPr="00AE23C3" w:rsidRDefault="008F0946" w:rsidP="008F0946">
            <w:pPr>
              <w:spacing w:after="0"/>
              <w:jc w:val="left"/>
              <w:rPr>
                <w:sz w:val="22"/>
                <w:szCs w:val="22"/>
              </w:rPr>
            </w:pPr>
            <w:r w:rsidRPr="7823C623">
              <w:rPr>
                <w:sz w:val="22"/>
                <w:szCs w:val="22"/>
              </w:rPr>
              <w:t>Dohánygyártmány jövedéki adó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99CAB" w14:textId="2A1F9DF0" w:rsidR="008F0946" w:rsidRPr="008F0946" w:rsidRDefault="008F0946" w:rsidP="00452AD4">
            <w:pPr>
              <w:spacing w:after="0"/>
              <w:jc w:val="right"/>
              <w:rPr>
                <w:sz w:val="22"/>
                <w:szCs w:val="22"/>
              </w:rPr>
            </w:pPr>
            <w:r w:rsidRPr="008F0946">
              <w:rPr>
                <w:sz w:val="22"/>
                <w:szCs w:val="22"/>
              </w:rPr>
              <w:t>341,2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C4294" w14:textId="478DF016" w:rsidR="008F0946" w:rsidRPr="008F0946" w:rsidRDefault="008F0946" w:rsidP="00452AD4">
            <w:pPr>
              <w:spacing w:after="0"/>
              <w:jc w:val="right"/>
              <w:rPr>
                <w:sz w:val="22"/>
                <w:szCs w:val="22"/>
              </w:rPr>
            </w:pPr>
            <w:r w:rsidRPr="008F0946">
              <w:rPr>
                <w:sz w:val="22"/>
                <w:szCs w:val="22"/>
              </w:rPr>
              <w:t>378,0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32EB7" w14:textId="5D7A45F0" w:rsidR="008F0946" w:rsidRPr="008F0946" w:rsidRDefault="008F0946" w:rsidP="00452AD4">
            <w:pPr>
              <w:spacing w:after="0"/>
              <w:jc w:val="right"/>
              <w:rPr>
                <w:sz w:val="22"/>
                <w:szCs w:val="22"/>
              </w:rPr>
            </w:pPr>
            <w:r w:rsidRPr="008F0946">
              <w:rPr>
                <w:sz w:val="22"/>
                <w:szCs w:val="22"/>
              </w:rPr>
              <w:t>36,8</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3DB33" w14:textId="62DD3464" w:rsidR="008F0946" w:rsidRPr="008F0946" w:rsidRDefault="008F0946" w:rsidP="00452AD4">
            <w:pPr>
              <w:spacing w:after="0"/>
              <w:jc w:val="right"/>
              <w:rPr>
                <w:sz w:val="22"/>
                <w:szCs w:val="22"/>
              </w:rPr>
            </w:pPr>
            <w:r w:rsidRPr="008F0946">
              <w:rPr>
                <w:sz w:val="22"/>
                <w:szCs w:val="22"/>
              </w:rPr>
              <w:t>110,8</w:t>
            </w:r>
          </w:p>
        </w:tc>
      </w:tr>
      <w:tr w:rsidR="008F0946" w:rsidRPr="00AC3474" w14:paraId="2E89E7E2" w14:textId="77777777" w:rsidTr="00452AD4">
        <w:trPr>
          <w:trHeight w:val="283"/>
          <w:jc w:val="center"/>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95F96" w14:textId="3DE2DEE2" w:rsidR="008F0946" w:rsidRPr="00AE23C3" w:rsidRDefault="008F0946" w:rsidP="008F0946">
            <w:pPr>
              <w:spacing w:after="0"/>
              <w:jc w:val="left"/>
              <w:rPr>
                <w:sz w:val="22"/>
                <w:szCs w:val="22"/>
              </w:rPr>
            </w:pPr>
            <w:r w:rsidRPr="7823C623">
              <w:rPr>
                <w:sz w:val="22"/>
                <w:szCs w:val="22"/>
              </w:rPr>
              <w:t>Egyéb termék jövedéki adó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4BF93" w14:textId="525BE5E7" w:rsidR="008F0946" w:rsidRPr="008F0946" w:rsidRDefault="008F0946" w:rsidP="00452AD4">
            <w:pPr>
              <w:spacing w:after="0"/>
              <w:jc w:val="right"/>
              <w:rPr>
                <w:sz w:val="22"/>
                <w:szCs w:val="22"/>
              </w:rPr>
            </w:pPr>
            <w:r w:rsidRPr="008F0946">
              <w:rPr>
                <w:sz w:val="22"/>
                <w:szCs w:val="22"/>
              </w:rPr>
              <w:t>78,2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6728B" w14:textId="6577BE91" w:rsidR="008F0946" w:rsidRPr="008F0946" w:rsidRDefault="008F0946" w:rsidP="00452AD4">
            <w:pPr>
              <w:spacing w:after="0"/>
              <w:jc w:val="right"/>
              <w:rPr>
                <w:sz w:val="22"/>
                <w:szCs w:val="22"/>
              </w:rPr>
            </w:pPr>
            <w:r w:rsidRPr="008F0946">
              <w:rPr>
                <w:sz w:val="22"/>
                <w:szCs w:val="22"/>
              </w:rPr>
              <w:t>94,8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54059" w14:textId="7105FCAD" w:rsidR="008F0946" w:rsidRPr="008F0946" w:rsidRDefault="008F0946" w:rsidP="00452AD4">
            <w:pPr>
              <w:spacing w:after="0"/>
              <w:jc w:val="right"/>
              <w:rPr>
                <w:sz w:val="22"/>
                <w:szCs w:val="22"/>
              </w:rPr>
            </w:pPr>
            <w:r w:rsidRPr="008F0946">
              <w:rPr>
                <w:sz w:val="22"/>
                <w:szCs w:val="22"/>
              </w:rPr>
              <w:t>16,6</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267EE" w14:textId="6C1719C8" w:rsidR="008F0946" w:rsidRPr="008F0946" w:rsidRDefault="008F0946" w:rsidP="00452AD4">
            <w:pPr>
              <w:spacing w:after="0"/>
              <w:jc w:val="right"/>
              <w:rPr>
                <w:sz w:val="22"/>
                <w:szCs w:val="22"/>
              </w:rPr>
            </w:pPr>
            <w:r w:rsidRPr="008F0946">
              <w:rPr>
                <w:sz w:val="22"/>
                <w:szCs w:val="22"/>
              </w:rPr>
              <w:t>121,2</w:t>
            </w:r>
          </w:p>
        </w:tc>
      </w:tr>
      <w:tr w:rsidR="008F0946" w:rsidRPr="00AC3474" w14:paraId="664D47E1" w14:textId="77777777" w:rsidTr="00452AD4">
        <w:trPr>
          <w:trHeight w:val="283"/>
          <w:jc w:val="center"/>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19B72" w14:textId="7D059BE1" w:rsidR="008F0946" w:rsidRPr="00AE23C3" w:rsidRDefault="008F0946" w:rsidP="008F0946">
            <w:pPr>
              <w:spacing w:after="0"/>
              <w:jc w:val="left"/>
              <w:rPr>
                <w:sz w:val="22"/>
                <w:szCs w:val="22"/>
              </w:rPr>
            </w:pPr>
            <w:r w:rsidRPr="7823C623">
              <w:rPr>
                <w:sz w:val="22"/>
                <w:szCs w:val="22"/>
              </w:rPr>
              <w:t>Import jövedéki adó és energiaadó</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55628" w14:textId="693AD065" w:rsidR="008F0946" w:rsidRPr="008F0946" w:rsidRDefault="008F0946" w:rsidP="00452AD4">
            <w:pPr>
              <w:spacing w:after="0"/>
              <w:jc w:val="right"/>
              <w:rPr>
                <w:sz w:val="22"/>
                <w:szCs w:val="22"/>
              </w:rPr>
            </w:pPr>
            <w:r w:rsidRPr="008F0946">
              <w:rPr>
                <w:sz w:val="22"/>
                <w:szCs w:val="22"/>
              </w:rPr>
              <w:t>17,1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70C2F" w14:textId="58009D1A" w:rsidR="008F0946" w:rsidRPr="008F0946" w:rsidRDefault="008F0946" w:rsidP="00452AD4">
            <w:pPr>
              <w:spacing w:after="0"/>
              <w:jc w:val="right"/>
              <w:rPr>
                <w:sz w:val="22"/>
                <w:szCs w:val="22"/>
              </w:rPr>
            </w:pPr>
            <w:r w:rsidRPr="008F0946">
              <w:rPr>
                <w:sz w:val="22"/>
                <w:szCs w:val="22"/>
              </w:rPr>
              <w:t>17,9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B1DC5" w14:textId="1C3EC672" w:rsidR="008F0946" w:rsidRPr="008F0946" w:rsidRDefault="008F0946" w:rsidP="00452AD4">
            <w:pPr>
              <w:spacing w:after="0"/>
              <w:jc w:val="right"/>
              <w:rPr>
                <w:sz w:val="22"/>
                <w:szCs w:val="22"/>
              </w:rPr>
            </w:pPr>
            <w:r w:rsidRPr="008F0946">
              <w:rPr>
                <w:sz w:val="22"/>
                <w:szCs w:val="22"/>
              </w:rPr>
              <w:t>0,8</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1FF55" w14:textId="1F6D42E9" w:rsidR="008F0946" w:rsidRPr="008F0946" w:rsidRDefault="008F0946" w:rsidP="00452AD4">
            <w:pPr>
              <w:spacing w:after="0"/>
              <w:jc w:val="right"/>
              <w:rPr>
                <w:sz w:val="22"/>
                <w:szCs w:val="22"/>
              </w:rPr>
            </w:pPr>
            <w:r w:rsidRPr="008F0946">
              <w:rPr>
                <w:sz w:val="22"/>
                <w:szCs w:val="22"/>
              </w:rPr>
              <w:t>104,6</w:t>
            </w:r>
          </w:p>
        </w:tc>
      </w:tr>
      <w:tr w:rsidR="008F0946" w:rsidRPr="008F0946" w14:paraId="65DFBFEE" w14:textId="77777777" w:rsidTr="00452AD4">
        <w:trPr>
          <w:trHeight w:val="283"/>
          <w:jc w:val="center"/>
        </w:trPr>
        <w:tc>
          <w:tcPr>
            <w:tcW w:w="35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B3BD6" w14:textId="36BFD6F0" w:rsidR="008F0946" w:rsidRPr="00AE23C3" w:rsidRDefault="008F0946" w:rsidP="008F0946">
            <w:pPr>
              <w:spacing w:after="0"/>
              <w:jc w:val="left"/>
              <w:rPr>
                <w:b/>
                <w:bCs/>
                <w:sz w:val="22"/>
                <w:szCs w:val="22"/>
              </w:rPr>
            </w:pPr>
            <w:r w:rsidRPr="7823C623">
              <w:rPr>
                <w:b/>
                <w:bCs/>
                <w:sz w:val="22"/>
                <w:szCs w:val="22"/>
              </w:rPr>
              <w:t>Jövedéki adók összesen</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362D3" w14:textId="212990E0" w:rsidR="008F0946" w:rsidRPr="008F0946" w:rsidRDefault="008F0946" w:rsidP="00452AD4">
            <w:pPr>
              <w:spacing w:after="0"/>
              <w:jc w:val="right"/>
              <w:rPr>
                <w:b/>
                <w:bCs/>
                <w:sz w:val="22"/>
                <w:szCs w:val="22"/>
              </w:rPr>
            </w:pPr>
            <w:r w:rsidRPr="008F0946">
              <w:rPr>
                <w:b/>
                <w:sz w:val="22"/>
                <w:szCs w:val="22"/>
              </w:rPr>
              <w:t>1024,3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30993" w14:textId="0578B92B" w:rsidR="008F0946" w:rsidRPr="008F0946" w:rsidRDefault="008F0946" w:rsidP="00452AD4">
            <w:pPr>
              <w:spacing w:after="0"/>
              <w:jc w:val="right"/>
              <w:rPr>
                <w:b/>
                <w:bCs/>
                <w:sz w:val="22"/>
                <w:szCs w:val="22"/>
              </w:rPr>
            </w:pPr>
            <w:r w:rsidRPr="008F0946">
              <w:rPr>
                <w:b/>
                <w:sz w:val="22"/>
                <w:szCs w:val="22"/>
              </w:rPr>
              <w:t>1017,4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32CD5" w14:textId="3BEFA21C" w:rsidR="008F0946" w:rsidRPr="008F0946" w:rsidRDefault="008F0946" w:rsidP="00452AD4">
            <w:pPr>
              <w:spacing w:after="0"/>
              <w:jc w:val="right"/>
              <w:rPr>
                <w:b/>
                <w:bCs/>
                <w:sz w:val="22"/>
                <w:szCs w:val="22"/>
              </w:rPr>
            </w:pPr>
            <w:r w:rsidRPr="008F0946">
              <w:rPr>
                <w:b/>
                <w:sz w:val="22"/>
                <w:szCs w:val="22"/>
              </w:rPr>
              <w:t>-6,9</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BDED0" w14:textId="4C9F171A" w:rsidR="008F0946" w:rsidRPr="008F0946" w:rsidRDefault="008F0946" w:rsidP="00452AD4">
            <w:pPr>
              <w:spacing w:after="0"/>
              <w:jc w:val="right"/>
              <w:rPr>
                <w:b/>
                <w:bCs/>
                <w:sz w:val="22"/>
                <w:szCs w:val="22"/>
              </w:rPr>
            </w:pPr>
            <w:r w:rsidRPr="008F0946">
              <w:rPr>
                <w:b/>
                <w:sz w:val="22"/>
                <w:szCs w:val="22"/>
              </w:rPr>
              <w:t>99,3</w:t>
            </w:r>
          </w:p>
        </w:tc>
      </w:tr>
    </w:tbl>
    <w:p w14:paraId="084366DB" w14:textId="36090746" w:rsidR="00A47B5B" w:rsidRPr="00AE23C3" w:rsidRDefault="00A47B5B" w:rsidP="00C64D5B">
      <w:pPr>
        <w:spacing w:before="120"/>
        <w:rPr>
          <w:szCs w:val="26"/>
        </w:rPr>
      </w:pPr>
      <w:r w:rsidRPr="00A47B5B">
        <w:rPr>
          <w:szCs w:val="26"/>
        </w:rPr>
        <w:t xml:space="preserve">Az üzemanyagok utáni bevételek csökkenésének </w:t>
      </w:r>
      <w:r>
        <w:t>hátterében</w:t>
      </w:r>
      <w:r w:rsidRPr="00A47B5B">
        <w:rPr>
          <w:szCs w:val="26"/>
        </w:rPr>
        <w:t xml:space="preserve"> a 2022</w:t>
      </w:r>
      <w:r>
        <w:t> </w:t>
      </w:r>
      <w:r w:rsidRPr="00A47B5B">
        <w:rPr>
          <w:szCs w:val="26"/>
        </w:rPr>
        <w:t>márciusában átmenetileg bevezetett alacsonyabb adómértékek állnak. A dohánytermékek utáni bevételek növekedésének hátterében a 2021. januári, áprilisi és a 2022. júliusi jövedéki adómérték-emelés, valamint az adóemelések miatti forgalomváltozás áll. A szeszesitalok és egyéb termékek esetében a bevételek növekedését a magasabb forgalom</w:t>
      </w:r>
      <w:r w:rsidR="004D229A">
        <w:rPr>
          <w:szCs w:val="26"/>
        </w:rPr>
        <w:t>,</w:t>
      </w:r>
      <w:r w:rsidRPr="00A47B5B">
        <w:rPr>
          <w:szCs w:val="26"/>
        </w:rPr>
        <w:t xml:space="preserve"> továbbá a 2022.</w:t>
      </w:r>
      <w:r>
        <w:rPr>
          <w:szCs w:val="26"/>
        </w:rPr>
        <w:t> </w:t>
      </w:r>
      <w:r w:rsidRPr="00A47B5B">
        <w:rPr>
          <w:szCs w:val="26"/>
        </w:rPr>
        <w:t>jú</w:t>
      </w:r>
      <w:r>
        <w:rPr>
          <w:szCs w:val="26"/>
        </w:rPr>
        <w:t>liusi adóváltozások indokolják.</w:t>
      </w:r>
    </w:p>
    <w:p w14:paraId="4C6DF015" w14:textId="0B8BC6FE" w:rsidR="00A47B5B" w:rsidRPr="00AE23C3" w:rsidRDefault="7823C623" w:rsidP="4AC3BDA3">
      <w:pPr>
        <w:rPr>
          <w:szCs w:val="26"/>
        </w:rPr>
      </w:pPr>
      <w:r>
        <w:t xml:space="preserve">A </w:t>
      </w:r>
      <w:r w:rsidRPr="7823C623">
        <w:rPr>
          <w:b/>
          <w:bCs/>
        </w:rPr>
        <w:t>személyi jövedelemadó</w:t>
      </w:r>
      <w:r>
        <w:t xml:space="preserve"> bevétel az év </w:t>
      </w:r>
      <w:r w:rsidR="00A47B5B">
        <w:t>tíz</w:t>
      </w:r>
      <w:r>
        <w:t xml:space="preserve"> hónapjában </w:t>
      </w:r>
      <w:r w:rsidR="00A47B5B" w:rsidRPr="00A47B5B">
        <w:rPr>
          <w:szCs w:val="26"/>
        </w:rPr>
        <w:t>2178,3 milliárd forint volt, amely 188,</w:t>
      </w:r>
      <w:r w:rsidR="00637121">
        <w:rPr>
          <w:szCs w:val="26"/>
        </w:rPr>
        <w:t>3</w:t>
      </w:r>
      <w:r w:rsidR="00A47B5B" w:rsidRPr="00A47B5B">
        <w:rPr>
          <w:szCs w:val="26"/>
        </w:rPr>
        <w:t xml:space="preserve"> milliárd forinttal alacsonyabb az egy évvel korábbi összegnél. A bázisidőszaktól való eltérést a bérek növekedése és a gyermeket nevelő szülők részére történő egyszeri adóvisszatérítés együttes hatása magyarázza.</w:t>
      </w:r>
    </w:p>
    <w:p w14:paraId="1F3AEC80" w14:textId="77777777" w:rsidR="003A0673" w:rsidRPr="00AE23C3" w:rsidRDefault="7823C623" w:rsidP="7823C623">
      <w:pPr>
        <w:keepNext/>
        <w:keepLines/>
        <w:spacing w:before="120"/>
        <w:jc w:val="center"/>
        <w:rPr>
          <w:b/>
          <w:bCs/>
          <w:sz w:val="22"/>
          <w:szCs w:val="22"/>
        </w:rPr>
      </w:pPr>
      <w:r w:rsidRPr="7823C623">
        <w:rPr>
          <w:b/>
          <w:bCs/>
          <w:sz w:val="22"/>
          <w:szCs w:val="22"/>
        </w:rPr>
        <w:t>Személyi jövedelemadó bevétel alakulása (milliárd forint)</w:t>
      </w:r>
    </w:p>
    <w:tbl>
      <w:tblPr>
        <w:tblW w:w="5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4"/>
        <w:gridCol w:w="1134"/>
        <w:gridCol w:w="1134"/>
        <w:gridCol w:w="1276"/>
      </w:tblGrid>
      <w:tr w:rsidR="00AE23C3" w:rsidRPr="00AE23C3" w14:paraId="467A7C80" w14:textId="77777777" w:rsidTr="7823C623">
        <w:trPr>
          <w:trHeight w:val="283"/>
          <w:jc w:val="center"/>
        </w:trPr>
        <w:tc>
          <w:tcPr>
            <w:tcW w:w="1484" w:type="dxa"/>
            <w:vMerge w:val="restart"/>
            <w:shd w:val="clear" w:color="auto" w:fill="auto"/>
            <w:noWrap/>
            <w:vAlign w:val="center"/>
            <w:hideMark/>
          </w:tcPr>
          <w:p w14:paraId="773C5629" w14:textId="77777777" w:rsidR="000A2CB2" w:rsidRPr="00AE23C3" w:rsidRDefault="7823C623" w:rsidP="7823C623">
            <w:pPr>
              <w:keepNext/>
              <w:keepLines/>
              <w:spacing w:after="0"/>
              <w:jc w:val="center"/>
              <w:rPr>
                <w:b/>
                <w:bCs/>
                <w:sz w:val="22"/>
                <w:szCs w:val="22"/>
              </w:rPr>
            </w:pPr>
            <w:r w:rsidRPr="7823C623">
              <w:rPr>
                <w:b/>
                <w:bCs/>
                <w:sz w:val="22"/>
                <w:szCs w:val="22"/>
              </w:rPr>
              <w:t>Megnevezés</w:t>
            </w:r>
          </w:p>
        </w:tc>
        <w:tc>
          <w:tcPr>
            <w:tcW w:w="1134" w:type="dxa"/>
            <w:tcBorders>
              <w:bottom w:val="nil"/>
            </w:tcBorders>
            <w:shd w:val="clear" w:color="auto" w:fill="auto"/>
            <w:vAlign w:val="center"/>
            <w:hideMark/>
          </w:tcPr>
          <w:p w14:paraId="60C24B45" w14:textId="77777777" w:rsidR="000A2CB2" w:rsidRPr="00AE23C3" w:rsidRDefault="7823C623" w:rsidP="7823C623">
            <w:pPr>
              <w:keepNext/>
              <w:keepLines/>
              <w:spacing w:after="0"/>
              <w:jc w:val="center"/>
              <w:rPr>
                <w:b/>
                <w:bCs/>
                <w:sz w:val="22"/>
                <w:szCs w:val="22"/>
              </w:rPr>
            </w:pPr>
            <w:r w:rsidRPr="7823C623">
              <w:rPr>
                <w:b/>
                <w:bCs/>
                <w:sz w:val="22"/>
                <w:szCs w:val="22"/>
              </w:rPr>
              <w:t>2021.</w:t>
            </w:r>
          </w:p>
        </w:tc>
        <w:tc>
          <w:tcPr>
            <w:tcW w:w="1134" w:type="dxa"/>
            <w:tcBorders>
              <w:bottom w:val="nil"/>
            </w:tcBorders>
            <w:shd w:val="clear" w:color="auto" w:fill="auto"/>
            <w:vAlign w:val="center"/>
            <w:hideMark/>
          </w:tcPr>
          <w:p w14:paraId="18CE70F5" w14:textId="77777777" w:rsidR="000A2CB2" w:rsidRPr="00AE23C3" w:rsidRDefault="7823C623" w:rsidP="7823C623">
            <w:pPr>
              <w:keepNext/>
              <w:keepLines/>
              <w:spacing w:after="0"/>
              <w:jc w:val="center"/>
              <w:rPr>
                <w:b/>
                <w:bCs/>
                <w:sz w:val="22"/>
                <w:szCs w:val="22"/>
              </w:rPr>
            </w:pPr>
            <w:r w:rsidRPr="7823C623">
              <w:rPr>
                <w:b/>
                <w:bCs/>
                <w:sz w:val="22"/>
                <w:szCs w:val="22"/>
              </w:rPr>
              <w:t>2022.</w:t>
            </w:r>
          </w:p>
        </w:tc>
        <w:tc>
          <w:tcPr>
            <w:tcW w:w="1276" w:type="dxa"/>
            <w:vMerge w:val="restart"/>
            <w:shd w:val="clear" w:color="auto" w:fill="auto"/>
            <w:vAlign w:val="center"/>
            <w:hideMark/>
          </w:tcPr>
          <w:p w14:paraId="42D02725" w14:textId="77777777" w:rsidR="000A2CB2" w:rsidRPr="00AE23C3" w:rsidRDefault="7823C623" w:rsidP="7823C623">
            <w:pPr>
              <w:keepNext/>
              <w:keepLines/>
              <w:spacing w:after="0"/>
              <w:jc w:val="center"/>
              <w:rPr>
                <w:b/>
                <w:bCs/>
                <w:sz w:val="22"/>
                <w:szCs w:val="22"/>
              </w:rPr>
            </w:pPr>
            <w:r w:rsidRPr="7823C623">
              <w:rPr>
                <w:b/>
                <w:bCs/>
                <w:sz w:val="22"/>
                <w:szCs w:val="22"/>
              </w:rPr>
              <w:t>Eltérés</w:t>
            </w:r>
          </w:p>
        </w:tc>
      </w:tr>
      <w:tr w:rsidR="00AE23C3" w:rsidRPr="00AE23C3" w14:paraId="4E43685C" w14:textId="77777777" w:rsidTr="7823C623">
        <w:trPr>
          <w:trHeight w:val="283"/>
          <w:jc w:val="center"/>
        </w:trPr>
        <w:tc>
          <w:tcPr>
            <w:tcW w:w="1484" w:type="dxa"/>
            <w:vMerge/>
            <w:vAlign w:val="center"/>
            <w:hideMark/>
          </w:tcPr>
          <w:p w14:paraId="64070DF8" w14:textId="77777777" w:rsidR="000A2CB2" w:rsidRPr="00AE23C3" w:rsidRDefault="000A2CB2" w:rsidP="006B3219">
            <w:pPr>
              <w:keepNext/>
              <w:keepLines/>
              <w:spacing w:after="0"/>
              <w:jc w:val="left"/>
              <w:rPr>
                <w:b/>
                <w:bCs/>
                <w:sz w:val="22"/>
              </w:rPr>
            </w:pPr>
          </w:p>
        </w:tc>
        <w:tc>
          <w:tcPr>
            <w:tcW w:w="1134" w:type="dxa"/>
            <w:tcBorders>
              <w:top w:val="nil"/>
            </w:tcBorders>
            <w:shd w:val="clear" w:color="auto" w:fill="auto"/>
            <w:vAlign w:val="center"/>
            <w:hideMark/>
          </w:tcPr>
          <w:p w14:paraId="7DAFCA44" w14:textId="3DE61440" w:rsidR="000A2CB2" w:rsidRPr="00AE23C3" w:rsidRDefault="001C2E8B" w:rsidP="7823C623">
            <w:pPr>
              <w:keepNext/>
              <w:keepLines/>
              <w:spacing w:after="0"/>
              <w:jc w:val="center"/>
              <w:rPr>
                <w:b/>
                <w:bCs/>
                <w:sz w:val="22"/>
                <w:szCs w:val="22"/>
              </w:rPr>
            </w:pPr>
            <w:r>
              <w:rPr>
                <w:b/>
                <w:bCs/>
                <w:sz w:val="22"/>
                <w:szCs w:val="22"/>
              </w:rPr>
              <w:t>I-</w:t>
            </w:r>
            <w:r w:rsidR="7823C623" w:rsidRPr="7823C623">
              <w:rPr>
                <w:b/>
                <w:bCs/>
                <w:sz w:val="22"/>
                <w:szCs w:val="22"/>
              </w:rPr>
              <w:t>X. hó</w:t>
            </w:r>
          </w:p>
        </w:tc>
        <w:tc>
          <w:tcPr>
            <w:tcW w:w="1134" w:type="dxa"/>
            <w:tcBorders>
              <w:top w:val="nil"/>
            </w:tcBorders>
            <w:shd w:val="clear" w:color="auto" w:fill="auto"/>
            <w:vAlign w:val="center"/>
            <w:hideMark/>
          </w:tcPr>
          <w:p w14:paraId="5BEF977A" w14:textId="5192961E" w:rsidR="000A2CB2" w:rsidRPr="00AE23C3" w:rsidRDefault="001C2E8B" w:rsidP="7823C623">
            <w:pPr>
              <w:keepNext/>
              <w:keepLines/>
              <w:spacing w:after="0"/>
              <w:jc w:val="center"/>
              <w:rPr>
                <w:b/>
                <w:bCs/>
                <w:sz w:val="22"/>
                <w:szCs w:val="22"/>
              </w:rPr>
            </w:pPr>
            <w:r>
              <w:rPr>
                <w:b/>
                <w:bCs/>
                <w:sz w:val="22"/>
                <w:szCs w:val="22"/>
              </w:rPr>
              <w:t>I-</w:t>
            </w:r>
            <w:r w:rsidR="7823C623" w:rsidRPr="7823C623">
              <w:rPr>
                <w:b/>
                <w:bCs/>
                <w:sz w:val="22"/>
                <w:szCs w:val="22"/>
              </w:rPr>
              <w:t>X. hó</w:t>
            </w:r>
          </w:p>
        </w:tc>
        <w:tc>
          <w:tcPr>
            <w:tcW w:w="1276" w:type="dxa"/>
            <w:vMerge/>
            <w:shd w:val="clear" w:color="auto" w:fill="auto"/>
            <w:vAlign w:val="center"/>
            <w:hideMark/>
          </w:tcPr>
          <w:p w14:paraId="1192F811" w14:textId="0F13EDC9" w:rsidR="000A2CB2" w:rsidRPr="00AE23C3" w:rsidRDefault="000A2CB2" w:rsidP="006B3219">
            <w:pPr>
              <w:keepNext/>
              <w:keepLines/>
              <w:spacing w:after="0"/>
              <w:jc w:val="center"/>
              <w:rPr>
                <w:b/>
                <w:bCs/>
                <w:sz w:val="22"/>
              </w:rPr>
            </w:pPr>
          </w:p>
        </w:tc>
      </w:tr>
      <w:tr w:rsidR="001C2E8B" w:rsidRPr="00AE23C3" w14:paraId="51A906E5" w14:textId="77777777" w:rsidTr="00452AD4">
        <w:trPr>
          <w:trHeight w:val="283"/>
          <w:jc w:val="center"/>
        </w:trPr>
        <w:tc>
          <w:tcPr>
            <w:tcW w:w="1484" w:type="dxa"/>
            <w:shd w:val="clear" w:color="auto" w:fill="auto"/>
            <w:noWrap/>
            <w:vAlign w:val="center"/>
            <w:hideMark/>
          </w:tcPr>
          <w:p w14:paraId="0B077681" w14:textId="77777777" w:rsidR="001C2E8B" w:rsidRPr="00AE23C3" w:rsidRDefault="001C2E8B" w:rsidP="001C2E8B">
            <w:pPr>
              <w:keepNext/>
              <w:keepLines/>
              <w:spacing w:after="0"/>
              <w:jc w:val="left"/>
              <w:rPr>
                <w:sz w:val="22"/>
                <w:szCs w:val="22"/>
              </w:rPr>
            </w:pPr>
            <w:r w:rsidRPr="7823C623">
              <w:rPr>
                <w:sz w:val="22"/>
                <w:szCs w:val="22"/>
              </w:rPr>
              <w:t>Befizetés</w:t>
            </w:r>
          </w:p>
        </w:tc>
        <w:tc>
          <w:tcPr>
            <w:tcW w:w="1134" w:type="dxa"/>
            <w:shd w:val="clear" w:color="auto" w:fill="auto"/>
            <w:noWrap/>
            <w:vAlign w:val="center"/>
          </w:tcPr>
          <w:p w14:paraId="3859E79D" w14:textId="41083598" w:rsidR="001C2E8B" w:rsidRPr="001C2E8B" w:rsidRDefault="001C2E8B" w:rsidP="00452AD4">
            <w:pPr>
              <w:keepNext/>
              <w:keepLines/>
              <w:spacing w:after="0"/>
              <w:jc w:val="right"/>
              <w:rPr>
                <w:sz w:val="22"/>
                <w:szCs w:val="22"/>
              </w:rPr>
            </w:pPr>
            <w:r w:rsidRPr="001C2E8B">
              <w:rPr>
                <w:sz w:val="22"/>
                <w:szCs w:val="22"/>
              </w:rPr>
              <w:t>2531,9</w:t>
            </w:r>
          </w:p>
        </w:tc>
        <w:tc>
          <w:tcPr>
            <w:tcW w:w="1134" w:type="dxa"/>
            <w:shd w:val="clear" w:color="auto" w:fill="auto"/>
            <w:noWrap/>
            <w:vAlign w:val="center"/>
          </w:tcPr>
          <w:p w14:paraId="6C174714" w14:textId="28CCED90" w:rsidR="001C2E8B" w:rsidRPr="001C2E8B" w:rsidRDefault="001C2E8B" w:rsidP="00452AD4">
            <w:pPr>
              <w:keepNext/>
              <w:keepLines/>
              <w:spacing w:after="0"/>
              <w:jc w:val="right"/>
              <w:rPr>
                <w:sz w:val="22"/>
                <w:szCs w:val="22"/>
              </w:rPr>
            </w:pPr>
            <w:r w:rsidRPr="001C2E8B">
              <w:rPr>
                <w:sz w:val="22"/>
                <w:szCs w:val="22"/>
              </w:rPr>
              <w:t>3236,4</w:t>
            </w:r>
          </w:p>
        </w:tc>
        <w:tc>
          <w:tcPr>
            <w:tcW w:w="1276" w:type="dxa"/>
            <w:shd w:val="clear" w:color="auto" w:fill="auto"/>
            <w:noWrap/>
            <w:vAlign w:val="center"/>
          </w:tcPr>
          <w:p w14:paraId="540EAA53" w14:textId="15ADCA7C" w:rsidR="001C2E8B" w:rsidRPr="001C2E8B" w:rsidRDefault="001C2E8B" w:rsidP="00452AD4">
            <w:pPr>
              <w:keepNext/>
              <w:keepLines/>
              <w:spacing w:after="0"/>
              <w:jc w:val="right"/>
              <w:rPr>
                <w:sz w:val="22"/>
                <w:szCs w:val="22"/>
              </w:rPr>
            </w:pPr>
            <w:r w:rsidRPr="001C2E8B">
              <w:rPr>
                <w:sz w:val="22"/>
                <w:szCs w:val="22"/>
              </w:rPr>
              <w:t>704,5</w:t>
            </w:r>
          </w:p>
        </w:tc>
      </w:tr>
      <w:tr w:rsidR="001C2E8B" w:rsidRPr="00AE23C3" w14:paraId="0524D185" w14:textId="77777777" w:rsidTr="00452AD4">
        <w:trPr>
          <w:trHeight w:val="283"/>
          <w:jc w:val="center"/>
        </w:trPr>
        <w:tc>
          <w:tcPr>
            <w:tcW w:w="1484" w:type="dxa"/>
            <w:shd w:val="clear" w:color="auto" w:fill="auto"/>
            <w:noWrap/>
            <w:vAlign w:val="center"/>
            <w:hideMark/>
          </w:tcPr>
          <w:p w14:paraId="5C7A69BD" w14:textId="77777777" w:rsidR="001C2E8B" w:rsidRPr="00AE23C3" w:rsidRDefault="001C2E8B" w:rsidP="001C2E8B">
            <w:pPr>
              <w:keepNext/>
              <w:keepLines/>
              <w:spacing w:after="0"/>
              <w:jc w:val="left"/>
              <w:rPr>
                <w:sz w:val="22"/>
                <w:szCs w:val="22"/>
              </w:rPr>
            </w:pPr>
            <w:r w:rsidRPr="7823C623">
              <w:rPr>
                <w:sz w:val="22"/>
                <w:szCs w:val="22"/>
              </w:rPr>
              <w:t>Kiutalás</w:t>
            </w:r>
          </w:p>
        </w:tc>
        <w:tc>
          <w:tcPr>
            <w:tcW w:w="1134" w:type="dxa"/>
            <w:shd w:val="clear" w:color="auto" w:fill="auto"/>
            <w:noWrap/>
            <w:vAlign w:val="center"/>
          </w:tcPr>
          <w:p w14:paraId="5F375CBD" w14:textId="23818B54" w:rsidR="001C2E8B" w:rsidRPr="001C2E8B" w:rsidRDefault="001C2E8B" w:rsidP="00452AD4">
            <w:pPr>
              <w:keepNext/>
              <w:keepLines/>
              <w:spacing w:after="0"/>
              <w:jc w:val="right"/>
              <w:rPr>
                <w:sz w:val="22"/>
                <w:szCs w:val="22"/>
              </w:rPr>
            </w:pPr>
            <w:r w:rsidRPr="001C2E8B">
              <w:rPr>
                <w:sz w:val="22"/>
                <w:szCs w:val="22"/>
              </w:rPr>
              <w:t>165,3</w:t>
            </w:r>
          </w:p>
        </w:tc>
        <w:tc>
          <w:tcPr>
            <w:tcW w:w="1134" w:type="dxa"/>
            <w:shd w:val="clear" w:color="auto" w:fill="auto"/>
            <w:noWrap/>
            <w:vAlign w:val="center"/>
          </w:tcPr>
          <w:p w14:paraId="69ED99C5" w14:textId="70310B8D" w:rsidR="001C2E8B" w:rsidRPr="001C2E8B" w:rsidRDefault="001C2E8B" w:rsidP="00452AD4">
            <w:pPr>
              <w:keepNext/>
              <w:keepLines/>
              <w:spacing w:after="0"/>
              <w:jc w:val="right"/>
              <w:rPr>
                <w:sz w:val="22"/>
                <w:szCs w:val="22"/>
              </w:rPr>
            </w:pPr>
            <w:r w:rsidRPr="001C2E8B">
              <w:rPr>
                <w:sz w:val="22"/>
                <w:szCs w:val="22"/>
              </w:rPr>
              <w:t>1 058,1</w:t>
            </w:r>
          </w:p>
        </w:tc>
        <w:tc>
          <w:tcPr>
            <w:tcW w:w="1276" w:type="dxa"/>
            <w:shd w:val="clear" w:color="auto" w:fill="auto"/>
            <w:noWrap/>
            <w:vAlign w:val="center"/>
          </w:tcPr>
          <w:p w14:paraId="5B3115F9" w14:textId="06913837" w:rsidR="001C2E8B" w:rsidRPr="001C2E8B" w:rsidRDefault="001C2E8B" w:rsidP="00452AD4">
            <w:pPr>
              <w:keepNext/>
              <w:keepLines/>
              <w:spacing w:after="0"/>
              <w:jc w:val="right"/>
              <w:rPr>
                <w:sz w:val="22"/>
                <w:szCs w:val="22"/>
              </w:rPr>
            </w:pPr>
            <w:r w:rsidRPr="001C2E8B">
              <w:rPr>
                <w:sz w:val="22"/>
                <w:szCs w:val="22"/>
              </w:rPr>
              <w:t>892,8</w:t>
            </w:r>
          </w:p>
        </w:tc>
      </w:tr>
      <w:tr w:rsidR="001C2E8B" w:rsidRPr="00AE23C3" w14:paraId="188A8B79" w14:textId="77777777" w:rsidTr="00452AD4">
        <w:trPr>
          <w:trHeight w:val="283"/>
          <w:jc w:val="center"/>
        </w:trPr>
        <w:tc>
          <w:tcPr>
            <w:tcW w:w="1484" w:type="dxa"/>
            <w:shd w:val="clear" w:color="auto" w:fill="auto"/>
            <w:noWrap/>
            <w:vAlign w:val="center"/>
            <w:hideMark/>
          </w:tcPr>
          <w:p w14:paraId="7086898B" w14:textId="77777777" w:rsidR="001C2E8B" w:rsidRPr="00AE23C3" w:rsidRDefault="001C2E8B" w:rsidP="001C2E8B">
            <w:pPr>
              <w:keepNext/>
              <w:keepLines/>
              <w:spacing w:after="0"/>
              <w:jc w:val="left"/>
              <w:rPr>
                <w:b/>
                <w:bCs/>
                <w:sz w:val="22"/>
                <w:szCs w:val="22"/>
              </w:rPr>
            </w:pPr>
            <w:r w:rsidRPr="7823C623">
              <w:rPr>
                <w:b/>
                <w:bCs/>
                <w:sz w:val="22"/>
                <w:szCs w:val="22"/>
              </w:rPr>
              <w:t>Egyenleg</w:t>
            </w:r>
          </w:p>
        </w:tc>
        <w:tc>
          <w:tcPr>
            <w:tcW w:w="1134" w:type="dxa"/>
            <w:shd w:val="clear" w:color="auto" w:fill="auto"/>
            <w:noWrap/>
            <w:vAlign w:val="center"/>
          </w:tcPr>
          <w:p w14:paraId="74579C78" w14:textId="6A764B40" w:rsidR="001C2E8B" w:rsidRPr="001C2E8B" w:rsidRDefault="001C2E8B" w:rsidP="00452AD4">
            <w:pPr>
              <w:keepNext/>
              <w:keepLines/>
              <w:spacing w:after="0"/>
              <w:jc w:val="right"/>
              <w:rPr>
                <w:b/>
                <w:bCs/>
                <w:sz w:val="22"/>
                <w:szCs w:val="22"/>
              </w:rPr>
            </w:pPr>
            <w:r w:rsidRPr="001C2E8B">
              <w:rPr>
                <w:b/>
                <w:sz w:val="22"/>
                <w:szCs w:val="22"/>
              </w:rPr>
              <w:t>2366,6</w:t>
            </w:r>
          </w:p>
        </w:tc>
        <w:tc>
          <w:tcPr>
            <w:tcW w:w="1134" w:type="dxa"/>
            <w:shd w:val="clear" w:color="auto" w:fill="auto"/>
            <w:noWrap/>
            <w:vAlign w:val="center"/>
          </w:tcPr>
          <w:p w14:paraId="601A94EA" w14:textId="37944E30" w:rsidR="001C2E8B" w:rsidRPr="001C2E8B" w:rsidRDefault="001C2E8B" w:rsidP="00452AD4">
            <w:pPr>
              <w:keepNext/>
              <w:keepLines/>
              <w:spacing w:after="0"/>
              <w:jc w:val="right"/>
              <w:rPr>
                <w:b/>
                <w:bCs/>
                <w:sz w:val="22"/>
                <w:szCs w:val="22"/>
              </w:rPr>
            </w:pPr>
            <w:r w:rsidRPr="001C2E8B">
              <w:rPr>
                <w:b/>
                <w:sz w:val="22"/>
                <w:szCs w:val="22"/>
              </w:rPr>
              <w:t>2178,3</w:t>
            </w:r>
          </w:p>
        </w:tc>
        <w:tc>
          <w:tcPr>
            <w:tcW w:w="1276" w:type="dxa"/>
            <w:shd w:val="clear" w:color="auto" w:fill="auto"/>
            <w:noWrap/>
            <w:vAlign w:val="center"/>
          </w:tcPr>
          <w:p w14:paraId="76CFAF71" w14:textId="21A7FC6C" w:rsidR="001C2E8B" w:rsidRPr="001C2E8B" w:rsidRDefault="001C2E8B" w:rsidP="00452AD4">
            <w:pPr>
              <w:keepNext/>
              <w:keepLines/>
              <w:spacing w:after="0"/>
              <w:jc w:val="right"/>
              <w:rPr>
                <w:b/>
                <w:bCs/>
                <w:sz w:val="22"/>
                <w:szCs w:val="22"/>
              </w:rPr>
            </w:pPr>
            <w:r w:rsidRPr="001C2E8B">
              <w:rPr>
                <w:b/>
                <w:sz w:val="22"/>
                <w:szCs w:val="22"/>
              </w:rPr>
              <w:t>-188,3</w:t>
            </w:r>
          </w:p>
        </w:tc>
      </w:tr>
    </w:tbl>
    <w:p w14:paraId="0C7997E1" w14:textId="421430D4" w:rsidR="00DD2F4A" w:rsidRPr="00AE23C3" w:rsidRDefault="7823C623" w:rsidP="00700E09">
      <w:pPr>
        <w:tabs>
          <w:tab w:val="left" w:pos="5550"/>
        </w:tabs>
        <w:spacing w:before="120"/>
        <w:rPr>
          <w:szCs w:val="26"/>
        </w:rPr>
      </w:pPr>
      <w:r>
        <w:t xml:space="preserve">A </w:t>
      </w:r>
      <w:r w:rsidRPr="7823C623">
        <w:rPr>
          <w:b/>
          <w:bCs/>
        </w:rPr>
        <w:t>Központi Maradványelszámolási Alap</w:t>
      </w:r>
      <w:r>
        <w:t>ba történő befizetések mérlegsorra a költségvetési szervek előirányzatai terhére október végéig összesen 120,9 milliárd forint maradvány került befizetésre, szemben az előző évi január-</w:t>
      </w:r>
      <w:r w:rsidR="19E61E9F">
        <w:t>október</w:t>
      </w:r>
      <w:r>
        <w:t xml:space="preserve"> havi 343,6 milliárd forintos összeggel, mivel 2021 decemberében a maradványbefizetés szabályrendszere módosult. Ennek értelmében – a kivételektől eltekintve – a fejezeti kezelésű előirányzatok kötelezettségvállalással nem terhelt maradványát már nem a Központi Maradványelszámolási Alapba, hanem a Megtakarítási Alapba kell befizetni.</w:t>
      </w:r>
    </w:p>
    <w:p w14:paraId="2FC45606" w14:textId="6760865F" w:rsidR="00DD2F4A" w:rsidRPr="00AE23C3" w:rsidRDefault="7823C623" w:rsidP="7823C623">
      <w:pPr>
        <w:pStyle w:val="NormlWeb"/>
        <w:spacing w:before="0" w:beforeAutospacing="0" w:after="120" w:afterAutospacing="0"/>
        <w:jc w:val="both"/>
        <w:rPr>
          <w:sz w:val="26"/>
          <w:szCs w:val="26"/>
        </w:rPr>
      </w:pPr>
      <w:r w:rsidRPr="7823C623">
        <w:rPr>
          <w:sz w:val="26"/>
          <w:szCs w:val="26"/>
        </w:rPr>
        <w:t xml:space="preserve">A </w:t>
      </w:r>
      <w:r w:rsidRPr="7823C623">
        <w:rPr>
          <w:b/>
          <w:bCs/>
          <w:sz w:val="26"/>
          <w:szCs w:val="26"/>
        </w:rPr>
        <w:t>Megtakarítási Alap</w:t>
      </w:r>
      <w:r w:rsidRPr="7823C623">
        <w:rPr>
          <w:sz w:val="26"/>
          <w:szCs w:val="26"/>
        </w:rPr>
        <w:t>ba történő befizetések mérlegsorra a szakmai fejezeti kezelésű előirányzatok terhére az év tíz hónapjában összesen 746,4 milliárd forint maradvány került befizetésre. A 2022. évben – államháztartási szabályváltozás miatt – új előirányzatként szerepel a mérlegben ez a sor, mely alapján a kormány irányítása alá tartozó fejezetbe sorolt fejezeti kezelésű előirányzatok kötelezettségvállalással nem terhelt maradványát a Megtakarítási Alapba kell befizetni.</w:t>
      </w:r>
    </w:p>
    <w:p w14:paraId="17F4F77B" w14:textId="382A4663" w:rsidR="003C0565" w:rsidRPr="00AE23C3" w:rsidRDefault="7823C623" w:rsidP="7823C623">
      <w:pPr>
        <w:pStyle w:val="NormlWeb"/>
        <w:spacing w:before="0" w:beforeAutospacing="0" w:after="120" w:afterAutospacing="0"/>
        <w:jc w:val="both"/>
        <w:rPr>
          <w:sz w:val="26"/>
          <w:szCs w:val="26"/>
        </w:rPr>
      </w:pPr>
      <w:r w:rsidRPr="7823C623">
        <w:rPr>
          <w:sz w:val="26"/>
          <w:szCs w:val="26"/>
        </w:rPr>
        <w:t>Az </w:t>
      </w:r>
      <w:r w:rsidRPr="7823C623">
        <w:rPr>
          <w:b/>
          <w:bCs/>
          <w:sz w:val="26"/>
          <w:szCs w:val="26"/>
        </w:rPr>
        <w:t>állami vagyonnal kapcsolatos befizetések</w:t>
      </w:r>
      <w:r w:rsidRPr="7823C623">
        <w:rPr>
          <w:sz w:val="26"/>
          <w:szCs w:val="26"/>
        </w:rPr>
        <w:t> október végéig 352,4 milliárd forintot tettek ki, melynek meghatározó tételei a kvótaértékesítésből származó 131,0 milliárd forint és a frekvenciahasználati jogosultság értékesítéséből származó 150,2 milliárd forint.</w:t>
      </w:r>
    </w:p>
    <w:p w14:paraId="3DDC46E8" w14:textId="434A9D8E" w:rsidR="28C51222" w:rsidRPr="00AE23C3" w:rsidRDefault="7823C623" w:rsidP="00DD2F4A">
      <w:pPr>
        <w:rPr>
          <w:szCs w:val="26"/>
        </w:rPr>
      </w:pPr>
      <w:r>
        <w:lastRenderedPageBreak/>
        <w:t>A befizetések összetételét a következő diagram szemlélteti:</w:t>
      </w:r>
    </w:p>
    <w:p w14:paraId="1207A593" w14:textId="7E82CFFA" w:rsidR="00B75F89" w:rsidRPr="00AE23C3" w:rsidRDefault="0062244E" w:rsidP="00AE23C3">
      <w:pPr>
        <w:jc w:val="center"/>
        <w:rPr>
          <w:szCs w:val="26"/>
        </w:rPr>
      </w:pPr>
      <w:r w:rsidRPr="0062244E">
        <w:rPr>
          <w:noProof/>
          <w:szCs w:val="26"/>
        </w:rPr>
        <w:drawing>
          <wp:inline distT="0" distB="0" distL="0" distR="0" wp14:anchorId="12B96DB7" wp14:editId="70217DEF">
            <wp:extent cx="5940425" cy="3713678"/>
            <wp:effectExtent l="0" t="0" r="3175" b="1270"/>
            <wp:docPr id="6" name="Kép 6" descr="Z:\Áht_gyors_moni\2022_10_okt\0_feljegyzés_monitoring\ábrák\___Vagyon_befizetés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Áht_gyors_moni\2022_10_okt\0_feljegyzés_monitoring\ábrák\___Vagyon_befizetések.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713678"/>
                    </a:xfrm>
                    <a:prstGeom prst="rect">
                      <a:avLst/>
                    </a:prstGeom>
                    <a:noFill/>
                    <a:ln>
                      <a:noFill/>
                    </a:ln>
                  </pic:spPr>
                </pic:pic>
              </a:graphicData>
            </a:graphic>
          </wp:inline>
        </w:drawing>
      </w:r>
    </w:p>
    <w:p w14:paraId="5375ADFC" w14:textId="4FFE3577" w:rsidR="7823C623" w:rsidRDefault="7823C623" w:rsidP="7823C623">
      <w:r w:rsidRPr="7823C623">
        <w:rPr>
          <w:color w:val="000000" w:themeColor="text1"/>
        </w:rPr>
        <w:t xml:space="preserve">Az </w:t>
      </w:r>
      <w:r w:rsidRPr="7823C623">
        <w:rPr>
          <w:b/>
          <w:bCs/>
          <w:color w:val="000000" w:themeColor="text1"/>
        </w:rPr>
        <w:t>Uniós programok bevételei</w:t>
      </w:r>
      <w:r w:rsidRPr="7823C623">
        <w:rPr>
          <w:color w:val="000000" w:themeColor="text1"/>
        </w:rPr>
        <w:t xml:space="preserve"> </w:t>
      </w:r>
      <w:r w:rsidRPr="7823C623">
        <w:rPr>
          <w:szCs w:val="26"/>
        </w:rPr>
        <w:t>mérlegsoron 2022. október végéig 968,6 milliárd forint bevétel keletkezett. Ez az összeg a törvényi előirányzat (2363,3 milliárd forint) 41,0%-át teszi ki.</w:t>
      </w:r>
    </w:p>
    <w:p w14:paraId="7763203A" w14:textId="2CADE8B6" w:rsidR="443F750D" w:rsidRPr="00AE23C3" w:rsidRDefault="7823C623" w:rsidP="7823C623">
      <w:pPr>
        <w:rPr>
          <w:szCs w:val="26"/>
        </w:rPr>
      </w:pPr>
      <w:r w:rsidRPr="7823C623">
        <w:rPr>
          <w:color w:val="000000" w:themeColor="text1"/>
        </w:rPr>
        <w:t xml:space="preserve">Az </w:t>
      </w:r>
      <w:r w:rsidRPr="7823C623">
        <w:rPr>
          <w:b/>
          <w:bCs/>
          <w:color w:val="000000" w:themeColor="text1"/>
        </w:rPr>
        <w:t xml:space="preserve">Egyéb uniós bevételek </w:t>
      </w:r>
      <w:r w:rsidRPr="7823C623">
        <w:rPr>
          <w:color w:val="000000" w:themeColor="text1"/>
        </w:rPr>
        <w:t xml:space="preserve">soron belül a Vámbeszedési költség </w:t>
      </w:r>
      <w:r w:rsidRPr="7823C623">
        <w:rPr>
          <w:szCs w:val="26"/>
        </w:rPr>
        <w:t>megtérítése 30,4 milliárd forintot tett ki október végéig. Ez az összeg a törvényi előirányzat 135,7%-a és 11,7</w:t>
      </w:r>
      <w:r w:rsidR="002D7585">
        <w:rPr>
          <w:szCs w:val="26"/>
        </w:rPr>
        <w:t> </w:t>
      </w:r>
      <w:r w:rsidRPr="7823C623">
        <w:rPr>
          <w:szCs w:val="26"/>
        </w:rPr>
        <w:t>milliárd forinttal haladta meg a 2021. év azonos időszakában keletkezett bevételt.</w:t>
      </w:r>
      <w:r w:rsidRPr="7823C623">
        <w:rPr>
          <w:color w:val="000000" w:themeColor="text1"/>
        </w:rPr>
        <w:t xml:space="preserve"> </w:t>
      </w:r>
      <w:r>
        <w:t xml:space="preserve"> </w:t>
      </w:r>
    </w:p>
    <w:p w14:paraId="64859839" w14:textId="036BDF5D" w:rsidR="008343A4" w:rsidRPr="00AE23C3" w:rsidRDefault="7823C623" w:rsidP="7823C623">
      <w:pPr>
        <w:rPr>
          <w:rFonts w:eastAsia="Calibri"/>
        </w:rPr>
      </w:pPr>
      <w:r w:rsidRPr="7823C623">
        <w:rPr>
          <w:rFonts w:eastAsia="Calibri"/>
        </w:rPr>
        <w:t xml:space="preserve">A befizetett társadalombiztosítási járulék 8,1%-át az állami adóhatóság a foglalkoztatási programokkal kapcsolatos elkülönített állami pénzalapnak utalja át. </w:t>
      </w:r>
      <w:r w:rsidR="008343A4">
        <w:rPr>
          <w:rFonts w:eastAsia="Calibri"/>
        </w:rPr>
        <w:t>Október</w:t>
      </w:r>
      <w:r w:rsidRPr="7823C623">
        <w:rPr>
          <w:rFonts w:eastAsia="Calibri"/>
        </w:rPr>
        <w:t xml:space="preserve"> végéig a </w:t>
      </w:r>
      <w:r w:rsidRPr="7823C623">
        <w:rPr>
          <w:rFonts w:eastAsia="Calibri"/>
          <w:b/>
          <w:bCs/>
        </w:rPr>
        <w:t xml:space="preserve">társadalombiztosítási járulék </w:t>
      </w:r>
      <w:r w:rsidRPr="7823C623">
        <w:rPr>
          <w:b/>
          <w:bCs/>
        </w:rPr>
        <w:t xml:space="preserve">Gazdaság-újraindítási Foglalkoztatási </w:t>
      </w:r>
      <w:r w:rsidRPr="7823C623">
        <w:rPr>
          <w:rFonts w:eastAsia="Calibri"/>
          <w:b/>
          <w:bCs/>
        </w:rPr>
        <w:t xml:space="preserve">Alapot megillető része </w:t>
      </w:r>
      <w:r w:rsidR="008343A4" w:rsidRPr="008343A4">
        <w:rPr>
          <w:rFonts w:eastAsia="Calibri"/>
        </w:rPr>
        <w:t>247,7 milliárd forintban teljesült, az előző év azonos időszakában befolyt bevételt 41,4 milliárd forinttal, 20,1%-kal haladta meg. A bevételnövekedés oka a járulékköteles jövedelmek növekedése.</w:t>
      </w:r>
    </w:p>
    <w:p w14:paraId="413A1B54" w14:textId="5299EBB1" w:rsidR="008343A4" w:rsidRPr="00AE23C3" w:rsidRDefault="008343A4" w:rsidP="0056142E">
      <w:pPr>
        <w:rPr>
          <w:szCs w:val="26"/>
        </w:rPr>
      </w:pPr>
      <w:r>
        <w:t>Októ</w:t>
      </w:r>
      <w:r w:rsidR="7823C623">
        <w:t xml:space="preserve">ber végéig a </w:t>
      </w:r>
      <w:r w:rsidR="7823C623" w:rsidRPr="7823C623">
        <w:rPr>
          <w:b/>
          <w:bCs/>
        </w:rPr>
        <w:t>szociális hozzájárulási adó Nyugdíjbiztosítási Alapot megillető része</w:t>
      </w:r>
      <w:r w:rsidR="7823C623">
        <w:t xml:space="preserve"> </w:t>
      </w:r>
      <w:r w:rsidRPr="008343A4">
        <w:rPr>
          <w:szCs w:val="26"/>
        </w:rPr>
        <w:t>(1400,8 milliárd forint) 0,8%-kal, 10,5 milliárd forinttal haladta meg az előző év azonos időszakában befolyt bevételeket. A bevétel változása az adóköteles jövedelmek növekedésének és a szociális hozzájárulási adó kulcs csökkentésének együttes hatásával magyarázható.</w:t>
      </w:r>
    </w:p>
    <w:p w14:paraId="6566CA78" w14:textId="6B96DA58" w:rsidR="008343A4" w:rsidRPr="00AE23C3" w:rsidRDefault="7823C623" w:rsidP="009D2CF9">
      <w:pPr>
        <w:rPr>
          <w:szCs w:val="26"/>
        </w:rPr>
      </w:pPr>
      <w:r>
        <w:t xml:space="preserve">A befizetett társadalombiztosítási járulék 54%-át az állami adóhatóság a Nyugdíjbiztosítási Alapnak utalja át. </w:t>
      </w:r>
      <w:r w:rsidR="008343A4">
        <w:t>Októb</w:t>
      </w:r>
      <w:r>
        <w:t xml:space="preserve">er végéig a </w:t>
      </w:r>
      <w:r w:rsidRPr="7823C623">
        <w:rPr>
          <w:b/>
          <w:bCs/>
        </w:rPr>
        <w:t>társadalombiztosítási járulék Nyugdíjbiztosítási Alapot megillető része és nyugdíjjárulék</w:t>
      </w:r>
      <w:r>
        <w:t xml:space="preserve"> </w:t>
      </w:r>
      <w:r w:rsidR="008343A4" w:rsidRPr="008343A4">
        <w:rPr>
          <w:szCs w:val="26"/>
        </w:rPr>
        <w:t>1690,4 milliárd forintban teljesült, az előző év azonos időszakában befolyt bevételt 279,6 milliárd forinttal, 19,8%-kal haladta meg. A bevételnövekedés oka a járulékköteles jövedelmek növekedése</w:t>
      </w:r>
      <w:r w:rsidR="008343A4">
        <w:rPr>
          <w:szCs w:val="26"/>
        </w:rPr>
        <w:t>.</w:t>
      </w:r>
    </w:p>
    <w:p w14:paraId="16D8032A" w14:textId="4F6EB56F" w:rsidR="00342585" w:rsidRPr="00AE23C3" w:rsidRDefault="7823C623" w:rsidP="00995E55">
      <w:pPr>
        <w:rPr>
          <w:szCs w:val="26"/>
        </w:rPr>
      </w:pPr>
      <w:r>
        <w:lastRenderedPageBreak/>
        <w:t xml:space="preserve">A </w:t>
      </w:r>
      <w:r w:rsidRPr="7823C623">
        <w:rPr>
          <w:b/>
          <w:bCs/>
        </w:rPr>
        <w:t>Nyugdíjbiztosítási Alap</w:t>
      </w:r>
      <w:r>
        <w:t xml:space="preserve"> 2022. évi költségvetése az ellátási kiadások támogatására 554,4 milliárd forint </w:t>
      </w:r>
      <w:r w:rsidRPr="7823C623">
        <w:rPr>
          <w:b/>
          <w:bCs/>
        </w:rPr>
        <w:t>központi költségvetési hozzájárulás</w:t>
      </w:r>
      <w:r>
        <w:t>t tartalmaz. Ebből 325,6 milliárd forintot a XLII. A költségvetés közvetlen bevételei és kiadásai fejezet biztosít pénzeszközátadás útján az alap részére, míg további 228,8 milliárd forintot – a 13. havi nyugdíj, illetve a nyugdíjprémium fedezeteként címzett támogatás formájában – a XLVII. Gazdaság-újraindítási Alap bocsát a Nyugdíjbiztosítási Alap rendelkezésére február, illetve november hónapokban. A nyugdíjprémium és a 13. havi ellátás támogatásának előirányzatai – a költségvetési törvény 4. melléklete alapján – módosítás nélkül túlléphetőek, a 13. havi ellátás esetében erre az előirányzat felhasználási terv módosításával sor került július hónapban.</w:t>
      </w:r>
    </w:p>
    <w:p w14:paraId="7B1F7C11" w14:textId="7B01BF6B" w:rsidR="004B1960" w:rsidRPr="00AE23C3" w:rsidRDefault="7823C623" w:rsidP="00995E55">
      <w:pPr>
        <w:rPr>
          <w:szCs w:val="26"/>
        </w:rPr>
      </w:pPr>
      <w:r>
        <w:t>Az év első tíz hónapjában a Magyar Államkincstár a módosított éves előirányzat-felhasználási terv ütemezésének megfelelően 607,2 milliárd forint központi támogatást utalt át a Nyugdíjbiztosítási Alap részére, amiből 271,</w:t>
      </w:r>
      <w:r w:rsidR="004350F4">
        <w:t>4</w:t>
      </w:r>
      <w:r>
        <w:t> milliárd forint volt a kiadásokat támogató pénzeszközátadás és 335,8 milliárd forint a 13. havi ellátás visszaépítésének a  Nyugdíjbiztosítási Alapból finanszírozott része. A tíz havi költségvetési hozzájárulás 189,2 milliárd forinttal haladta meg az előző év azonos időszakában átutalt támogatás összegét.</w:t>
      </w:r>
    </w:p>
    <w:p w14:paraId="477E01AE" w14:textId="55CD59C9" w:rsidR="008343A4" w:rsidRPr="00AE23C3" w:rsidRDefault="008343A4" w:rsidP="7823C623">
      <w:pPr>
        <w:rPr>
          <w:rFonts w:eastAsia="Calibri"/>
        </w:rPr>
      </w:pPr>
      <w:r>
        <w:rPr>
          <w:rFonts w:eastAsia="Calibri"/>
        </w:rPr>
        <w:t>Októb</w:t>
      </w:r>
      <w:r w:rsidR="7823C623" w:rsidRPr="7823C623">
        <w:rPr>
          <w:rFonts w:eastAsia="Calibri"/>
        </w:rPr>
        <w:t xml:space="preserve">er végéig a </w:t>
      </w:r>
      <w:r w:rsidR="7823C623" w:rsidRPr="7823C623">
        <w:rPr>
          <w:rFonts w:eastAsia="Calibri"/>
          <w:b/>
          <w:bCs/>
        </w:rPr>
        <w:t>szociális hozzájárulási adó Egészségbiztosítási Alapot megillető része</w:t>
      </w:r>
      <w:r w:rsidR="7823C623" w:rsidRPr="7823C623">
        <w:rPr>
          <w:rFonts w:eastAsia="Calibri"/>
        </w:rPr>
        <w:t xml:space="preserve"> </w:t>
      </w:r>
      <w:r w:rsidRPr="008343A4">
        <w:rPr>
          <w:rFonts w:eastAsia="Calibri"/>
        </w:rPr>
        <w:t>(554,6 milliárd forint) 0,7%-kal, 4,1 milliárd forinttal haladta meg az előző év azonos időszakában befolyt bevételt. A bevétel változása az adóköteles jövedelmek növekedésének és a szociális hozzájárulási adó kulcs csökkentésének együttes hatásával magyarázható.</w:t>
      </w:r>
    </w:p>
    <w:p w14:paraId="18E41FAD" w14:textId="3BE6C8CB" w:rsidR="008343A4" w:rsidRPr="00AE23C3" w:rsidRDefault="7823C623" w:rsidP="7823C623">
      <w:pPr>
        <w:rPr>
          <w:rFonts w:eastAsia="Calibri"/>
        </w:rPr>
      </w:pPr>
      <w:r w:rsidRPr="7823C623">
        <w:rPr>
          <w:rFonts w:eastAsia="Calibri"/>
        </w:rPr>
        <w:t xml:space="preserve">A befizetett társadalombiztosítási járulék 37,9%-át az állami adóhatóság az Egészségbiztosítási Alapnak utalja át. </w:t>
      </w:r>
      <w:r w:rsidR="008343A4">
        <w:rPr>
          <w:rFonts w:eastAsia="Calibri"/>
        </w:rPr>
        <w:t>Októ</w:t>
      </w:r>
      <w:r w:rsidRPr="7823C623">
        <w:rPr>
          <w:rFonts w:eastAsia="Calibri"/>
        </w:rPr>
        <w:t xml:space="preserve">ber végéig a </w:t>
      </w:r>
      <w:r w:rsidRPr="7823C623">
        <w:rPr>
          <w:rFonts w:eastAsia="Calibri"/>
          <w:b/>
          <w:bCs/>
        </w:rPr>
        <w:t>társadalombiztosítási járulék Egészségbiztosítási Alapot megillető része és egészségbiztosítási járulék</w:t>
      </w:r>
      <w:r w:rsidRPr="7823C623">
        <w:rPr>
          <w:rFonts w:eastAsia="Calibri"/>
        </w:rPr>
        <w:t xml:space="preserve"> </w:t>
      </w:r>
      <w:r w:rsidR="008343A4" w:rsidRPr="008343A4">
        <w:rPr>
          <w:rFonts w:eastAsia="Calibri"/>
        </w:rPr>
        <w:t>1153,3</w:t>
      </w:r>
      <w:r w:rsidR="004350F4">
        <w:rPr>
          <w:rFonts w:eastAsia="Calibri"/>
        </w:rPr>
        <w:t> </w:t>
      </w:r>
      <w:r w:rsidR="008343A4" w:rsidRPr="008343A4">
        <w:rPr>
          <w:rFonts w:eastAsia="Calibri"/>
        </w:rPr>
        <w:t>milliárd forintban teljesült, az előző év azonos időszakában befolyt bevételt 191,8</w:t>
      </w:r>
      <w:r w:rsidR="004350F4">
        <w:rPr>
          <w:rFonts w:eastAsia="Calibri"/>
        </w:rPr>
        <w:t> </w:t>
      </w:r>
      <w:r w:rsidR="008343A4" w:rsidRPr="008343A4">
        <w:rPr>
          <w:rFonts w:eastAsia="Calibri"/>
        </w:rPr>
        <w:t>milliárd forinttal, 19,9%-kal haladta meg. A bevételnövekedés oka a járulékköteles jövedelmek növekedése.</w:t>
      </w:r>
    </w:p>
    <w:p w14:paraId="6B5F607E" w14:textId="4FB7A7E0" w:rsidR="0077720B" w:rsidRPr="00AE23C3" w:rsidRDefault="7823C623" w:rsidP="7823C623">
      <w:pPr>
        <w:rPr>
          <w:b/>
          <w:bCs/>
          <w:smallCaps/>
        </w:rPr>
      </w:pPr>
      <w:r>
        <w:t xml:space="preserve">Az </w:t>
      </w:r>
      <w:r w:rsidRPr="7823C623">
        <w:rPr>
          <w:b/>
          <w:bCs/>
        </w:rPr>
        <w:t>Egészségbiztosítási Alap költségvetési hozzájárulásai</w:t>
      </w:r>
      <w:r>
        <w:t xml:space="preserve"> az év első tíz hónapjában összesen 1030,3 milliárd forintot tettek ki, amely 413,</w:t>
      </w:r>
      <w:r w:rsidR="007B3890">
        <w:t>5</w:t>
      </w:r>
      <w:r>
        <w:t> milliárd forinttal magasabb, mint az előző év azonos időszakában átutalt összeg. Október végéig az Egészségbiztosítási Alap járulék címen átvett pénzeszközként 409,5 milliárd forint támogatást kapott, szemben a tavalyi év azonos időszakában átutalt 397,8 milliárd forintos összeggel. Az alap kiadásainak támogatására szolgáló tervezett pénzeszközátvétel és az egészségügyi feladatok ellátásával kapcsolatos hozzájárulás együttes összege október végéig 238,5 milliárd forintot tett ki, amely 19,4 milliárd forinttal haladta meg a tavalyi év azonos időszakában átutalt összeget. Az egészségügyi béremelés támogatására átvett pénzeszköz címen október végéig 382,3 milliárd forint került átutalásra az alap részére, 2021-ben nem volt ilyen bevétele az alapnak.</w:t>
      </w:r>
      <w:r w:rsidR="69871672" w:rsidRPr="7823C623">
        <w:rPr>
          <w:b/>
          <w:bCs/>
          <w:smallCaps/>
        </w:rPr>
        <w:br w:type="page"/>
      </w:r>
    </w:p>
    <w:p w14:paraId="5D4F02CB" w14:textId="5640B4D4" w:rsidR="006E4EA6" w:rsidRPr="00AE23C3" w:rsidRDefault="7823C623" w:rsidP="7823C623">
      <w:pPr>
        <w:pStyle w:val="Cmsor3"/>
        <w:numPr>
          <w:ilvl w:val="0"/>
          <w:numId w:val="8"/>
        </w:numPr>
        <w:spacing w:before="0" w:after="120"/>
        <w:jc w:val="left"/>
        <w:rPr>
          <w:sz w:val="26"/>
          <w:szCs w:val="26"/>
        </w:rPr>
      </w:pPr>
      <w:r w:rsidRPr="7823C623">
        <w:rPr>
          <w:sz w:val="26"/>
          <w:szCs w:val="26"/>
        </w:rPr>
        <w:lastRenderedPageBreak/>
        <w:t xml:space="preserve">A főbb kiadások </w:t>
      </w:r>
    </w:p>
    <w:p w14:paraId="1071DA6F" w14:textId="61E7FF62" w:rsidR="00BD306E" w:rsidRPr="00BD306E" w:rsidRDefault="7823C623" w:rsidP="7823C623">
      <w:pPr>
        <w:rPr>
          <w:rFonts w:eastAsia="Calibri"/>
          <w:b/>
          <w:bCs/>
        </w:rPr>
      </w:pPr>
      <w:r w:rsidRPr="7823C623">
        <w:rPr>
          <w:rFonts w:eastAsia="Calibri"/>
          <w:b/>
          <w:bCs/>
        </w:rPr>
        <w:t>A központi alrendszer október végi 27</w:t>
      </w:r>
      <w:r w:rsidR="009C3C8F">
        <w:rPr>
          <w:rFonts w:eastAsia="Calibri"/>
          <w:b/>
          <w:bCs/>
        </w:rPr>
        <w:t> </w:t>
      </w:r>
      <w:r w:rsidRPr="7823C623">
        <w:rPr>
          <w:rFonts w:eastAsia="Calibri"/>
          <w:b/>
          <w:bCs/>
        </w:rPr>
        <w:t>019,4 milliárd forint összegű kiadásai 4119,6 milliárd forinttal, 18%-kal haladták meg az előző év azonos időszaki adatát.</w:t>
      </w:r>
    </w:p>
    <w:p w14:paraId="03F86FB0" w14:textId="2E6EEC6B" w:rsidR="00BD306E" w:rsidRDefault="7823C623" w:rsidP="7823C623">
      <w:pPr>
        <w:rPr>
          <w:rFonts w:eastAsia="Calibri"/>
          <w:b/>
          <w:bCs/>
        </w:rPr>
      </w:pPr>
      <w:r w:rsidRPr="7823C623">
        <w:rPr>
          <w:rFonts w:eastAsia="Calibri"/>
          <w:b/>
          <w:bCs/>
        </w:rPr>
        <w:t>Magasabban teljesültek az egy évvel korábbihoz képest – többek között – a lakástámogatások, a szakmai fejezeti kezelésű előirányzatok kiadásai, valamint az uniós programok kiadásai.</w:t>
      </w:r>
      <w:r w:rsidR="00452AD4">
        <w:rPr>
          <w:rFonts w:eastAsia="Calibri"/>
          <w:b/>
          <w:bCs/>
        </w:rPr>
        <w:t xml:space="preserve"> </w:t>
      </w:r>
      <w:r w:rsidRPr="7823C623">
        <w:rPr>
          <w:rFonts w:eastAsia="Calibri"/>
          <w:b/>
          <w:bCs/>
        </w:rPr>
        <w:t>Meghaladták az egy évvel korábbi kifizetést a nyugellátásokra és a gyógyító-megelőző ellátásra fordított összegek is. Nyugellátásokra 3862,3 milliárd forint, a gyógyító-megelőző ellátásra 1798,0</w:t>
      </w:r>
      <w:r w:rsidR="00452AD4">
        <w:rPr>
          <w:rFonts w:eastAsia="Calibri"/>
          <w:b/>
          <w:bCs/>
        </w:rPr>
        <w:t> </w:t>
      </w:r>
      <w:r w:rsidRPr="7823C623">
        <w:rPr>
          <w:rFonts w:eastAsia="Calibri"/>
          <w:b/>
          <w:bCs/>
        </w:rPr>
        <w:t>milliárd forint került kifizetésre október végéig.</w:t>
      </w:r>
    </w:p>
    <w:p w14:paraId="507098B6" w14:textId="780C2366" w:rsidR="00650CC2" w:rsidRPr="00650CC2" w:rsidRDefault="00452AD4" w:rsidP="0062244E">
      <w:pPr>
        <w:jc w:val="center"/>
      </w:pPr>
      <w:r w:rsidRPr="00452AD4">
        <w:rPr>
          <w:noProof/>
        </w:rPr>
        <w:drawing>
          <wp:inline distT="0" distB="0" distL="0" distR="0" wp14:anchorId="2C528FEB" wp14:editId="22A036EF">
            <wp:extent cx="5940425" cy="2142203"/>
            <wp:effectExtent l="0" t="0" r="3175" b="0"/>
            <wp:docPr id="2" name="Kép 2" descr="Z:\Áht_gyors_moni\2022_10_okt\0_feljegyzés_monitoring\ábrák\___kiadás_megoszlá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Áht_gyors_moni\2022_10_okt\0_feljegyzés_monitoring\ábrák\___kiadás_megoszlá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2142203"/>
                    </a:xfrm>
                    <a:prstGeom prst="rect">
                      <a:avLst/>
                    </a:prstGeom>
                    <a:noFill/>
                    <a:ln>
                      <a:noFill/>
                    </a:ln>
                  </pic:spPr>
                </pic:pic>
              </a:graphicData>
            </a:graphic>
          </wp:inline>
        </w:drawing>
      </w:r>
    </w:p>
    <w:p w14:paraId="1F359FD4" w14:textId="60CB91E0" w:rsidR="00554325" w:rsidRPr="00AE23C3" w:rsidRDefault="7823C623" w:rsidP="7823C623">
      <w:pPr>
        <w:rPr>
          <w:rFonts w:eastAsia="Calibri"/>
        </w:rPr>
      </w:pPr>
      <w:r w:rsidRPr="7823C623">
        <w:rPr>
          <w:rFonts w:eastAsia="Calibri"/>
        </w:rPr>
        <w:t xml:space="preserve">Az </w:t>
      </w:r>
      <w:r w:rsidRPr="7823C623">
        <w:rPr>
          <w:rFonts w:eastAsia="Calibri"/>
          <w:b/>
          <w:bCs/>
        </w:rPr>
        <w:t>egyedi és normatív támogatásokra</w:t>
      </w:r>
      <w:r w:rsidRPr="7823C623">
        <w:rPr>
          <w:rFonts w:eastAsia="Calibri"/>
        </w:rPr>
        <w:t xml:space="preserve"> fordított kiadások október végéig 716,4 milliárd forintot tettek ki, amely jóval magasabb az előző év azonos időszakának teljesítésénél. Az eltérés fő oka, hogy a rezsivédelmi kiadásokkal összefüggésben október hónapban 157,5 milliárd forint került kifizetésre, tavaly ilyen kiadás nem volt. Kiemelendő még, hogy a közösségi közlekedés személyszállítási költségtérítésére 43,2 milliárd forinttal, az </w:t>
      </w:r>
      <w:proofErr w:type="spellStart"/>
      <w:r w:rsidRPr="7823C623">
        <w:rPr>
          <w:rFonts w:eastAsia="Calibri"/>
        </w:rPr>
        <w:t>Eximbank</w:t>
      </w:r>
      <w:proofErr w:type="spellEnd"/>
      <w:r w:rsidRPr="7823C623">
        <w:rPr>
          <w:rFonts w:eastAsia="Calibri"/>
        </w:rPr>
        <w:t xml:space="preserve"> </w:t>
      </w:r>
      <w:proofErr w:type="spellStart"/>
      <w:r w:rsidRPr="7823C623">
        <w:rPr>
          <w:rFonts w:eastAsia="Calibri"/>
        </w:rPr>
        <w:t>Zrt</w:t>
      </w:r>
      <w:proofErr w:type="spellEnd"/>
      <w:r w:rsidRPr="7823C623">
        <w:rPr>
          <w:rFonts w:eastAsia="Calibri"/>
        </w:rPr>
        <w:t>. kamatkiegyenlítése címén pedig 37,3 milliárd forinttal több támogatás került kiutalásra, mint egy évvel korábban.</w:t>
      </w:r>
    </w:p>
    <w:p w14:paraId="215712C9" w14:textId="6B28DA97" w:rsidR="009E3FF5" w:rsidRPr="00AE23C3" w:rsidRDefault="0062244E" w:rsidP="00000980">
      <w:pPr>
        <w:jc w:val="center"/>
        <w:rPr>
          <w:szCs w:val="26"/>
        </w:rPr>
      </w:pPr>
      <w:r w:rsidRPr="0062244E">
        <w:rPr>
          <w:noProof/>
          <w:szCs w:val="26"/>
        </w:rPr>
        <w:drawing>
          <wp:inline distT="0" distB="0" distL="0" distR="0" wp14:anchorId="5A99FCB4" wp14:editId="392F8311">
            <wp:extent cx="5618657" cy="3079630"/>
            <wp:effectExtent l="0" t="0" r="1270" b="6985"/>
            <wp:docPr id="8" name="Kép 8" descr="Z:\Áht_gyors_moni\2022_10_okt\0_feljegyzés_monitoring\ábrák\___egyedi_és_normatív_tá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Áht_gyors_moni\2022_10_okt\0_feljegyzés_monitoring\ábrák\___egyedi_és_normatív_tá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1932" cy="3092387"/>
                    </a:xfrm>
                    <a:prstGeom prst="rect">
                      <a:avLst/>
                    </a:prstGeom>
                    <a:noFill/>
                    <a:ln>
                      <a:noFill/>
                    </a:ln>
                  </pic:spPr>
                </pic:pic>
              </a:graphicData>
            </a:graphic>
          </wp:inline>
        </w:drawing>
      </w:r>
    </w:p>
    <w:p w14:paraId="3DE65A94" w14:textId="4819B83D" w:rsidR="24F6FC56" w:rsidRPr="00550AF1" w:rsidRDefault="7823C623" w:rsidP="00F7538D">
      <w:pPr>
        <w:rPr>
          <w:szCs w:val="26"/>
        </w:rPr>
      </w:pPr>
      <w:r>
        <w:lastRenderedPageBreak/>
        <w:t xml:space="preserve">A </w:t>
      </w:r>
      <w:r w:rsidRPr="7823C623">
        <w:rPr>
          <w:b/>
          <w:bCs/>
        </w:rPr>
        <w:t>lakástámogatásokra</w:t>
      </w:r>
      <w:r>
        <w:t xml:space="preserve"> fordított kiadások összege </w:t>
      </w:r>
      <w:r w:rsidR="2004363B">
        <w:t>október</w:t>
      </w:r>
      <w:r>
        <w:t xml:space="preserve"> végéig </w:t>
      </w:r>
      <w:r w:rsidR="2004363B">
        <w:t>499,3</w:t>
      </w:r>
      <w:r>
        <w:t xml:space="preserve"> milliárd forint volt, mely az előző év azonos időszakához viszonyítva </w:t>
      </w:r>
      <w:r w:rsidR="2004363B">
        <w:t>218,</w:t>
      </w:r>
      <w:r w:rsidR="004D4E0E">
        <w:t>8</w:t>
      </w:r>
      <w:r>
        <w:t xml:space="preserve"> milliárd forinttal teljesült magasabban. Az eltérésben szerepet játszik a 2021. január 1-jétől bevezetett </w:t>
      </w:r>
      <w:proofErr w:type="spellStart"/>
      <w:r>
        <w:t>otthonfelújítási</w:t>
      </w:r>
      <w:proofErr w:type="spellEnd"/>
      <w:r>
        <w:t xml:space="preserve"> támogatás és az ehhez februártól kapcsolódó kölcsön meghirdetése, valamint az egyes meglévő konstrukciók, a családi otthonteremtési kedvezmény, az adó-visszatérítési támogatás és a többgyermekes családok lakáscélú jelzáloghitel-tartozásának csökkentésére nyújtott támogatás igénybevételi lehetőségeinek további kiszélesítése, ezen felül pedig a falusi támogatások esetében az érintett preferált kistelepülések körének a kibővítése. Emellett az árfolyam- és a referenciahozamok, valamint a további konstrukciókat igénybe vevők létszámának alakulása is befolyásolta a kifizetéseket.</w:t>
      </w:r>
    </w:p>
    <w:p w14:paraId="42D77AAF" w14:textId="77777777" w:rsidR="00B14766" w:rsidRPr="00550AF1" w:rsidRDefault="7823C623" w:rsidP="00B14766">
      <w:pPr>
        <w:rPr>
          <w:szCs w:val="26"/>
        </w:rPr>
      </w:pPr>
      <w:r>
        <w:t xml:space="preserve">A </w:t>
      </w:r>
      <w:r w:rsidRPr="7823C623">
        <w:rPr>
          <w:b/>
          <w:bCs/>
        </w:rPr>
        <w:t>Nemzeti Család- és Szociálpolitikai Alap</w:t>
      </w:r>
      <w:r>
        <w:t xml:space="preserve"> a családi támogatásokat, a korhatár alatti ellátásokat, a jövedelempótló és jövedelemkiegészítő szociális támogatásokat, valamint a különféle jogcímen adott térítéseket tartalmazza. A főbb támogatásokat a következő táblázat részletezi:</w:t>
      </w:r>
    </w:p>
    <w:tbl>
      <w:tblPr>
        <w:tblW w:w="9179" w:type="dxa"/>
        <w:jc w:val="center"/>
        <w:tblCellMar>
          <w:left w:w="70" w:type="dxa"/>
          <w:right w:w="70" w:type="dxa"/>
        </w:tblCellMar>
        <w:tblLook w:val="04A0" w:firstRow="1" w:lastRow="0" w:firstColumn="1" w:lastColumn="0" w:noHBand="0" w:noVBand="1"/>
      </w:tblPr>
      <w:tblGrid>
        <w:gridCol w:w="5157"/>
        <w:gridCol w:w="998"/>
        <w:gridCol w:w="1157"/>
        <w:gridCol w:w="973"/>
        <w:gridCol w:w="894"/>
      </w:tblGrid>
      <w:tr w:rsidR="00B14766" w:rsidRPr="00452AD4" w14:paraId="6F4C4F75" w14:textId="77777777" w:rsidTr="00452AD4">
        <w:trPr>
          <w:trHeight w:val="227"/>
          <w:jc w:val="center"/>
        </w:trPr>
        <w:tc>
          <w:tcPr>
            <w:tcW w:w="5157"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5F8A5AD9" w14:textId="77777777" w:rsidR="00B14766" w:rsidRPr="00452AD4" w:rsidRDefault="7823C623" w:rsidP="7823C623">
            <w:pPr>
              <w:spacing w:after="100" w:afterAutospacing="1"/>
              <w:jc w:val="center"/>
              <w:rPr>
                <w:b/>
                <w:bCs/>
                <w:color w:val="000000" w:themeColor="text1"/>
                <w:sz w:val="22"/>
                <w:szCs w:val="22"/>
              </w:rPr>
            </w:pPr>
            <w:r w:rsidRPr="00452AD4">
              <w:rPr>
                <w:b/>
                <w:bCs/>
                <w:color w:val="000000" w:themeColor="text1"/>
                <w:sz w:val="22"/>
                <w:szCs w:val="22"/>
              </w:rPr>
              <w:t>Megnevezés</w:t>
            </w:r>
          </w:p>
        </w:tc>
        <w:tc>
          <w:tcPr>
            <w:tcW w:w="998"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hideMark/>
          </w:tcPr>
          <w:p w14:paraId="59CC2E6B" w14:textId="08DD12EE" w:rsidR="00B14766" w:rsidRPr="00452AD4" w:rsidRDefault="2307FA22" w:rsidP="2307FA22">
            <w:pPr>
              <w:spacing w:after="100" w:afterAutospacing="1"/>
              <w:jc w:val="center"/>
              <w:rPr>
                <w:b/>
                <w:bCs/>
                <w:color w:val="000000" w:themeColor="text1"/>
                <w:sz w:val="22"/>
                <w:szCs w:val="22"/>
              </w:rPr>
            </w:pPr>
            <w:r w:rsidRPr="00452AD4">
              <w:rPr>
                <w:b/>
                <w:bCs/>
                <w:color w:val="000000" w:themeColor="text1"/>
                <w:sz w:val="22"/>
                <w:szCs w:val="22"/>
              </w:rPr>
              <w:t>2021.</w:t>
            </w:r>
            <w:r w:rsidR="7823C623" w:rsidRPr="00452AD4">
              <w:rPr>
                <w:sz w:val="22"/>
                <w:szCs w:val="22"/>
              </w:rPr>
              <w:br/>
            </w:r>
            <w:r w:rsidRPr="00452AD4">
              <w:rPr>
                <w:b/>
                <w:bCs/>
                <w:color w:val="000000" w:themeColor="text1"/>
                <w:sz w:val="22"/>
                <w:szCs w:val="22"/>
              </w:rPr>
              <w:t>I-X. hó</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1D94D1" w14:textId="1C06BED2" w:rsidR="00B14766" w:rsidRPr="00452AD4" w:rsidRDefault="2307FA22" w:rsidP="2307FA22">
            <w:pPr>
              <w:spacing w:after="100" w:afterAutospacing="1"/>
              <w:jc w:val="center"/>
              <w:rPr>
                <w:b/>
                <w:bCs/>
                <w:color w:val="000000" w:themeColor="text1"/>
                <w:sz w:val="22"/>
                <w:szCs w:val="22"/>
              </w:rPr>
            </w:pPr>
            <w:r w:rsidRPr="00452AD4">
              <w:rPr>
                <w:b/>
                <w:bCs/>
                <w:color w:val="000000" w:themeColor="text1"/>
                <w:sz w:val="22"/>
                <w:szCs w:val="22"/>
              </w:rPr>
              <w:t>2022.</w:t>
            </w:r>
            <w:r w:rsidR="7823C623" w:rsidRPr="00452AD4">
              <w:rPr>
                <w:sz w:val="22"/>
                <w:szCs w:val="22"/>
              </w:rPr>
              <w:br/>
            </w:r>
            <w:r w:rsidRPr="00452AD4">
              <w:rPr>
                <w:b/>
                <w:bCs/>
                <w:color w:val="000000" w:themeColor="text1"/>
                <w:sz w:val="22"/>
                <w:szCs w:val="22"/>
              </w:rPr>
              <w:t>I-X. hó</w:t>
            </w:r>
          </w:p>
        </w:tc>
        <w:tc>
          <w:tcPr>
            <w:tcW w:w="18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E2D683" w14:textId="77777777" w:rsidR="00B14766" w:rsidRPr="00452AD4" w:rsidRDefault="7823C623" w:rsidP="7823C623">
            <w:pPr>
              <w:spacing w:after="100" w:afterAutospacing="1"/>
              <w:jc w:val="center"/>
              <w:rPr>
                <w:b/>
                <w:bCs/>
                <w:color w:val="000000" w:themeColor="text1"/>
                <w:sz w:val="22"/>
                <w:szCs w:val="22"/>
              </w:rPr>
            </w:pPr>
            <w:r w:rsidRPr="00452AD4">
              <w:rPr>
                <w:b/>
                <w:bCs/>
                <w:color w:val="000000" w:themeColor="text1"/>
                <w:sz w:val="22"/>
                <w:szCs w:val="22"/>
              </w:rPr>
              <w:t>Eltérés</w:t>
            </w:r>
          </w:p>
        </w:tc>
      </w:tr>
      <w:tr w:rsidR="00B14766" w:rsidRPr="00452AD4" w14:paraId="50E8B166" w14:textId="77777777" w:rsidTr="00452AD4">
        <w:trPr>
          <w:trHeight w:val="227"/>
          <w:jc w:val="center"/>
        </w:trPr>
        <w:tc>
          <w:tcPr>
            <w:tcW w:w="5157" w:type="dxa"/>
            <w:vMerge/>
            <w:tcBorders>
              <w:top w:val="single" w:sz="4" w:space="0" w:color="auto"/>
              <w:left w:val="single" w:sz="4" w:space="0" w:color="auto"/>
              <w:bottom w:val="single" w:sz="4" w:space="0" w:color="000000"/>
              <w:right w:val="single" w:sz="4" w:space="0" w:color="auto"/>
            </w:tcBorders>
            <w:vAlign w:val="center"/>
            <w:hideMark/>
          </w:tcPr>
          <w:p w14:paraId="5D911C9C" w14:textId="77777777" w:rsidR="00B14766" w:rsidRPr="00452AD4" w:rsidRDefault="00B14766" w:rsidP="00B14766">
            <w:pPr>
              <w:spacing w:after="100" w:afterAutospacing="1"/>
              <w:jc w:val="left"/>
              <w:rPr>
                <w:b/>
                <w:bCs/>
                <w:color w:val="000000"/>
                <w:sz w:val="22"/>
                <w:szCs w:val="22"/>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14:paraId="23037619" w14:textId="77777777" w:rsidR="00B14766" w:rsidRPr="00452AD4" w:rsidRDefault="00B14766" w:rsidP="00B14766">
            <w:pPr>
              <w:spacing w:after="100" w:afterAutospacing="1"/>
              <w:jc w:val="left"/>
              <w:rPr>
                <w:b/>
                <w:bCs/>
                <w:color w:val="000000"/>
                <w:sz w:val="22"/>
                <w:szCs w:val="22"/>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14:paraId="56D6665C" w14:textId="77777777" w:rsidR="00B14766" w:rsidRPr="00452AD4" w:rsidRDefault="00B14766" w:rsidP="00B14766">
            <w:pPr>
              <w:spacing w:after="100" w:afterAutospacing="1"/>
              <w:jc w:val="left"/>
              <w:rPr>
                <w:b/>
                <w:bCs/>
                <w:color w:val="000000"/>
                <w:sz w:val="22"/>
                <w:szCs w:val="22"/>
              </w:rPr>
            </w:pPr>
          </w:p>
        </w:tc>
        <w:tc>
          <w:tcPr>
            <w:tcW w:w="973" w:type="dxa"/>
            <w:tcBorders>
              <w:top w:val="nil"/>
              <w:left w:val="nil"/>
              <w:bottom w:val="single" w:sz="4" w:space="0" w:color="auto"/>
              <w:right w:val="single" w:sz="4" w:space="0" w:color="auto"/>
            </w:tcBorders>
            <w:shd w:val="clear" w:color="auto" w:fill="auto"/>
            <w:noWrap/>
            <w:vAlign w:val="bottom"/>
            <w:hideMark/>
          </w:tcPr>
          <w:p w14:paraId="7A21C9FC" w14:textId="77777777" w:rsidR="00B14766" w:rsidRPr="00452AD4" w:rsidRDefault="7823C623" w:rsidP="7823C623">
            <w:pPr>
              <w:spacing w:after="100" w:afterAutospacing="1"/>
              <w:jc w:val="center"/>
              <w:rPr>
                <w:b/>
                <w:bCs/>
                <w:color w:val="000000" w:themeColor="text1"/>
                <w:sz w:val="22"/>
                <w:szCs w:val="22"/>
              </w:rPr>
            </w:pPr>
            <w:r w:rsidRPr="00452AD4">
              <w:rPr>
                <w:b/>
                <w:bCs/>
                <w:color w:val="000000" w:themeColor="text1"/>
                <w:sz w:val="22"/>
                <w:szCs w:val="22"/>
              </w:rPr>
              <w:t>Mrd Ft</w:t>
            </w:r>
          </w:p>
        </w:tc>
        <w:tc>
          <w:tcPr>
            <w:tcW w:w="894" w:type="dxa"/>
            <w:tcBorders>
              <w:top w:val="nil"/>
              <w:left w:val="nil"/>
              <w:bottom w:val="single" w:sz="4" w:space="0" w:color="auto"/>
              <w:right w:val="single" w:sz="4" w:space="0" w:color="auto"/>
            </w:tcBorders>
            <w:shd w:val="clear" w:color="auto" w:fill="auto"/>
            <w:noWrap/>
            <w:vAlign w:val="bottom"/>
            <w:hideMark/>
          </w:tcPr>
          <w:p w14:paraId="7D4EBE55" w14:textId="77777777" w:rsidR="00B14766" w:rsidRPr="00452AD4" w:rsidRDefault="7823C623" w:rsidP="7823C623">
            <w:pPr>
              <w:spacing w:after="100" w:afterAutospacing="1"/>
              <w:jc w:val="center"/>
              <w:rPr>
                <w:b/>
                <w:bCs/>
                <w:color w:val="000000" w:themeColor="text1"/>
                <w:sz w:val="22"/>
                <w:szCs w:val="22"/>
              </w:rPr>
            </w:pPr>
            <w:r w:rsidRPr="00452AD4">
              <w:rPr>
                <w:b/>
                <w:bCs/>
                <w:color w:val="000000" w:themeColor="text1"/>
                <w:sz w:val="22"/>
                <w:szCs w:val="22"/>
              </w:rPr>
              <w:t>%</w:t>
            </w:r>
          </w:p>
        </w:tc>
      </w:tr>
      <w:tr w:rsidR="00B14766" w:rsidRPr="00452AD4" w14:paraId="19F7EFD6" w14:textId="77777777" w:rsidTr="00452AD4">
        <w:trPr>
          <w:trHeight w:val="227"/>
          <w:jc w:val="center"/>
        </w:trPr>
        <w:tc>
          <w:tcPr>
            <w:tcW w:w="5157" w:type="dxa"/>
            <w:tcBorders>
              <w:top w:val="nil"/>
              <w:left w:val="single" w:sz="4" w:space="0" w:color="auto"/>
              <w:bottom w:val="single" w:sz="4" w:space="0" w:color="auto"/>
              <w:right w:val="single" w:sz="4" w:space="0" w:color="auto"/>
            </w:tcBorders>
            <w:shd w:val="clear" w:color="auto" w:fill="auto"/>
            <w:noWrap/>
            <w:vAlign w:val="bottom"/>
            <w:hideMark/>
          </w:tcPr>
          <w:p w14:paraId="09EA6CE6" w14:textId="77777777" w:rsidR="00B14766" w:rsidRPr="00452AD4" w:rsidRDefault="7823C623" w:rsidP="7823C623">
            <w:pPr>
              <w:spacing w:after="100" w:afterAutospacing="1"/>
              <w:jc w:val="left"/>
              <w:rPr>
                <w:b/>
                <w:bCs/>
                <w:color w:val="000000" w:themeColor="text1"/>
                <w:sz w:val="22"/>
                <w:szCs w:val="22"/>
              </w:rPr>
            </w:pPr>
            <w:r w:rsidRPr="00452AD4">
              <w:rPr>
                <w:b/>
                <w:bCs/>
                <w:color w:val="000000" w:themeColor="text1"/>
                <w:sz w:val="22"/>
                <w:szCs w:val="22"/>
              </w:rPr>
              <w:t>Családi támogatások</w:t>
            </w:r>
          </w:p>
        </w:tc>
        <w:tc>
          <w:tcPr>
            <w:tcW w:w="998" w:type="dxa"/>
            <w:tcBorders>
              <w:top w:val="nil"/>
              <w:left w:val="nil"/>
              <w:bottom w:val="single" w:sz="4" w:space="0" w:color="auto"/>
              <w:right w:val="single" w:sz="4" w:space="0" w:color="auto"/>
            </w:tcBorders>
            <w:shd w:val="clear" w:color="auto" w:fill="auto"/>
            <w:noWrap/>
            <w:vAlign w:val="center"/>
            <w:hideMark/>
          </w:tcPr>
          <w:p w14:paraId="01607B0A" w14:textId="5DCAA3F1" w:rsidR="00B14766" w:rsidRPr="00452AD4" w:rsidRDefault="2307FA22" w:rsidP="2307FA22">
            <w:pPr>
              <w:spacing w:after="100" w:afterAutospacing="1"/>
              <w:jc w:val="right"/>
              <w:rPr>
                <w:b/>
                <w:bCs/>
                <w:sz w:val="22"/>
                <w:szCs w:val="22"/>
              </w:rPr>
            </w:pPr>
            <w:r w:rsidRPr="00452AD4">
              <w:rPr>
                <w:b/>
                <w:bCs/>
                <w:sz w:val="22"/>
                <w:szCs w:val="22"/>
              </w:rPr>
              <w:t>333,6</w:t>
            </w:r>
          </w:p>
        </w:tc>
        <w:tc>
          <w:tcPr>
            <w:tcW w:w="1157" w:type="dxa"/>
            <w:tcBorders>
              <w:top w:val="nil"/>
              <w:left w:val="nil"/>
              <w:bottom w:val="single" w:sz="4" w:space="0" w:color="auto"/>
              <w:right w:val="single" w:sz="4" w:space="0" w:color="auto"/>
            </w:tcBorders>
            <w:shd w:val="clear" w:color="auto" w:fill="auto"/>
            <w:noWrap/>
            <w:vAlign w:val="center"/>
            <w:hideMark/>
          </w:tcPr>
          <w:p w14:paraId="6D5CED0C" w14:textId="718F369E" w:rsidR="00B14766" w:rsidRPr="00452AD4" w:rsidRDefault="2307FA22" w:rsidP="2307FA22">
            <w:pPr>
              <w:spacing w:after="100" w:afterAutospacing="1" w:line="259" w:lineRule="auto"/>
              <w:jc w:val="right"/>
              <w:rPr>
                <w:b/>
                <w:bCs/>
                <w:sz w:val="22"/>
                <w:szCs w:val="22"/>
              </w:rPr>
            </w:pPr>
            <w:r w:rsidRPr="00452AD4">
              <w:rPr>
                <w:b/>
                <w:bCs/>
                <w:sz w:val="22"/>
                <w:szCs w:val="22"/>
              </w:rPr>
              <w:t>335,1</w:t>
            </w:r>
          </w:p>
        </w:tc>
        <w:tc>
          <w:tcPr>
            <w:tcW w:w="973" w:type="dxa"/>
            <w:tcBorders>
              <w:top w:val="nil"/>
              <w:left w:val="nil"/>
              <w:bottom w:val="single" w:sz="4" w:space="0" w:color="auto"/>
              <w:right w:val="single" w:sz="4" w:space="0" w:color="auto"/>
            </w:tcBorders>
            <w:shd w:val="clear" w:color="auto" w:fill="auto"/>
            <w:noWrap/>
            <w:vAlign w:val="center"/>
            <w:hideMark/>
          </w:tcPr>
          <w:p w14:paraId="20FECAF7" w14:textId="77777777" w:rsidR="00B14766" w:rsidRPr="00452AD4" w:rsidRDefault="7823C623" w:rsidP="7823C623">
            <w:pPr>
              <w:spacing w:after="100" w:afterAutospacing="1"/>
              <w:jc w:val="right"/>
              <w:rPr>
                <w:b/>
                <w:bCs/>
                <w:sz w:val="22"/>
                <w:szCs w:val="22"/>
              </w:rPr>
            </w:pPr>
            <w:r w:rsidRPr="00452AD4">
              <w:rPr>
                <w:b/>
                <w:bCs/>
                <w:sz w:val="22"/>
                <w:szCs w:val="22"/>
              </w:rPr>
              <w:t>1,5</w:t>
            </w:r>
          </w:p>
        </w:tc>
        <w:tc>
          <w:tcPr>
            <w:tcW w:w="894" w:type="dxa"/>
            <w:tcBorders>
              <w:top w:val="nil"/>
              <w:left w:val="nil"/>
              <w:bottom w:val="single" w:sz="4" w:space="0" w:color="auto"/>
              <w:right w:val="single" w:sz="4" w:space="0" w:color="auto"/>
            </w:tcBorders>
            <w:shd w:val="clear" w:color="auto" w:fill="auto"/>
            <w:noWrap/>
            <w:vAlign w:val="center"/>
            <w:hideMark/>
          </w:tcPr>
          <w:p w14:paraId="69BD306F" w14:textId="3471A09A" w:rsidR="00B14766" w:rsidRPr="00452AD4" w:rsidRDefault="2307FA22" w:rsidP="2307FA22">
            <w:pPr>
              <w:spacing w:after="100" w:afterAutospacing="1"/>
              <w:jc w:val="right"/>
              <w:rPr>
                <w:b/>
                <w:bCs/>
                <w:sz w:val="22"/>
                <w:szCs w:val="22"/>
              </w:rPr>
            </w:pPr>
            <w:r w:rsidRPr="00452AD4">
              <w:rPr>
                <w:b/>
                <w:bCs/>
                <w:sz w:val="22"/>
                <w:szCs w:val="22"/>
              </w:rPr>
              <w:t>100,4</w:t>
            </w:r>
          </w:p>
        </w:tc>
      </w:tr>
      <w:tr w:rsidR="00B14766" w:rsidRPr="00452AD4" w14:paraId="5DB5FFEA" w14:textId="77777777" w:rsidTr="00452AD4">
        <w:trPr>
          <w:trHeight w:val="227"/>
          <w:jc w:val="center"/>
        </w:trPr>
        <w:tc>
          <w:tcPr>
            <w:tcW w:w="5157" w:type="dxa"/>
            <w:tcBorders>
              <w:top w:val="nil"/>
              <w:left w:val="single" w:sz="4" w:space="0" w:color="auto"/>
              <w:bottom w:val="single" w:sz="4" w:space="0" w:color="auto"/>
              <w:right w:val="single" w:sz="4" w:space="0" w:color="auto"/>
            </w:tcBorders>
            <w:shd w:val="clear" w:color="auto" w:fill="auto"/>
            <w:noWrap/>
            <w:vAlign w:val="bottom"/>
            <w:hideMark/>
          </w:tcPr>
          <w:p w14:paraId="57B8B297" w14:textId="77777777" w:rsidR="00B14766" w:rsidRPr="00452AD4" w:rsidRDefault="7823C623" w:rsidP="7823C623">
            <w:pPr>
              <w:spacing w:after="100" w:afterAutospacing="1"/>
              <w:ind w:firstLineChars="100" w:firstLine="220"/>
              <w:jc w:val="left"/>
              <w:rPr>
                <w:i/>
                <w:iCs/>
                <w:color w:val="000000" w:themeColor="text1"/>
                <w:sz w:val="22"/>
                <w:szCs w:val="22"/>
              </w:rPr>
            </w:pPr>
            <w:r w:rsidRPr="00452AD4">
              <w:rPr>
                <w:i/>
                <w:iCs/>
                <w:color w:val="000000" w:themeColor="text1"/>
                <w:sz w:val="22"/>
                <w:szCs w:val="22"/>
              </w:rPr>
              <w:t>Ebből:</w:t>
            </w:r>
          </w:p>
        </w:tc>
        <w:tc>
          <w:tcPr>
            <w:tcW w:w="998" w:type="dxa"/>
            <w:tcBorders>
              <w:top w:val="nil"/>
              <w:left w:val="nil"/>
              <w:bottom w:val="single" w:sz="4" w:space="0" w:color="auto"/>
              <w:right w:val="single" w:sz="4" w:space="0" w:color="auto"/>
            </w:tcBorders>
            <w:shd w:val="clear" w:color="auto" w:fill="auto"/>
            <w:noWrap/>
            <w:vAlign w:val="center"/>
            <w:hideMark/>
          </w:tcPr>
          <w:p w14:paraId="63A8407E" w14:textId="77777777" w:rsidR="00B14766" w:rsidRPr="00452AD4" w:rsidRDefault="7823C623" w:rsidP="7823C623">
            <w:pPr>
              <w:spacing w:after="100" w:afterAutospacing="1"/>
              <w:jc w:val="right"/>
              <w:rPr>
                <w:sz w:val="22"/>
                <w:szCs w:val="22"/>
              </w:rPr>
            </w:pPr>
            <w:r w:rsidRPr="00452AD4">
              <w:rPr>
                <w:sz w:val="22"/>
                <w:szCs w:val="22"/>
              </w:rPr>
              <w:t> </w:t>
            </w:r>
          </w:p>
        </w:tc>
        <w:tc>
          <w:tcPr>
            <w:tcW w:w="1157" w:type="dxa"/>
            <w:tcBorders>
              <w:top w:val="nil"/>
              <w:left w:val="nil"/>
              <w:bottom w:val="single" w:sz="4" w:space="0" w:color="auto"/>
              <w:right w:val="single" w:sz="4" w:space="0" w:color="auto"/>
            </w:tcBorders>
            <w:shd w:val="clear" w:color="auto" w:fill="auto"/>
            <w:noWrap/>
            <w:vAlign w:val="center"/>
            <w:hideMark/>
          </w:tcPr>
          <w:p w14:paraId="48BF025B" w14:textId="77777777" w:rsidR="00B14766" w:rsidRPr="00452AD4" w:rsidRDefault="7823C623" w:rsidP="7823C623">
            <w:pPr>
              <w:spacing w:after="100" w:afterAutospacing="1"/>
              <w:jc w:val="right"/>
              <w:rPr>
                <w:sz w:val="22"/>
                <w:szCs w:val="22"/>
              </w:rPr>
            </w:pPr>
            <w:r w:rsidRPr="00452AD4">
              <w:rPr>
                <w:sz w:val="22"/>
                <w:szCs w:val="22"/>
              </w:rPr>
              <w:t> </w:t>
            </w:r>
          </w:p>
        </w:tc>
        <w:tc>
          <w:tcPr>
            <w:tcW w:w="973" w:type="dxa"/>
            <w:tcBorders>
              <w:top w:val="nil"/>
              <w:left w:val="nil"/>
              <w:bottom w:val="single" w:sz="4" w:space="0" w:color="auto"/>
              <w:right w:val="single" w:sz="4" w:space="0" w:color="auto"/>
            </w:tcBorders>
            <w:shd w:val="clear" w:color="auto" w:fill="auto"/>
            <w:noWrap/>
            <w:vAlign w:val="center"/>
            <w:hideMark/>
          </w:tcPr>
          <w:p w14:paraId="62CA3C11" w14:textId="77777777" w:rsidR="00B14766" w:rsidRPr="00452AD4" w:rsidRDefault="7823C623" w:rsidP="7823C623">
            <w:pPr>
              <w:spacing w:after="100" w:afterAutospacing="1"/>
              <w:jc w:val="right"/>
              <w:rPr>
                <w:sz w:val="22"/>
                <w:szCs w:val="22"/>
              </w:rPr>
            </w:pPr>
            <w:r w:rsidRPr="00452AD4">
              <w:rPr>
                <w:sz w:val="22"/>
                <w:szCs w:val="22"/>
              </w:rPr>
              <w:t> </w:t>
            </w:r>
          </w:p>
        </w:tc>
        <w:tc>
          <w:tcPr>
            <w:tcW w:w="894" w:type="dxa"/>
            <w:tcBorders>
              <w:top w:val="nil"/>
              <w:left w:val="nil"/>
              <w:bottom w:val="single" w:sz="4" w:space="0" w:color="auto"/>
              <w:right w:val="single" w:sz="4" w:space="0" w:color="auto"/>
            </w:tcBorders>
            <w:shd w:val="clear" w:color="auto" w:fill="auto"/>
            <w:noWrap/>
            <w:vAlign w:val="center"/>
            <w:hideMark/>
          </w:tcPr>
          <w:p w14:paraId="036F3E4F" w14:textId="77777777" w:rsidR="00B14766" w:rsidRPr="00452AD4" w:rsidRDefault="7823C623" w:rsidP="7823C623">
            <w:pPr>
              <w:spacing w:after="100" w:afterAutospacing="1"/>
              <w:jc w:val="right"/>
              <w:rPr>
                <w:sz w:val="22"/>
                <w:szCs w:val="22"/>
              </w:rPr>
            </w:pPr>
            <w:r w:rsidRPr="00452AD4">
              <w:rPr>
                <w:sz w:val="22"/>
                <w:szCs w:val="22"/>
              </w:rPr>
              <w:t> </w:t>
            </w:r>
          </w:p>
        </w:tc>
      </w:tr>
      <w:tr w:rsidR="00B14766" w:rsidRPr="00452AD4" w14:paraId="2E894B20" w14:textId="77777777" w:rsidTr="00452AD4">
        <w:trPr>
          <w:trHeight w:val="227"/>
          <w:jc w:val="center"/>
        </w:trPr>
        <w:tc>
          <w:tcPr>
            <w:tcW w:w="5157" w:type="dxa"/>
            <w:tcBorders>
              <w:top w:val="nil"/>
              <w:left w:val="single" w:sz="4" w:space="0" w:color="auto"/>
              <w:bottom w:val="single" w:sz="4" w:space="0" w:color="auto"/>
              <w:right w:val="single" w:sz="4" w:space="0" w:color="auto"/>
            </w:tcBorders>
            <w:shd w:val="clear" w:color="auto" w:fill="auto"/>
            <w:noWrap/>
            <w:vAlign w:val="bottom"/>
            <w:hideMark/>
          </w:tcPr>
          <w:p w14:paraId="2A279C16" w14:textId="77777777" w:rsidR="00B14766" w:rsidRPr="00452AD4" w:rsidRDefault="7823C623" w:rsidP="7823C623">
            <w:pPr>
              <w:spacing w:after="100" w:afterAutospacing="1"/>
              <w:ind w:firstLineChars="400" w:firstLine="880"/>
              <w:jc w:val="left"/>
              <w:rPr>
                <w:i/>
                <w:iCs/>
                <w:color w:val="000000" w:themeColor="text1"/>
                <w:sz w:val="22"/>
                <w:szCs w:val="22"/>
              </w:rPr>
            </w:pPr>
            <w:r w:rsidRPr="00452AD4">
              <w:rPr>
                <w:i/>
                <w:iCs/>
                <w:color w:val="000000" w:themeColor="text1"/>
                <w:sz w:val="22"/>
                <w:szCs w:val="22"/>
              </w:rPr>
              <w:t>családi pótlék</w:t>
            </w:r>
          </w:p>
        </w:tc>
        <w:tc>
          <w:tcPr>
            <w:tcW w:w="998" w:type="dxa"/>
            <w:tcBorders>
              <w:top w:val="nil"/>
              <w:left w:val="nil"/>
              <w:bottom w:val="single" w:sz="4" w:space="0" w:color="auto"/>
              <w:right w:val="single" w:sz="4" w:space="0" w:color="auto"/>
            </w:tcBorders>
            <w:shd w:val="clear" w:color="auto" w:fill="auto"/>
            <w:noWrap/>
            <w:vAlign w:val="center"/>
            <w:hideMark/>
          </w:tcPr>
          <w:p w14:paraId="4C9BB6EE" w14:textId="4FD77903" w:rsidR="00B14766" w:rsidRPr="00452AD4" w:rsidRDefault="2307FA22" w:rsidP="2307FA22">
            <w:pPr>
              <w:spacing w:after="100" w:afterAutospacing="1" w:line="259" w:lineRule="auto"/>
              <w:jc w:val="right"/>
              <w:rPr>
                <w:sz w:val="22"/>
                <w:szCs w:val="22"/>
              </w:rPr>
            </w:pPr>
            <w:r w:rsidRPr="00452AD4">
              <w:rPr>
                <w:sz w:val="22"/>
                <w:szCs w:val="22"/>
              </w:rPr>
              <w:t>260,1</w:t>
            </w:r>
          </w:p>
        </w:tc>
        <w:tc>
          <w:tcPr>
            <w:tcW w:w="1157" w:type="dxa"/>
            <w:tcBorders>
              <w:top w:val="nil"/>
              <w:left w:val="nil"/>
              <w:bottom w:val="single" w:sz="4" w:space="0" w:color="auto"/>
              <w:right w:val="single" w:sz="4" w:space="0" w:color="auto"/>
            </w:tcBorders>
            <w:shd w:val="clear" w:color="auto" w:fill="auto"/>
            <w:noWrap/>
            <w:vAlign w:val="center"/>
            <w:hideMark/>
          </w:tcPr>
          <w:p w14:paraId="0CC5B87B" w14:textId="47FC53A0" w:rsidR="00B14766" w:rsidRPr="00452AD4" w:rsidRDefault="2307FA22" w:rsidP="2307FA22">
            <w:pPr>
              <w:spacing w:after="100" w:afterAutospacing="1" w:line="259" w:lineRule="auto"/>
              <w:jc w:val="right"/>
              <w:rPr>
                <w:sz w:val="22"/>
                <w:szCs w:val="22"/>
              </w:rPr>
            </w:pPr>
            <w:r w:rsidRPr="00452AD4">
              <w:rPr>
                <w:sz w:val="22"/>
                <w:szCs w:val="22"/>
              </w:rPr>
              <w:t>258,2</w:t>
            </w:r>
          </w:p>
        </w:tc>
        <w:tc>
          <w:tcPr>
            <w:tcW w:w="973" w:type="dxa"/>
            <w:tcBorders>
              <w:top w:val="nil"/>
              <w:left w:val="nil"/>
              <w:bottom w:val="single" w:sz="4" w:space="0" w:color="auto"/>
              <w:right w:val="single" w:sz="4" w:space="0" w:color="auto"/>
            </w:tcBorders>
            <w:shd w:val="clear" w:color="auto" w:fill="auto"/>
            <w:noWrap/>
            <w:vAlign w:val="center"/>
            <w:hideMark/>
          </w:tcPr>
          <w:p w14:paraId="18430F5E" w14:textId="0E0645F0" w:rsidR="00B14766" w:rsidRPr="00452AD4" w:rsidRDefault="2307FA22" w:rsidP="2307FA22">
            <w:pPr>
              <w:spacing w:after="100" w:afterAutospacing="1" w:line="259" w:lineRule="auto"/>
              <w:jc w:val="right"/>
              <w:rPr>
                <w:sz w:val="22"/>
                <w:szCs w:val="22"/>
              </w:rPr>
            </w:pPr>
            <w:r w:rsidRPr="00452AD4">
              <w:rPr>
                <w:sz w:val="22"/>
                <w:szCs w:val="22"/>
              </w:rPr>
              <w:t>-1,9</w:t>
            </w:r>
          </w:p>
        </w:tc>
        <w:tc>
          <w:tcPr>
            <w:tcW w:w="894" w:type="dxa"/>
            <w:tcBorders>
              <w:top w:val="nil"/>
              <w:left w:val="nil"/>
              <w:bottom w:val="single" w:sz="4" w:space="0" w:color="auto"/>
              <w:right w:val="single" w:sz="4" w:space="0" w:color="auto"/>
            </w:tcBorders>
            <w:shd w:val="clear" w:color="auto" w:fill="auto"/>
            <w:noWrap/>
            <w:vAlign w:val="center"/>
            <w:hideMark/>
          </w:tcPr>
          <w:p w14:paraId="5FB143F7" w14:textId="77777777" w:rsidR="00B14766" w:rsidRPr="00452AD4" w:rsidRDefault="7823C623" w:rsidP="7823C623">
            <w:pPr>
              <w:spacing w:after="100" w:afterAutospacing="1"/>
              <w:jc w:val="right"/>
              <w:rPr>
                <w:sz w:val="22"/>
                <w:szCs w:val="22"/>
              </w:rPr>
            </w:pPr>
            <w:r w:rsidRPr="00452AD4">
              <w:rPr>
                <w:sz w:val="22"/>
                <w:szCs w:val="22"/>
              </w:rPr>
              <w:t>99,3</w:t>
            </w:r>
          </w:p>
        </w:tc>
      </w:tr>
      <w:tr w:rsidR="00B14766" w:rsidRPr="00452AD4" w14:paraId="112FB900" w14:textId="77777777" w:rsidTr="00452AD4">
        <w:trPr>
          <w:trHeight w:val="227"/>
          <w:jc w:val="center"/>
        </w:trPr>
        <w:tc>
          <w:tcPr>
            <w:tcW w:w="5157" w:type="dxa"/>
            <w:tcBorders>
              <w:top w:val="nil"/>
              <w:left w:val="single" w:sz="4" w:space="0" w:color="auto"/>
              <w:bottom w:val="single" w:sz="4" w:space="0" w:color="auto"/>
              <w:right w:val="single" w:sz="4" w:space="0" w:color="auto"/>
            </w:tcBorders>
            <w:shd w:val="clear" w:color="auto" w:fill="auto"/>
            <w:noWrap/>
            <w:vAlign w:val="bottom"/>
            <w:hideMark/>
          </w:tcPr>
          <w:p w14:paraId="6413CFC8" w14:textId="77777777" w:rsidR="00B14766" w:rsidRPr="00452AD4" w:rsidRDefault="7823C623" w:rsidP="7823C623">
            <w:pPr>
              <w:spacing w:after="100" w:afterAutospacing="1"/>
              <w:ind w:firstLineChars="400" w:firstLine="880"/>
              <w:jc w:val="left"/>
              <w:rPr>
                <w:i/>
                <w:iCs/>
                <w:color w:val="000000" w:themeColor="text1"/>
                <w:sz w:val="22"/>
                <w:szCs w:val="22"/>
              </w:rPr>
            </w:pPr>
            <w:r w:rsidRPr="00452AD4">
              <w:rPr>
                <w:i/>
                <w:iCs/>
                <w:color w:val="000000" w:themeColor="text1"/>
                <w:sz w:val="22"/>
                <w:szCs w:val="22"/>
              </w:rPr>
              <w:t>anyasági támogatás</w:t>
            </w:r>
          </w:p>
        </w:tc>
        <w:tc>
          <w:tcPr>
            <w:tcW w:w="998" w:type="dxa"/>
            <w:tcBorders>
              <w:top w:val="nil"/>
              <w:left w:val="nil"/>
              <w:bottom w:val="single" w:sz="4" w:space="0" w:color="auto"/>
              <w:right w:val="single" w:sz="4" w:space="0" w:color="auto"/>
            </w:tcBorders>
            <w:shd w:val="clear" w:color="auto" w:fill="auto"/>
            <w:noWrap/>
            <w:vAlign w:val="center"/>
            <w:hideMark/>
          </w:tcPr>
          <w:p w14:paraId="67171E98" w14:textId="0204B7CD" w:rsidR="00B14766" w:rsidRPr="00452AD4" w:rsidRDefault="2307FA22" w:rsidP="2307FA22">
            <w:pPr>
              <w:spacing w:after="100" w:afterAutospacing="1"/>
              <w:jc w:val="right"/>
              <w:rPr>
                <w:sz w:val="22"/>
                <w:szCs w:val="22"/>
              </w:rPr>
            </w:pPr>
            <w:r w:rsidRPr="00452AD4">
              <w:rPr>
                <w:sz w:val="22"/>
                <w:szCs w:val="22"/>
              </w:rPr>
              <w:t>4,7</w:t>
            </w:r>
          </w:p>
        </w:tc>
        <w:tc>
          <w:tcPr>
            <w:tcW w:w="1157" w:type="dxa"/>
            <w:tcBorders>
              <w:top w:val="nil"/>
              <w:left w:val="nil"/>
              <w:bottom w:val="single" w:sz="4" w:space="0" w:color="auto"/>
              <w:right w:val="single" w:sz="4" w:space="0" w:color="auto"/>
            </w:tcBorders>
            <w:shd w:val="clear" w:color="auto" w:fill="auto"/>
            <w:noWrap/>
            <w:vAlign w:val="center"/>
            <w:hideMark/>
          </w:tcPr>
          <w:p w14:paraId="7CFD9F7B" w14:textId="3673AF7F" w:rsidR="00B14766" w:rsidRPr="00452AD4" w:rsidRDefault="2307FA22" w:rsidP="2307FA22">
            <w:pPr>
              <w:spacing w:after="100" w:afterAutospacing="1" w:line="259" w:lineRule="auto"/>
              <w:jc w:val="right"/>
              <w:rPr>
                <w:sz w:val="22"/>
                <w:szCs w:val="22"/>
              </w:rPr>
            </w:pPr>
            <w:r w:rsidRPr="00452AD4">
              <w:rPr>
                <w:sz w:val="22"/>
                <w:szCs w:val="22"/>
              </w:rPr>
              <w:t>5,1</w:t>
            </w:r>
          </w:p>
        </w:tc>
        <w:tc>
          <w:tcPr>
            <w:tcW w:w="973" w:type="dxa"/>
            <w:tcBorders>
              <w:top w:val="nil"/>
              <w:left w:val="nil"/>
              <w:bottom w:val="single" w:sz="4" w:space="0" w:color="auto"/>
              <w:right w:val="single" w:sz="4" w:space="0" w:color="auto"/>
            </w:tcBorders>
            <w:shd w:val="clear" w:color="auto" w:fill="auto"/>
            <w:noWrap/>
            <w:vAlign w:val="center"/>
            <w:hideMark/>
          </w:tcPr>
          <w:p w14:paraId="28DC31F6" w14:textId="11E04594" w:rsidR="00B14766" w:rsidRPr="00452AD4" w:rsidRDefault="2307FA22" w:rsidP="2307FA22">
            <w:pPr>
              <w:spacing w:after="100" w:afterAutospacing="1" w:line="259" w:lineRule="auto"/>
              <w:jc w:val="right"/>
              <w:rPr>
                <w:sz w:val="22"/>
                <w:szCs w:val="22"/>
              </w:rPr>
            </w:pPr>
            <w:r w:rsidRPr="00452AD4">
              <w:rPr>
                <w:sz w:val="22"/>
                <w:szCs w:val="22"/>
              </w:rPr>
              <w:t>0,4</w:t>
            </w:r>
          </w:p>
        </w:tc>
        <w:tc>
          <w:tcPr>
            <w:tcW w:w="894" w:type="dxa"/>
            <w:tcBorders>
              <w:top w:val="nil"/>
              <w:left w:val="nil"/>
              <w:bottom w:val="single" w:sz="4" w:space="0" w:color="auto"/>
              <w:right w:val="single" w:sz="4" w:space="0" w:color="auto"/>
            </w:tcBorders>
            <w:shd w:val="clear" w:color="auto" w:fill="auto"/>
            <w:noWrap/>
            <w:vAlign w:val="center"/>
            <w:hideMark/>
          </w:tcPr>
          <w:p w14:paraId="22758302" w14:textId="05CB1085" w:rsidR="00B14766" w:rsidRPr="00452AD4" w:rsidRDefault="2307FA22" w:rsidP="2307FA22">
            <w:pPr>
              <w:spacing w:after="100" w:afterAutospacing="1" w:line="259" w:lineRule="auto"/>
              <w:jc w:val="right"/>
              <w:rPr>
                <w:sz w:val="22"/>
                <w:szCs w:val="22"/>
              </w:rPr>
            </w:pPr>
            <w:r w:rsidRPr="00452AD4">
              <w:rPr>
                <w:sz w:val="22"/>
                <w:szCs w:val="22"/>
              </w:rPr>
              <w:t>108,5</w:t>
            </w:r>
          </w:p>
        </w:tc>
      </w:tr>
      <w:tr w:rsidR="00B14766" w:rsidRPr="00452AD4" w14:paraId="57E591FC" w14:textId="77777777" w:rsidTr="00452AD4">
        <w:trPr>
          <w:trHeight w:val="227"/>
          <w:jc w:val="center"/>
        </w:trPr>
        <w:tc>
          <w:tcPr>
            <w:tcW w:w="5157" w:type="dxa"/>
            <w:tcBorders>
              <w:top w:val="nil"/>
              <w:left w:val="single" w:sz="4" w:space="0" w:color="auto"/>
              <w:bottom w:val="single" w:sz="4" w:space="0" w:color="auto"/>
              <w:right w:val="single" w:sz="4" w:space="0" w:color="auto"/>
            </w:tcBorders>
            <w:shd w:val="clear" w:color="auto" w:fill="auto"/>
            <w:vAlign w:val="center"/>
            <w:hideMark/>
          </w:tcPr>
          <w:p w14:paraId="6ED8DD3C" w14:textId="77777777" w:rsidR="00B14766" w:rsidRPr="00452AD4" w:rsidRDefault="7823C623" w:rsidP="7823C623">
            <w:pPr>
              <w:spacing w:after="100" w:afterAutospacing="1"/>
              <w:ind w:firstLineChars="400" w:firstLine="880"/>
              <w:jc w:val="left"/>
              <w:rPr>
                <w:i/>
                <w:iCs/>
                <w:color w:val="000000" w:themeColor="text1"/>
                <w:sz w:val="22"/>
                <w:szCs w:val="22"/>
              </w:rPr>
            </w:pPr>
            <w:r w:rsidRPr="00452AD4">
              <w:rPr>
                <w:i/>
                <w:iCs/>
                <w:color w:val="000000" w:themeColor="text1"/>
                <w:sz w:val="22"/>
                <w:szCs w:val="22"/>
              </w:rPr>
              <w:t>gyermekgondozást segítő ellátás</w:t>
            </w:r>
          </w:p>
        </w:tc>
        <w:tc>
          <w:tcPr>
            <w:tcW w:w="998" w:type="dxa"/>
            <w:tcBorders>
              <w:top w:val="nil"/>
              <w:left w:val="nil"/>
              <w:bottom w:val="single" w:sz="4" w:space="0" w:color="auto"/>
              <w:right w:val="single" w:sz="4" w:space="0" w:color="auto"/>
            </w:tcBorders>
            <w:shd w:val="clear" w:color="auto" w:fill="auto"/>
            <w:noWrap/>
            <w:vAlign w:val="center"/>
            <w:hideMark/>
          </w:tcPr>
          <w:p w14:paraId="10AC3565" w14:textId="0DB3B93D" w:rsidR="00B14766" w:rsidRPr="00452AD4" w:rsidRDefault="2307FA22" w:rsidP="2307FA22">
            <w:pPr>
              <w:spacing w:after="100" w:afterAutospacing="1"/>
              <w:jc w:val="right"/>
              <w:rPr>
                <w:sz w:val="22"/>
                <w:szCs w:val="22"/>
              </w:rPr>
            </w:pPr>
            <w:r w:rsidRPr="00452AD4">
              <w:rPr>
                <w:sz w:val="22"/>
                <w:szCs w:val="22"/>
              </w:rPr>
              <w:t>46,2</w:t>
            </w:r>
          </w:p>
        </w:tc>
        <w:tc>
          <w:tcPr>
            <w:tcW w:w="1157" w:type="dxa"/>
            <w:tcBorders>
              <w:top w:val="nil"/>
              <w:left w:val="nil"/>
              <w:bottom w:val="single" w:sz="4" w:space="0" w:color="auto"/>
              <w:right w:val="single" w:sz="4" w:space="0" w:color="auto"/>
            </w:tcBorders>
            <w:shd w:val="clear" w:color="auto" w:fill="auto"/>
            <w:noWrap/>
            <w:vAlign w:val="center"/>
            <w:hideMark/>
          </w:tcPr>
          <w:p w14:paraId="39891B10" w14:textId="1588BDAA" w:rsidR="00B14766" w:rsidRPr="00452AD4" w:rsidRDefault="2307FA22" w:rsidP="2307FA22">
            <w:pPr>
              <w:spacing w:after="100" w:afterAutospacing="1" w:line="259" w:lineRule="auto"/>
              <w:jc w:val="right"/>
              <w:rPr>
                <w:sz w:val="22"/>
                <w:szCs w:val="22"/>
              </w:rPr>
            </w:pPr>
            <w:r w:rsidRPr="00452AD4">
              <w:rPr>
                <w:sz w:val="22"/>
                <w:szCs w:val="22"/>
              </w:rPr>
              <w:t>46,5</w:t>
            </w:r>
          </w:p>
        </w:tc>
        <w:tc>
          <w:tcPr>
            <w:tcW w:w="973" w:type="dxa"/>
            <w:tcBorders>
              <w:top w:val="nil"/>
              <w:left w:val="nil"/>
              <w:bottom w:val="single" w:sz="4" w:space="0" w:color="auto"/>
              <w:right w:val="single" w:sz="4" w:space="0" w:color="auto"/>
            </w:tcBorders>
            <w:shd w:val="clear" w:color="auto" w:fill="auto"/>
            <w:noWrap/>
            <w:vAlign w:val="center"/>
            <w:hideMark/>
          </w:tcPr>
          <w:p w14:paraId="5BE01791" w14:textId="1E5F9796" w:rsidR="00B14766" w:rsidRPr="00452AD4" w:rsidRDefault="2307FA22" w:rsidP="2307FA22">
            <w:pPr>
              <w:spacing w:after="100" w:afterAutospacing="1" w:line="259" w:lineRule="auto"/>
              <w:jc w:val="right"/>
              <w:rPr>
                <w:sz w:val="22"/>
                <w:szCs w:val="22"/>
              </w:rPr>
            </w:pPr>
            <w:r w:rsidRPr="00452AD4">
              <w:rPr>
                <w:sz w:val="22"/>
                <w:szCs w:val="22"/>
              </w:rPr>
              <w:t>0,3</w:t>
            </w:r>
          </w:p>
        </w:tc>
        <w:tc>
          <w:tcPr>
            <w:tcW w:w="894" w:type="dxa"/>
            <w:tcBorders>
              <w:top w:val="nil"/>
              <w:left w:val="nil"/>
              <w:bottom w:val="single" w:sz="4" w:space="0" w:color="auto"/>
              <w:right w:val="single" w:sz="4" w:space="0" w:color="auto"/>
            </w:tcBorders>
            <w:shd w:val="clear" w:color="auto" w:fill="auto"/>
            <w:noWrap/>
            <w:vAlign w:val="center"/>
            <w:hideMark/>
          </w:tcPr>
          <w:p w14:paraId="3EF4FEF3" w14:textId="16BB4B72" w:rsidR="00B14766" w:rsidRPr="00452AD4" w:rsidRDefault="2307FA22" w:rsidP="2307FA22">
            <w:pPr>
              <w:spacing w:after="100" w:afterAutospacing="1" w:line="259" w:lineRule="auto"/>
              <w:jc w:val="right"/>
              <w:rPr>
                <w:sz w:val="22"/>
                <w:szCs w:val="22"/>
              </w:rPr>
            </w:pPr>
            <w:r w:rsidRPr="00452AD4">
              <w:rPr>
                <w:sz w:val="22"/>
                <w:szCs w:val="22"/>
              </w:rPr>
              <w:t>100,6</w:t>
            </w:r>
          </w:p>
        </w:tc>
      </w:tr>
      <w:tr w:rsidR="00B14766" w:rsidRPr="00452AD4" w14:paraId="668EB564" w14:textId="77777777" w:rsidTr="00452AD4">
        <w:trPr>
          <w:trHeight w:val="227"/>
          <w:jc w:val="center"/>
        </w:trPr>
        <w:tc>
          <w:tcPr>
            <w:tcW w:w="5157" w:type="dxa"/>
            <w:tcBorders>
              <w:top w:val="nil"/>
              <w:left w:val="single" w:sz="4" w:space="0" w:color="auto"/>
              <w:bottom w:val="single" w:sz="4" w:space="0" w:color="auto"/>
              <w:right w:val="single" w:sz="4" w:space="0" w:color="auto"/>
            </w:tcBorders>
            <w:shd w:val="clear" w:color="auto" w:fill="auto"/>
            <w:vAlign w:val="center"/>
            <w:hideMark/>
          </w:tcPr>
          <w:p w14:paraId="1D1E44FE" w14:textId="77777777" w:rsidR="00B14766" w:rsidRPr="00452AD4" w:rsidRDefault="7823C623" w:rsidP="7823C623">
            <w:pPr>
              <w:spacing w:after="100" w:afterAutospacing="1"/>
              <w:ind w:firstLineChars="400" w:firstLine="880"/>
              <w:jc w:val="left"/>
              <w:rPr>
                <w:i/>
                <w:iCs/>
                <w:color w:val="000000" w:themeColor="text1"/>
                <w:sz w:val="22"/>
                <w:szCs w:val="22"/>
              </w:rPr>
            </w:pPr>
            <w:r w:rsidRPr="00452AD4">
              <w:rPr>
                <w:i/>
                <w:iCs/>
                <w:color w:val="000000" w:themeColor="text1"/>
                <w:sz w:val="22"/>
                <w:szCs w:val="22"/>
              </w:rPr>
              <w:t>gyermeknevelési támogatás</w:t>
            </w:r>
          </w:p>
        </w:tc>
        <w:tc>
          <w:tcPr>
            <w:tcW w:w="998" w:type="dxa"/>
            <w:tcBorders>
              <w:top w:val="nil"/>
              <w:left w:val="nil"/>
              <w:bottom w:val="single" w:sz="4" w:space="0" w:color="auto"/>
              <w:right w:val="single" w:sz="4" w:space="0" w:color="auto"/>
            </w:tcBorders>
            <w:shd w:val="clear" w:color="auto" w:fill="auto"/>
            <w:noWrap/>
            <w:vAlign w:val="center"/>
            <w:hideMark/>
          </w:tcPr>
          <w:p w14:paraId="2D4992F3" w14:textId="4738A09D" w:rsidR="00B14766" w:rsidRPr="00452AD4" w:rsidRDefault="2307FA22" w:rsidP="2307FA22">
            <w:pPr>
              <w:spacing w:after="100" w:afterAutospacing="1" w:line="259" w:lineRule="auto"/>
              <w:jc w:val="right"/>
              <w:rPr>
                <w:sz w:val="22"/>
                <w:szCs w:val="22"/>
              </w:rPr>
            </w:pPr>
            <w:r w:rsidRPr="00452AD4">
              <w:rPr>
                <w:sz w:val="22"/>
                <w:szCs w:val="22"/>
              </w:rPr>
              <w:t>9,2</w:t>
            </w:r>
          </w:p>
        </w:tc>
        <w:tc>
          <w:tcPr>
            <w:tcW w:w="1157" w:type="dxa"/>
            <w:tcBorders>
              <w:top w:val="nil"/>
              <w:left w:val="nil"/>
              <w:bottom w:val="single" w:sz="4" w:space="0" w:color="auto"/>
              <w:right w:val="single" w:sz="4" w:space="0" w:color="auto"/>
            </w:tcBorders>
            <w:shd w:val="clear" w:color="auto" w:fill="auto"/>
            <w:noWrap/>
            <w:vAlign w:val="center"/>
            <w:hideMark/>
          </w:tcPr>
          <w:p w14:paraId="7A974379" w14:textId="4C6C9EDC" w:rsidR="00B14766" w:rsidRPr="00452AD4" w:rsidRDefault="2307FA22" w:rsidP="2307FA22">
            <w:pPr>
              <w:spacing w:after="100" w:afterAutospacing="1" w:line="259" w:lineRule="auto"/>
              <w:jc w:val="right"/>
              <w:rPr>
                <w:sz w:val="22"/>
                <w:szCs w:val="22"/>
              </w:rPr>
            </w:pPr>
            <w:r w:rsidRPr="00452AD4">
              <w:rPr>
                <w:sz w:val="22"/>
                <w:szCs w:val="22"/>
              </w:rPr>
              <w:t>8,6</w:t>
            </w:r>
          </w:p>
        </w:tc>
        <w:tc>
          <w:tcPr>
            <w:tcW w:w="973" w:type="dxa"/>
            <w:tcBorders>
              <w:top w:val="nil"/>
              <w:left w:val="nil"/>
              <w:bottom w:val="single" w:sz="4" w:space="0" w:color="auto"/>
              <w:right w:val="single" w:sz="4" w:space="0" w:color="auto"/>
            </w:tcBorders>
            <w:shd w:val="clear" w:color="auto" w:fill="auto"/>
            <w:noWrap/>
            <w:vAlign w:val="center"/>
            <w:hideMark/>
          </w:tcPr>
          <w:p w14:paraId="180478F0" w14:textId="77777777" w:rsidR="00B14766" w:rsidRPr="00452AD4" w:rsidRDefault="7823C623" w:rsidP="7823C623">
            <w:pPr>
              <w:spacing w:after="100" w:afterAutospacing="1"/>
              <w:jc w:val="right"/>
              <w:rPr>
                <w:sz w:val="22"/>
                <w:szCs w:val="22"/>
              </w:rPr>
            </w:pPr>
            <w:r w:rsidRPr="00452AD4">
              <w:rPr>
                <w:sz w:val="22"/>
                <w:szCs w:val="22"/>
              </w:rPr>
              <w:t>-0,6</w:t>
            </w:r>
          </w:p>
        </w:tc>
        <w:tc>
          <w:tcPr>
            <w:tcW w:w="894" w:type="dxa"/>
            <w:tcBorders>
              <w:top w:val="nil"/>
              <w:left w:val="nil"/>
              <w:bottom w:val="single" w:sz="4" w:space="0" w:color="auto"/>
              <w:right w:val="single" w:sz="4" w:space="0" w:color="auto"/>
            </w:tcBorders>
            <w:shd w:val="clear" w:color="auto" w:fill="auto"/>
            <w:noWrap/>
            <w:vAlign w:val="center"/>
            <w:hideMark/>
          </w:tcPr>
          <w:p w14:paraId="7EA04BF3" w14:textId="46CC0F1C" w:rsidR="00B14766" w:rsidRPr="00452AD4" w:rsidRDefault="2307FA22" w:rsidP="2307FA22">
            <w:pPr>
              <w:spacing w:after="100" w:afterAutospacing="1" w:line="259" w:lineRule="auto"/>
              <w:jc w:val="right"/>
              <w:rPr>
                <w:sz w:val="22"/>
                <w:szCs w:val="22"/>
              </w:rPr>
            </w:pPr>
            <w:r w:rsidRPr="00452AD4">
              <w:rPr>
                <w:sz w:val="22"/>
                <w:szCs w:val="22"/>
              </w:rPr>
              <w:t>93,5</w:t>
            </w:r>
          </w:p>
        </w:tc>
      </w:tr>
      <w:tr w:rsidR="00B14766" w:rsidRPr="00452AD4" w14:paraId="2D0C63A1" w14:textId="77777777" w:rsidTr="00452AD4">
        <w:trPr>
          <w:trHeight w:val="227"/>
          <w:jc w:val="center"/>
        </w:trPr>
        <w:tc>
          <w:tcPr>
            <w:tcW w:w="5157" w:type="dxa"/>
            <w:tcBorders>
              <w:top w:val="nil"/>
              <w:left w:val="single" w:sz="4" w:space="0" w:color="auto"/>
              <w:bottom w:val="single" w:sz="4" w:space="0" w:color="auto"/>
              <w:right w:val="single" w:sz="4" w:space="0" w:color="auto"/>
            </w:tcBorders>
            <w:shd w:val="clear" w:color="auto" w:fill="auto"/>
            <w:vAlign w:val="center"/>
            <w:hideMark/>
          </w:tcPr>
          <w:p w14:paraId="0BD1B0F2" w14:textId="77777777" w:rsidR="00B14766" w:rsidRPr="00452AD4" w:rsidRDefault="7823C623" w:rsidP="7823C623">
            <w:pPr>
              <w:spacing w:after="100" w:afterAutospacing="1"/>
              <w:ind w:left="851" w:firstLineChars="13" w:firstLine="29"/>
              <w:jc w:val="left"/>
              <w:rPr>
                <w:i/>
                <w:iCs/>
                <w:color w:val="000000" w:themeColor="text1"/>
                <w:sz w:val="22"/>
                <w:szCs w:val="22"/>
              </w:rPr>
            </w:pPr>
            <w:r w:rsidRPr="00452AD4">
              <w:rPr>
                <w:i/>
                <w:iCs/>
                <w:color w:val="000000" w:themeColor="text1"/>
                <w:sz w:val="22"/>
                <w:szCs w:val="22"/>
              </w:rPr>
              <w:t>gyermekek születésével kapcsolatos szabadság megtérítése</w:t>
            </w:r>
          </w:p>
        </w:tc>
        <w:tc>
          <w:tcPr>
            <w:tcW w:w="998" w:type="dxa"/>
            <w:tcBorders>
              <w:top w:val="nil"/>
              <w:left w:val="nil"/>
              <w:bottom w:val="single" w:sz="4" w:space="0" w:color="auto"/>
              <w:right w:val="single" w:sz="4" w:space="0" w:color="auto"/>
            </w:tcBorders>
            <w:shd w:val="clear" w:color="auto" w:fill="auto"/>
            <w:noWrap/>
            <w:vAlign w:val="center"/>
            <w:hideMark/>
          </w:tcPr>
          <w:p w14:paraId="067DF1CF" w14:textId="79DF0429" w:rsidR="00B14766" w:rsidRPr="00452AD4" w:rsidRDefault="2307FA22" w:rsidP="2307FA22">
            <w:pPr>
              <w:spacing w:after="100" w:afterAutospacing="1" w:line="259" w:lineRule="auto"/>
              <w:jc w:val="right"/>
              <w:rPr>
                <w:sz w:val="22"/>
                <w:szCs w:val="22"/>
              </w:rPr>
            </w:pPr>
            <w:r w:rsidRPr="00452AD4">
              <w:rPr>
                <w:sz w:val="22"/>
                <w:szCs w:val="22"/>
              </w:rPr>
              <w:t>3,7</w:t>
            </w:r>
          </w:p>
        </w:tc>
        <w:tc>
          <w:tcPr>
            <w:tcW w:w="1157" w:type="dxa"/>
            <w:tcBorders>
              <w:top w:val="nil"/>
              <w:left w:val="nil"/>
              <w:bottom w:val="single" w:sz="4" w:space="0" w:color="auto"/>
              <w:right w:val="single" w:sz="4" w:space="0" w:color="auto"/>
            </w:tcBorders>
            <w:shd w:val="clear" w:color="auto" w:fill="auto"/>
            <w:noWrap/>
            <w:vAlign w:val="center"/>
            <w:hideMark/>
          </w:tcPr>
          <w:p w14:paraId="28B24707" w14:textId="3FFDF6EC" w:rsidR="00B14766" w:rsidRPr="00452AD4" w:rsidRDefault="2307FA22" w:rsidP="2307FA22">
            <w:pPr>
              <w:spacing w:after="100" w:afterAutospacing="1" w:line="259" w:lineRule="auto"/>
              <w:jc w:val="right"/>
              <w:rPr>
                <w:sz w:val="22"/>
                <w:szCs w:val="22"/>
              </w:rPr>
            </w:pPr>
            <w:r w:rsidRPr="00452AD4">
              <w:rPr>
                <w:sz w:val="22"/>
                <w:szCs w:val="22"/>
              </w:rPr>
              <w:t>3,9</w:t>
            </w:r>
          </w:p>
        </w:tc>
        <w:tc>
          <w:tcPr>
            <w:tcW w:w="973" w:type="dxa"/>
            <w:tcBorders>
              <w:top w:val="nil"/>
              <w:left w:val="nil"/>
              <w:bottom w:val="single" w:sz="4" w:space="0" w:color="auto"/>
              <w:right w:val="single" w:sz="4" w:space="0" w:color="auto"/>
            </w:tcBorders>
            <w:shd w:val="clear" w:color="auto" w:fill="auto"/>
            <w:noWrap/>
            <w:vAlign w:val="center"/>
            <w:hideMark/>
          </w:tcPr>
          <w:p w14:paraId="5A5B8D31" w14:textId="02898DBC" w:rsidR="00B14766" w:rsidRPr="00452AD4" w:rsidRDefault="2307FA22" w:rsidP="2307FA22">
            <w:pPr>
              <w:spacing w:after="100" w:afterAutospacing="1" w:line="259" w:lineRule="auto"/>
              <w:jc w:val="right"/>
              <w:rPr>
                <w:sz w:val="22"/>
                <w:szCs w:val="22"/>
              </w:rPr>
            </w:pPr>
            <w:r w:rsidRPr="00452AD4">
              <w:rPr>
                <w:sz w:val="22"/>
                <w:szCs w:val="22"/>
              </w:rPr>
              <w:t>0,2</w:t>
            </w:r>
          </w:p>
        </w:tc>
        <w:tc>
          <w:tcPr>
            <w:tcW w:w="894" w:type="dxa"/>
            <w:tcBorders>
              <w:top w:val="nil"/>
              <w:left w:val="nil"/>
              <w:bottom w:val="single" w:sz="4" w:space="0" w:color="auto"/>
              <w:right w:val="single" w:sz="4" w:space="0" w:color="auto"/>
            </w:tcBorders>
            <w:shd w:val="clear" w:color="auto" w:fill="auto"/>
            <w:noWrap/>
            <w:vAlign w:val="center"/>
            <w:hideMark/>
          </w:tcPr>
          <w:p w14:paraId="05446CBE" w14:textId="24CA5AB4" w:rsidR="00B14766" w:rsidRPr="00452AD4" w:rsidRDefault="2307FA22" w:rsidP="2307FA22">
            <w:pPr>
              <w:spacing w:after="100" w:afterAutospacing="1" w:line="259" w:lineRule="auto"/>
              <w:jc w:val="right"/>
              <w:rPr>
                <w:sz w:val="22"/>
                <w:szCs w:val="22"/>
              </w:rPr>
            </w:pPr>
            <w:r w:rsidRPr="00452AD4">
              <w:rPr>
                <w:sz w:val="22"/>
                <w:szCs w:val="22"/>
              </w:rPr>
              <w:t>105,4</w:t>
            </w:r>
          </w:p>
        </w:tc>
      </w:tr>
      <w:tr w:rsidR="00B14766" w:rsidRPr="00452AD4" w14:paraId="312C72B5" w14:textId="77777777" w:rsidTr="00452AD4">
        <w:trPr>
          <w:trHeight w:val="227"/>
          <w:jc w:val="center"/>
        </w:trPr>
        <w:tc>
          <w:tcPr>
            <w:tcW w:w="5157" w:type="dxa"/>
            <w:tcBorders>
              <w:top w:val="nil"/>
              <w:left w:val="single" w:sz="4" w:space="0" w:color="auto"/>
              <w:bottom w:val="single" w:sz="4" w:space="0" w:color="auto"/>
              <w:right w:val="single" w:sz="4" w:space="0" w:color="auto"/>
            </w:tcBorders>
            <w:shd w:val="clear" w:color="auto" w:fill="auto"/>
            <w:vAlign w:val="center"/>
            <w:hideMark/>
          </w:tcPr>
          <w:p w14:paraId="4F56F094" w14:textId="77777777" w:rsidR="00B14766" w:rsidRPr="00452AD4" w:rsidRDefault="7823C623" w:rsidP="7823C623">
            <w:pPr>
              <w:spacing w:after="100" w:afterAutospacing="1"/>
              <w:ind w:firstLineChars="400" w:firstLine="880"/>
              <w:jc w:val="left"/>
              <w:rPr>
                <w:i/>
                <w:iCs/>
                <w:color w:val="000000" w:themeColor="text1"/>
                <w:sz w:val="22"/>
                <w:szCs w:val="22"/>
              </w:rPr>
            </w:pPr>
            <w:r w:rsidRPr="00452AD4">
              <w:rPr>
                <w:i/>
                <w:iCs/>
                <w:color w:val="000000" w:themeColor="text1"/>
                <w:sz w:val="22"/>
                <w:szCs w:val="22"/>
              </w:rPr>
              <w:t>életkezdési támogatás</w:t>
            </w:r>
          </w:p>
        </w:tc>
        <w:tc>
          <w:tcPr>
            <w:tcW w:w="998" w:type="dxa"/>
            <w:tcBorders>
              <w:top w:val="nil"/>
              <w:left w:val="nil"/>
              <w:bottom w:val="single" w:sz="4" w:space="0" w:color="auto"/>
              <w:right w:val="single" w:sz="4" w:space="0" w:color="auto"/>
            </w:tcBorders>
            <w:shd w:val="clear" w:color="auto" w:fill="auto"/>
            <w:noWrap/>
            <w:vAlign w:val="center"/>
            <w:hideMark/>
          </w:tcPr>
          <w:p w14:paraId="5558367B" w14:textId="0659D953" w:rsidR="00B14766" w:rsidRPr="00452AD4" w:rsidRDefault="2307FA22" w:rsidP="2307FA22">
            <w:pPr>
              <w:spacing w:after="100" w:afterAutospacing="1" w:line="259" w:lineRule="auto"/>
              <w:jc w:val="right"/>
              <w:rPr>
                <w:sz w:val="22"/>
                <w:szCs w:val="22"/>
              </w:rPr>
            </w:pPr>
            <w:r w:rsidRPr="00452AD4">
              <w:rPr>
                <w:sz w:val="22"/>
                <w:szCs w:val="22"/>
              </w:rPr>
              <w:t>7,9</w:t>
            </w:r>
          </w:p>
        </w:tc>
        <w:tc>
          <w:tcPr>
            <w:tcW w:w="1157" w:type="dxa"/>
            <w:tcBorders>
              <w:top w:val="nil"/>
              <w:left w:val="nil"/>
              <w:bottom w:val="single" w:sz="4" w:space="0" w:color="auto"/>
              <w:right w:val="single" w:sz="4" w:space="0" w:color="auto"/>
            </w:tcBorders>
            <w:shd w:val="clear" w:color="auto" w:fill="auto"/>
            <w:noWrap/>
            <w:vAlign w:val="center"/>
            <w:hideMark/>
          </w:tcPr>
          <w:p w14:paraId="342EE8EC" w14:textId="6D6F2DCC" w:rsidR="00B14766" w:rsidRPr="00452AD4" w:rsidRDefault="2307FA22" w:rsidP="2307FA22">
            <w:pPr>
              <w:spacing w:after="100" w:afterAutospacing="1" w:line="259" w:lineRule="auto"/>
              <w:jc w:val="right"/>
              <w:rPr>
                <w:sz w:val="22"/>
                <w:szCs w:val="22"/>
              </w:rPr>
            </w:pPr>
            <w:r w:rsidRPr="00452AD4">
              <w:rPr>
                <w:sz w:val="22"/>
                <w:szCs w:val="22"/>
              </w:rPr>
              <w:t>10,5</w:t>
            </w:r>
          </w:p>
        </w:tc>
        <w:tc>
          <w:tcPr>
            <w:tcW w:w="973" w:type="dxa"/>
            <w:tcBorders>
              <w:top w:val="nil"/>
              <w:left w:val="nil"/>
              <w:bottom w:val="single" w:sz="4" w:space="0" w:color="auto"/>
              <w:right w:val="single" w:sz="4" w:space="0" w:color="auto"/>
            </w:tcBorders>
            <w:shd w:val="clear" w:color="auto" w:fill="auto"/>
            <w:noWrap/>
            <w:vAlign w:val="center"/>
            <w:hideMark/>
          </w:tcPr>
          <w:p w14:paraId="06AA7038" w14:textId="067886E8" w:rsidR="00B14766" w:rsidRPr="00452AD4" w:rsidRDefault="2307FA22" w:rsidP="2307FA22">
            <w:pPr>
              <w:spacing w:after="100" w:afterAutospacing="1" w:line="259" w:lineRule="auto"/>
              <w:jc w:val="right"/>
              <w:rPr>
                <w:sz w:val="22"/>
                <w:szCs w:val="22"/>
              </w:rPr>
            </w:pPr>
            <w:r w:rsidRPr="00452AD4">
              <w:rPr>
                <w:sz w:val="22"/>
                <w:szCs w:val="22"/>
              </w:rPr>
              <w:t>2,6</w:t>
            </w:r>
          </w:p>
        </w:tc>
        <w:tc>
          <w:tcPr>
            <w:tcW w:w="894" w:type="dxa"/>
            <w:tcBorders>
              <w:top w:val="nil"/>
              <w:left w:val="nil"/>
              <w:bottom w:val="single" w:sz="4" w:space="0" w:color="auto"/>
              <w:right w:val="single" w:sz="4" w:space="0" w:color="auto"/>
            </w:tcBorders>
            <w:shd w:val="clear" w:color="auto" w:fill="auto"/>
            <w:noWrap/>
            <w:vAlign w:val="center"/>
            <w:hideMark/>
          </w:tcPr>
          <w:p w14:paraId="539FB696" w14:textId="29CE3725" w:rsidR="00B14766" w:rsidRPr="00452AD4" w:rsidRDefault="2307FA22" w:rsidP="2307FA22">
            <w:pPr>
              <w:spacing w:after="100" w:afterAutospacing="1" w:line="259" w:lineRule="auto"/>
              <w:jc w:val="right"/>
              <w:rPr>
                <w:sz w:val="22"/>
                <w:szCs w:val="22"/>
              </w:rPr>
            </w:pPr>
            <w:r w:rsidRPr="00452AD4">
              <w:rPr>
                <w:sz w:val="22"/>
                <w:szCs w:val="22"/>
              </w:rPr>
              <w:t>132,9</w:t>
            </w:r>
          </w:p>
        </w:tc>
      </w:tr>
      <w:tr w:rsidR="00B14766" w:rsidRPr="00452AD4" w14:paraId="1FA00352" w14:textId="77777777" w:rsidTr="00452AD4">
        <w:trPr>
          <w:trHeight w:val="227"/>
          <w:jc w:val="center"/>
        </w:trPr>
        <w:tc>
          <w:tcPr>
            <w:tcW w:w="5157" w:type="dxa"/>
            <w:tcBorders>
              <w:top w:val="nil"/>
              <w:left w:val="single" w:sz="4" w:space="0" w:color="auto"/>
              <w:bottom w:val="single" w:sz="4" w:space="0" w:color="auto"/>
              <w:right w:val="single" w:sz="4" w:space="0" w:color="auto"/>
            </w:tcBorders>
            <w:shd w:val="clear" w:color="auto" w:fill="auto"/>
            <w:noWrap/>
            <w:vAlign w:val="bottom"/>
            <w:hideMark/>
          </w:tcPr>
          <w:p w14:paraId="113957E8" w14:textId="77777777" w:rsidR="00B14766" w:rsidRPr="00452AD4" w:rsidRDefault="7823C623" w:rsidP="7823C623">
            <w:pPr>
              <w:spacing w:after="100" w:afterAutospacing="1"/>
              <w:jc w:val="left"/>
              <w:rPr>
                <w:b/>
                <w:bCs/>
                <w:color w:val="000000" w:themeColor="text1"/>
                <w:sz w:val="22"/>
                <w:szCs w:val="22"/>
              </w:rPr>
            </w:pPr>
            <w:r w:rsidRPr="00452AD4">
              <w:rPr>
                <w:b/>
                <w:bCs/>
                <w:color w:val="000000" w:themeColor="text1"/>
                <w:sz w:val="22"/>
                <w:szCs w:val="22"/>
              </w:rPr>
              <w:t>Korhatár alatti ellátások</w:t>
            </w:r>
          </w:p>
        </w:tc>
        <w:tc>
          <w:tcPr>
            <w:tcW w:w="998" w:type="dxa"/>
            <w:tcBorders>
              <w:top w:val="nil"/>
              <w:left w:val="nil"/>
              <w:bottom w:val="single" w:sz="4" w:space="0" w:color="auto"/>
              <w:right w:val="single" w:sz="4" w:space="0" w:color="auto"/>
            </w:tcBorders>
            <w:shd w:val="clear" w:color="auto" w:fill="auto"/>
            <w:noWrap/>
            <w:vAlign w:val="center"/>
            <w:hideMark/>
          </w:tcPr>
          <w:p w14:paraId="5FEE2410" w14:textId="697D444E" w:rsidR="00B14766" w:rsidRPr="00452AD4" w:rsidRDefault="2307FA22" w:rsidP="2307FA22">
            <w:pPr>
              <w:spacing w:after="100" w:afterAutospacing="1" w:line="259" w:lineRule="auto"/>
              <w:jc w:val="right"/>
              <w:rPr>
                <w:b/>
                <w:bCs/>
                <w:sz w:val="22"/>
                <w:szCs w:val="22"/>
              </w:rPr>
            </w:pPr>
            <w:r w:rsidRPr="00452AD4">
              <w:rPr>
                <w:b/>
                <w:bCs/>
                <w:sz w:val="22"/>
                <w:szCs w:val="22"/>
              </w:rPr>
              <w:t>79,8</w:t>
            </w:r>
          </w:p>
        </w:tc>
        <w:tc>
          <w:tcPr>
            <w:tcW w:w="1157" w:type="dxa"/>
            <w:tcBorders>
              <w:top w:val="nil"/>
              <w:left w:val="nil"/>
              <w:bottom w:val="single" w:sz="4" w:space="0" w:color="auto"/>
              <w:right w:val="single" w:sz="4" w:space="0" w:color="auto"/>
            </w:tcBorders>
            <w:shd w:val="clear" w:color="auto" w:fill="auto"/>
            <w:noWrap/>
            <w:vAlign w:val="center"/>
            <w:hideMark/>
          </w:tcPr>
          <w:p w14:paraId="4DEA7046" w14:textId="1C4FC305" w:rsidR="00B14766" w:rsidRPr="00452AD4" w:rsidRDefault="2307FA22" w:rsidP="2307FA22">
            <w:pPr>
              <w:spacing w:after="100" w:afterAutospacing="1" w:line="259" w:lineRule="auto"/>
              <w:jc w:val="right"/>
              <w:rPr>
                <w:b/>
                <w:bCs/>
                <w:sz w:val="22"/>
                <w:szCs w:val="22"/>
              </w:rPr>
            </w:pPr>
            <w:r w:rsidRPr="00452AD4">
              <w:rPr>
                <w:b/>
                <w:bCs/>
                <w:sz w:val="22"/>
                <w:szCs w:val="22"/>
              </w:rPr>
              <w:t>93,7</w:t>
            </w:r>
          </w:p>
        </w:tc>
        <w:tc>
          <w:tcPr>
            <w:tcW w:w="973" w:type="dxa"/>
            <w:tcBorders>
              <w:top w:val="nil"/>
              <w:left w:val="nil"/>
              <w:bottom w:val="single" w:sz="4" w:space="0" w:color="auto"/>
              <w:right w:val="single" w:sz="4" w:space="0" w:color="auto"/>
            </w:tcBorders>
            <w:shd w:val="clear" w:color="auto" w:fill="auto"/>
            <w:noWrap/>
            <w:vAlign w:val="center"/>
            <w:hideMark/>
          </w:tcPr>
          <w:p w14:paraId="35E20DF0" w14:textId="58D678CC" w:rsidR="00B14766" w:rsidRPr="00452AD4" w:rsidRDefault="2307FA22" w:rsidP="2307FA22">
            <w:pPr>
              <w:spacing w:after="100" w:afterAutospacing="1" w:line="259" w:lineRule="auto"/>
              <w:jc w:val="right"/>
              <w:rPr>
                <w:b/>
                <w:bCs/>
                <w:sz w:val="22"/>
                <w:szCs w:val="22"/>
              </w:rPr>
            </w:pPr>
            <w:r w:rsidRPr="00452AD4">
              <w:rPr>
                <w:b/>
                <w:bCs/>
                <w:sz w:val="22"/>
                <w:szCs w:val="22"/>
              </w:rPr>
              <w:t>13,9</w:t>
            </w:r>
          </w:p>
        </w:tc>
        <w:tc>
          <w:tcPr>
            <w:tcW w:w="894" w:type="dxa"/>
            <w:tcBorders>
              <w:top w:val="nil"/>
              <w:left w:val="nil"/>
              <w:bottom w:val="single" w:sz="4" w:space="0" w:color="auto"/>
              <w:right w:val="single" w:sz="4" w:space="0" w:color="auto"/>
            </w:tcBorders>
            <w:shd w:val="clear" w:color="auto" w:fill="auto"/>
            <w:noWrap/>
            <w:vAlign w:val="center"/>
            <w:hideMark/>
          </w:tcPr>
          <w:p w14:paraId="3C3D883B" w14:textId="597C2F41" w:rsidR="00B14766" w:rsidRPr="00452AD4" w:rsidRDefault="2307FA22" w:rsidP="2307FA22">
            <w:pPr>
              <w:spacing w:after="100" w:afterAutospacing="1" w:line="259" w:lineRule="auto"/>
              <w:jc w:val="right"/>
              <w:rPr>
                <w:b/>
                <w:bCs/>
                <w:sz w:val="22"/>
                <w:szCs w:val="22"/>
              </w:rPr>
            </w:pPr>
            <w:r w:rsidRPr="00452AD4">
              <w:rPr>
                <w:b/>
                <w:bCs/>
                <w:sz w:val="22"/>
                <w:szCs w:val="22"/>
              </w:rPr>
              <w:t>117,4</w:t>
            </w:r>
          </w:p>
        </w:tc>
      </w:tr>
      <w:tr w:rsidR="00B14766" w:rsidRPr="00452AD4" w14:paraId="619C72D3" w14:textId="77777777" w:rsidTr="00452AD4">
        <w:trPr>
          <w:trHeight w:val="227"/>
          <w:jc w:val="center"/>
        </w:trPr>
        <w:tc>
          <w:tcPr>
            <w:tcW w:w="5157" w:type="dxa"/>
            <w:tcBorders>
              <w:top w:val="nil"/>
              <w:left w:val="single" w:sz="4" w:space="0" w:color="auto"/>
              <w:bottom w:val="single" w:sz="4" w:space="0" w:color="auto"/>
              <w:right w:val="single" w:sz="4" w:space="0" w:color="auto"/>
            </w:tcBorders>
            <w:shd w:val="clear" w:color="auto" w:fill="auto"/>
            <w:noWrap/>
            <w:vAlign w:val="bottom"/>
            <w:hideMark/>
          </w:tcPr>
          <w:p w14:paraId="58AC29FE" w14:textId="77777777" w:rsidR="00B14766" w:rsidRPr="00452AD4" w:rsidRDefault="7823C623" w:rsidP="7823C623">
            <w:pPr>
              <w:spacing w:after="100" w:afterAutospacing="1"/>
              <w:jc w:val="left"/>
              <w:rPr>
                <w:b/>
                <w:bCs/>
                <w:color w:val="000000" w:themeColor="text1"/>
                <w:sz w:val="22"/>
                <w:szCs w:val="22"/>
              </w:rPr>
            </w:pPr>
            <w:r w:rsidRPr="00452AD4">
              <w:rPr>
                <w:b/>
                <w:bCs/>
                <w:color w:val="000000" w:themeColor="text1"/>
                <w:sz w:val="22"/>
                <w:szCs w:val="22"/>
              </w:rPr>
              <w:t>Jövedelempótló és jövedelemkiegészítő szociális támogatások</w:t>
            </w:r>
          </w:p>
        </w:tc>
        <w:tc>
          <w:tcPr>
            <w:tcW w:w="998" w:type="dxa"/>
            <w:tcBorders>
              <w:top w:val="nil"/>
              <w:left w:val="nil"/>
              <w:bottom w:val="single" w:sz="4" w:space="0" w:color="auto"/>
              <w:right w:val="single" w:sz="4" w:space="0" w:color="auto"/>
            </w:tcBorders>
            <w:shd w:val="clear" w:color="auto" w:fill="auto"/>
            <w:noWrap/>
            <w:vAlign w:val="center"/>
            <w:hideMark/>
          </w:tcPr>
          <w:p w14:paraId="5FD3E0DE" w14:textId="0BE0889D" w:rsidR="00B14766" w:rsidRPr="00452AD4" w:rsidRDefault="2307FA22" w:rsidP="2307FA22">
            <w:pPr>
              <w:spacing w:after="100" w:afterAutospacing="1" w:line="259" w:lineRule="auto"/>
              <w:jc w:val="right"/>
              <w:rPr>
                <w:b/>
                <w:bCs/>
                <w:sz w:val="22"/>
                <w:szCs w:val="22"/>
              </w:rPr>
            </w:pPr>
            <w:r w:rsidRPr="00452AD4">
              <w:rPr>
                <w:b/>
                <w:bCs/>
                <w:sz w:val="22"/>
                <w:szCs w:val="22"/>
              </w:rPr>
              <w:t>126,5</w:t>
            </w:r>
          </w:p>
        </w:tc>
        <w:tc>
          <w:tcPr>
            <w:tcW w:w="1157" w:type="dxa"/>
            <w:tcBorders>
              <w:top w:val="nil"/>
              <w:left w:val="nil"/>
              <w:bottom w:val="single" w:sz="4" w:space="0" w:color="auto"/>
              <w:right w:val="single" w:sz="4" w:space="0" w:color="auto"/>
            </w:tcBorders>
            <w:shd w:val="clear" w:color="auto" w:fill="auto"/>
            <w:noWrap/>
            <w:vAlign w:val="center"/>
            <w:hideMark/>
          </w:tcPr>
          <w:p w14:paraId="5E669E8E" w14:textId="37319EE1" w:rsidR="00B14766" w:rsidRPr="00452AD4" w:rsidRDefault="2307FA22" w:rsidP="2307FA22">
            <w:pPr>
              <w:spacing w:after="100" w:afterAutospacing="1" w:line="259" w:lineRule="auto"/>
              <w:jc w:val="right"/>
              <w:rPr>
                <w:b/>
                <w:bCs/>
                <w:sz w:val="22"/>
                <w:szCs w:val="22"/>
              </w:rPr>
            </w:pPr>
            <w:r w:rsidRPr="00452AD4">
              <w:rPr>
                <w:b/>
                <w:bCs/>
                <w:sz w:val="22"/>
                <w:szCs w:val="22"/>
              </w:rPr>
              <w:t>147,4</w:t>
            </w:r>
          </w:p>
        </w:tc>
        <w:tc>
          <w:tcPr>
            <w:tcW w:w="973" w:type="dxa"/>
            <w:tcBorders>
              <w:top w:val="nil"/>
              <w:left w:val="nil"/>
              <w:bottom w:val="single" w:sz="4" w:space="0" w:color="auto"/>
              <w:right w:val="single" w:sz="4" w:space="0" w:color="auto"/>
            </w:tcBorders>
            <w:shd w:val="clear" w:color="auto" w:fill="auto"/>
            <w:noWrap/>
            <w:vAlign w:val="center"/>
            <w:hideMark/>
          </w:tcPr>
          <w:p w14:paraId="21DD9BBC" w14:textId="39474BAA" w:rsidR="00B14766" w:rsidRPr="00452AD4" w:rsidRDefault="2307FA22" w:rsidP="2307FA22">
            <w:pPr>
              <w:spacing w:after="100" w:afterAutospacing="1" w:line="259" w:lineRule="auto"/>
              <w:jc w:val="right"/>
              <w:rPr>
                <w:b/>
                <w:bCs/>
                <w:sz w:val="22"/>
                <w:szCs w:val="22"/>
              </w:rPr>
            </w:pPr>
            <w:r w:rsidRPr="00452AD4">
              <w:rPr>
                <w:b/>
                <w:bCs/>
                <w:sz w:val="22"/>
                <w:szCs w:val="22"/>
              </w:rPr>
              <w:t>20,9</w:t>
            </w:r>
          </w:p>
        </w:tc>
        <w:tc>
          <w:tcPr>
            <w:tcW w:w="894" w:type="dxa"/>
            <w:tcBorders>
              <w:top w:val="nil"/>
              <w:left w:val="nil"/>
              <w:bottom w:val="single" w:sz="4" w:space="0" w:color="auto"/>
              <w:right w:val="single" w:sz="4" w:space="0" w:color="auto"/>
            </w:tcBorders>
            <w:shd w:val="clear" w:color="auto" w:fill="auto"/>
            <w:noWrap/>
            <w:vAlign w:val="center"/>
            <w:hideMark/>
          </w:tcPr>
          <w:p w14:paraId="4DAC2F39" w14:textId="657B693E" w:rsidR="00B14766" w:rsidRPr="00452AD4" w:rsidRDefault="2307FA22" w:rsidP="2307FA22">
            <w:pPr>
              <w:spacing w:after="100" w:afterAutospacing="1" w:line="259" w:lineRule="auto"/>
              <w:jc w:val="right"/>
              <w:rPr>
                <w:b/>
                <w:bCs/>
                <w:sz w:val="22"/>
                <w:szCs w:val="22"/>
              </w:rPr>
            </w:pPr>
            <w:r w:rsidRPr="00452AD4">
              <w:rPr>
                <w:b/>
                <w:bCs/>
                <w:sz w:val="22"/>
                <w:szCs w:val="22"/>
              </w:rPr>
              <w:t>116,5</w:t>
            </w:r>
          </w:p>
        </w:tc>
      </w:tr>
      <w:tr w:rsidR="00B14766" w:rsidRPr="00452AD4" w14:paraId="36DD2B43" w14:textId="77777777" w:rsidTr="00452AD4">
        <w:trPr>
          <w:trHeight w:val="227"/>
          <w:jc w:val="center"/>
        </w:trPr>
        <w:tc>
          <w:tcPr>
            <w:tcW w:w="5157" w:type="dxa"/>
            <w:tcBorders>
              <w:top w:val="nil"/>
              <w:left w:val="single" w:sz="4" w:space="0" w:color="auto"/>
              <w:bottom w:val="single" w:sz="4" w:space="0" w:color="auto"/>
              <w:right w:val="single" w:sz="4" w:space="0" w:color="auto"/>
            </w:tcBorders>
            <w:shd w:val="clear" w:color="auto" w:fill="auto"/>
            <w:noWrap/>
            <w:vAlign w:val="bottom"/>
            <w:hideMark/>
          </w:tcPr>
          <w:p w14:paraId="49EDEFAE" w14:textId="77777777" w:rsidR="00B14766" w:rsidRPr="00452AD4" w:rsidRDefault="7823C623" w:rsidP="7823C623">
            <w:pPr>
              <w:spacing w:after="100" w:afterAutospacing="1"/>
              <w:ind w:firstLineChars="100" w:firstLine="220"/>
              <w:jc w:val="left"/>
              <w:rPr>
                <w:i/>
                <w:iCs/>
                <w:color w:val="000000" w:themeColor="text1"/>
                <w:sz w:val="22"/>
                <w:szCs w:val="22"/>
              </w:rPr>
            </w:pPr>
            <w:r w:rsidRPr="00452AD4">
              <w:rPr>
                <w:i/>
                <w:iCs/>
                <w:color w:val="000000" w:themeColor="text1"/>
                <w:sz w:val="22"/>
                <w:szCs w:val="22"/>
              </w:rPr>
              <w:t>Ebből:</w:t>
            </w:r>
          </w:p>
        </w:tc>
        <w:tc>
          <w:tcPr>
            <w:tcW w:w="998" w:type="dxa"/>
            <w:tcBorders>
              <w:top w:val="nil"/>
              <w:left w:val="nil"/>
              <w:bottom w:val="single" w:sz="4" w:space="0" w:color="auto"/>
              <w:right w:val="single" w:sz="4" w:space="0" w:color="auto"/>
            </w:tcBorders>
            <w:shd w:val="clear" w:color="auto" w:fill="auto"/>
            <w:noWrap/>
            <w:vAlign w:val="center"/>
            <w:hideMark/>
          </w:tcPr>
          <w:p w14:paraId="4810B6AF" w14:textId="77777777" w:rsidR="00B14766" w:rsidRPr="00452AD4" w:rsidRDefault="7823C623" w:rsidP="7823C623">
            <w:pPr>
              <w:spacing w:after="100" w:afterAutospacing="1"/>
              <w:jc w:val="right"/>
              <w:rPr>
                <w:sz w:val="22"/>
                <w:szCs w:val="22"/>
              </w:rPr>
            </w:pPr>
            <w:r w:rsidRPr="00452AD4">
              <w:rPr>
                <w:sz w:val="22"/>
                <w:szCs w:val="22"/>
              </w:rPr>
              <w:t> </w:t>
            </w:r>
          </w:p>
        </w:tc>
        <w:tc>
          <w:tcPr>
            <w:tcW w:w="1157" w:type="dxa"/>
            <w:tcBorders>
              <w:top w:val="nil"/>
              <w:left w:val="nil"/>
              <w:bottom w:val="single" w:sz="4" w:space="0" w:color="auto"/>
              <w:right w:val="single" w:sz="4" w:space="0" w:color="auto"/>
            </w:tcBorders>
            <w:shd w:val="clear" w:color="auto" w:fill="auto"/>
            <w:noWrap/>
            <w:vAlign w:val="center"/>
            <w:hideMark/>
          </w:tcPr>
          <w:p w14:paraId="443D348F" w14:textId="77777777" w:rsidR="00B14766" w:rsidRPr="00452AD4" w:rsidRDefault="7823C623" w:rsidP="7823C623">
            <w:pPr>
              <w:spacing w:after="100" w:afterAutospacing="1"/>
              <w:jc w:val="right"/>
              <w:rPr>
                <w:sz w:val="22"/>
                <w:szCs w:val="22"/>
              </w:rPr>
            </w:pPr>
            <w:r w:rsidRPr="00452AD4">
              <w:rPr>
                <w:sz w:val="22"/>
                <w:szCs w:val="22"/>
              </w:rPr>
              <w:t> </w:t>
            </w:r>
          </w:p>
        </w:tc>
        <w:tc>
          <w:tcPr>
            <w:tcW w:w="973" w:type="dxa"/>
            <w:tcBorders>
              <w:top w:val="nil"/>
              <w:left w:val="nil"/>
              <w:bottom w:val="single" w:sz="4" w:space="0" w:color="auto"/>
              <w:right w:val="single" w:sz="4" w:space="0" w:color="auto"/>
            </w:tcBorders>
            <w:shd w:val="clear" w:color="auto" w:fill="auto"/>
            <w:noWrap/>
            <w:vAlign w:val="center"/>
            <w:hideMark/>
          </w:tcPr>
          <w:p w14:paraId="7B163BBF" w14:textId="77777777" w:rsidR="00B14766" w:rsidRPr="00452AD4" w:rsidRDefault="7823C623" w:rsidP="7823C623">
            <w:pPr>
              <w:spacing w:after="100" w:afterAutospacing="1"/>
              <w:jc w:val="right"/>
              <w:rPr>
                <w:sz w:val="22"/>
                <w:szCs w:val="22"/>
              </w:rPr>
            </w:pPr>
            <w:r w:rsidRPr="00452AD4">
              <w:rPr>
                <w:sz w:val="22"/>
                <w:szCs w:val="22"/>
              </w:rPr>
              <w:t> </w:t>
            </w:r>
          </w:p>
        </w:tc>
        <w:tc>
          <w:tcPr>
            <w:tcW w:w="894" w:type="dxa"/>
            <w:tcBorders>
              <w:top w:val="nil"/>
              <w:left w:val="nil"/>
              <w:bottom w:val="single" w:sz="4" w:space="0" w:color="auto"/>
              <w:right w:val="single" w:sz="4" w:space="0" w:color="auto"/>
            </w:tcBorders>
            <w:shd w:val="clear" w:color="auto" w:fill="auto"/>
            <w:noWrap/>
            <w:vAlign w:val="center"/>
            <w:hideMark/>
          </w:tcPr>
          <w:p w14:paraId="1EFEFA83" w14:textId="77777777" w:rsidR="00B14766" w:rsidRPr="00452AD4" w:rsidRDefault="7823C623" w:rsidP="7823C623">
            <w:pPr>
              <w:spacing w:after="100" w:afterAutospacing="1"/>
              <w:jc w:val="right"/>
              <w:rPr>
                <w:b/>
                <w:bCs/>
                <w:sz w:val="22"/>
                <w:szCs w:val="22"/>
              </w:rPr>
            </w:pPr>
            <w:r w:rsidRPr="00452AD4">
              <w:rPr>
                <w:b/>
                <w:bCs/>
                <w:sz w:val="22"/>
                <w:szCs w:val="22"/>
              </w:rPr>
              <w:t> </w:t>
            </w:r>
          </w:p>
        </w:tc>
      </w:tr>
      <w:tr w:rsidR="00B14766" w:rsidRPr="00452AD4" w14:paraId="7B88B18D" w14:textId="77777777" w:rsidTr="00452AD4">
        <w:trPr>
          <w:trHeight w:val="227"/>
          <w:jc w:val="center"/>
        </w:trPr>
        <w:tc>
          <w:tcPr>
            <w:tcW w:w="5157" w:type="dxa"/>
            <w:tcBorders>
              <w:top w:val="nil"/>
              <w:left w:val="single" w:sz="4" w:space="0" w:color="auto"/>
              <w:bottom w:val="single" w:sz="4" w:space="0" w:color="auto"/>
              <w:right w:val="single" w:sz="4" w:space="0" w:color="auto"/>
            </w:tcBorders>
            <w:shd w:val="clear" w:color="auto" w:fill="auto"/>
            <w:noWrap/>
            <w:vAlign w:val="center"/>
            <w:hideMark/>
          </w:tcPr>
          <w:p w14:paraId="5DD1819B" w14:textId="77777777" w:rsidR="00B14766" w:rsidRPr="00452AD4" w:rsidRDefault="7823C623" w:rsidP="7823C623">
            <w:pPr>
              <w:spacing w:after="100" w:afterAutospacing="1"/>
              <w:ind w:left="851" w:firstLineChars="13" w:firstLine="29"/>
              <w:jc w:val="left"/>
              <w:rPr>
                <w:i/>
                <w:iCs/>
                <w:color w:val="000000" w:themeColor="text1"/>
                <w:sz w:val="22"/>
                <w:szCs w:val="22"/>
              </w:rPr>
            </w:pPr>
            <w:r w:rsidRPr="00452AD4">
              <w:rPr>
                <w:i/>
                <w:iCs/>
                <w:color w:val="000000" w:themeColor="text1"/>
                <w:sz w:val="22"/>
                <w:szCs w:val="22"/>
              </w:rPr>
              <w:t>Jövedelempótló és jövedelemkiegészítő ellátások</w:t>
            </w:r>
          </w:p>
        </w:tc>
        <w:tc>
          <w:tcPr>
            <w:tcW w:w="998" w:type="dxa"/>
            <w:tcBorders>
              <w:top w:val="nil"/>
              <w:left w:val="nil"/>
              <w:bottom w:val="single" w:sz="4" w:space="0" w:color="auto"/>
              <w:right w:val="single" w:sz="4" w:space="0" w:color="auto"/>
            </w:tcBorders>
            <w:shd w:val="clear" w:color="auto" w:fill="auto"/>
            <w:noWrap/>
            <w:vAlign w:val="center"/>
            <w:hideMark/>
          </w:tcPr>
          <w:p w14:paraId="4965F019" w14:textId="6C3A31C8" w:rsidR="00B14766" w:rsidRPr="00452AD4" w:rsidRDefault="2307FA22" w:rsidP="2307FA22">
            <w:pPr>
              <w:spacing w:after="100" w:afterAutospacing="1" w:line="259" w:lineRule="auto"/>
              <w:jc w:val="right"/>
              <w:rPr>
                <w:sz w:val="22"/>
                <w:szCs w:val="22"/>
              </w:rPr>
            </w:pPr>
            <w:r w:rsidRPr="00452AD4">
              <w:rPr>
                <w:sz w:val="22"/>
                <w:szCs w:val="22"/>
              </w:rPr>
              <w:t>49,9</w:t>
            </w:r>
          </w:p>
        </w:tc>
        <w:tc>
          <w:tcPr>
            <w:tcW w:w="1157" w:type="dxa"/>
            <w:tcBorders>
              <w:top w:val="nil"/>
              <w:left w:val="nil"/>
              <w:bottom w:val="single" w:sz="4" w:space="0" w:color="auto"/>
              <w:right w:val="single" w:sz="4" w:space="0" w:color="auto"/>
            </w:tcBorders>
            <w:shd w:val="clear" w:color="auto" w:fill="auto"/>
            <w:noWrap/>
            <w:vAlign w:val="center"/>
            <w:hideMark/>
          </w:tcPr>
          <w:p w14:paraId="66B8D249" w14:textId="5309954D" w:rsidR="00B14766" w:rsidRPr="00452AD4" w:rsidRDefault="2307FA22" w:rsidP="2307FA22">
            <w:pPr>
              <w:spacing w:after="100" w:afterAutospacing="1" w:line="259" w:lineRule="auto"/>
              <w:jc w:val="right"/>
              <w:rPr>
                <w:sz w:val="22"/>
                <w:szCs w:val="22"/>
              </w:rPr>
            </w:pPr>
            <w:r w:rsidRPr="00452AD4">
              <w:rPr>
                <w:sz w:val="22"/>
                <w:szCs w:val="22"/>
              </w:rPr>
              <w:t>54,8</w:t>
            </w:r>
          </w:p>
        </w:tc>
        <w:tc>
          <w:tcPr>
            <w:tcW w:w="973" w:type="dxa"/>
            <w:tcBorders>
              <w:top w:val="nil"/>
              <w:left w:val="nil"/>
              <w:bottom w:val="single" w:sz="4" w:space="0" w:color="auto"/>
              <w:right w:val="single" w:sz="4" w:space="0" w:color="auto"/>
            </w:tcBorders>
            <w:shd w:val="clear" w:color="auto" w:fill="auto"/>
            <w:noWrap/>
            <w:vAlign w:val="center"/>
            <w:hideMark/>
          </w:tcPr>
          <w:p w14:paraId="5B68273D" w14:textId="4782D05A" w:rsidR="00B14766" w:rsidRPr="00452AD4" w:rsidRDefault="2307FA22" w:rsidP="2307FA22">
            <w:pPr>
              <w:spacing w:after="100" w:afterAutospacing="1" w:line="259" w:lineRule="auto"/>
              <w:jc w:val="right"/>
              <w:rPr>
                <w:sz w:val="22"/>
                <w:szCs w:val="22"/>
              </w:rPr>
            </w:pPr>
            <w:r w:rsidRPr="00452AD4">
              <w:rPr>
                <w:sz w:val="22"/>
                <w:szCs w:val="22"/>
              </w:rPr>
              <w:t>4,9</w:t>
            </w:r>
          </w:p>
        </w:tc>
        <w:tc>
          <w:tcPr>
            <w:tcW w:w="894" w:type="dxa"/>
            <w:tcBorders>
              <w:top w:val="nil"/>
              <w:left w:val="nil"/>
              <w:bottom w:val="single" w:sz="4" w:space="0" w:color="auto"/>
              <w:right w:val="single" w:sz="4" w:space="0" w:color="auto"/>
            </w:tcBorders>
            <w:shd w:val="clear" w:color="auto" w:fill="auto"/>
            <w:noWrap/>
            <w:vAlign w:val="center"/>
            <w:hideMark/>
          </w:tcPr>
          <w:p w14:paraId="45B63E81" w14:textId="75FB714F" w:rsidR="00B14766" w:rsidRPr="00452AD4" w:rsidRDefault="2307FA22" w:rsidP="2307FA22">
            <w:pPr>
              <w:spacing w:after="100" w:afterAutospacing="1" w:line="259" w:lineRule="auto"/>
              <w:jc w:val="right"/>
              <w:rPr>
                <w:sz w:val="22"/>
                <w:szCs w:val="22"/>
              </w:rPr>
            </w:pPr>
            <w:r w:rsidRPr="00452AD4">
              <w:rPr>
                <w:sz w:val="22"/>
                <w:szCs w:val="22"/>
              </w:rPr>
              <w:t>109,8</w:t>
            </w:r>
          </w:p>
        </w:tc>
      </w:tr>
      <w:tr w:rsidR="00B14766" w:rsidRPr="00452AD4" w14:paraId="71434E81" w14:textId="77777777" w:rsidTr="00452AD4">
        <w:trPr>
          <w:trHeight w:val="227"/>
          <w:jc w:val="center"/>
        </w:trPr>
        <w:tc>
          <w:tcPr>
            <w:tcW w:w="5157" w:type="dxa"/>
            <w:tcBorders>
              <w:top w:val="nil"/>
              <w:left w:val="single" w:sz="4" w:space="0" w:color="auto"/>
              <w:bottom w:val="single" w:sz="4" w:space="0" w:color="auto"/>
              <w:right w:val="single" w:sz="4" w:space="0" w:color="auto"/>
            </w:tcBorders>
            <w:shd w:val="clear" w:color="auto" w:fill="auto"/>
            <w:noWrap/>
            <w:vAlign w:val="center"/>
            <w:hideMark/>
          </w:tcPr>
          <w:p w14:paraId="4610747E" w14:textId="77777777" w:rsidR="00B14766" w:rsidRPr="00452AD4" w:rsidRDefault="7823C623" w:rsidP="7823C623">
            <w:pPr>
              <w:spacing w:after="100" w:afterAutospacing="1"/>
              <w:ind w:firstLineChars="400" w:firstLine="880"/>
              <w:jc w:val="left"/>
              <w:rPr>
                <w:i/>
                <w:iCs/>
                <w:color w:val="000000" w:themeColor="text1"/>
                <w:sz w:val="22"/>
                <w:szCs w:val="22"/>
              </w:rPr>
            </w:pPr>
            <w:r w:rsidRPr="00452AD4">
              <w:rPr>
                <w:i/>
                <w:iCs/>
                <w:color w:val="000000" w:themeColor="text1"/>
                <w:sz w:val="22"/>
                <w:szCs w:val="22"/>
              </w:rPr>
              <w:t>Járási szociális feladatok ellátása</w:t>
            </w:r>
          </w:p>
        </w:tc>
        <w:tc>
          <w:tcPr>
            <w:tcW w:w="998" w:type="dxa"/>
            <w:tcBorders>
              <w:top w:val="nil"/>
              <w:left w:val="nil"/>
              <w:bottom w:val="single" w:sz="4" w:space="0" w:color="auto"/>
              <w:right w:val="single" w:sz="4" w:space="0" w:color="auto"/>
            </w:tcBorders>
            <w:shd w:val="clear" w:color="auto" w:fill="auto"/>
            <w:noWrap/>
            <w:vAlign w:val="center"/>
            <w:hideMark/>
          </w:tcPr>
          <w:p w14:paraId="0051F2CC" w14:textId="5DF2115A" w:rsidR="00B14766" w:rsidRPr="00452AD4" w:rsidRDefault="2307FA22" w:rsidP="2307FA22">
            <w:pPr>
              <w:spacing w:after="100" w:afterAutospacing="1" w:line="259" w:lineRule="auto"/>
              <w:jc w:val="right"/>
              <w:rPr>
                <w:sz w:val="22"/>
                <w:szCs w:val="22"/>
              </w:rPr>
            </w:pPr>
            <w:r w:rsidRPr="00452AD4">
              <w:rPr>
                <w:sz w:val="22"/>
                <w:szCs w:val="22"/>
              </w:rPr>
              <w:t>76,6</w:t>
            </w:r>
          </w:p>
        </w:tc>
        <w:tc>
          <w:tcPr>
            <w:tcW w:w="1157" w:type="dxa"/>
            <w:tcBorders>
              <w:top w:val="nil"/>
              <w:left w:val="nil"/>
              <w:bottom w:val="single" w:sz="4" w:space="0" w:color="auto"/>
              <w:right w:val="single" w:sz="4" w:space="0" w:color="auto"/>
            </w:tcBorders>
            <w:shd w:val="clear" w:color="auto" w:fill="auto"/>
            <w:noWrap/>
            <w:vAlign w:val="center"/>
            <w:hideMark/>
          </w:tcPr>
          <w:p w14:paraId="62DC3A99" w14:textId="212FD30A" w:rsidR="00B14766" w:rsidRPr="00452AD4" w:rsidRDefault="2307FA22" w:rsidP="2307FA22">
            <w:pPr>
              <w:spacing w:after="100" w:afterAutospacing="1" w:line="259" w:lineRule="auto"/>
              <w:jc w:val="right"/>
              <w:rPr>
                <w:sz w:val="22"/>
                <w:szCs w:val="22"/>
              </w:rPr>
            </w:pPr>
            <w:r w:rsidRPr="00452AD4">
              <w:rPr>
                <w:sz w:val="22"/>
                <w:szCs w:val="22"/>
              </w:rPr>
              <w:t>92,6</w:t>
            </w:r>
          </w:p>
        </w:tc>
        <w:tc>
          <w:tcPr>
            <w:tcW w:w="973" w:type="dxa"/>
            <w:tcBorders>
              <w:top w:val="nil"/>
              <w:left w:val="nil"/>
              <w:bottom w:val="single" w:sz="4" w:space="0" w:color="auto"/>
              <w:right w:val="single" w:sz="4" w:space="0" w:color="auto"/>
            </w:tcBorders>
            <w:shd w:val="clear" w:color="auto" w:fill="auto"/>
            <w:noWrap/>
            <w:vAlign w:val="center"/>
            <w:hideMark/>
          </w:tcPr>
          <w:p w14:paraId="35C0EC28" w14:textId="498B8A2E" w:rsidR="00B14766" w:rsidRPr="00452AD4" w:rsidRDefault="2307FA22" w:rsidP="2307FA22">
            <w:pPr>
              <w:spacing w:after="100" w:afterAutospacing="1" w:line="259" w:lineRule="auto"/>
              <w:jc w:val="right"/>
              <w:rPr>
                <w:sz w:val="22"/>
                <w:szCs w:val="22"/>
              </w:rPr>
            </w:pPr>
            <w:r w:rsidRPr="00452AD4">
              <w:rPr>
                <w:sz w:val="22"/>
                <w:szCs w:val="22"/>
              </w:rPr>
              <w:t>16,0</w:t>
            </w:r>
          </w:p>
        </w:tc>
        <w:tc>
          <w:tcPr>
            <w:tcW w:w="894" w:type="dxa"/>
            <w:tcBorders>
              <w:top w:val="nil"/>
              <w:left w:val="nil"/>
              <w:bottom w:val="single" w:sz="4" w:space="0" w:color="auto"/>
              <w:right w:val="single" w:sz="4" w:space="0" w:color="auto"/>
            </w:tcBorders>
            <w:shd w:val="clear" w:color="auto" w:fill="auto"/>
            <w:noWrap/>
            <w:vAlign w:val="center"/>
            <w:hideMark/>
          </w:tcPr>
          <w:p w14:paraId="453083F6" w14:textId="24BEBEBA" w:rsidR="00B14766" w:rsidRPr="00452AD4" w:rsidRDefault="2307FA22" w:rsidP="2307FA22">
            <w:pPr>
              <w:spacing w:after="100" w:afterAutospacing="1" w:line="259" w:lineRule="auto"/>
              <w:jc w:val="right"/>
              <w:rPr>
                <w:sz w:val="22"/>
                <w:szCs w:val="22"/>
              </w:rPr>
            </w:pPr>
            <w:r w:rsidRPr="00452AD4">
              <w:rPr>
                <w:sz w:val="22"/>
                <w:szCs w:val="22"/>
              </w:rPr>
              <w:t>120,9</w:t>
            </w:r>
          </w:p>
        </w:tc>
      </w:tr>
      <w:tr w:rsidR="00B14766" w:rsidRPr="00452AD4" w14:paraId="420E6AC7" w14:textId="77777777" w:rsidTr="00452AD4">
        <w:trPr>
          <w:trHeight w:val="227"/>
          <w:jc w:val="center"/>
        </w:trPr>
        <w:tc>
          <w:tcPr>
            <w:tcW w:w="5157" w:type="dxa"/>
            <w:tcBorders>
              <w:top w:val="nil"/>
              <w:left w:val="single" w:sz="4" w:space="0" w:color="auto"/>
              <w:bottom w:val="single" w:sz="4" w:space="0" w:color="auto"/>
              <w:right w:val="single" w:sz="4" w:space="0" w:color="auto"/>
            </w:tcBorders>
            <w:shd w:val="clear" w:color="auto" w:fill="auto"/>
            <w:noWrap/>
            <w:vAlign w:val="bottom"/>
            <w:hideMark/>
          </w:tcPr>
          <w:p w14:paraId="3E279869" w14:textId="77777777" w:rsidR="00B14766" w:rsidRPr="00452AD4" w:rsidRDefault="7823C623" w:rsidP="7823C623">
            <w:pPr>
              <w:spacing w:after="100" w:afterAutospacing="1"/>
              <w:jc w:val="left"/>
              <w:rPr>
                <w:b/>
                <w:bCs/>
                <w:color w:val="000000" w:themeColor="text1"/>
                <w:sz w:val="22"/>
                <w:szCs w:val="22"/>
              </w:rPr>
            </w:pPr>
            <w:r w:rsidRPr="00452AD4">
              <w:rPr>
                <w:b/>
                <w:bCs/>
                <w:color w:val="000000" w:themeColor="text1"/>
                <w:sz w:val="22"/>
                <w:szCs w:val="22"/>
              </w:rPr>
              <w:t>Különféle jogcímen adott térítések</w:t>
            </w:r>
          </w:p>
        </w:tc>
        <w:tc>
          <w:tcPr>
            <w:tcW w:w="998" w:type="dxa"/>
            <w:tcBorders>
              <w:top w:val="nil"/>
              <w:left w:val="nil"/>
              <w:bottom w:val="single" w:sz="4" w:space="0" w:color="auto"/>
              <w:right w:val="single" w:sz="4" w:space="0" w:color="auto"/>
            </w:tcBorders>
            <w:shd w:val="clear" w:color="auto" w:fill="auto"/>
            <w:noWrap/>
            <w:vAlign w:val="center"/>
            <w:hideMark/>
          </w:tcPr>
          <w:p w14:paraId="100EBD34" w14:textId="4B81719C" w:rsidR="00B14766" w:rsidRPr="00452AD4" w:rsidRDefault="2307FA22" w:rsidP="2307FA22">
            <w:pPr>
              <w:spacing w:after="100" w:afterAutospacing="1" w:line="259" w:lineRule="auto"/>
              <w:jc w:val="right"/>
              <w:rPr>
                <w:b/>
                <w:bCs/>
                <w:sz w:val="22"/>
                <w:szCs w:val="22"/>
              </w:rPr>
            </w:pPr>
            <w:r w:rsidRPr="00452AD4">
              <w:rPr>
                <w:b/>
                <w:bCs/>
                <w:sz w:val="22"/>
                <w:szCs w:val="22"/>
              </w:rPr>
              <w:t>20,6</w:t>
            </w:r>
          </w:p>
        </w:tc>
        <w:tc>
          <w:tcPr>
            <w:tcW w:w="1157" w:type="dxa"/>
            <w:tcBorders>
              <w:top w:val="nil"/>
              <w:left w:val="nil"/>
              <w:bottom w:val="single" w:sz="4" w:space="0" w:color="auto"/>
              <w:right w:val="single" w:sz="4" w:space="0" w:color="auto"/>
            </w:tcBorders>
            <w:shd w:val="clear" w:color="auto" w:fill="auto"/>
            <w:noWrap/>
            <w:vAlign w:val="center"/>
            <w:hideMark/>
          </w:tcPr>
          <w:p w14:paraId="207D2B31" w14:textId="2C87865E" w:rsidR="00B14766" w:rsidRPr="00452AD4" w:rsidRDefault="2307FA22" w:rsidP="2307FA22">
            <w:pPr>
              <w:spacing w:after="100" w:afterAutospacing="1" w:line="259" w:lineRule="auto"/>
              <w:jc w:val="right"/>
              <w:rPr>
                <w:b/>
                <w:bCs/>
                <w:sz w:val="22"/>
                <w:szCs w:val="22"/>
              </w:rPr>
            </w:pPr>
            <w:r w:rsidRPr="00452AD4">
              <w:rPr>
                <w:b/>
                <w:bCs/>
                <w:sz w:val="22"/>
                <w:szCs w:val="22"/>
              </w:rPr>
              <w:t>20,2</w:t>
            </w:r>
          </w:p>
        </w:tc>
        <w:tc>
          <w:tcPr>
            <w:tcW w:w="973" w:type="dxa"/>
            <w:tcBorders>
              <w:top w:val="nil"/>
              <w:left w:val="nil"/>
              <w:bottom w:val="single" w:sz="4" w:space="0" w:color="auto"/>
              <w:right w:val="single" w:sz="4" w:space="0" w:color="auto"/>
            </w:tcBorders>
            <w:shd w:val="clear" w:color="auto" w:fill="auto"/>
            <w:noWrap/>
            <w:vAlign w:val="center"/>
            <w:hideMark/>
          </w:tcPr>
          <w:p w14:paraId="7CEEAC39" w14:textId="77777777" w:rsidR="00B14766" w:rsidRPr="00452AD4" w:rsidRDefault="7823C623" w:rsidP="7823C623">
            <w:pPr>
              <w:spacing w:after="100" w:afterAutospacing="1"/>
              <w:jc w:val="right"/>
              <w:rPr>
                <w:b/>
                <w:bCs/>
                <w:sz w:val="22"/>
                <w:szCs w:val="22"/>
              </w:rPr>
            </w:pPr>
            <w:r w:rsidRPr="00452AD4">
              <w:rPr>
                <w:b/>
                <w:bCs/>
                <w:sz w:val="22"/>
                <w:szCs w:val="22"/>
              </w:rPr>
              <w:t>-0,4</w:t>
            </w:r>
          </w:p>
        </w:tc>
        <w:tc>
          <w:tcPr>
            <w:tcW w:w="894" w:type="dxa"/>
            <w:tcBorders>
              <w:top w:val="nil"/>
              <w:left w:val="nil"/>
              <w:bottom w:val="single" w:sz="4" w:space="0" w:color="auto"/>
              <w:right w:val="single" w:sz="4" w:space="0" w:color="auto"/>
            </w:tcBorders>
            <w:shd w:val="clear" w:color="auto" w:fill="auto"/>
            <w:noWrap/>
            <w:vAlign w:val="center"/>
            <w:hideMark/>
          </w:tcPr>
          <w:p w14:paraId="6B51F41A" w14:textId="38A80486" w:rsidR="00B14766" w:rsidRPr="00452AD4" w:rsidRDefault="2307FA22" w:rsidP="2307FA22">
            <w:pPr>
              <w:spacing w:after="100" w:afterAutospacing="1" w:line="259" w:lineRule="auto"/>
              <w:jc w:val="right"/>
              <w:rPr>
                <w:b/>
                <w:bCs/>
                <w:sz w:val="22"/>
                <w:szCs w:val="22"/>
              </w:rPr>
            </w:pPr>
            <w:r w:rsidRPr="00452AD4">
              <w:rPr>
                <w:b/>
                <w:bCs/>
                <w:sz w:val="22"/>
                <w:szCs w:val="22"/>
              </w:rPr>
              <w:t>98,1</w:t>
            </w:r>
          </w:p>
        </w:tc>
      </w:tr>
      <w:tr w:rsidR="00B14766" w:rsidRPr="00452AD4" w14:paraId="6D545CB9" w14:textId="77777777" w:rsidTr="00452AD4">
        <w:trPr>
          <w:trHeight w:val="227"/>
          <w:jc w:val="center"/>
        </w:trPr>
        <w:tc>
          <w:tcPr>
            <w:tcW w:w="5157" w:type="dxa"/>
            <w:tcBorders>
              <w:top w:val="nil"/>
              <w:left w:val="single" w:sz="4" w:space="0" w:color="auto"/>
              <w:bottom w:val="single" w:sz="4" w:space="0" w:color="auto"/>
              <w:right w:val="single" w:sz="4" w:space="0" w:color="auto"/>
            </w:tcBorders>
            <w:shd w:val="clear" w:color="auto" w:fill="auto"/>
            <w:noWrap/>
            <w:vAlign w:val="bottom"/>
            <w:hideMark/>
          </w:tcPr>
          <w:p w14:paraId="3E232C56" w14:textId="77777777" w:rsidR="00B14766" w:rsidRPr="00452AD4" w:rsidRDefault="7823C623" w:rsidP="7823C623">
            <w:pPr>
              <w:spacing w:after="100" w:afterAutospacing="1"/>
              <w:ind w:firstLineChars="100" w:firstLine="220"/>
              <w:jc w:val="left"/>
              <w:rPr>
                <w:i/>
                <w:iCs/>
                <w:color w:val="000000" w:themeColor="text1"/>
                <w:sz w:val="22"/>
                <w:szCs w:val="22"/>
              </w:rPr>
            </w:pPr>
            <w:r w:rsidRPr="00452AD4">
              <w:rPr>
                <w:i/>
                <w:iCs/>
                <w:color w:val="000000" w:themeColor="text1"/>
                <w:sz w:val="22"/>
                <w:szCs w:val="22"/>
              </w:rPr>
              <w:t xml:space="preserve">Ebből: </w:t>
            </w:r>
          </w:p>
        </w:tc>
        <w:tc>
          <w:tcPr>
            <w:tcW w:w="998" w:type="dxa"/>
            <w:tcBorders>
              <w:top w:val="nil"/>
              <w:left w:val="nil"/>
              <w:bottom w:val="single" w:sz="4" w:space="0" w:color="auto"/>
              <w:right w:val="single" w:sz="4" w:space="0" w:color="auto"/>
            </w:tcBorders>
            <w:shd w:val="clear" w:color="auto" w:fill="auto"/>
            <w:noWrap/>
            <w:vAlign w:val="center"/>
            <w:hideMark/>
          </w:tcPr>
          <w:p w14:paraId="6668A320" w14:textId="77777777" w:rsidR="00B14766" w:rsidRPr="00452AD4" w:rsidRDefault="7823C623" w:rsidP="7823C623">
            <w:pPr>
              <w:spacing w:after="100" w:afterAutospacing="1"/>
              <w:jc w:val="right"/>
              <w:rPr>
                <w:sz w:val="22"/>
                <w:szCs w:val="22"/>
              </w:rPr>
            </w:pPr>
            <w:r w:rsidRPr="00452AD4">
              <w:rPr>
                <w:sz w:val="22"/>
                <w:szCs w:val="22"/>
              </w:rPr>
              <w:t> </w:t>
            </w:r>
          </w:p>
        </w:tc>
        <w:tc>
          <w:tcPr>
            <w:tcW w:w="1157" w:type="dxa"/>
            <w:tcBorders>
              <w:top w:val="nil"/>
              <w:left w:val="nil"/>
              <w:bottom w:val="single" w:sz="4" w:space="0" w:color="auto"/>
              <w:right w:val="single" w:sz="4" w:space="0" w:color="auto"/>
            </w:tcBorders>
            <w:shd w:val="clear" w:color="auto" w:fill="auto"/>
            <w:noWrap/>
            <w:vAlign w:val="center"/>
            <w:hideMark/>
          </w:tcPr>
          <w:p w14:paraId="5746F231" w14:textId="77777777" w:rsidR="00B14766" w:rsidRPr="00452AD4" w:rsidRDefault="7823C623" w:rsidP="7823C623">
            <w:pPr>
              <w:spacing w:after="100" w:afterAutospacing="1"/>
              <w:jc w:val="right"/>
              <w:rPr>
                <w:sz w:val="22"/>
                <w:szCs w:val="22"/>
              </w:rPr>
            </w:pPr>
            <w:r w:rsidRPr="00452AD4">
              <w:rPr>
                <w:sz w:val="22"/>
                <w:szCs w:val="22"/>
              </w:rPr>
              <w:t> </w:t>
            </w:r>
          </w:p>
        </w:tc>
        <w:tc>
          <w:tcPr>
            <w:tcW w:w="973" w:type="dxa"/>
            <w:tcBorders>
              <w:top w:val="nil"/>
              <w:left w:val="nil"/>
              <w:bottom w:val="single" w:sz="4" w:space="0" w:color="auto"/>
              <w:right w:val="single" w:sz="4" w:space="0" w:color="auto"/>
            </w:tcBorders>
            <w:shd w:val="clear" w:color="auto" w:fill="auto"/>
            <w:noWrap/>
            <w:vAlign w:val="center"/>
            <w:hideMark/>
          </w:tcPr>
          <w:p w14:paraId="57C62D66" w14:textId="77777777" w:rsidR="00B14766" w:rsidRPr="00452AD4" w:rsidRDefault="7823C623" w:rsidP="7823C623">
            <w:pPr>
              <w:spacing w:after="100" w:afterAutospacing="1"/>
              <w:jc w:val="right"/>
              <w:rPr>
                <w:sz w:val="22"/>
                <w:szCs w:val="22"/>
              </w:rPr>
            </w:pPr>
            <w:r w:rsidRPr="00452AD4">
              <w:rPr>
                <w:sz w:val="22"/>
                <w:szCs w:val="22"/>
              </w:rPr>
              <w:t> </w:t>
            </w:r>
          </w:p>
        </w:tc>
        <w:tc>
          <w:tcPr>
            <w:tcW w:w="894" w:type="dxa"/>
            <w:tcBorders>
              <w:top w:val="nil"/>
              <w:left w:val="nil"/>
              <w:bottom w:val="single" w:sz="4" w:space="0" w:color="auto"/>
              <w:right w:val="single" w:sz="4" w:space="0" w:color="auto"/>
            </w:tcBorders>
            <w:shd w:val="clear" w:color="auto" w:fill="auto"/>
            <w:noWrap/>
            <w:vAlign w:val="center"/>
            <w:hideMark/>
          </w:tcPr>
          <w:p w14:paraId="68C87599" w14:textId="77777777" w:rsidR="00B14766" w:rsidRPr="00452AD4" w:rsidRDefault="7823C623" w:rsidP="7823C623">
            <w:pPr>
              <w:spacing w:after="100" w:afterAutospacing="1"/>
              <w:jc w:val="right"/>
              <w:rPr>
                <w:sz w:val="22"/>
                <w:szCs w:val="22"/>
              </w:rPr>
            </w:pPr>
            <w:r w:rsidRPr="00452AD4">
              <w:rPr>
                <w:sz w:val="22"/>
                <w:szCs w:val="22"/>
              </w:rPr>
              <w:t> </w:t>
            </w:r>
          </w:p>
        </w:tc>
      </w:tr>
      <w:tr w:rsidR="00B14766" w:rsidRPr="00452AD4" w14:paraId="559A1C05" w14:textId="77777777" w:rsidTr="00452AD4">
        <w:trPr>
          <w:trHeight w:val="227"/>
          <w:jc w:val="center"/>
        </w:trPr>
        <w:tc>
          <w:tcPr>
            <w:tcW w:w="5157" w:type="dxa"/>
            <w:tcBorders>
              <w:top w:val="nil"/>
              <w:left w:val="single" w:sz="4" w:space="0" w:color="auto"/>
              <w:bottom w:val="single" w:sz="4" w:space="0" w:color="auto"/>
              <w:right w:val="single" w:sz="4" w:space="0" w:color="auto"/>
            </w:tcBorders>
            <w:shd w:val="clear" w:color="auto" w:fill="auto"/>
            <w:noWrap/>
            <w:vAlign w:val="bottom"/>
            <w:hideMark/>
          </w:tcPr>
          <w:p w14:paraId="587625DC" w14:textId="77777777" w:rsidR="00B14766" w:rsidRPr="00452AD4" w:rsidRDefault="7823C623" w:rsidP="7823C623">
            <w:pPr>
              <w:spacing w:after="100" w:afterAutospacing="1"/>
              <w:ind w:firstLineChars="400" w:firstLine="880"/>
              <w:jc w:val="left"/>
              <w:rPr>
                <w:i/>
                <w:iCs/>
                <w:color w:val="000000" w:themeColor="text1"/>
                <w:sz w:val="22"/>
                <w:szCs w:val="22"/>
              </w:rPr>
            </w:pPr>
            <w:r w:rsidRPr="00452AD4">
              <w:rPr>
                <w:i/>
                <w:iCs/>
                <w:color w:val="000000" w:themeColor="text1"/>
                <w:sz w:val="22"/>
                <w:szCs w:val="22"/>
              </w:rPr>
              <w:t>közgyógyellátás</w:t>
            </w:r>
          </w:p>
        </w:tc>
        <w:tc>
          <w:tcPr>
            <w:tcW w:w="998" w:type="dxa"/>
            <w:tcBorders>
              <w:top w:val="nil"/>
              <w:left w:val="nil"/>
              <w:bottom w:val="single" w:sz="4" w:space="0" w:color="auto"/>
              <w:right w:val="single" w:sz="4" w:space="0" w:color="auto"/>
            </w:tcBorders>
            <w:shd w:val="clear" w:color="auto" w:fill="auto"/>
            <w:noWrap/>
            <w:vAlign w:val="center"/>
            <w:hideMark/>
          </w:tcPr>
          <w:p w14:paraId="47973E1D" w14:textId="69B724A5" w:rsidR="00B14766" w:rsidRPr="00452AD4" w:rsidRDefault="2307FA22" w:rsidP="2307FA22">
            <w:pPr>
              <w:spacing w:after="100" w:afterAutospacing="1" w:line="259" w:lineRule="auto"/>
              <w:jc w:val="right"/>
              <w:rPr>
                <w:sz w:val="22"/>
                <w:szCs w:val="22"/>
              </w:rPr>
            </w:pPr>
            <w:r w:rsidRPr="00452AD4">
              <w:rPr>
                <w:sz w:val="22"/>
                <w:szCs w:val="22"/>
              </w:rPr>
              <w:t>14,5</w:t>
            </w:r>
          </w:p>
        </w:tc>
        <w:tc>
          <w:tcPr>
            <w:tcW w:w="1157" w:type="dxa"/>
            <w:tcBorders>
              <w:top w:val="nil"/>
              <w:left w:val="nil"/>
              <w:bottom w:val="single" w:sz="4" w:space="0" w:color="auto"/>
              <w:right w:val="single" w:sz="4" w:space="0" w:color="auto"/>
            </w:tcBorders>
            <w:shd w:val="clear" w:color="auto" w:fill="auto"/>
            <w:noWrap/>
            <w:vAlign w:val="center"/>
            <w:hideMark/>
          </w:tcPr>
          <w:p w14:paraId="1036CC88" w14:textId="1FEFAEDD" w:rsidR="00B14766" w:rsidRPr="00452AD4" w:rsidRDefault="2307FA22" w:rsidP="2307FA22">
            <w:pPr>
              <w:spacing w:after="100" w:afterAutospacing="1" w:line="259" w:lineRule="auto"/>
              <w:jc w:val="right"/>
              <w:rPr>
                <w:sz w:val="22"/>
                <w:szCs w:val="22"/>
              </w:rPr>
            </w:pPr>
            <w:r w:rsidRPr="00452AD4">
              <w:rPr>
                <w:sz w:val="22"/>
                <w:szCs w:val="22"/>
              </w:rPr>
              <w:t>14,0</w:t>
            </w:r>
          </w:p>
        </w:tc>
        <w:tc>
          <w:tcPr>
            <w:tcW w:w="973" w:type="dxa"/>
            <w:tcBorders>
              <w:top w:val="nil"/>
              <w:left w:val="nil"/>
              <w:bottom w:val="single" w:sz="4" w:space="0" w:color="auto"/>
              <w:right w:val="single" w:sz="4" w:space="0" w:color="auto"/>
            </w:tcBorders>
            <w:shd w:val="clear" w:color="auto" w:fill="auto"/>
            <w:noWrap/>
            <w:vAlign w:val="center"/>
            <w:hideMark/>
          </w:tcPr>
          <w:p w14:paraId="215149C3" w14:textId="0D6218BC" w:rsidR="00B14766" w:rsidRPr="00452AD4" w:rsidRDefault="2307FA22" w:rsidP="2307FA22">
            <w:pPr>
              <w:spacing w:after="100" w:afterAutospacing="1" w:line="259" w:lineRule="auto"/>
              <w:jc w:val="right"/>
              <w:rPr>
                <w:sz w:val="22"/>
                <w:szCs w:val="22"/>
              </w:rPr>
            </w:pPr>
            <w:r w:rsidRPr="00452AD4">
              <w:rPr>
                <w:sz w:val="22"/>
                <w:szCs w:val="22"/>
              </w:rPr>
              <w:t>-0,5</w:t>
            </w:r>
          </w:p>
        </w:tc>
        <w:tc>
          <w:tcPr>
            <w:tcW w:w="894" w:type="dxa"/>
            <w:tcBorders>
              <w:top w:val="nil"/>
              <w:left w:val="nil"/>
              <w:bottom w:val="single" w:sz="4" w:space="0" w:color="auto"/>
              <w:right w:val="single" w:sz="4" w:space="0" w:color="auto"/>
            </w:tcBorders>
            <w:shd w:val="clear" w:color="auto" w:fill="auto"/>
            <w:noWrap/>
            <w:vAlign w:val="center"/>
            <w:hideMark/>
          </w:tcPr>
          <w:p w14:paraId="468774D6" w14:textId="50D3464F" w:rsidR="00B14766" w:rsidRPr="00452AD4" w:rsidRDefault="7823C623" w:rsidP="007758E9">
            <w:pPr>
              <w:spacing w:after="100" w:afterAutospacing="1"/>
              <w:jc w:val="right"/>
              <w:rPr>
                <w:sz w:val="22"/>
                <w:szCs w:val="22"/>
              </w:rPr>
            </w:pPr>
            <w:r w:rsidRPr="00452AD4">
              <w:rPr>
                <w:sz w:val="22"/>
                <w:szCs w:val="22"/>
              </w:rPr>
              <w:t>96,</w:t>
            </w:r>
            <w:r w:rsidR="007758E9">
              <w:rPr>
                <w:sz w:val="22"/>
                <w:szCs w:val="22"/>
              </w:rPr>
              <w:t>6</w:t>
            </w:r>
          </w:p>
        </w:tc>
      </w:tr>
      <w:tr w:rsidR="00B14766" w:rsidRPr="00452AD4" w14:paraId="58653770" w14:textId="77777777" w:rsidTr="00452AD4">
        <w:trPr>
          <w:trHeight w:val="227"/>
          <w:jc w:val="center"/>
        </w:trPr>
        <w:tc>
          <w:tcPr>
            <w:tcW w:w="5157" w:type="dxa"/>
            <w:tcBorders>
              <w:top w:val="nil"/>
              <w:left w:val="single" w:sz="4" w:space="0" w:color="auto"/>
              <w:bottom w:val="single" w:sz="4" w:space="0" w:color="auto"/>
              <w:right w:val="single" w:sz="4" w:space="0" w:color="auto"/>
            </w:tcBorders>
            <w:shd w:val="clear" w:color="auto" w:fill="auto"/>
            <w:noWrap/>
            <w:vAlign w:val="bottom"/>
            <w:hideMark/>
          </w:tcPr>
          <w:p w14:paraId="1431C356" w14:textId="77777777" w:rsidR="00B14766" w:rsidRPr="00452AD4" w:rsidRDefault="7823C623" w:rsidP="7823C623">
            <w:pPr>
              <w:spacing w:after="100" w:afterAutospacing="1"/>
              <w:jc w:val="left"/>
              <w:rPr>
                <w:b/>
                <w:bCs/>
                <w:color w:val="000000" w:themeColor="text1"/>
                <w:sz w:val="22"/>
                <w:szCs w:val="22"/>
              </w:rPr>
            </w:pPr>
            <w:r w:rsidRPr="00452AD4">
              <w:rPr>
                <w:b/>
                <w:bCs/>
                <w:color w:val="000000" w:themeColor="text1"/>
                <w:sz w:val="22"/>
                <w:szCs w:val="22"/>
              </w:rPr>
              <w:t>Összesen</w:t>
            </w:r>
          </w:p>
        </w:tc>
        <w:tc>
          <w:tcPr>
            <w:tcW w:w="998" w:type="dxa"/>
            <w:tcBorders>
              <w:top w:val="nil"/>
              <w:left w:val="nil"/>
              <w:bottom w:val="single" w:sz="4" w:space="0" w:color="auto"/>
              <w:right w:val="single" w:sz="4" w:space="0" w:color="auto"/>
            </w:tcBorders>
            <w:shd w:val="clear" w:color="auto" w:fill="auto"/>
            <w:noWrap/>
            <w:vAlign w:val="center"/>
            <w:hideMark/>
          </w:tcPr>
          <w:p w14:paraId="541F73B6" w14:textId="7CC1EF20" w:rsidR="00B14766" w:rsidRPr="00452AD4" w:rsidRDefault="2307FA22" w:rsidP="2307FA22">
            <w:pPr>
              <w:spacing w:after="100" w:afterAutospacing="1" w:line="259" w:lineRule="auto"/>
              <w:jc w:val="right"/>
              <w:rPr>
                <w:b/>
                <w:bCs/>
                <w:sz w:val="22"/>
                <w:szCs w:val="22"/>
              </w:rPr>
            </w:pPr>
            <w:r w:rsidRPr="00452AD4">
              <w:rPr>
                <w:b/>
                <w:bCs/>
                <w:sz w:val="22"/>
                <w:szCs w:val="22"/>
              </w:rPr>
              <w:t>560,5</w:t>
            </w:r>
          </w:p>
        </w:tc>
        <w:tc>
          <w:tcPr>
            <w:tcW w:w="1157" w:type="dxa"/>
            <w:tcBorders>
              <w:top w:val="nil"/>
              <w:left w:val="nil"/>
              <w:bottom w:val="single" w:sz="4" w:space="0" w:color="auto"/>
              <w:right w:val="single" w:sz="4" w:space="0" w:color="auto"/>
            </w:tcBorders>
            <w:shd w:val="clear" w:color="auto" w:fill="auto"/>
            <w:noWrap/>
            <w:vAlign w:val="center"/>
            <w:hideMark/>
          </w:tcPr>
          <w:p w14:paraId="55A6F32B" w14:textId="31932433" w:rsidR="00B14766" w:rsidRPr="00452AD4" w:rsidRDefault="2307FA22" w:rsidP="2307FA22">
            <w:pPr>
              <w:spacing w:after="100" w:afterAutospacing="1" w:line="259" w:lineRule="auto"/>
              <w:jc w:val="right"/>
              <w:rPr>
                <w:b/>
                <w:bCs/>
                <w:sz w:val="22"/>
                <w:szCs w:val="22"/>
              </w:rPr>
            </w:pPr>
            <w:r w:rsidRPr="00452AD4">
              <w:rPr>
                <w:b/>
                <w:bCs/>
                <w:sz w:val="22"/>
                <w:szCs w:val="22"/>
              </w:rPr>
              <w:t>596,4</w:t>
            </w:r>
          </w:p>
        </w:tc>
        <w:tc>
          <w:tcPr>
            <w:tcW w:w="973" w:type="dxa"/>
            <w:tcBorders>
              <w:top w:val="nil"/>
              <w:left w:val="nil"/>
              <w:bottom w:val="single" w:sz="4" w:space="0" w:color="auto"/>
              <w:right w:val="single" w:sz="4" w:space="0" w:color="auto"/>
            </w:tcBorders>
            <w:shd w:val="clear" w:color="auto" w:fill="auto"/>
            <w:noWrap/>
            <w:vAlign w:val="center"/>
            <w:hideMark/>
          </w:tcPr>
          <w:p w14:paraId="00CBA19A" w14:textId="5E7481AA" w:rsidR="00B14766" w:rsidRPr="00452AD4" w:rsidRDefault="2307FA22" w:rsidP="2307FA22">
            <w:pPr>
              <w:spacing w:after="100" w:afterAutospacing="1" w:line="259" w:lineRule="auto"/>
              <w:jc w:val="right"/>
              <w:rPr>
                <w:b/>
                <w:bCs/>
                <w:sz w:val="22"/>
                <w:szCs w:val="22"/>
              </w:rPr>
            </w:pPr>
            <w:r w:rsidRPr="00452AD4">
              <w:rPr>
                <w:b/>
                <w:bCs/>
                <w:sz w:val="22"/>
                <w:szCs w:val="22"/>
              </w:rPr>
              <w:t>35,9</w:t>
            </w:r>
          </w:p>
        </w:tc>
        <w:tc>
          <w:tcPr>
            <w:tcW w:w="894" w:type="dxa"/>
            <w:tcBorders>
              <w:top w:val="nil"/>
              <w:left w:val="nil"/>
              <w:bottom w:val="single" w:sz="4" w:space="0" w:color="auto"/>
              <w:right w:val="single" w:sz="4" w:space="0" w:color="auto"/>
            </w:tcBorders>
            <w:shd w:val="clear" w:color="auto" w:fill="auto"/>
            <w:noWrap/>
            <w:vAlign w:val="center"/>
            <w:hideMark/>
          </w:tcPr>
          <w:p w14:paraId="1F03306B" w14:textId="7C491249" w:rsidR="00B14766" w:rsidRPr="00452AD4" w:rsidRDefault="2307FA22" w:rsidP="2307FA22">
            <w:pPr>
              <w:spacing w:after="100" w:afterAutospacing="1" w:line="259" w:lineRule="auto"/>
              <w:jc w:val="right"/>
              <w:rPr>
                <w:b/>
                <w:bCs/>
                <w:sz w:val="22"/>
                <w:szCs w:val="22"/>
              </w:rPr>
            </w:pPr>
            <w:r w:rsidRPr="00452AD4">
              <w:rPr>
                <w:b/>
                <w:bCs/>
                <w:sz w:val="22"/>
                <w:szCs w:val="22"/>
              </w:rPr>
              <w:t>106,4</w:t>
            </w:r>
          </w:p>
        </w:tc>
      </w:tr>
    </w:tbl>
    <w:p w14:paraId="0AE5E31D" w14:textId="41024868" w:rsidR="2307FA22" w:rsidRDefault="2307FA22" w:rsidP="00966F90">
      <w:pPr>
        <w:spacing w:before="120"/>
      </w:pPr>
      <w:r w:rsidRPr="2307FA22">
        <w:rPr>
          <w:szCs w:val="26"/>
        </w:rPr>
        <w:t xml:space="preserve">A </w:t>
      </w:r>
      <w:r w:rsidRPr="2307FA22">
        <w:rPr>
          <w:b/>
          <w:bCs/>
          <w:szCs w:val="26"/>
        </w:rPr>
        <w:t>családi támogatásokra</w:t>
      </w:r>
      <w:r w:rsidRPr="2307FA22">
        <w:rPr>
          <w:szCs w:val="26"/>
        </w:rPr>
        <w:t xml:space="preserve"> 2022. október végéig összesen 335,1 milliárd forintot fizettek ki. A 2022. évi </w:t>
      </w:r>
      <w:proofErr w:type="spellStart"/>
      <w:r w:rsidRPr="2307FA22">
        <w:rPr>
          <w:szCs w:val="26"/>
        </w:rPr>
        <w:t>tízhavi</w:t>
      </w:r>
      <w:proofErr w:type="spellEnd"/>
      <w:r w:rsidRPr="2307FA22">
        <w:rPr>
          <w:szCs w:val="26"/>
        </w:rPr>
        <w:t xml:space="preserve"> kiadás mindösszesen 1,5 milliárd forinttal haladta meg az előző év azonos időszakának teljesítésénél. Az eltérés részben arra vezethető vissza, hogy a jogcímcsoporton belül az életkezdési támogatásra fordított kiadás 2,6 milliárd forinttal magasabb volt az előző évi október végi összegnél. Ennek oka az, hogy 2022-ben az életkezdési letéti számlákon nyilvántartott követelés összegére tekintettel fizetett kamat mértéke 5,2% volt (a 2021. évi infláció mértékének megfelelően), ami meghaladta a 2021-ben fizetett kamat mértékét (3,3%-ot), ezen kívül az életkezdési letéti számlákon nyilvántartott összeg is nőtt a tavalyihoz képest. A kiadás növekedéséhez hozzájárult az is, hogy egy 2021-ben elfogadott törvénymódosítás eredményeképpen a Start-számlára teljesített befizetések után járó állami támogatás maximum összege a duplájára emelkedett.</w:t>
      </w:r>
    </w:p>
    <w:p w14:paraId="5B7D0DA1" w14:textId="78A493CC" w:rsidR="00B14766" w:rsidRPr="00550AF1" w:rsidRDefault="2307FA22" w:rsidP="00966F90">
      <w:pPr>
        <w:rPr>
          <w:szCs w:val="26"/>
        </w:rPr>
      </w:pPr>
      <w:r>
        <w:lastRenderedPageBreak/>
        <w:t xml:space="preserve">A </w:t>
      </w:r>
      <w:r w:rsidRPr="2307FA22">
        <w:rPr>
          <w:b/>
          <w:bCs/>
        </w:rPr>
        <w:t>korhatár alatti ellátások</w:t>
      </w:r>
      <w:r>
        <w:t xml:space="preserve"> esetében a kiadások növekedését elsősorban az okozta, hogy a 13. havi nyugdíjhoz hasonlóan februárban a korhatár előtti ellátásban részesülő személyek is részesültek 13. havi ellátásban. Ezen túlmenően januárban sor került az ellátások 5,0%-os, majd a júliusban a kiegészítő nyugdíjemelés mértékének megfelelő, újabb 3,9%-os emelésére is. </w:t>
      </w:r>
    </w:p>
    <w:p w14:paraId="6780B726" w14:textId="5859778A" w:rsidR="00B14766" w:rsidRPr="00550AF1" w:rsidRDefault="2307FA22" w:rsidP="00966F90">
      <w:pPr>
        <w:rPr>
          <w:szCs w:val="26"/>
        </w:rPr>
      </w:pPr>
      <w:r w:rsidRPr="2307FA22">
        <w:rPr>
          <w:szCs w:val="26"/>
        </w:rPr>
        <w:t>2022.</w:t>
      </w:r>
      <w:r w:rsidR="009E4ABB">
        <w:rPr>
          <w:szCs w:val="26"/>
        </w:rPr>
        <w:t> </w:t>
      </w:r>
      <w:r w:rsidRPr="2307FA22">
        <w:rPr>
          <w:szCs w:val="26"/>
        </w:rPr>
        <w:t xml:space="preserve">október végéig </w:t>
      </w:r>
      <w:r w:rsidRPr="2307FA22">
        <w:rPr>
          <w:b/>
          <w:bCs/>
          <w:szCs w:val="26"/>
        </w:rPr>
        <w:t>a jövedelempótló és jövedelemkiegészítő szociális támogatásokra</w:t>
      </w:r>
      <w:r w:rsidRPr="2307FA22">
        <w:rPr>
          <w:szCs w:val="26"/>
        </w:rPr>
        <w:t xml:space="preserve"> biztosított kiadásokon belül a járási szociális feladatok ellátására (gyermekek otthongondozási díja, ápolási díj, időskorúak járadéka, foglalkoztatást helyettesítő támogatás, egészségkárosodási és gyermekfelügyeleti támogatás) 92,6</w:t>
      </w:r>
      <w:r w:rsidR="00257CAC">
        <w:rPr>
          <w:szCs w:val="26"/>
        </w:rPr>
        <w:t> </w:t>
      </w:r>
      <w:r w:rsidRPr="2307FA22">
        <w:rPr>
          <w:szCs w:val="26"/>
        </w:rPr>
        <w:t>milliárd forintot fordítottak, mely 16,0 milliárd forinttal magasabb az előző évi október végi adatnál. Ennek oka, hogy 2022. januártól a gyermekek otthongondozási díjának összege a minimálbér 88%-áról annak 100%-ára (147</w:t>
      </w:r>
      <w:r w:rsidR="009E4ABB">
        <w:rPr>
          <w:szCs w:val="26"/>
        </w:rPr>
        <w:t> </w:t>
      </w:r>
      <w:r w:rsidRPr="2307FA22">
        <w:rPr>
          <w:szCs w:val="26"/>
        </w:rPr>
        <w:t>315</w:t>
      </w:r>
      <w:r w:rsidR="009E4ABB">
        <w:rPr>
          <w:szCs w:val="26"/>
        </w:rPr>
        <w:t> </w:t>
      </w:r>
      <w:r w:rsidRPr="2307FA22">
        <w:rPr>
          <w:szCs w:val="26"/>
        </w:rPr>
        <w:t>forintról 200</w:t>
      </w:r>
      <w:r w:rsidR="009E4ABB">
        <w:rPr>
          <w:szCs w:val="26"/>
        </w:rPr>
        <w:t> </w:t>
      </w:r>
      <w:r w:rsidRPr="2307FA22">
        <w:rPr>
          <w:szCs w:val="26"/>
        </w:rPr>
        <w:t>000</w:t>
      </w:r>
      <w:r w:rsidR="009E4ABB">
        <w:rPr>
          <w:szCs w:val="26"/>
        </w:rPr>
        <w:t> </w:t>
      </w:r>
      <w:r w:rsidRPr="2307FA22">
        <w:rPr>
          <w:szCs w:val="26"/>
        </w:rPr>
        <w:t xml:space="preserve">forintra) emelkedett, az ápolási díj összege pedig 5,0%-kal nőtt. </w:t>
      </w:r>
    </w:p>
    <w:p w14:paraId="0A021626" w14:textId="35E5BD5C" w:rsidR="2307FA22" w:rsidRDefault="2307FA22" w:rsidP="00966F90">
      <w:r>
        <w:t xml:space="preserve">A </w:t>
      </w:r>
      <w:r w:rsidR="00BB6B14">
        <w:t>j</w:t>
      </w:r>
      <w:r>
        <w:t>övedelempótló és jövedelemkiegészítő ellátások előirányzat tartalmazza a fogyatékossági támogatás, a vakok személyi járadéka, az átmeneti bányászjáradék és számos további, jellemzően kifutó jellegű ellátás (pl. mezőgazdasági járadék, politikai rehabilitációs és más nyugdíj-kiegészítések, házastársi pótlék) forrását. A jövedelempótló és jövedelemkiegészítő ellátásokra 54,8 milliárd forintot fizettek ki, mely az előző évi azonos időszaki kifizetésénél 4,9 milliárd forinttal magasabb. A kiadások növekedését egyes ellátások januárban végrehajtott 5,0%-os emelésének, valamint a 2022</w:t>
      </w:r>
      <w:r w:rsidR="003E7566">
        <w:t> </w:t>
      </w:r>
      <w:r>
        <w:t>februárjában kifizetett 13.</w:t>
      </w:r>
      <w:r w:rsidR="00622FD7">
        <w:t> </w:t>
      </w:r>
      <w:r>
        <w:t>havi ellátásnak a hatása okozza. A kiadások növekedéséhez hozzájárult továbbá, hogy a 2022</w:t>
      </w:r>
      <w:r w:rsidR="00622FD7">
        <w:t> </w:t>
      </w:r>
      <w:r>
        <w:t>júliusában végrehajtott, 3,9%-os kiegészítő nyugdíjemelés a Jövedelempótló és jövedelemkiegészítő ellátások előirányzatból fizetett ellátásokat is érintette, azzal, hogy ennek hatása a fogyatékossági támogatás és vakok személyi járadéka ellátások esetén – a tárgyhónapot követő havi kifizetés miatt – csak augusztusban jelentkezett.</w:t>
      </w:r>
    </w:p>
    <w:p w14:paraId="5189D2CA" w14:textId="544A328C" w:rsidR="2307FA22" w:rsidRDefault="2307FA22" w:rsidP="00966F90">
      <w:r w:rsidRPr="2307FA22">
        <w:rPr>
          <w:szCs w:val="26"/>
        </w:rPr>
        <w:t xml:space="preserve">A </w:t>
      </w:r>
      <w:r w:rsidRPr="2307FA22">
        <w:rPr>
          <w:b/>
          <w:bCs/>
          <w:szCs w:val="26"/>
        </w:rPr>
        <w:t>különféle jogcímen adott térítések</w:t>
      </w:r>
      <w:r w:rsidRPr="2307FA22">
        <w:rPr>
          <w:szCs w:val="26"/>
        </w:rPr>
        <w:t xml:space="preserve"> 2022.</w:t>
      </w:r>
      <w:r w:rsidR="003E7566">
        <w:rPr>
          <w:szCs w:val="26"/>
        </w:rPr>
        <w:t> </w:t>
      </w:r>
      <w:r w:rsidRPr="2307FA22">
        <w:rPr>
          <w:szCs w:val="26"/>
        </w:rPr>
        <w:t xml:space="preserve">évi </w:t>
      </w:r>
      <w:proofErr w:type="spellStart"/>
      <w:r w:rsidRPr="2307FA22">
        <w:rPr>
          <w:szCs w:val="26"/>
        </w:rPr>
        <w:t>tízhavi</w:t>
      </w:r>
      <w:proofErr w:type="spellEnd"/>
      <w:r w:rsidRPr="2307FA22">
        <w:rPr>
          <w:szCs w:val="26"/>
        </w:rPr>
        <w:t xml:space="preserve"> összege kismértékben alacsonyabb volt az előző év azonos időszakához viszonyítva. A térítéseken belül a legnagyobb összeget, 14,0 milliárd forintot a közgyógyellátásra fizették ki, ami a jogosultak létszámának csökkenése miatt 0,5 milliárd forinttal alacsonyabb a tavalyi év azonos időszakában kifizetett összegnél.</w:t>
      </w:r>
    </w:p>
    <w:p w14:paraId="552A6943" w14:textId="2F4DBE8E" w:rsidR="007D45A7" w:rsidRPr="00550AF1" w:rsidRDefault="7823C623" w:rsidP="00966F90">
      <w:pPr>
        <w:rPr>
          <w:szCs w:val="26"/>
        </w:rPr>
      </w:pPr>
      <w:r>
        <w:t xml:space="preserve">A </w:t>
      </w:r>
      <w:r w:rsidRPr="7823C623">
        <w:rPr>
          <w:b/>
          <w:bCs/>
        </w:rPr>
        <w:t>helyi önkormányzatok</w:t>
      </w:r>
      <w:r>
        <w:t xml:space="preserve"> 2022. évi feladataihoz a hatályos költségvetési törvény 873,4 milliárd forint állami </w:t>
      </w:r>
      <w:r w:rsidRPr="7823C623">
        <w:rPr>
          <w:b/>
          <w:bCs/>
        </w:rPr>
        <w:t>támogatást</w:t>
      </w:r>
      <w:r>
        <w:t xml:space="preserve"> biztosít.</w:t>
      </w:r>
    </w:p>
    <w:p w14:paraId="2D99D10D" w14:textId="57152234" w:rsidR="00F7538D" w:rsidRPr="00AE23C3" w:rsidRDefault="7823C623" w:rsidP="007D45A7">
      <w:pPr>
        <w:keepNext/>
        <w:keepLines/>
      </w:pPr>
      <w:r>
        <w:lastRenderedPageBreak/>
        <w:t>A jelentősebb tételek alakulását a következő táblázat mutatja:</w:t>
      </w:r>
    </w:p>
    <w:p w14:paraId="1724E90A" w14:textId="01827B09" w:rsidR="003B2DFD" w:rsidRPr="00452AD4" w:rsidRDefault="7823C623" w:rsidP="7823C623">
      <w:pPr>
        <w:keepNext/>
        <w:keepLines/>
        <w:spacing w:after="0"/>
        <w:jc w:val="center"/>
        <w:rPr>
          <w:b/>
          <w:bCs/>
          <w:sz w:val="22"/>
          <w:szCs w:val="22"/>
        </w:rPr>
      </w:pPr>
      <w:r w:rsidRPr="00452AD4">
        <w:rPr>
          <w:b/>
          <w:bCs/>
          <w:sz w:val="22"/>
          <w:szCs w:val="22"/>
        </w:rPr>
        <w:t>A helyi önkormányzatok támogatásának alakulása (milliárd forint)</w:t>
      </w:r>
    </w:p>
    <w:tbl>
      <w:tblPr>
        <w:tblW w:w="9346" w:type="dxa"/>
        <w:tblInd w:w="80" w:type="dxa"/>
        <w:tblCellMar>
          <w:left w:w="70" w:type="dxa"/>
          <w:right w:w="70" w:type="dxa"/>
        </w:tblCellMar>
        <w:tblLook w:val="04A0" w:firstRow="1" w:lastRow="0" w:firstColumn="1" w:lastColumn="0" w:noHBand="0" w:noVBand="1"/>
      </w:tblPr>
      <w:tblGrid>
        <w:gridCol w:w="6086"/>
        <w:gridCol w:w="850"/>
        <w:gridCol w:w="851"/>
        <w:gridCol w:w="850"/>
        <w:gridCol w:w="709"/>
      </w:tblGrid>
      <w:tr w:rsidR="00AE23C3" w:rsidRPr="00452AD4" w14:paraId="4F53D0FB" w14:textId="77777777" w:rsidTr="004F0620">
        <w:trPr>
          <w:trHeight w:val="283"/>
        </w:trPr>
        <w:tc>
          <w:tcPr>
            <w:tcW w:w="6086"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154DF20B" w14:textId="77777777" w:rsidR="00AB567E" w:rsidRPr="00452AD4" w:rsidRDefault="7823C623" w:rsidP="7823C623">
            <w:pPr>
              <w:keepNext/>
              <w:keepLines/>
              <w:spacing w:after="0"/>
              <w:jc w:val="center"/>
              <w:rPr>
                <w:b/>
                <w:bCs/>
                <w:sz w:val="22"/>
                <w:szCs w:val="22"/>
              </w:rPr>
            </w:pPr>
            <w:r w:rsidRPr="00452AD4">
              <w:rPr>
                <w:b/>
                <w:bCs/>
                <w:sz w:val="22"/>
                <w:szCs w:val="22"/>
              </w:rPr>
              <w:t>Megnevezés</w:t>
            </w:r>
          </w:p>
        </w:tc>
        <w:tc>
          <w:tcPr>
            <w:tcW w:w="850" w:type="dxa"/>
            <w:tcBorders>
              <w:top w:val="single" w:sz="8" w:space="0" w:color="auto"/>
              <w:left w:val="nil"/>
              <w:bottom w:val="nil"/>
              <w:right w:val="single" w:sz="8" w:space="0" w:color="auto"/>
            </w:tcBorders>
            <w:shd w:val="clear" w:color="auto" w:fill="auto"/>
            <w:vAlign w:val="center"/>
            <w:hideMark/>
          </w:tcPr>
          <w:p w14:paraId="6A4B59A6" w14:textId="77777777" w:rsidR="00AB567E" w:rsidRPr="00452AD4" w:rsidRDefault="7823C623" w:rsidP="7823C623">
            <w:pPr>
              <w:keepNext/>
              <w:keepLines/>
              <w:spacing w:after="0"/>
              <w:jc w:val="center"/>
              <w:rPr>
                <w:b/>
                <w:bCs/>
                <w:sz w:val="22"/>
                <w:szCs w:val="22"/>
              </w:rPr>
            </w:pPr>
            <w:r w:rsidRPr="00452AD4">
              <w:rPr>
                <w:b/>
                <w:bCs/>
                <w:sz w:val="22"/>
                <w:szCs w:val="22"/>
              </w:rPr>
              <w:t>2021</w:t>
            </w:r>
          </w:p>
        </w:tc>
        <w:tc>
          <w:tcPr>
            <w:tcW w:w="851" w:type="dxa"/>
            <w:tcBorders>
              <w:top w:val="single" w:sz="8" w:space="0" w:color="auto"/>
              <w:left w:val="nil"/>
              <w:bottom w:val="nil"/>
              <w:right w:val="single" w:sz="8" w:space="0" w:color="auto"/>
            </w:tcBorders>
            <w:shd w:val="clear" w:color="auto" w:fill="auto"/>
            <w:vAlign w:val="center"/>
            <w:hideMark/>
          </w:tcPr>
          <w:p w14:paraId="67BB2459" w14:textId="77777777" w:rsidR="00AB567E" w:rsidRPr="00452AD4" w:rsidRDefault="7823C623" w:rsidP="7823C623">
            <w:pPr>
              <w:keepNext/>
              <w:keepLines/>
              <w:spacing w:after="0"/>
              <w:jc w:val="center"/>
              <w:rPr>
                <w:b/>
                <w:bCs/>
                <w:sz w:val="22"/>
                <w:szCs w:val="22"/>
              </w:rPr>
            </w:pPr>
            <w:r w:rsidRPr="00452AD4">
              <w:rPr>
                <w:b/>
                <w:bCs/>
                <w:sz w:val="22"/>
                <w:szCs w:val="22"/>
              </w:rPr>
              <w:t>2022</w:t>
            </w:r>
          </w:p>
        </w:tc>
        <w:tc>
          <w:tcPr>
            <w:tcW w:w="1559" w:type="dxa"/>
            <w:gridSpan w:val="2"/>
            <w:tcBorders>
              <w:top w:val="single" w:sz="8" w:space="0" w:color="auto"/>
              <w:left w:val="nil"/>
              <w:bottom w:val="single" w:sz="8" w:space="0" w:color="auto"/>
              <w:right w:val="single" w:sz="8" w:space="0" w:color="000000" w:themeColor="text1"/>
            </w:tcBorders>
            <w:shd w:val="clear" w:color="auto" w:fill="auto"/>
            <w:noWrap/>
            <w:vAlign w:val="center"/>
            <w:hideMark/>
          </w:tcPr>
          <w:p w14:paraId="116E4B84" w14:textId="77777777" w:rsidR="00AB567E" w:rsidRPr="00452AD4" w:rsidRDefault="7823C623" w:rsidP="7823C623">
            <w:pPr>
              <w:keepNext/>
              <w:keepLines/>
              <w:spacing w:after="0"/>
              <w:jc w:val="center"/>
              <w:rPr>
                <w:b/>
                <w:bCs/>
                <w:sz w:val="22"/>
                <w:szCs w:val="22"/>
              </w:rPr>
            </w:pPr>
            <w:r w:rsidRPr="00452AD4">
              <w:rPr>
                <w:b/>
                <w:bCs/>
                <w:sz w:val="22"/>
                <w:szCs w:val="22"/>
              </w:rPr>
              <w:t>Eltérés</w:t>
            </w:r>
          </w:p>
        </w:tc>
      </w:tr>
      <w:tr w:rsidR="00AE23C3" w:rsidRPr="00452AD4" w14:paraId="2D058B7B" w14:textId="77777777" w:rsidTr="004F0620">
        <w:trPr>
          <w:trHeight w:val="283"/>
        </w:trPr>
        <w:tc>
          <w:tcPr>
            <w:tcW w:w="6086" w:type="dxa"/>
            <w:vMerge/>
            <w:tcBorders>
              <w:top w:val="single" w:sz="8" w:space="0" w:color="auto"/>
              <w:left w:val="single" w:sz="8" w:space="0" w:color="auto"/>
              <w:bottom w:val="single" w:sz="8" w:space="0" w:color="000000"/>
              <w:right w:val="single" w:sz="8" w:space="0" w:color="auto"/>
            </w:tcBorders>
            <w:vAlign w:val="center"/>
            <w:hideMark/>
          </w:tcPr>
          <w:p w14:paraId="5D8518B4" w14:textId="77777777" w:rsidR="00AB567E" w:rsidRPr="00452AD4" w:rsidRDefault="00AB567E" w:rsidP="007D45A7">
            <w:pPr>
              <w:keepNext/>
              <w:keepLines/>
              <w:spacing w:after="0"/>
              <w:jc w:val="left"/>
              <w:rPr>
                <w:b/>
                <w:bCs/>
                <w:sz w:val="22"/>
                <w:szCs w:val="22"/>
              </w:rPr>
            </w:pPr>
          </w:p>
        </w:tc>
        <w:tc>
          <w:tcPr>
            <w:tcW w:w="850" w:type="dxa"/>
            <w:tcBorders>
              <w:top w:val="nil"/>
              <w:left w:val="nil"/>
              <w:bottom w:val="single" w:sz="8" w:space="0" w:color="auto"/>
              <w:right w:val="single" w:sz="8" w:space="0" w:color="auto"/>
            </w:tcBorders>
            <w:shd w:val="clear" w:color="auto" w:fill="auto"/>
            <w:vAlign w:val="center"/>
            <w:hideMark/>
          </w:tcPr>
          <w:p w14:paraId="5611A454" w14:textId="6112FEFE" w:rsidR="00AB567E" w:rsidRPr="00452AD4" w:rsidRDefault="7823C623" w:rsidP="7823C623">
            <w:pPr>
              <w:keepNext/>
              <w:keepLines/>
              <w:spacing w:after="0"/>
              <w:jc w:val="center"/>
              <w:rPr>
                <w:b/>
                <w:bCs/>
                <w:sz w:val="22"/>
                <w:szCs w:val="22"/>
              </w:rPr>
            </w:pPr>
            <w:r w:rsidRPr="00452AD4">
              <w:rPr>
                <w:b/>
                <w:bCs/>
                <w:sz w:val="22"/>
                <w:szCs w:val="22"/>
              </w:rPr>
              <w:t>I-X. hó</w:t>
            </w:r>
          </w:p>
        </w:tc>
        <w:tc>
          <w:tcPr>
            <w:tcW w:w="851" w:type="dxa"/>
            <w:tcBorders>
              <w:top w:val="nil"/>
              <w:left w:val="nil"/>
              <w:bottom w:val="single" w:sz="8" w:space="0" w:color="auto"/>
              <w:right w:val="single" w:sz="8" w:space="0" w:color="auto"/>
            </w:tcBorders>
            <w:shd w:val="clear" w:color="auto" w:fill="auto"/>
            <w:vAlign w:val="center"/>
            <w:hideMark/>
          </w:tcPr>
          <w:p w14:paraId="7DDA1CC7" w14:textId="4F7B2E2D" w:rsidR="00AB567E" w:rsidRPr="00452AD4" w:rsidRDefault="7823C623" w:rsidP="7823C623">
            <w:pPr>
              <w:keepNext/>
              <w:keepLines/>
              <w:spacing w:after="0"/>
              <w:jc w:val="center"/>
              <w:rPr>
                <w:b/>
                <w:bCs/>
                <w:sz w:val="22"/>
                <w:szCs w:val="22"/>
              </w:rPr>
            </w:pPr>
            <w:r w:rsidRPr="00452AD4">
              <w:rPr>
                <w:b/>
                <w:bCs/>
                <w:sz w:val="22"/>
                <w:szCs w:val="22"/>
              </w:rPr>
              <w:t>I-X. hó</w:t>
            </w:r>
          </w:p>
        </w:tc>
        <w:tc>
          <w:tcPr>
            <w:tcW w:w="850" w:type="dxa"/>
            <w:tcBorders>
              <w:top w:val="nil"/>
              <w:left w:val="nil"/>
              <w:bottom w:val="single" w:sz="8" w:space="0" w:color="auto"/>
              <w:right w:val="single" w:sz="8" w:space="0" w:color="auto"/>
            </w:tcBorders>
            <w:shd w:val="clear" w:color="auto" w:fill="auto"/>
            <w:noWrap/>
            <w:vAlign w:val="center"/>
            <w:hideMark/>
          </w:tcPr>
          <w:p w14:paraId="338EFE92" w14:textId="77777777" w:rsidR="00AB567E" w:rsidRPr="00452AD4" w:rsidRDefault="7823C623" w:rsidP="7823C623">
            <w:pPr>
              <w:keepNext/>
              <w:keepLines/>
              <w:spacing w:after="0"/>
              <w:jc w:val="center"/>
              <w:rPr>
                <w:b/>
                <w:bCs/>
                <w:sz w:val="22"/>
                <w:szCs w:val="22"/>
              </w:rPr>
            </w:pPr>
            <w:r w:rsidRPr="00452AD4">
              <w:rPr>
                <w:b/>
                <w:bCs/>
                <w:sz w:val="22"/>
                <w:szCs w:val="22"/>
              </w:rPr>
              <w:t>Mrd Ft</w:t>
            </w:r>
          </w:p>
        </w:tc>
        <w:tc>
          <w:tcPr>
            <w:tcW w:w="709" w:type="dxa"/>
            <w:tcBorders>
              <w:top w:val="nil"/>
              <w:left w:val="nil"/>
              <w:bottom w:val="single" w:sz="8" w:space="0" w:color="auto"/>
              <w:right w:val="single" w:sz="8" w:space="0" w:color="auto"/>
            </w:tcBorders>
            <w:shd w:val="clear" w:color="auto" w:fill="auto"/>
            <w:noWrap/>
            <w:vAlign w:val="center"/>
            <w:hideMark/>
          </w:tcPr>
          <w:p w14:paraId="0FC8FFAF" w14:textId="77777777" w:rsidR="00AB567E" w:rsidRPr="00452AD4" w:rsidRDefault="7823C623" w:rsidP="7823C623">
            <w:pPr>
              <w:keepNext/>
              <w:keepLines/>
              <w:spacing w:after="0"/>
              <w:jc w:val="center"/>
              <w:rPr>
                <w:b/>
                <w:bCs/>
                <w:sz w:val="22"/>
                <w:szCs w:val="22"/>
              </w:rPr>
            </w:pPr>
            <w:r w:rsidRPr="00452AD4">
              <w:rPr>
                <w:b/>
                <w:bCs/>
                <w:sz w:val="22"/>
                <w:szCs w:val="22"/>
              </w:rPr>
              <w:t>%</w:t>
            </w:r>
          </w:p>
        </w:tc>
      </w:tr>
      <w:tr w:rsidR="005545CB" w:rsidRPr="00452AD4" w14:paraId="7537E017" w14:textId="77777777" w:rsidTr="004F0620">
        <w:trPr>
          <w:trHeight w:val="510"/>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48C4BC48" w14:textId="77777777" w:rsidR="005545CB" w:rsidRPr="00452AD4" w:rsidRDefault="7823C623" w:rsidP="7823C623">
            <w:pPr>
              <w:keepNext/>
              <w:keepLines/>
              <w:spacing w:after="0"/>
              <w:jc w:val="left"/>
              <w:rPr>
                <w:b/>
                <w:bCs/>
                <w:sz w:val="22"/>
                <w:szCs w:val="22"/>
              </w:rPr>
            </w:pPr>
            <w:r w:rsidRPr="00452AD4">
              <w:rPr>
                <w:b/>
                <w:bCs/>
                <w:sz w:val="22"/>
                <w:szCs w:val="22"/>
              </w:rPr>
              <w:t>A helyi önkormányzatok általános működésének és ágazati feladatainak támogatása</w:t>
            </w:r>
          </w:p>
        </w:tc>
        <w:tc>
          <w:tcPr>
            <w:tcW w:w="850" w:type="dxa"/>
            <w:tcBorders>
              <w:top w:val="nil"/>
              <w:left w:val="nil"/>
              <w:bottom w:val="single" w:sz="8" w:space="0" w:color="auto"/>
              <w:right w:val="single" w:sz="8" w:space="0" w:color="auto"/>
            </w:tcBorders>
            <w:shd w:val="clear" w:color="auto" w:fill="auto"/>
            <w:noWrap/>
            <w:vAlign w:val="center"/>
          </w:tcPr>
          <w:p w14:paraId="3E7804C0" w14:textId="7FA281B3" w:rsidR="005545CB" w:rsidRPr="00452AD4" w:rsidRDefault="7823C623" w:rsidP="7823C623">
            <w:pPr>
              <w:keepNext/>
              <w:keepLines/>
              <w:spacing w:after="0"/>
              <w:jc w:val="right"/>
              <w:rPr>
                <w:b/>
                <w:bCs/>
                <w:sz w:val="22"/>
                <w:szCs w:val="22"/>
              </w:rPr>
            </w:pPr>
            <w:r w:rsidRPr="00452AD4">
              <w:rPr>
                <w:b/>
                <w:bCs/>
                <w:color w:val="000000" w:themeColor="text1"/>
                <w:sz w:val="22"/>
                <w:szCs w:val="22"/>
              </w:rPr>
              <w:t>640,7</w:t>
            </w:r>
          </w:p>
        </w:tc>
        <w:tc>
          <w:tcPr>
            <w:tcW w:w="851" w:type="dxa"/>
            <w:tcBorders>
              <w:top w:val="nil"/>
              <w:left w:val="nil"/>
              <w:bottom w:val="single" w:sz="8" w:space="0" w:color="auto"/>
              <w:right w:val="single" w:sz="8" w:space="0" w:color="auto"/>
            </w:tcBorders>
            <w:shd w:val="clear" w:color="auto" w:fill="auto"/>
            <w:noWrap/>
            <w:vAlign w:val="center"/>
          </w:tcPr>
          <w:p w14:paraId="1D5B177D" w14:textId="4E7792D7" w:rsidR="005545CB" w:rsidRPr="00452AD4" w:rsidRDefault="7823C623" w:rsidP="7823C623">
            <w:pPr>
              <w:keepNext/>
              <w:keepLines/>
              <w:spacing w:after="0"/>
              <w:jc w:val="right"/>
              <w:rPr>
                <w:b/>
                <w:bCs/>
                <w:sz w:val="22"/>
                <w:szCs w:val="22"/>
              </w:rPr>
            </w:pPr>
            <w:r w:rsidRPr="00452AD4">
              <w:rPr>
                <w:b/>
                <w:bCs/>
                <w:color w:val="000000" w:themeColor="text1"/>
                <w:sz w:val="22"/>
                <w:szCs w:val="22"/>
              </w:rPr>
              <w:t>656,6</w:t>
            </w:r>
          </w:p>
        </w:tc>
        <w:tc>
          <w:tcPr>
            <w:tcW w:w="850" w:type="dxa"/>
            <w:tcBorders>
              <w:top w:val="nil"/>
              <w:left w:val="nil"/>
              <w:bottom w:val="single" w:sz="8" w:space="0" w:color="auto"/>
              <w:right w:val="single" w:sz="8" w:space="0" w:color="auto"/>
            </w:tcBorders>
            <w:shd w:val="clear" w:color="auto" w:fill="auto"/>
            <w:noWrap/>
            <w:vAlign w:val="center"/>
          </w:tcPr>
          <w:p w14:paraId="4AA0D2CD" w14:textId="7DDB6C66" w:rsidR="005545CB" w:rsidRPr="006B641F" w:rsidRDefault="7823C623" w:rsidP="7823C623">
            <w:pPr>
              <w:keepNext/>
              <w:keepLines/>
              <w:spacing w:after="0"/>
              <w:jc w:val="right"/>
              <w:rPr>
                <w:b/>
                <w:bCs/>
                <w:sz w:val="22"/>
                <w:szCs w:val="22"/>
              </w:rPr>
            </w:pPr>
            <w:r w:rsidRPr="006B641F">
              <w:rPr>
                <w:b/>
                <w:color w:val="000000" w:themeColor="text1"/>
                <w:sz w:val="22"/>
                <w:szCs w:val="22"/>
              </w:rPr>
              <w:t>15,9</w:t>
            </w:r>
          </w:p>
        </w:tc>
        <w:tc>
          <w:tcPr>
            <w:tcW w:w="709" w:type="dxa"/>
            <w:tcBorders>
              <w:top w:val="nil"/>
              <w:left w:val="nil"/>
              <w:bottom w:val="single" w:sz="8" w:space="0" w:color="auto"/>
              <w:right w:val="single" w:sz="8" w:space="0" w:color="auto"/>
            </w:tcBorders>
            <w:shd w:val="clear" w:color="auto" w:fill="auto"/>
            <w:noWrap/>
            <w:vAlign w:val="center"/>
          </w:tcPr>
          <w:p w14:paraId="16C3EBC0" w14:textId="0AA46D3F" w:rsidR="005545CB" w:rsidRPr="00452AD4" w:rsidRDefault="7823C623" w:rsidP="7823C623">
            <w:pPr>
              <w:keepNext/>
              <w:keepLines/>
              <w:spacing w:after="0"/>
              <w:jc w:val="right"/>
              <w:rPr>
                <w:b/>
                <w:bCs/>
                <w:sz w:val="22"/>
                <w:szCs w:val="22"/>
              </w:rPr>
            </w:pPr>
            <w:r w:rsidRPr="00452AD4">
              <w:rPr>
                <w:b/>
                <w:bCs/>
                <w:color w:val="000000" w:themeColor="text1"/>
                <w:sz w:val="22"/>
                <w:szCs w:val="22"/>
              </w:rPr>
              <w:t>102,5</w:t>
            </w:r>
          </w:p>
        </w:tc>
      </w:tr>
      <w:tr w:rsidR="005545CB" w:rsidRPr="00452AD4" w14:paraId="11883DB4" w14:textId="77777777" w:rsidTr="004F0620">
        <w:trPr>
          <w:trHeight w:val="283"/>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7B9CCD29" w14:textId="77777777" w:rsidR="005545CB" w:rsidRPr="00452AD4" w:rsidRDefault="7823C623" w:rsidP="7823C623">
            <w:pPr>
              <w:keepNext/>
              <w:keepLines/>
              <w:spacing w:after="0"/>
              <w:jc w:val="left"/>
              <w:rPr>
                <w:sz w:val="22"/>
                <w:szCs w:val="22"/>
              </w:rPr>
            </w:pPr>
            <w:r w:rsidRPr="00452AD4">
              <w:rPr>
                <w:sz w:val="22"/>
                <w:szCs w:val="22"/>
              </w:rPr>
              <w:t>A helyi önkormányzatok működésének általános támogatása</w:t>
            </w:r>
          </w:p>
        </w:tc>
        <w:tc>
          <w:tcPr>
            <w:tcW w:w="850" w:type="dxa"/>
            <w:tcBorders>
              <w:top w:val="nil"/>
              <w:left w:val="nil"/>
              <w:bottom w:val="single" w:sz="8" w:space="0" w:color="auto"/>
              <w:right w:val="single" w:sz="8" w:space="0" w:color="auto"/>
            </w:tcBorders>
            <w:shd w:val="clear" w:color="auto" w:fill="auto"/>
            <w:noWrap/>
            <w:vAlign w:val="center"/>
          </w:tcPr>
          <w:p w14:paraId="49779302" w14:textId="50BF6B8C" w:rsidR="005545CB" w:rsidRPr="00452AD4" w:rsidRDefault="7823C623" w:rsidP="7823C623">
            <w:pPr>
              <w:keepNext/>
              <w:keepLines/>
              <w:spacing w:after="0"/>
              <w:jc w:val="right"/>
              <w:rPr>
                <w:i/>
                <w:iCs/>
                <w:sz w:val="22"/>
                <w:szCs w:val="22"/>
              </w:rPr>
            </w:pPr>
            <w:r w:rsidRPr="00452AD4">
              <w:rPr>
                <w:color w:val="000000" w:themeColor="text1"/>
                <w:sz w:val="22"/>
                <w:szCs w:val="22"/>
              </w:rPr>
              <w:t>222,4</w:t>
            </w:r>
          </w:p>
        </w:tc>
        <w:tc>
          <w:tcPr>
            <w:tcW w:w="851" w:type="dxa"/>
            <w:tcBorders>
              <w:top w:val="nil"/>
              <w:left w:val="nil"/>
              <w:bottom w:val="single" w:sz="8" w:space="0" w:color="auto"/>
              <w:right w:val="single" w:sz="8" w:space="0" w:color="auto"/>
            </w:tcBorders>
            <w:shd w:val="clear" w:color="auto" w:fill="auto"/>
            <w:noWrap/>
            <w:vAlign w:val="center"/>
          </w:tcPr>
          <w:p w14:paraId="0B4F89F9" w14:textId="0B0276E2" w:rsidR="005545CB" w:rsidRPr="00452AD4" w:rsidRDefault="7823C623" w:rsidP="7823C623">
            <w:pPr>
              <w:keepNext/>
              <w:keepLines/>
              <w:spacing w:after="0"/>
              <w:jc w:val="right"/>
              <w:rPr>
                <w:i/>
                <w:iCs/>
                <w:sz w:val="22"/>
                <w:szCs w:val="22"/>
              </w:rPr>
            </w:pPr>
            <w:r w:rsidRPr="00452AD4">
              <w:rPr>
                <w:color w:val="000000" w:themeColor="text1"/>
                <w:sz w:val="22"/>
                <w:szCs w:val="22"/>
              </w:rPr>
              <w:t>220,6</w:t>
            </w:r>
          </w:p>
        </w:tc>
        <w:tc>
          <w:tcPr>
            <w:tcW w:w="850" w:type="dxa"/>
            <w:tcBorders>
              <w:top w:val="nil"/>
              <w:left w:val="nil"/>
              <w:bottom w:val="single" w:sz="8" w:space="0" w:color="auto"/>
              <w:right w:val="single" w:sz="8" w:space="0" w:color="auto"/>
            </w:tcBorders>
            <w:shd w:val="clear" w:color="auto" w:fill="auto"/>
            <w:noWrap/>
            <w:vAlign w:val="center"/>
          </w:tcPr>
          <w:p w14:paraId="056CCB8F" w14:textId="62DD06BD" w:rsidR="005545CB" w:rsidRPr="00452AD4" w:rsidRDefault="7823C623" w:rsidP="7823C623">
            <w:pPr>
              <w:keepNext/>
              <w:keepLines/>
              <w:spacing w:after="0"/>
              <w:jc w:val="right"/>
              <w:rPr>
                <w:i/>
                <w:iCs/>
                <w:sz w:val="22"/>
                <w:szCs w:val="22"/>
              </w:rPr>
            </w:pPr>
            <w:r w:rsidRPr="00452AD4">
              <w:rPr>
                <w:color w:val="000000" w:themeColor="text1"/>
                <w:sz w:val="22"/>
                <w:szCs w:val="22"/>
              </w:rPr>
              <w:t>-1,8</w:t>
            </w:r>
          </w:p>
        </w:tc>
        <w:tc>
          <w:tcPr>
            <w:tcW w:w="709" w:type="dxa"/>
            <w:tcBorders>
              <w:top w:val="nil"/>
              <w:left w:val="nil"/>
              <w:bottom w:val="single" w:sz="8" w:space="0" w:color="auto"/>
              <w:right w:val="single" w:sz="8" w:space="0" w:color="auto"/>
            </w:tcBorders>
            <w:shd w:val="clear" w:color="auto" w:fill="auto"/>
            <w:noWrap/>
            <w:vAlign w:val="center"/>
          </w:tcPr>
          <w:p w14:paraId="39C9E5F8" w14:textId="617FB987" w:rsidR="005545CB" w:rsidRPr="00452AD4" w:rsidRDefault="7823C623" w:rsidP="7823C623">
            <w:pPr>
              <w:keepNext/>
              <w:keepLines/>
              <w:spacing w:after="0"/>
              <w:jc w:val="right"/>
              <w:rPr>
                <w:i/>
                <w:iCs/>
                <w:sz w:val="22"/>
                <w:szCs w:val="22"/>
              </w:rPr>
            </w:pPr>
            <w:r w:rsidRPr="00452AD4">
              <w:rPr>
                <w:color w:val="000000" w:themeColor="text1"/>
                <w:sz w:val="22"/>
                <w:szCs w:val="22"/>
              </w:rPr>
              <w:t>99,2</w:t>
            </w:r>
          </w:p>
        </w:tc>
      </w:tr>
      <w:tr w:rsidR="005545CB" w:rsidRPr="00452AD4" w14:paraId="41C935A8" w14:textId="77777777" w:rsidTr="004F0620">
        <w:trPr>
          <w:trHeight w:val="510"/>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32B3D75E" w14:textId="77777777" w:rsidR="005545CB" w:rsidRPr="00452AD4" w:rsidRDefault="7823C623" w:rsidP="7823C623">
            <w:pPr>
              <w:keepNext/>
              <w:keepLines/>
              <w:spacing w:after="0"/>
              <w:jc w:val="left"/>
              <w:rPr>
                <w:sz w:val="22"/>
                <w:szCs w:val="22"/>
              </w:rPr>
            </w:pPr>
            <w:r w:rsidRPr="00452AD4">
              <w:rPr>
                <w:sz w:val="22"/>
                <w:szCs w:val="22"/>
              </w:rPr>
              <w:t>A települési önkormányzatok egyes köznevelési feladatainak támogatása</w:t>
            </w:r>
          </w:p>
        </w:tc>
        <w:tc>
          <w:tcPr>
            <w:tcW w:w="850" w:type="dxa"/>
            <w:tcBorders>
              <w:top w:val="nil"/>
              <w:left w:val="nil"/>
              <w:bottom w:val="single" w:sz="8" w:space="0" w:color="auto"/>
              <w:right w:val="single" w:sz="8" w:space="0" w:color="auto"/>
            </w:tcBorders>
            <w:shd w:val="clear" w:color="auto" w:fill="auto"/>
            <w:noWrap/>
            <w:vAlign w:val="center"/>
          </w:tcPr>
          <w:p w14:paraId="3859F4BC" w14:textId="3EAC38EA" w:rsidR="005545CB" w:rsidRPr="00452AD4" w:rsidRDefault="7823C623" w:rsidP="7823C623">
            <w:pPr>
              <w:keepNext/>
              <w:keepLines/>
              <w:spacing w:after="0"/>
              <w:jc w:val="right"/>
              <w:rPr>
                <w:i/>
                <w:iCs/>
                <w:sz w:val="22"/>
                <w:szCs w:val="22"/>
              </w:rPr>
            </w:pPr>
            <w:r w:rsidRPr="00452AD4">
              <w:rPr>
                <w:color w:val="000000" w:themeColor="text1"/>
                <w:sz w:val="22"/>
                <w:szCs w:val="22"/>
              </w:rPr>
              <w:t>178,6</w:t>
            </w:r>
          </w:p>
        </w:tc>
        <w:tc>
          <w:tcPr>
            <w:tcW w:w="851" w:type="dxa"/>
            <w:tcBorders>
              <w:top w:val="nil"/>
              <w:left w:val="nil"/>
              <w:bottom w:val="single" w:sz="8" w:space="0" w:color="auto"/>
              <w:right w:val="single" w:sz="8" w:space="0" w:color="auto"/>
            </w:tcBorders>
            <w:shd w:val="clear" w:color="auto" w:fill="auto"/>
            <w:noWrap/>
            <w:vAlign w:val="center"/>
          </w:tcPr>
          <w:p w14:paraId="6E0EA3FD" w14:textId="3799F645" w:rsidR="005545CB" w:rsidRPr="00452AD4" w:rsidRDefault="7823C623" w:rsidP="7823C623">
            <w:pPr>
              <w:keepNext/>
              <w:keepLines/>
              <w:spacing w:after="0"/>
              <w:jc w:val="right"/>
              <w:rPr>
                <w:i/>
                <w:iCs/>
                <w:sz w:val="22"/>
                <w:szCs w:val="22"/>
              </w:rPr>
            </w:pPr>
            <w:r w:rsidRPr="00452AD4">
              <w:rPr>
                <w:color w:val="000000" w:themeColor="text1"/>
                <w:sz w:val="22"/>
                <w:szCs w:val="22"/>
              </w:rPr>
              <w:t>179,1</w:t>
            </w:r>
          </w:p>
        </w:tc>
        <w:tc>
          <w:tcPr>
            <w:tcW w:w="850" w:type="dxa"/>
            <w:tcBorders>
              <w:top w:val="nil"/>
              <w:left w:val="nil"/>
              <w:bottom w:val="single" w:sz="8" w:space="0" w:color="auto"/>
              <w:right w:val="single" w:sz="8" w:space="0" w:color="auto"/>
            </w:tcBorders>
            <w:shd w:val="clear" w:color="auto" w:fill="auto"/>
            <w:noWrap/>
            <w:vAlign w:val="center"/>
          </w:tcPr>
          <w:p w14:paraId="42B61CFE" w14:textId="3C8D565F" w:rsidR="005545CB" w:rsidRPr="00452AD4" w:rsidRDefault="7823C623" w:rsidP="7823C623">
            <w:pPr>
              <w:keepNext/>
              <w:keepLines/>
              <w:spacing w:after="0"/>
              <w:jc w:val="right"/>
              <w:rPr>
                <w:i/>
                <w:iCs/>
                <w:sz w:val="22"/>
                <w:szCs w:val="22"/>
              </w:rPr>
            </w:pPr>
            <w:r w:rsidRPr="00452AD4">
              <w:rPr>
                <w:color w:val="000000" w:themeColor="text1"/>
                <w:sz w:val="22"/>
                <w:szCs w:val="22"/>
              </w:rPr>
              <w:t>0,5</w:t>
            </w:r>
          </w:p>
        </w:tc>
        <w:tc>
          <w:tcPr>
            <w:tcW w:w="709" w:type="dxa"/>
            <w:tcBorders>
              <w:top w:val="nil"/>
              <w:left w:val="nil"/>
              <w:bottom w:val="single" w:sz="8" w:space="0" w:color="auto"/>
              <w:right w:val="single" w:sz="8" w:space="0" w:color="auto"/>
            </w:tcBorders>
            <w:shd w:val="clear" w:color="auto" w:fill="auto"/>
            <w:noWrap/>
            <w:vAlign w:val="center"/>
          </w:tcPr>
          <w:p w14:paraId="5F830E51" w14:textId="07F383A1" w:rsidR="005545CB" w:rsidRPr="00452AD4" w:rsidRDefault="7823C623" w:rsidP="7823C623">
            <w:pPr>
              <w:keepNext/>
              <w:keepLines/>
              <w:spacing w:after="0"/>
              <w:jc w:val="right"/>
              <w:rPr>
                <w:i/>
                <w:iCs/>
                <w:sz w:val="22"/>
                <w:szCs w:val="22"/>
              </w:rPr>
            </w:pPr>
            <w:r w:rsidRPr="00452AD4">
              <w:rPr>
                <w:color w:val="000000" w:themeColor="text1"/>
                <w:sz w:val="22"/>
                <w:szCs w:val="22"/>
              </w:rPr>
              <w:t>100,3</w:t>
            </w:r>
          </w:p>
        </w:tc>
      </w:tr>
      <w:tr w:rsidR="005545CB" w:rsidRPr="00452AD4" w14:paraId="58A5B0C8" w14:textId="77777777" w:rsidTr="004F0620">
        <w:trPr>
          <w:trHeight w:val="510"/>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5F1C4E03" w14:textId="77777777" w:rsidR="005545CB" w:rsidRPr="00452AD4" w:rsidRDefault="7823C623" w:rsidP="7823C623">
            <w:pPr>
              <w:keepNext/>
              <w:keepLines/>
              <w:spacing w:after="0"/>
              <w:jc w:val="left"/>
              <w:rPr>
                <w:sz w:val="22"/>
                <w:szCs w:val="22"/>
              </w:rPr>
            </w:pPr>
            <w:r w:rsidRPr="00452AD4">
              <w:rPr>
                <w:sz w:val="22"/>
                <w:szCs w:val="22"/>
              </w:rPr>
              <w:t>A települési önkormányzatok egyes szociális, gyermekjóléti és gyermekétkeztetési feladatainak támogatása</w:t>
            </w:r>
          </w:p>
        </w:tc>
        <w:tc>
          <w:tcPr>
            <w:tcW w:w="850" w:type="dxa"/>
            <w:tcBorders>
              <w:top w:val="nil"/>
              <w:left w:val="nil"/>
              <w:bottom w:val="single" w:sz="8" w:space="0" w:color="auto"/>
              <w:right w:val="single" w:sz="8" w:space="0" w:color="auto"/>
            </w:tcBorders>
            <w:shd w:val="clear" w:color="auto" w:fill="auto"/>
            <w:noWrap/>
            <w:vAlign w:val="center"/>
          </w:tcPr>
          <w:p w14:paraId="5BE9BD14" w14:textId="3051E879" w:rsidR="005545CB" w:rsidRPr="00452AD4" w:rsidRDefault="7823C623" w:rsidP="7823C623">
            <w:pPr>
              <w:keepNext/>
              <w:keepLines/>
              <w:spacing w:after="0"/>
              <w:jc w:val="right"/>
              <w:rPr>
                <w:i/>
                <w:iCs/>
                <w:sz w:val="22"/>
                <w:szCs w:val="22"/>
              </w:rPr>
            </w:pPr>
            <w:r w:rsidRPr="00452AD4">
              <w:rPr>
                <w:color w:val="000000" w:themeColor="text1"/>
                <w:sz w:val="22"/>
                <w:szCs w:val="22"/>
              </w:rPr>
              <w:t>220,7</w:t>
            </w:r>
          </w:p>
        </w:tc>
        <w:tc>
          <w:tcPr>
            <w:tcW w:w="851" w:type="dxa"/>
            <w:tcBorders>
              <w:top w:val="nil"/>
              <w:left w:val="nil"/>
              <w:bottom w:val="single" w:sz="8" w:space="0" w:color="auto"/>
              <w:right w:val="single" w:sz="8" w:space="0" w:color="auto"/>
            </w:tcBorders>
            <w:shd w:val="clear" w:color="auto" w:fill="auto"/>
            <w:noWrap/>
            <w:vAlign w:val="center"/>
          </w:tcPr>
          <w:p w14:paraId="31078900" w14:textId="103CEFAA" w:rsidR="005545CB" w:rsidRPr="00452AD4" w:rsidRDefault="7823C623" w:rsidP="7823C623">
            <w:pPr>
              <w:keepNext/>
              <w:keepLines/>
              <w:spacing w:after="0"/>
              <w:jc w:val="right"/>
              <w:rPr>
                <w:i/>
                <w:iCs/>
                <w:sz w:val="22"/>
                <w:szCs w:val="22"/>
              </w:rPr>
            </w:pPr>
            <w:r w:rsidRPr="00452AD4">
              <w:rPr>
                <w:color w:val="000000" w:themeColor="text1"/>
                <w:sz w:val="22"/>
                <w:szCs w:val="22"/>
              </w:rPr>
              <w:t>237,9</w:t>
            </w:r>
          </w:p>
        </w:tc>
        <w:tc>
          <w:tcPr>
            <w:tcW w:w="850" w:type="dxa"/>
            <w:tcBorders>
              <w:top w:val="nil"/>
              <w:left w:val="nil"/>
              <w:bottom w:val="single" w:sz="8" w:space="0" w:color="auto"/>
              <w:right w:val="single" w:sz="8" w:space="0" w:color="auto"/>
            </w:tcBorders>
            <w:shd w:val="clear" w:color="auto" w:fill="auto"/>
            <w:noWrap/>
            <w:vAlign w:val="center"/>
          </w:tcPr>
          <w:p w14:paraId="091F8B96" w14:textId="2E7CE006" w:rsidR="005545CB" w:rsidRPr="00452AD4" w:rsidRDefault="7823C623" w:rsidP="7823C623">
            <w:pPr>
              <w:keepNext/>
              <w:keepLines/>
              <w:spacing w:after="0"/>
              <w:jc w:val="right"/>
              <w:rPr>
                <w:i/>
                <w:iCs/>
                <w:sz w:val="22"/>
                <w:szCs w:val="22"/>
              </w:rPr>
            </w:pPr>
            <w:r w:rsidRPr="00452AD4">
              <w:rPr>
                <w:color w:val="000000" w:themeColor="text1"/>
                <w:sz w:val="22"/>
                <w:szCs w:val="22"/>
              </w:rPr>
              <w:t>17,2</w:t>
            </w:r>
          </w:p>
        </w:tc>
        <w:tc>
          <w:tcPr>
            <w:tcW w:w="709" w:type="dxa"/>
            <w:tcBorders>
              <w:top w:val="nil"/>
              <w:left w:val="nil"/>
              <w:bottom w:val="single" w:sz="8" w:space="0" w:color="auto"/>
              <w:right w:val="single" w:sz="8" w:space="0" w:color="auto"/>
            </w:tcBorders>
            <w:shd w:val="clear" w:color="auto" w:fill="auto"/>
            <w:noWrap/>
            <w:vAlign w:val="center"/>
          </w:tcPr>
          <w:p w14:paraId="1A3AB104" w14:textId="497702D1" w:rsidR="005545CB" w:rsidRPr="00452AD4" w:rsidRDefault="7823C623" w:rsidP="7823C623">
            <w:pPr>
              <w:keepNext/>
              <w:keepLines/>
              <w:spacing w:after="0"/>
              <w:jc w:val="right"/>
              <w:rPr>
                <w:i/>
                <w:iCs/>
                <w:sz w:val="22"/>
                <w:szCs w:val="22"/>
              </w:rPr>
            </w:pPr>
            <w:r w:rsidRPr="00452AD4">
              <w:rPr>
                <w:color w:val="000000" w:themeColor="text1"/>
                <w:sz w:val="22"/>
                <w:szCs w:val="22"/>
              </w:rPr>
              <w:t>107,8</w:t>
            </w:r>
          </w:p>
        </w:tc>
      </w:tr>
      <w:tr w:rsidR="005545CB" w:rsidRPr="00452AD4" w14:paraId="256F5F99" w14:textId="77777777" w:rsidTr="004F0620">
        <w:trPr>
          <w:trHeight w:val="349"/>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677BC9B0" w14:textId="77777777" w:rsidR="005545CB" w:rsidRPr="00452AD4" w:rsidRDefault="7823C623" w:rsidP="7823C623">
            <w:pPr>
              <w:keepNext/>
              <w:keepLines/>
              <w:spacing w:after="0"/>
              <w:jc w:val="left"/>
              <w:rPr>
                <w:sz w:val="22"/>
                <w:szCs w:val="22"/>
              </w:rPr>
            </w:pPr>
            <w:r w:rsidRPr="00452AD4">
              <w:rPr>
                <w:sz w:val="22"/>
                <w:szCs w:val="22"/>
              </w:rPr>
              <w:t>A települési önkormányzatok kulturális feladatainak támogatása</w:t>
            </w:r>
          </w:p>
        </w:tc>
        <w:tc>
          <w:tcPr>
            <w:tcW w:w="850" w:type="dxa"/>
            <w:tcBorders>
              <w:top w:val="nil"/>
              <w:left w:val="nil"/>
              <w:bottom w:val="single" w:sz="8" w:space="0" w:color="auto"/>
              <w:right w:val="single" w:sz="8" w:space="0" w:color="auto"/>
            </w:tcBorders>
            <w:shd w:val="clear" w:color="auto" w:fill="auto"/>
            <w:noWrap/>
            <w:vAlign w:val="center"/>
          </w:tcPr>
          <w:p w14:paraId="12F54765" w14:textId="13B5C888" w:rsidR="005545CB" w:rsidRPr="00452AD4" w:rsidRDefault="7823C623" w:rsidP="7823C623">
            <w:pPr>
              <w:keepNext/>
              <w:keepLines/>
              <w:spacing w:after="0"/>
              <w:jc w:val="right"/>
              <w:rPr>
                <w:i/>
                <w:iCs/>
                <w:sz w:val="22"/>
                <w:szCs w:val="22"/>
              </w:rPr>
            </w:pPr>
            <w:r w:rsidRPr="00452AD4">
              <w:rPr>
                <w:color w:val="000000" w:themeColor="text1"/>
                <w:sz w:val="22"/>
                <w:szCs w:val="22"/>
              </w:rPr>
              <w:t>19,0</w:t>
            </w:r>
          </w:p>
        </w:tc>
        <w:tc>
          <w:tcPr>
            <w:tcW w:w="851" w:type="dxa"/>
            <w:tcBorders>
              <w:top w:val="nil"/>
              <w:left w:val="nil"/>
              <w:bottom w:val="single" w:sz="8" w:space="0" w:color="auto"/>
              <w:right w:val="single" w:sz="8" w:space="0" w:color="auto"/>
            </w:tcBorders>
            <w:shd w:val="clear" w:color="auto" w:fill="auto"/>
            <w:noWrap/>
            <w:vAlign w:val="center"/>
          </w:tcPr>
          <w:p w14:paraId="66C0BB17" w14:textId="4530FFE9" w:rsidR="005545CB" w:rsidRPr="00452AD4" w:rsidRDefault="7823C623" w:rsidP="7823C623">
            <w:pPr>
              <w:keepNext/>
              <w:keepLines/>
              <w:spacing w:after="0"/>
              <w:jc w:val="right"/>
              <w:rPr>
                <w:i/>
                <w:iCs/>
                <w:sz w:val="22"/>
                <w:szCs w:val="22"/>
              </w:rPr>
            </w:pPr>
            <w:r w:rsidRPr="00452AD4">
              <w:rPr>
                <w:color w:val="000000" w:themeColor="text1"/>
                <w:sz w:val="22"/>
                <w:szCs w:val="22"/>
              </w:rPr>
              <w:t>19,0</w:t>
            </w:r>
          </w:p>
        </w:tc>
        <w:tc>
          <w:tcPr>
            <w:tcW w:w="850" w:type="dxa"/>
            <w:tcBorders>
              <w:top w:val="nil"/>
              <w:left w:val="nil"/>
              <w:bottom w:val="single" w:sz="8" w:space="0" w:color="auto"/>
              <w:right w:val="single" w:sz="8" w:space="0" w:color="auto"/>
            </w:tcBorders>
            <w:shd w:val="clear" w:color="auto" w:fill="auto"/>
            <w:noWrap/>
            <w:vAlign w:val="center"/>
          </w:tcPr>
          <w:p w14:paraId="0AD6538D" w14:textId="4D67F20F" w:rsidR="005545CB" w:rsidRPr="00452AD4" w:rsidRDefault="7823C623" w:rsidP="7823C623">
            <w:pPr>
              <w:keepNext/>
              <w:keepLines/>
              <w:spacing w:after="0"/>
              <w:jc w:val="right"/>
              <w:rPr>
                <w:i/>
                <w:iCs/>
                <w:sz w:val="22"/>
                <w:szCs w:val="22"/>
              </w:rPr>
            </w:pPr>
            <w:r w:rsidRPr="00452AD4">
              <w:rPr>
                <w:color w:val="000000" w:themeColor="text1"/>
                <w:sz w:val="22"/>
                <w:szCs w:val="22"/>
              </w:rPr>
              <w:t>0</w:t>
            </w:r>
            <w:r w:rsidR="00584333">
              <w:rPr>
                <w:color w:val="000000" w:themeColor="text1"/>
                <w:sz w:val="22"/>
                <w:szCs w:val="22"/>
              </w:rPr>
              <w:t>,</w:t>
            </w:r>
            <w:proofErr w:type="spellStart"/>
            <w:r w:rsidR="00584333">
              <w:rPr>
                <w:color w:val="000000" w:themeColor="text1"/>
                <w:sz w:val="22"/>
                <w:szCs w:val="22"/>
              </w:rPr>
              <w:t>0</w:t>
            </w:r>
            <w:proofErr w:type="spellEnd"/>
          </w:p>
        </w:tc>
        <w:tc>
          <w:tcPr>
            <w:tcW w:w="709" w:type="dxa"/>
            <w:tcBorders>
              <w:top w:val="nil"/>
              <w:left w:val="nil"/>
              <w:bottom w:val="single" w:sz="8" w:space="0" w:color="auto"/>
              <w:right w:val="single" w:sz="8" w:space="0" w:color="auto"/>
            </w:tcBorders>
            <w:shd w:val="clear" w:color="auto" w:fill="auto"/>
            <w:noWrap/>
            <w:vAlign w:val="center"/>
          </w:tcPr>
          <w:p w14:paraId="5B4FF4CE" w14:textId="54666D39" w:rsidR="005545CB" w:rsidRPr="00452AD4" w:rsidRDefault="7823C623" w:rsidP="7823C623">
            <w:pPr>
              <w:keepNext/>
              <w:keepLines/>
              <w:spacing w:after="0"/>
              <w:jc w:val="right"/>
              <w:rPr>
                <w:i/>
                <w:iCs/>
                <w:sz w:val="22"/>
                <w:szCs w:val="22"/>
              </w:rPr>
            </w:pPr>
            <w:r w:rsidRPr="00452AD4">
              <w:rPr>
                <w:color w:val="000000" w:themeColor="text1"/>
                <w:sz w:val="22"/>
                <w:szCs w:val="22"/>
              </w:rPr>
              <w:t>100,0</w:t>
            </w:r>
          </w:p>
        </w:tc>
      </w:tr>
      <w:tr w:rsidR="005545CB" w:rsidRPr="00452AD4" w14:paraId="1109EB2B" w14:textId="77777777" w:rsidTr="004F0620">
        <w:trPr>
          <w:trHeight w:val="283"/>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3CB3457A" w14:textId="77777777" w:rsidR="005545CB" w:rsidRPr="00452AD4" w:rsidRDefault="7823C623" w:rsidP="7823C623">
            <w:pPr>
              <w:keepNext/>
              <w:keepLines/>
              <w:spacing w:after="0"/>
              <w:jc w:val="left"/>
              <w:rPr>
                <w:b/>
                <w:bCs/>
                <w:sz w:val="22"/>
                <w:szCs w:val="22"/>
              </w:rPr>
            </w:pPr>
            <w:r w:rsidRPr="00452AD4">
              <w:rPr>
                <w:b/>
                <w:bCs/>
                <w:sz w:val="22"/>
                <w:szCs w:val="22"/>
              </w:rPr>
              <w:t>Helyi önkormányzatok kiegészítő támogatása</w:t>
            </w:r>
          </w:p>
        </w:tc>
        <w:tc>
          <w:tcPr>
            <w:tcW w:w="850" w:type="dxa"/>
            <w:tcBorders>
              <w:top w:val="nil"/>
              <w:left w:val="nil"/>
              <w:bottom w:val="single" w:sz="8" w:space="0" w:color="auto"/>
              <w:right w:val="single" w:sz="8" w:space="0" w:color="auto"/>
            </w:tcBorders>
            <w:shd w:val="clear" w:color="auto" w:fill="auto"/>
            <w:noWrap/>
            <w:vAlign w:val="center"/>
          </w:tcPr>
          <w:p w14:paraId="447D2B71" w14:textId="5835CC68" w:rsidR="005545CB" w:rsidRPr="00452AD4" w:rsidRDefault="7823C623" w:rsidP="7823C623">
            <w:pPr>
              <w:keepNext/>
              <w:keepLines/>
              <w:spacing w:after="0"/>
              <w:jc w:val="right"/>
              <w:rPr>
                <w:b/>
                <w:bCs/>
                <w:sz w:val="22"/>
                <w:szCs w:val="22"/>
              </w:rPr>
            </w:pPr>
            <w:r w:rsidRPr="00452AD4">
              <w:rPr>
                <w:b/>
                <w:bCs/>
                <w:color w:val="000000" w:themeColor="text1"/>
                <w:sz w:val="22"/>
                <w:szCs w:val="22"/>
              </w:rPr>
              <w:t>124,8</w:t>
            </w:r>
          </w:p>
        </w:tc>
        <w:tc>
          <w:tcPr>
            <w:tcW w:w="851" w:type="dxa"/>
            <w:tcBorders>
              <w:top w:val="nil"/>
              <w:left w:val="nil"/>
              <w:bottom w:val="single" w:sz="8" w:space="0" w:color="auto"/>
              <w:right w:val="single" w:sz="8" w:space="0" w:color="auto"/>
            </w:tcBorders>
            <w:shd w:val="clear" w:color="auto" w:fill="auto"/>
            <w:noWrap/>
            <w:vAlign w:val="center"/>
          </w:tcPr>
          <w:p w14:paraId="10F86AE4" w14:textId="59CF2FD0" w:rsidR="005545CB" w:rsidRPr="00452AD4" w:rsidRDefault="7823C623" w:rsidP="7823C623">
            <w:pPr>
              <w:keepNext/>
              <w:keepLines/>
              <w:spacing w:after="0"/>
              <w:jc w:val="right"/>
              <w:rPr>
                <w:b/>
                <w:bCs/>
                <w:sz w:val="22"/>
                <w:szCs w:val="22"/>
              </w:rPr>
            </w:pPr>
            <w:r w:rsidRPr="00452AD4">
              <w:rPr>
                <w:b/>
                <w:bCs/>
                <w:color w:val="000000" w:themeColor="text1"/>
                <w:sz w:val="22"/>
                <w:szCs w:val="22"/>
              </w:rPr>
              <w:t>67,2</w:t>
            </w:r>
          </w:p>
        </w:tc>
        <w:tc>
          <w:tcPr>
            <w:tcW w:w="850" w:type="dxa"/>
            <w:tcBorders>
              <w:top w:val="nil"/>
              <w:left w:val="nil"/>
              <w:bottom w:val="single" w:sz="8" w:space="0" w:color="auto"/>
              <w:right w:val="single" w:sz="8" w:space="0" w:color="auto"/>
            </w:tcBorders>
            <w:shd w:val="clear" w:color="auto" w:fill="auto"/>
            <w:noWrap/>
            <w:vAlign w:val="center"/>
          </w:tcPr>
          <w:p w14:paraId="25296254" w14:textId="0FC09BDE" w:rsidR="005545CB" w:rsidRPr="00452AD4" w:rsidRDefault="7823C623" w:rsidP="7823C623">
            <w:pPr>
              <w:keepNext/>
              <w:keepLines/>
              <w:spacing w:after="0"/>
              <w:jc w:val="right"/>
              <w:rPr>
                <w:b/>
                <w:bCs/>
                <w:sz w:val="22"/>
                <w:szCs w:val="22"/>
              </w:rPr>
            </w:pPr>
            <w:r w:rsidRPr="00452AD4">
              <w:rPr>
                <w:b/>
                <w:bCs/>
                <w:color w:val="000000" w:themeColor="text1"/>
                <w:sz w:val="22"/>
                <w:szCs w:val="22"/>
              </w:rPr>
              <w:t>-57,6</w:t>
            </w:r>
          </w:p>
        </w:tc>
        <w:tc>
          <w:tcPr>
            <w:tcW w:w="709" w:type="dxa"/>
            <w:tcBorders>
              <w:top w:val="nil"/>
              <w:left w:val="nil"/>
              <w:bottom w:val="single" w:sz="8" w:space="0" w:color="auto"/>
              <w:right w:val="single" w:sz="8" w:space="0" w:color="auto"/>
            </w:tcBorders>
            <w:shd w:val="clear" w:color="auto" w:fill="auto"/>
            <w:noWrap/>
            <w:vAlign w:val="center"/>
          </w:tcPr>
          <w:p w14:paraId="3FADFE84" w14:textId="0193FB71" w:rsidR="005545CB" w:rsidRPr="00452AD4" w:rsidRDefault="7823C623" w:rsidP="7823C623">
            <w:pPr>
              <w:keepNext/>
              <w:keepLines/>
              <w:spacing w:after="0"/>
              <w:jc w:val="right"/>
              <w:rPr>
                <w:b/>
                <w:bCs/>
                <w:sz w:val="22"/>
                <w:szCs w:val="22"/>
              </w:rPr>
            </w:pPr>
            <w:r w:rsidRPr="00452AD4">
              <w:rPr>
                <w:b/>
                <w:bCs/>
                <w:color w:val="000000" w:themeColor="text1"/>
                <w:sz w:val="22"/>
                <w:szCs w:val="22"/>
              </w:rPr>
              <w:t>53,8</w:t>
            </w:r>
          </w:p>
        </w:tc>
      </w:tr>
      <w:tr w:rsidR="005545CB" w:rsidRPr="00452AD4" w14:paraId="353C6205" w14:textId="77777777" w:rsidTr="004F0620">
        <w:trPr>
          <w:trHeight w:val="283"/>
        </w:trPr>
        <w:tc>
          <w:tcPr>
            <w:tcW w:w="6086" w:type="dxa"/>
            <w:tcBorders>
              <w:top w:val="nil"/>
              <w:left w:val="single" w:sz="8" w:space="0" w:color="auto"/>
              <w:bottom w:val="single" w:sz="8" w:space="0" w:color="auto"/>
              <w:right w:val="single" w:sz="8" w:space="0" w:color="auto"/>
            </w:tcBorders>
            <w:shd w:val="clear" w:color="auto" w:fill="auto"/>
            <w:vAlign w:val="center"/>
            <w:hideMark/>
          </w:tcPr>
          <w:p w14:paraId="448F8299" w14:textId="77777777" w:rsidR="005545CB" w:rsidRPr="00452AD4" w:rsidRDefault="7823C623" w:rsidP="7823C623">
            <w:pPr>
              <w:keepNext/>
              <w:keepLines/>
              <w:spacing w:after="0"/>
              <w:jc w:val="left"/>
              <w:rPr>
                <w:b/>
                <w:bCs/>
                <w:sz w:val="22"/>
                <w:szCs w:val="22"/>
              </w:rPr>
            </w:pPr>
            <w:r w:rsidRPr="00452AD4">
              <w:rPr>
                <w:b/>
                <w:bCs/>
                <w:sz w:val="22"/>
                <w:szCs w:val="22"/>
              </w:rPr>
              <w:t>Év közben létrejött új jogcímek kiadásai</w:t>
            </w:r>
          </w:p>
        </w:tc>
        <w:tc>
          <w:tcPr>
            <w:tcW w:w="850" w:type="dxa"/>
            <w:tcBorders>
              <w:top w:val="nil"/>
              <w:left w:val="nil"/>
              <w:bottom w:val="single" w:sz="8" w:space="0" w:color="auto"/>
              <w:right w:val="single" w:sz="8" w:space="0" w:color="auto"/>
            </w:tcBorders>
            <w:shd w:val="clear" w:color="auto" w:fill="auto"/>
            <w:noWrap/>
            <w:vAlign w:val="center"/>
          </w:tcPr>
          <w:p w14:paraId="50920757" w14:textId="1CCF00F6" w:rsidR="005545CB" w:rsidRPr="00452AD4" w:rsidRDefault="7823C623" w:rsidP="7823C623">
            <w:pPr>
              <w:keepNext/>
              <w:keepLines/>
              <w:spacing w:after="0"/>
              <w:jc w:val="right"/>
              <w:rPr>
                <w:b/>
                <w:bCs/>
                <w:sz w:val="22"/>
                <w:szCs w:val="22"/>
              </w:rPr>
            </w:pPr>
            <w:r w:rsidRPr="00452AD4">
              <w:rPr>
                <w:b/>
                <w:bCs/>
                <w:color w:val="000000" w:themeColor="text1"/>
                <w:sz w:val="22"/>
                <w:szCs w:val="22"/>
              </w:rPr>
              <w:t>60,8</w:t>
            </w:r>
          </w:p>
        </w:tc>
        <w:tc>
          <w:tcPr>
            <w:tcW w:w="851" w:type="dxa"/>
            <w:tcBorders>
              <w:top w:val="nil"/>
              <w:left w:val="nil"/>
              <w:bottom w:val="single" w:sz="8" w:space="0" w:color="auto"/>
              <w:right w:val="single" w:sz="8" w:space="0" w:color="auto"/>
            </w:tcBorders>
            <w:shd w:val="clear" w:color="auto" w:fill="auto"/>
            <w:noWrap/>
            <w:vAlign w:val="center"/>
          </w:tcPr>
          <w:p w14:paraId="0D3073B1" w14:textId="4AD47C08" w:rsidR="005545CB" w:rsidRPr="00452AD4" w:rsidRDefault="7823C623" w:rsidP="7823C623">
            <w:pPr>
              <w:keepNext/>
              <w:keepLines/>
              <w:spacing w:after="0"/>
              <w:jc w:val="right"/>
              <w:rPr>
                <w:b/>
                <w:bCs/>
                <w:sz w:val="22"/>
                <w:szCs w:val="22"/>
              </w:rPr>
            </w:pPr>
            <w:r w:rsidRPr="00452AD4">
              <w:rPr>
                <w:b/>
                <w:bCs/>
                <w:color w:val="000000" w:themeColor="text1"/>
                <w:sz w:val="22"/>
                <w:szCs w:val="22"/>
              </w:rPr>
              <w:t>174,5</w:t>
            </w:r>
          </w:p>
        </w:tc>
        <w:tc>
          <w:tcPr>
            <w:tcW w:w="850" w:type="dxa"/>
            <w:tcBorders>
              <w:top w:val="nil"/>
              <w:left w:val="nil"/>
              <w:bottom w:val="single" w:sz="8" w:space="0" w:color="auto"/>
              <w:right w:val="single" w:sz="8" w:space="0" w:color="auto"/>
            </w:tcBorders>
            <w:shd w:val="clear" w:color="auto" w:fill="auto"/>
            <w:noWrap/>
            <w:vAlign w:val="center"/>
          </w:tcPr>
          <w:p w14:paraId="16D31409" w14:textId="282E176A" w:rsidR="005545CB" w:rsidRPr="00452AD4" w:rsidRDefault="7823C623" w:rsidP="7823C623">
            <w:pPr>
              <w:keepNext/>
              <w:keepLines/>
              <w:spacing w:after="0"/>
              <w:jc w:val="right"/>
              <w:rPr>
                <w:b/>
                <w:bCs/>
                <w:sz w:val="22"/>
                <w:szCs w:val="22"/>
              </w:rPr>
            </w:pPr>
            <w:r w:rsidRPr="00452AD4">
              <w:rPr>
                <w:b/>
                <w:bCs/>
                <w:color w:val="000000" w:themeColor="text1"/>
                <w:sz w:val="22"/>
                <w:szCs w:val="22"/>
              </w:rPr>
              <w:t>113,7</w:t>
            </w:r>
          </w:p>
        </w:tc>
        <w:tc>
          <w:tcPr>
            <w:tcW w:w="709" w:type="dxa"/>
            <w:tcBorders>
              <w:top w:val="nil"/>
              <w:left w:val="nil"/>
              <w:bottom w:val="single" w:sz="8" w:space="0" w:color="auto"/>
              <w:right w:val="single" w:sz="8" w:space="0" w:color="auto"/>
            </w:tcBorders>
            <w:shd w:val="clear" w:color="auto" w:fill="auto"/>
            <w:noWrap/>
            <w:vAlign w:val="center"/>
          </w:tcPr>
          <w:p w14:paraId="3AB462BB" w14:textId="741C28D2" w:rsidR="005545CB" w:rsidRPr="00452AD4" w:rsidRDefault="7823C623" w:rsidP="7823C623">
            <w:pPr>
              <w:keepNext/>
              <w:keepLines/>
              <w:spacing w:after="0"/>
              <w:jc w:val="right"/>
              <w:rPr>
                <w:b/>
                <w:bCs/>
                <w:sz w:val="22"/>
                <w:szCs w:val="22"/>
              </w:rPr>
            </w:pPr>
            <w:r w:rsidRPr="00452AD4">
              <w:rPr>
                <w:b/>
                <w:bCs/>
                <w:color w:val="000000" w:themeColor="text1"/>
                <w:sz w:val="22"/>
                <w:szCs w:val="22"/>
              </w:rPr>
              <w:t>287,0</w:t>
            </w:r>
          </w:p>
        </w:tc>
      </w:tr>
      <w:tr w:rsidR="005545CB" w:rsidRPr="00452AD4" w14:paraId="131E4583" w14:textId="77777777" w:rsidTr="004F0620">
        <w:trPr>
          <w:trHeight w:val="283"/>
        </w:trPr>
        <w:tc>
          <w:tcPr>
            <w:tcW w:w="6086" w:type="dxa"/>
            <w:tcBorders>
              <w:top w:val="nil"/>
              <w:left w:val="single" w:sz="8" w:space="0" w:color="auto"/>
              <w:bottom w:val="single" w:sz="8" w:space="0" w:color="auto"/>
              <w:right w:val="single" w:sz="8" w:space="0" w:color="auto"/>
            </w:tcBorders>
            <w:shd w:val="clear" w:color="auto" w:fill="auto"/>
            <w:noWrap/>
            <w:vAlign w:val="center"/>
            <w:hideMark/>
          </w:tcPr>
          <w:p w14:paraId="68893B98" w14:textId="77777777" w:rsidR="005545CB" w:rsidRPr="00452AD4" w:rsidRDefault="7823C623" w:rsidP="7823C623">
            <w:pPr>
              <w:widowControl w:val="0"/>
              <w:spacing w:after="0"/>
              <w:jc w:val="left"/>
              <w:rPr>
                <w:b/>
                <w:bCs/>
                <w:sz w:val="22"/>
                <w:szCs w:val="22"/>
              </w:rPr>
            </w:pPr>
            <w:r w:rsidRPr="00452AD4">
              <w:rPr>
                <w:b/>
                <w:bCs/>
                <w:sz w:val="22"/>
                <w:szCs w:val="22"/>
              </w:rPr>
              <w:t>Összesen</w:t>
            </w:r>
          </w:p>
        </w:tc>
        <w:tc>
          <w:tcPr>
            <w:tcW w:w="850" w:type="dxa"/>
            <w:tcBorders>
              <w:top w:val="nil"/>
              <w:left w:val="nil"/>
              <w:bottom w:val="single" w:sz="8" w:space="0" w:color="auto"/>
              <w:right w:val="single" w:sz="8" w:space="0" w:color="auto"/>
            </w:tcBorders>
            <w:shd w:val="clear" w:color="auto" w:fill="auto"/>
            <w:noWrap/>
            <w:vAlign w:val="center"/>
          </w:tcPr>
          <w:p w14:paraId="73C037FE" w14:textId="5EB51F36" w:rsidR="005545CB" w:rsidRPr="00452AD4" w:rsidRDefault="7823C623" w:rsidP="7823C623">
            <w:pPr>
              <w:keepNext/>
              <w:keepLines/>
              <w:spacing w:after="0"/>
              <w:jc w:val="right"/>
              <w:rPr>
                <w:b/>
                <w:bCs/>
                <w:sz w:val="22"/>
                <w:szCs w:val="22"/>
              </w:rPr>
            </w:pPr>
            <w:r w:rsidRPr="00452AD4">
              <w:rPr>
                <w:b/>
                <w:bCs/>
                <w:color w:val="000000" w:themeColor="text1"/>
                <w:sz w:val="22"/>
                <w:szCs w:val="22"/>
              </w:rPr>
              <w:t>826,3</w:t>
            </w:r>
          </w:p>
        </w:tc>
        <w:tc>
          <w:tcPr>
            <w:tcW w:w="851" w:type="dxa"/>
            <w:tcBorders>
              <w:top w:val="nil"/>
              <w:left w:val="nil"/>
              <w:bottom w:val="single" w:sz="8" w:space="0" w:color="auto"/>
              <w:right w:val="single" w:sz="8" w:space="0" w:color="auto"/>
            </w:tcBorders>
            <w:shd w:val="clear" w:color="auto" w:fill="auto"/>
            <w:noWrap/>
            <w:vAlign w:val="center"/>
          </w:tcPr>
          <w:p w14:paraId="3030FC31" w14:textId="46FF0B7B" w:rsidR="005545CB" w:rsidRPr="00452AD4" w:rsidRDefault="7823C623" w:rsidP="7823C623">
            <w:pPr>
              <w:keepNext/>
              <w:keepLines/>
              <w:spacing w:after="0"/>
              <w:jc w:val="right"/>
              <w:rPr>
                <w:b/>
                <w:bCs/>
                <w:sz w:val="22"/>
                <w:szCs w:val="22"/>
              </w:rPr>
            </w:pPr>
            <w:r w:rsidRPr="00452AD4">
              <w:rPr>
                <w:b/>
                <w:bCs/>
                <w:color w:val="000000" w:themeColor="text1"/>
                <w:sz w:val="22"/>
                <w:szCs w:val="22"/>
              </w:rPr>
              <w:t>898,3</w:t>
            </w:r>
          </w:p>
        </w:tc>
        <w:tc>
          <w:tcPr>
            <w:tcW w:w="850" w:type="dxa"/>
            <w:tcBorders>
              <w:top w:val="nil"/>
              <w:left w:val="nil"/>
              <w:bottom w:val="single" w:sz="8" w:space="0" w:color="auto"/>
              <w:right w:val="single" w:sz="8" w:space="0" w:color="auto"/>
            </w:tcBorders>
            <w:shd w:val="clear" w:color="auto" w:fill="auto"/>
            <w:noWrap/>
            <w:vAlign w:val="center"/>
          </w:tcPr>
          <w:p w14:paraId="6247B373" w14:textId="57DA795E" w:rsidR="005545CB" w:rsidRPr="00452AD4" w:rsidRDefault="7823C623" w:rsidP="7823C623">
            <w:pPr>
              <w:keepNext/>
              <w:keepLines/>
              <w:spacing w:after="0"/>
              <w:jc w:val="right"/>
              <w:rPr>
                <w:b/>
                <w:bCs/>
                <w:sz w:val="22"/>
                <w:szCs w:val="22"/>
              </w:rPr>
            </w:pPr>
            <w:r w:rsidRPr="00452AD4">
              <w:rPr>
                <w:b/>
                <w:bCs/>
                <w:color w:val="000000" w:themeColor="text1"/>
                <w:sz w:val="22"/>
                <w:szCs w:val="22"/>
              </w:rPr>
              <w:t>72,0</w:t>
            </w:r>
          </w:p>
        </w:tc>
        <w:tc>
          <w:tcPr>
            <w:tcW w:w="709" w:type="dxa"/>
            <w:tcBorders>
              <w:top w:val="nil"/>
              <w:left w:val="nil"/>
              <w:bottom w:val="single" w:sz="8" w:space="0" w:color="auto"/>
              <w:right w:val="single" w:sz="8" w:space="0" w:color="auto"/>
            </w:tcBorders>
            <w:shd w:val="clear" w:color="auto" w:fill="auto"/>
            <w:noWrap/>
            <w:vAlign w:val="center"/>
          </w:tcPr>
          <w:p w14:paraId="73BC1FD6" w14:textId="040DE4A6" w:rsidR="005545CB" w:rsidRPr="00452AD4" w:rsidRDefault="7823C623" w:rsidP="7823C623">
            <w:pPr>
              <w:keepNext/>
              <w:keepLines/>
              <w:spacing w:after="0"/>
              <w:jc w:val="right"/>
              <w:rPr>
                <w:b/>
                <w:bCs/>
                <w:sz w:val="22"/>
                <w:szCs w:val="22"/>
              </w:rPr>
            </w:pPr>
            <w:r w:rsidRPr="00452AD4">
              <w:rPr>
                <w:b/>
                <w:bCs/>
                <w:color w:val="000000" w:themeColor="text1"/>
                <w:sz w:val="22"/>
                <w:szCs w:val="22"/>
              </w:rPr>
              <w:t>108,7</w:t>
            </w:r>
          </w:p>
        </w:tc>
      </w:tr>
    </w:tbl>
    <w:p w14:paraId="2B1FCBE5" w14:textId="65B282B4" w:rsidR="4B7089C9" w:rsidRDefault="7823C623" w:rsidP="7823C623">
      <w:pPr>
        <w:spacing w:before="120"/>
      </w:pPr>
      <w:r w:rsidRPr="7823C623">
        <w:rPr>
          <w:color w:val="000000" w:themeColor="text1"/>
        </w:rPr>
        <w:t xml:space="preserve">Az </w:t>
      </w:r>
      <w:r w:rsidRPr="7823C623">
        <w:rPr>
          <w:b/>
          <w:bCs/>
          <w:color w:val="000000" w:themeColor="text1"/>
        </w:rPr>
        <w:t>Uniós programok kiadásai</w:t>
      </w:r>
      <w:r w:rsidRPr="7823C623">
        <w:rPr>
          <w:i/>
          <w:iCs/>
          <w:color w:val="000000" w:themeColor="text1"/>
        </w:rPr>
        <w:t xml:space="preserve"> </w:t>
      </w:r>
      <w:r w:rsidRPr="7823C623">
        <w:rPr>
          <w:color w:val="000000" w:themeColor="text1"/>
        </w:rPr>
        <w:t xml:space="preserve">mérlegsoron </w:t>
      </w:r>
      <w:r w:rsidRPr="7823C623">
        <w:rPr>
          <w:szCs w:val="26"/>
        </w:rPr>
        <w:t>2022. október végéig 2469,6 milliárd forint összegű kifizetés történt, amely a törvényi előirányzat (3001,2 milliárd forint) 82,3%-os teljesítését jelenti. A felmerült kiadások túlnyomó részét a Helyreállítási és Ellenállóképességi Eszköz (RRF), Széchenyi 2020, valamint a Széchenyi Terv Plusz programjai adták.</w:t>
      </w:r>
      <w:r w:rsidRPr="7823C623">
        <w:rPr>
          <w:color w:val="000000" w:themeColor="text1"/>
        </w:rPr>
        <w:t xml:space="preserve"> A legnagyobb összegű kifizetést teljesítő operatív programok az Integrált Közlekedésfejlesztési Operatív Program, a Gazdaságfejlesztés és Innovációs Operatív Program, valamint a Környezeti és Energiahatékonysági Operatív Program. A Széchenyi Terv Plusz programjai közül a Terület- és Településfejlesztési Operatív Program Plusz, a Gazdaságfejlesztés és Innovációs Operatív Program Plusz, valamint a Végrehajtás Operatív Program Plusz esetében történt kifizetés 2022. október végéig.</w:t>
      </w:r>
    </w:p>
    <w:p w14:paraId="21362C57" w14:textId="618693B0" w:rsidR="003C0565" w:rsidRPr="00AE23C3" w:rsidRDefault="7823C623" w:rsidP="7823C623">
      <w:pPr>
        <w:pStyle w:val="NormlWeb"/>
        <w:spacing w:before="0" w:beforeAutospacing="0" w:after="120" w:afterAutospacing="0"/>
        <w:jc w:val="both"/>
        <w:rPr>
          <w:sz w:val="26"/>
          <w:szCs w:val="26"/>
        </w:rPr>
      </w:pPr>
      <w:r w:rsidRPr="7823C623">
        <w:rPr>
          <w:sz w:val="26"/>
          <w:szCs w:val="26"/>
        </w:rPr>
        <w:t>Az </w:t>
      </w:r>
      <w:r w:rsidRPr="7823C623">
        <w:rPr>
          <w:b/>
          <w:bCs/>
          <w:sz w:val="26"/>
          <w:szCs w:val="26"/>
        </w:rPr>
        <w:t>állami vagyonnal kapcsolatos kiadások</w:t>
      </w:r>
      <w:r w:rsidRPr="7823C623">
        <w:rPr>
          <w:sz w:val="26"/>
          <w:szCs w:val="26"/>
        </w:rPr>
        <w:t> október végi összege 610,6 milliárd forint volt, amelynek összetételét az alábbi diagram mutatja be:</w:t>
      </w:r>
    </w:p>
    <w:p w14:paraId="4C29F5E2" w14:textId="348B4E4F" w:rsidR="000900E7" w:rsidRPr="00AE23C3" w:rsidRDefault="0049355D" w:rsidP="00000980">
      <w:pPr>
        <w:jc w:val="center"/>
        <w:rPr>
          <w:szCs w:val="26"/>
        </w:rPr>
      </w:pPr>
      <w:r w:rsidRPr="0049355D">
        <w:rPr>
          <w:noProof/>
          <w:szCs w:val="26"/>
        </w:rPr>
        <w:drawing>
          <wp:inline distT="0" distB="0" distL="0" distR="0" wp14:anchorId="0C27BB8C" wp14:editId="4FC455D8">
            <wp:extent cx="5451895" cy="3500221"/>
            <wp:effectExtent l="0" t="0" r="0" b="5080"/>
            <wp:docPr id="9" name="Kép 9" descr="Z:\Áht_gyors_moni\2022_10_okt\0_feljegyzés_monitoring\ábrák\___Vagyon_kiadá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Áht_gyors_moni\2022_10_okt\0_feljegyzés_monitoring\ábrák\___Vagyon_kiadáso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53882" cy="3501497"/>
                    </a:xfrm>
                    <a:prstGeom prst="rect">
                      <a:avLst/>
                    </a:prstGeom>
                    <a:noFill/>
                    <a:ln>
                      <a:noFill/>
                    </a:ln>
                  </pic:spPr>
                </pic:pic>
              </a:graphicData>
            </a:graphic>
          </wp:inline>
        </w:drawing>
      </w:r>
    </w:p>
    <w:p w14:paraId="521B473B" w14:textId="057F2A78" w:rsidR="7823C623" w:rsidRDefault="7823C623" w:rsidP="7823C623">
      <w:r w:rsidRPr="7823C623">
        <w:rPr>
          <w:color w:val="000000" w:themeColor="text1"/>
        </w:rPr>
        <w:lastRenderedPageBreak/>
        <w:t xml:space="preserve">A </w:t>
      </w:r>
      <w:r w:rsidRPr="7823C623">
        <w:rPr>
          <w:b/>
          <w:bCs/>
          <w:color w:val="000000" w:themeColor="text1"/>
        </w:rPr>
        <w:t>Hozzájárulás az EU költségvetéséhez</w:t>
      </w:r>
      <w:r w:rsidRPr="7823C623">
        <w:rPr>
          <w:color w:val="000000" w:themeColor="text1"/>
        </w:rPr>
        <w:t xml:space="preserve"> </w:t>
      </w:r>
      <w:r w:rsidRPr="7823C623">
        <w:rPr>
          <w:szCs w:val="26"/>
        </w:rPr>
        <w:t>mérlegsoron október végéig 485,6</w:t>
      </w:r>
      <w:r w:rsidR="00452AD4">
        <w:rPr>
          <w:szCs w:val="26"/>
        </w:rPr>
        <w:t> </w:t>
      </w:r>
      <w:r w:rsidRPr="7823C623">
        <w:rPr>
          <w:szCs w:val="26"/>
        </w:rPr>
        <w:t>milliárd forint kiadás teljesült, ami a törvényi előirányzat 86,0%-a. E hozzájárulás 33,1 milliárd forinttal haladja meg a 2021. év azonos időszakában teljesített kiadásokat.</w:t>
      </w:r>
    </w:p>
    <w:p w14:paraId="26B42264" w14:textId="7A7ACD62" w:rsidR="004B0490" w:rsidRPr="004B0490" w:rsidRDefault="7823C623" w:rsidP="004B0490">
      <w:r>
        <w:t>A</w:t>
      </w:r>
      <w:r w:rsidRPr="7823C623">
        <w:rPr>
          <w:b/>
          <w:bCs/>
        </w:rPr>
        <w:t xml:space="preserve"> Nemzeti Kutatási, Fejlesztési és Innovációs</w:t>
      </w:r>
      <w:r>
        <w:t xml:space="preserve"> </w:t>
      </w:r>
      <w:r w:rsidRPr="7823C623">
        <w:rPr>
          <w:b/>
          <w:bCs/>
        </w:rPr>
        <w:t>Alap</w:t>
      </w:r>
      <w:r>
        <w:t>ból (NKFI Alap) összesen 83,8 milliárd forin</w:t>
      </w:r>
      <w:r w:rsidR="0057017A">
        <w:t>t teljesült, ami 4,7 </w:t>
      </w:r>
      <w:r>
        <w:t xml:space="preserve">milliárd forinttal </w:t>
      </w:r>
      <w:r w:rsidR="0057017A">
        <w:t>alacsonyabb</w:t>
      </w:r>
      <w:r>
        <w:t xml:space="preserve"> kifizetést jelent a 2021. évi azonos időszaki teljesítéshez képest. Az NKFI Alap r</w:t>
      </w:r>
      <w:r w:rsidR="0057017A">
        <w:t>endelkezésére álló forrásokat 37</w:t>
      </w:r>
      <w:r>
        <w:t>,1 milliárd forint költségvetési támogatás egészítette ki.</w:t>
      </w:r>
    </w:p>
    <w:p w14:paraId="67981365" w14:textId="0B0F05A4" w:rsidR="004B0490" w:rsidRPr="004B0490" w:rsidRDefault="7823C623" w:rsidP="004B0490">
      <w:r>
        <w:t>A</w:t>
      </w:r>
      <w:r w:rsidRPr="7823C623">
        <w:rPr>
          <w:b/>
          <w:bCs/>
        </w:rPr>
        <w:t xml:space="preserve"> Gazdaság-újraindítási Foglalkoztatási Alap</w:t>
      </w:r>
      <w:r>
        <w:t xml:space="preserve"> (GFA) kiadásai estében a Start-mu</w:t>
      </w:r>
      <w:r w:rsidR="001540AC">
        <w:t>nkaprogramra eddig összesen 103,9</w:t>
      </w:r>
      <w:r>
        <w:t> mil</w:t>
      </w:r>
      <w:r w:rsidR="001540AC">
        <w:t>liárd forint teljesült, ami 22,5</w:t>
      </w:r>
      <w:r>
        <w:t> milliárd forinttal maradt el az előző évi értéktől. Az unió</w:t>
      </w:r>
      <w:r w:rsidR="001540AC">
        <w:t>s elő- és társfinanszírozásra 33</w:t>
      </w:r>
      <w:r>
        <w:t xml:space="preserve">,5 milliárd forintot fordítottak. </w:t>
      </w:r>
    </w:p>
    <w:p w14:paraId="502CE4F4" w14:textId="22C41807" w:rsidR="004B0490" w:rsidRPr="004B0490" w:rsidRDefault="7823C623" w:rsidP="004B0490">
      <w:r>
        <w:t>A</w:t>
      </w:r>
      <w:r w:rsidRPr="7823C623">
        <w:rPr>
          <w:b/>
          <w:bCs/>
        </w:rPr>
        <w:t xml:space="preserve"> Bethlen Gábor Alapból</w:t>
      </w:r>
      <w:r w:rsidR="001540AC">
        <w:t xml:space="preserve"> (BGA) összesen 35,3</w:t>
      </w:r>
      <w:r>
        <w:t> milliárd forint kiadás teljesült. Az alapból nyújtott támogatások a BGA irányítását ellátó Bizottság döntései alapján, ütemezetten kerültek kifizetésre.</w:t>
      </w:r>
    </w:p>
    <w:p w14:paraId="1C47A246" w14:textId="30F51864" w:rsidR="00BE3112" w:rsidRPr="00AE23C3" w:rsidRDefault="7823C623" w:rsidP="00E1562E">
      <w:r>
        <w:t xml:space="preserve">2022. október végéig a </w:t>
      </w:r>
      <w:r w:rsidRPr="7823C623">
        <w:rPr>
          <w:b/>
          <w:bCs/>
        </w:rPr>
        <w:t>nyugdíjkiadások</w:t>
      </w:r>
      <w:r>
        <w:t xml:space="preserve"> 3862,3 milliárd forintban teljesültek, ami 597,</w:t>
      </w:r>
      <w:r w:rsidR="002823BC">
        <w:t>3</w:t>
      </w:r>
      <w:r>
        <w:t> milliárd forinttal haladta meg az előző év azonos időszakának kiadásait.</w:t>
      </w:r>
    </w:p>
    <w:p w14:paraId="32E6A2AB" w14:textId="20E500BD" w:rsidR="00A86A5A" w:rsidRPr="00AE23C3" w:rsidRDefault="7823C623" w:rsidP="00E1562E">
      <w:r>
        <w:t>A jelentős, 18,3%-os kiadásnövekedést a 13. havi ellátások februári kifizetése, a tavalyi évben a magasabb inflációs hatás miatt két részletben végrehajtott 1,8%-os kiegészítő nyugdíjemelés idei évre áthúzódó hatása, az idén év elején végrehajtott 5,0%-os nyugdíjemelés és az idén júliusban végrehajtott további 3,9%-os inflációkövető kiegészítő nyugdíjemelés okozta.</w:t>
      </w:r>
    </w:p>
    <w:p w14:paraId="6C439923" w14:textId="5A3FF5BF" w:rsidR="003152AF" w:rsidRPr="00AE23C3" w:rsidRDefault="7823C623" w:rsidP="00E1562E">
      <w:r>
        <w:t>A kormány úgy döntött, hogy felgyorsítja a 13. havi nyugdíj teljes összegű visszaépítését és már 2022-ben biztosítja a jogosultaknak a négyheti ellátás összegét. A 13. havi nyugdíj (ellátás) összege 2022-től megegyezik a tárgyév január hónapjára a jogosultat megillető nyugellátás, nyugdíjszerű ellátások összegével. Októberig a 2,5 millió nyugdíjban és nyugdíjszerű ellátásban részesülő személy több mint 386 milliárd forint 13. havi ellátásban részesült, amiből a Nyugdíjbiztosítási Alap kiadása 347,6 milliárd forint volt.</w:t>
      </w:r>
    </w:p>
    <w:p w14:paraId="49F44359" w14:textId="6617F5CE" w:rsidR="00A86A5A" w:rsidRPr="00AE23C3" w:rsidRDefault="7823C623" w:rsidP="00E1562E">
      <w:r>
        <w:t>A 2022. év elején a Magyar Nemzeti Bank inflációs előrejelzésével összhangban, a költségvetési törvényben rögzített 3%-os nyugdíjemeléssel szemben 5%-os emelésről döntött a kormány, amit január hónapban végre is hajtottak. Az első félévi adatok alapján júliusban további 3,9%-os kiegészítő emelésre került sor. A kiegészítő emelés 2022.</w:t>
      </w:r>
      <w:r w:rsidR="003E3D83">
        <w:t> </w:t>
      </w:r>
      <w:r>
        <w:t>júliustól 2022.</w:t>
      </w:r>
      <w:bookmarkStart w:id="0" w:name="_GoBack"/>
      <w:bookmarkEnd w:id="0"/>
      <w:r>
        <w:t xml:space="preserve"> januárig visszamenőlegesen történt. Júliusban az emelt összegű ellátáson kívül januárig visszamenőleg az első hat hónapra járó különbözetet egy összegben kapták meg a nyugdíjasok, illetve más ellátásban részesülők, melynek a Nyugdíjbiztosítási Alapot érintő első félévi kiadásnövelő hatása 76,5 milliárd forint volt. A kiegészítő emelés a februárban folyósított 13. havi ellátás visszamenőleges emelésére is kiterjedt, ami 12,7 milliárd forinttal növelte az alap kiadásait.</w:t>
      </w:r>
    </w:p>
    <w:p w14:paraId="4142CEFB" w14:textId="5FEEADF5" w:rsidR="00675C61" w:rsidRPr="00AE23C3" w:rsidRDefault="0049355D" w:rsidP="006664D6">
      <w:pPr>
        <w:spacing w:before="120"/>
        <w:jc w:val="center"/>
      </w:pPr>
      <w:r w:rsidRPr="0049355D">
        <w:rPr>
          <w:noProof/>
        </w:rPr>
        <w:lastRenderedPageBreak/>
        <w:drawing>
          <wp:inline distT="0" distB="0" distL="0" distR="0" wp14:anchorId="0192AC31" wp14:editId="7451CA7F">
            <wp:extent cx="5940425" cy="2201480"/>
            <wp:effectExtent l="0" t="0" r="3175" b="8890"/>
            <wp:docPr id="10" name="Kép 10" descr="Z:\Áht_gyors_moni\2022_10_okt\0_feljegyzés_monitoring\ábrák\___nyugellatasi_kiada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Áht_gyors_moni\2022_10_okt\0_feljegyzés_monitoring\ábrák\___nyugellatasi_kiadasok.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2201480"/>
                    </a:xfrm>
                    <a:prstGeom prst="rect">
                      <a:avLst/>
                    </a:prstGeom>
                    <a:noFill/>
                    <a:ln>
                      <a:noFill/>
                    </a:ln>
                  </pic:spPr>
                </pic:pic>
              </a:graphicData>
            </a:graphic>
          </wp:inline>
        </w:drawing>
      </w:r>
    </w:p>
    <w:p w14:paraId="40249776" w14:textId="76197428" w:rsidR="0004471D" w:rsidRPr="00AE23C3" w:rsidRDefault="7823C623" w:rsidP="00F72F06">
      <w:r>
        <w:t xml:space="preserve">A nyugellátási kiadásokon belül a korbetöltött öregségi nyugellátások 9,4%-kal, a nők 40 éves jogosultsági idejével igénybe vehető korhatár alatti ellátások (nők40) pedig 19,7%-kal haladták meg a tavalyi év azonos időszakának kiadásait. </w:t>
      </w:r>
    </w:p>
    <w:p w14:paraId="3A88BB4E" w14:textId="6203F1E0" w:rsidR="00123710" w:rsidRPr="00AE23C3" w:rsidRDefault="7823C623" w:rsidP="00123710">
      <w:r>
        <w:t>A 2020. évben az öregségi nyugdíjkorhatár 64,5 évre emelkedett, így az 1956-ban születettek csak a 2020. év második felétől 2021. első félév végéig váltak jogosulttá öregségi nyugellátásra. Ennek következtében a korbetöltöttek létszáma 2021. második félévben jelentős csökkenésnek indult, a tendencia a 2022. év elején is tartott. Június hónaptól ismét folyamatosan növekszik az öregségi nyugdíjkorhatárt betöltők állományi létszáma, azonban a 2022. októberi korbetöltött létszám az előző év azonos időszakához képest még így is 26 460 fővel csökkent.</w:t>
      </w:r>
    </w:p>
    <w:p w14:paraId="70E1CBE9" w14:textId="37982815" w:rsidR="00710719" w:rsidRDefault="7823C623" w:rsidP="00F72F06">
      <w:r>
        <w:t>A nők kedvezményes nyugellátását a korhatáremelés nem érintette, ennek ellenére március hónaptól e kedvezményes ellátotti körbe tartozók létszáma hónapról hónapra folyamatosan csökken, a létszámuk idén októberre 1061 fővel csökkent tavaly októberhez képest.</w:t>
      </w:r>
    </w:p>
    <w:p w14:paraId="5997B39A" w14:textId="2158AB93" w:rsidR="00752668" w:rsidRPr="00AE23C3" w:rsidRDefault="7823C623" w:rsidP="00F72F06">
      <w:r>
        <w:t>2022. január 1-jétől a korbetöltött öregségi nyugdíjkorhatár egységesen 65 év, de 40 év jogszerző idővel továbbra is igényelhető a nők kedvezményes korhatár alatti öregségi nyugellátása.</w:t>
      </w:r>
    </w:p>
    <w:p w14:paraId="79FF04FF" w14:textId="58FAC0C5" w:rsidR="00324FF8" w:rsidRPr="00AE23C3" w:rsidRDefault="0049355D" w:rsidP="00000980">
      <w:pPr>
        <w:jc w:val="center"/>
      </w:pPr>
      <w:r w:rsidRPr="0049355D">
        <w:rPr>
          <w:noProof/>
        </w:rPr>
        <w:drawing>
          <wp:inline distT="0" distB="0" distL="0" distR="0" wp14:anchorId="507AC336" wp14:editId="62A4D988">
            <wp:extent cx="5581291" cy="3060694"/>
            <wp:effectExtent l="0" t="0" r="635" b="6985"/>
            <wp:docPr id="11" name="Kép 11" descr="Z:\Áht_gyors_moni\2022_10_okt\0_feljegyzés_monitoring\ábrák\___oregsegi_nyugdij_letsz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Áht_gyors_moni\2022_10_okt\0_feljegyzés_monitoring\ábrák\___oregsegi_nyugdij_letsza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6126" cy="3063346"/>
                    </a:xfrm>
                    <a:prstGeom prst="rect">
                      <a:avLst/>
                    </a:prstGeom>
                    <a:noFill/>
                    <a:ln>
                      <a:noFill/>
                    </a:ln>
                  </pic:spPr>
                </pic:pic>
              </a:graphicData>
            </a:graphic>
          </wp:inline>
        </w:drawing>
      </w:r>
    </w:p>
    <w:p w14:paraId="1C78E577" w14:textId="43AFF2D4" w:rsidR="00E7293F" w:rsidRPr="00AE23C3" w:rsidRDefault="7823C623" w:rsidP="00D93DBE">
      <w:r>
        <w:lastRenderedPageBreak/>
        <w:t xml:space="preserve">A korhatáremelés </w:t>
      </w:r>
      <w:proofErr w:type="spellStart"/>
      <w:r>
        <w:t>lezárultával</w:t>
      </w:r>
      <w:proofErr w:type="spellEnd"/>
      <w:r>
        <w:t xml:space="preserve"> 2022-ben ismét megindult az új ellátások megállapítása, az öregségi nyugellátásra jogosultak állományi létszáma a második félévben fokozatosan növekszik, a nők40 jogcímen jogosultak esetében viszont, tekintve, hogy a korhatárt betöltők folyamatosan kerülnek át a korbetöltött öregségi </w:t>
      </w:r>
      <w:proofErr w:type="spellStart"/>
      <w:r>
        <w:t>nyugellátottak</w:t>
      </w:r>
      <w:proofErr w:type="spellEnd"/>
      <w:r>
        <w:t xml:space="preserve"> közé, folyamatos létszámcsökkenés tapasztalható.</w:t>
      </w:r>
    </w:p>
    <w:p w14:paraId="24C239F1" w14:textId="77777777" w:rsidR="0080719D" w:rsidRDefault="7823C623" w:rsidP="00D93DBE">
      <w:r>
        <w:t xml:space="preserve">Az </w:t>
      </w:r>
      <w:r w:rsidRPr="7823C623">
        <w:rPr>
          <w:b/>
          <w:bCs/>
        </w:rPr>
        <w:t>Egészségbiztosítási Alap kiadásainak</w:t>
      </w:r>
      <w:r>
        <w:t xml:space="preserve"> összetételét a következő ábra mutatja be:</w:t>
      </w:r>
    </w:p>
    <w:p w14:paraId="254C781B" w14:textId="4BF253D1" w:rsidR="00261DCE" w:rsidRPr="00AE23C3" w:rsidRDefault="0049355D" w:rsidP="00000980">
      <w:pPr>
        <w:jc w:val="center"/>
      </w:pPr>
      <w:r w:rsidRPr="0049355D">
        <w:rPr>
          <w:noProof/>
        </w:rPr>
        <w:drawing>
          <wp:inline distT="0" distB="0" distL="0" distR="0" wp14:anchorId="6ED90ED6" wp14:editId="7D34C997">
            <wp:extent cx="5940425" cy="2348133"/>
            <wp:effectExtent l="0" t="0" r="3175" b="0"/>
            <wp:docPr id="12" name="Kép 12" descr="Z:\Áht_gyors_moni\2022_10_okt\0_feljegyzés_monitoring\ábrák\___EAlap_kiadás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Áht_gyors_moni\2022_10_okt\0_feljegyzés_monitoring\ábrák\___EAlap_kiadásai.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2348133"/>
                    </a:xfrm>
                    <a:prstGeom prst="rect">
                      <a:avLst/>
                    </a:prstGeom>
                    <a:noFill/>
                    <a:ln>
                      <a:noFill/>
                    </a:ln>
                  </pic:spPr>
                </pic:pic>
              </a:graphicData>
            </a:graphic>
          </wp:inline>
        </w:drawing>
      </w:r>
    </w:p>
    <w:p w14:paraId="55C1532E" w14:textId="241D0AC0" w:rsidR="001C7D34" w:rsidRPr="00AE23C3" w:rsidRDefault="001C7D34" w:rsidP="00D93DBE"/>
    <w:p w14:paraId="6AD120FE" w14:textId="088191E4" w:rsidR="511CC280" w:rsidRDefault="7823C623" w:rsidP="00550AF1">
      <w:pPr>
        <w:widowControl w:val="0"/>
      </w:pPr>
      <w:r>
        <w:t>Az Egészségbiztosítási Alap</w:t>
      </w:r>
      <w:r w:rsidRPr="7823C623">
        <w:rPr>
          <w:b/>
          <w:bCs/>
        </w:rPr>
        <w:t xml:space="preserve"> </w:t>
      </w:r>
      <w:r>
        <w:t xml:space="preserve">összes kiadásának 25,7%-át a </w:t>
      </w:r>
      <w:r w:rsidRPr="7823C623">
        <w:rPr>
          <w:b/>
          <w:bCs/>
        </w:rPr>
        <w:t>pénzbeli ellátásokra</w:t>
      </w:r>
      <w:r>
        <w:t xml:space="preserve"> fordított összeg adta. Az ellátások részletes bemutatását a következő táblázat tartalmazza:</w:t>
      </w:r>
    </w:p>
    <w:p w14:paraId="65FD4380" w14:textId="772FFEE0" w:rsidR="007035AA" w:rsidRPr="007D7393" w:rsidRDefault="7823C623" w:rsidP="7823C623">
      <w:pPr>
        <w:keepNext/>
        <w:keepLines/>
        <w:spacing w:before="120"/>
        <w:jc w:val="center"/>
        <w:rPr>
          <w:b/>
          <w:bCs/>
          <w:sz w:val="22"/>
          <w:szCs w:val="22"/>
        </w:rPr>
      </w:pPr>
      <w:r w:rsidRPr="7823C623">
        <w:rPr>
          <w:b/>
          <w:bCs/>
          <w:sz w:val="22"/>
          <w:szCs w:val="22"/>
        </w:rPr>
        <w:t>Az Egészségbiztosítási Alap pénzbeli ellátásokra fordított kiadásainak alakulása (milliárd forint)</w:t>
      </w:r>
    </w:p>
    <w:tbl>
      <w:tblPr>
        <w:tblpPr w:leftFromText="141" w:rightFromText="141" w:vertAnchor="text" w:tblpXSpec="center" w:tblpY="1"/>
        <w:tblOverlap w:val="never"/>
        <w:tblW w:w="8718" w:type="dxa"/>
        <w:tblLayout w:type="fixed"/>
        <w:tblCellMar>
          <w:left w:w="70" w:type="dxa"/>
          <w:right w:w="70" w:type="dxa"/>
        </w:tblCellMar>
        <w:tblLook w:val="04A0" w:firstRow="1" w:lastRow="0" w:firstColumn="1" w:lastColumn="0" w:noHBand="0" w:noVBand="1"/>
      </w:tblPr>
      <w:tblGrid>
        <w:gridCol w:w="4179"/>
        <w:gridCol w:w="1134"/>
        <w:gridCol w:w="1134"/>
        <w:gridCol w:w="1137"/>
        <w:gridCol w:w="1134"/>
      </w:tblGrid>
      <w:tr w:rsidR="00AE23C3" w:rsidRPr="007D7393" w14:paraId="49990F57" w14:textId="77777777" w:rsidTr="7823C623">
        <w:trPr>
          <w:trHeight w:val="283"/>
        </w:trPr>
        <w:tc>
          <w:tcPr>
            <w:tcW w:w="4179"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6657E9BF" w14:textId="77777777" w:rsidR="007A0A81" w:rsidRPr="007D7393" w:rsidRDefault="7823C623" w:rsidP="7823C623">
            <w:pPr>
              <w:keepNext/>
              <w:keepLines/>
              <w:spacing w:after="0"/>
              <w:jc w:val="center"/>
              <w:rPr>
                <w:b/>
                <w:bCs/>
                <w:sz w:val="22"/>
                <w:szCs w:val="22"/>
              </w:rPr>
            </w:pPr>
            <w:r w:rsidRPr="7823C623">
              <w:rPr>
                <w:b/>
                <w:bCs/>
                <w:sz w:val="22"/>
                <w:szCs w:val="22"/>
              </w:rPr>
              <w:t>Megnevezés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AF2EB5" w14:textId="60734F6D" w:rsidR="007A0A81" w:rsidRPr="007D7393" w:rsidRDefault="7823C623" w:rsidP="7823C623">
            <w:pPr>
              <w:keepNext/>
              <w:keepLines/>
              <w:spacing w:after="0"/>
              <w:jc w:val="center"/>
              <w:rPr>
                <w:b/>
                <w:bCs/>
                <w:sz w:val="22"/>
                <w:szCs w:val="22"/>
              </w:rPr>
            </w:pPr>
            <w:r w:rsidRPr="7823C623">
              <w:rPr>
                <w:b/>
                <w:bCs/>
                <w:sz w:val="22"/>
                <w:szCs w:val="22"/>
              </w:rPr>
              <w:t xml:space="preserve">2021. </w:t>
            </w:r>
            <w:r w:rsidR="69871672">
              <w:br/>
            </w:r>
            <w:r w:rsidRPr="7823C623">
              <w:rPr>
                <w:b/>
                <w:bCs/>
                <w:sz w:val="22"/>
                <w:szCs w:val="22"/>
              </w:rPr>
              <w:t>I-X. hó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9FCC4A" w14:textId="4D7F6D2D" w:rsidR="007A0A81" w:rsidRPr="007D7393" w:rsidRDefault="7823C623" w:rsidP="7823C623">
            <w:pPr>
              <w:keepNext/>
              <w:keepLines/>
              <w:spacing w:after="0"/>
              <w:jc w:val="center"/>
              <w:rPr>
                <w:b/>
                <w:bCs/>
                <w:sz w:val="22"/>
                <w:szCs w:val="22"/>
              </w:rPr>
            </w:pPr>
            <w:r w:rsidRPr="7823C623">
              <w:rPr>
                <w:b/>
                <w:bCs/>
                <w:sz w:val="22"/>
                <w:szCs w:val="22"/>
              </w:rPr>
              <w:t>2022.</w:t>
            </w:r>
            <w:r w:rsidR="69871672">
              <w:br/>
            </w:r>
            <w:r w:rsidRPr="7823C623">
              <w:rPr>
                <w:b/>
                <w:bCs/>
                <w:sz w:val="22"/>
                <w:szCs w:val="22"/>
              </w:rPr>
              <w:t>I-X. hó</w:t>
            </w:r>
          </w:p>
        </w:tc>
        <w:tc>
          <w:tcPr>
            <w:tcW w:w="22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6D1A5C" w14:textId="77777777" w:rsidR="007A0A81" w:rsidRPr="007D7393" w:rsidRDefault="7823C623" w:rsidP="7823C623">
            <w:pPr>
              <w:keepNext/>
              <w:keepLines/>
              <w:spacing w:after="0"/>
              <w:jc w:val="center"/>
              <w:rPr>
                <w:b/>
                <w:bCs/>
                <w:sz w:val="22"/>
                <w:szCs w:val="22"/>
              </w:rPr>
            </w:pPr>
            <w:r w:rsidRPr="7823C623">
              <w:rPr>
                <w:b/>
                <w:bCs/>
                <w:sz w:val="22"/>
                <w:szCs w:val="22"/>
              </w:rPr>
              <w:t>Eltérés</w:t>
            </w:r>
          </w:p>
        </w:tc>
      </w:tr>
      <w:tr w:rsidR="00AE23C3" w:rsidRPr="007D7393" w14:paraId="31743F96" w14:textId="77777777" w:rsidTr="7823C623">
        <w:trPr>
          <w:trHeight w:val="283"/>
        </w:trPr>
        <w:tc>
          <w:tcPr>
            <w:tcW w:w="4179" w:type="dxa"/>
            <w:vMerge/>
            <w:tcBorders>
              <w:top w:val="single" w:sz="4" w:space="0" w:color="auto"/>
              <w:left w:val="single" w:sz="4" w:space="0" w:color="auto"/>
              <w:bottom w:val="single" w:sz="4" w:space="0" w:color="000000"/>
              <w:right w:val="single" w:sz="4" w:space="0" w:color="auto"/>
            </w:tcBorders>
            <w:vAlign w:val="center"/>
            <w:hideMark/>
          </w:tcPr>
          <w:p w14:paraId="0FEE673B" w14:textId="77777777" w:rsidR="007A0A81" w:rsidRPr="007D7393" w:rsidRDefault="007A0A81" w:rsidP="00B71F08">
            <w:pPr>
              <w:keepNext/>
              <w:keepLines/>
              <w:spacing w:after="0"/>
              <w:jc w:val="left"/>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FB081E" w14:textId="77777777" w:rsidR="007A0A81" w:rsidRPr="007D7393" w:rsidRDefault="007A0A81" w:rsidP="00B71F08">
            <w:pPr>
              <w:keepNext/>
              <w:keepLines/>
              <w:spacing w:after="0"/>
              <w:jc w:val="center"/>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4733DE5" w14:textId="77777777" w:rsidR="007A0A81" w:rsidRPr="007D7393" w:rsidRDefault="007A0A81" w:rsidP="00B71F08">
            <w:pPr>
              <w:keepNext/>
              <w:keepLines/>
              <w:spacing w:after="0"/>
              <w:jc w:val="center"/>
              <w:rPr>
                <w:b/>
                <w:bCs/>
                <w:sz w:val="22"/>
                <w:szCs w:val="22"/>
              </w:rPr>
            </w:pPr>
          </w:p>
        </w:tc>
        <w:tc>
          <w:tcPr>
            <w:tcW w:w="1137" w:type="dxa"/>
            <w:tcBorders>
              <w:top w:val="single" w:sz="4" w:space="0" w:color="auto"/>
              <w:left w:val="nil"/>
              <w:bottom w:val="single" w:sz="4" w:space="0" w:color="auto"/>
              <w:right w:val="single" w:sz="4" w:space="0" w:color="auto"/>
            </w:tcBorders>
            <w:shd w:val="clear" w:color="auto" w:fill="auto"/>
            <w:noWrap/>
            <w:vAlign w:val="center"/>
            <w:hideMark/>
          </w:tcPr>
          <w:p w14:paraId="541A293F" w14:textId="77777777" w:rsidR="007A0A81" w:rsidRPr="007D7393" w:rsidRDefault="7823C623" w:rsidP="7823C623">
            <w:pPr>
              <w:keepNext/>
              <w:keepLines/>
              <w:spacing w:after="0"/>
              <w:jc w:val="center"/>
              <w:rPr>
                <w:b/>
                <w:bCs/>
                <w:sz w:val="22"/>
                <w:szCs w:val="22"/>
              </w:rPr>
            </w:pPr>
            <w:r w:rsidRPr="7823C623">
              <w:rPr>
                <w:b/>
                <w:bCs/>
                <w:sz w:val="22"/>
                <w:szCs w:val="22"/>
              </w:rPr>
              <w:t>Mrd Ft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AD326D" w14:textId="77777777" w:rsidR="007A0A81" w:rsidRPr="007D7393" w:rsidRDefault="7823C623" w:rsidP="7823C623">
            <w:pPr>
              <w:keepNext/>
              <w:keepLines/>
              <w:spacing w:after="0"/>
              <w:jc w:val="center"/>
              <w:rPr>
                <w:b/>
                <w:bCs/>
                <w:sz w:val="22"/>
                <w:szCs w:val="22"/>
              </w:rPr>
            </w:pPr>
            <w:r w:rsidRPr="7823C623">
              <w:rPr>
                <w:b/>
                <w:bCs/>
                <w:sz w:val="22"/>
                <w:szCs w:val="22"/>
              </w:rPr>
              <w:t>%</w:t>
            </w:r>
          </w:p>
        </w:tc>
      </w:tr>
      <w:tr w:rsidR="00AE23C3" w:rsidRPr="007D7393" w14:paraId="6113CEE5" w14:textId="77777777" w:rsidTr="7823C623">
        <w:trPr>
          <w:trHeight w:val="283"/>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53B83BFA" w14:textId="77777777" w:rsidR="00FB18A4" w:rsidRPr="007D7393" w:rsidRDefault="7823C623" w:rsidP="7823C623">
            <w:pPr>
              <w:keepNext/>
              <w:keepLines/>
              <w:spacing w:after="0"/>
              <w:jc w:val="left"/>
              <w:rPr>
                <w:b/>
                <w:bCs/>
                <w:sz w:val="22"/>
                <w:szCs w:val="22"/>
              </w:rPr>
            </w:pPr>
            <w:r w:rsidRPr="7823C623">
              <w:rPr>
                <w:b/>
                <w:bCs/>
                <w:sz w:val="22"/>
                <w:szCs w:val="22"/>
              </w:rPr>
              <w:t>Pénzbeli ellátások</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E1C188" w14:textId="7A947AC8" w:rsidR="00FB18A4" w:rsidRPr="007D7393" w:rsidRDefault="7823C623" w:rsidP="7823C623">
            <w:pPr>
              <w:keepNext/>
              <w:keepLines/>
              <w:spacing w:after="0" w:line="259" w:lineRule="auto"/>
              <w:jc w:val="right"/>
              <w:rPr>
                <w:b/>
                <w:bCs/>
                <w:sz w:val="22"/>
                <w:szCs w:val="22"/>
              </w:rPr>
            </w:pPr>
            <w:r w:rsidRPr="7823C623">
              <w:rPr>
                <w:b/>
                <w:bCs/>
                <w:sz w:val="22"/>
                <w:szCs w:val="22"/>
              </w:rPr>
              <w:t>661,9</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CA64D6" w14:textId="07FA96E2" w:rsidR="00FB18A4" w:rsidRPr="007D7393" w:rsidRDefault="7823C623" w:rsidP="7823C623">
            <w:pPr>
              <w:keepNext/>
              <w:keepLines/>
              <w:spacing w:after="0" w:line="259" w:lineRule="auto"/>
              <w:jc w:val="right"/>
              <w:rPr>
                <w:b/>
                <w:bCs/>
                <w:sz w:val="22"/>
                <w:szCs w:val="22"/>
              </w:rPr>
            </w:pPr>
            <w:r w:rsidRPr="7823C623">
              <w:rPr>
                <w:b/>
                <w:bCs/>
                <w:sz w:val="22"/>
                <w:szCs w:val="22"/>
              </w:rPr>
              <w:t>786,3</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478B24D5" w14:textId="3E5F9471" w:rsidR="00FB18A4" w:rsidRPr="007D7393" w:rsidRDefault="7823C623" w:rsidP="7823C623">
            <w:pPr>
              <w:keepNext/>
              <w:keepLines/>
              <w:spacing w:after="0" w:line="259" w:lineRule="auto"/>
              <w:jc w:val="right"/>
              <w:rPr>
                <w:b/>
                <w:bCs/>
                <w:sz w:val="22"/>
                <w:szCs w:val="22"/>
              </w:rPr>
            </w:pPr>
            <w:r w:rsidRPr="7823C623">
              <w:rPr>
                <w:b/>
                <w:bCs/>
                <w:sz w:val="22"/>
                <w:szCs w:val="22"/>
              </w:rPr>
              <w:t>124,4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10D6F8" w14:textId="62BEBD48" w:rsidR="00FB18A4" w:rsidRPr="007D7393" w:rsidRDefault="7823C623" w:rsidP="7823C623">
            <w:pPr>
              <w:keepNext/>
              <w:keepLines/>
              <w:spacing w:after="0" w:line="259" w:lineRule="auto"/>
              <w:jc w:val="right"/>
              <w:rPr>
                <w:b/>
                <w:bCs/>
                <w:sz w:val="22"/>
                <w:szCs w:val="22"/>
              </w:rPr>
            </w:pPr>
            <w:r w:rsidRPr="7823C623">
              <w:rPr>
                <w:b/>
                <w:bCs/>
                <w:sz w:val="22"/>
                <w:szCs w:val="22"/>
              </w:rPr>
              <w:t>118,8</w:t>
            </w:r>
          </w:p>
        </w:tc>
      </w:tr>
      <w:tr w:rsidR="00AE23C3" w:rsidRPr="007D7393" w14:paraId="16840362" w14:textId="77777777" w:rsidTr="7823C623">
        <w:trPr>
          <w:trHeight w:val="283"/>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4FF5091F" w14:textId="77777777" w:rsidR="009B39F5" w:rsidRPr="007D7393" w:rsidRDefault="7823C623" w:rsidP="7823C623">
            <w:pPr>
              <w:keepNext/>
              <w:keepLines/>
              <w:spacing w:after="0"/>
              <w:ind w:firstLine="285"/>
              <w:jc w:val="left"/>
              <w:rPr>
                <w:i/>
                <w:iCs/>
                <w:sz w:val="22"/>
                <w:szCs w:val="22"/>
              </w:rPr>
            </w:pPr>
            <w:r w:rsidRPr="7823C623">
              <w:rPr>
                <w:i/>
                <w:iCs/>
                <w:sz w:val="22"/>
                <w:szCs w:val="22"/>
              </w:rPr>
              <w:t>Ebből:</w:t>
            </w:r>
          </w:p>
        </w:tc>
        <w:tc>
          <w:tcPr>
            <w:tcW w:w="4539" w:type="dxa"/>
            <w:gridSpan w:val="4"/>
            <w:tcBorders>
              <w:top w:val="single" w:sz="4" w:space="0" w:color="auto"/>
              <w:left w:val="nil"/>
              <w:bottom w:val="single" w:sz="4" w:space="0" w:color="auto"/>
              <w:right w:val="single" w:sz="4" w:space="0" w:color="auto"/>
            </w:tcBorders>
            <w:shd w:val="clear" w:color="auto" w:fill="auto"/>
            <w:vAlign w:val="center"/>
          </w:tcPr>
          <w:p w14:paraId="2B9F3A15" w14:textId="08599DB8" w:rsidR="009B39F5" w:rsidRPr="007D7393" w:rsidRDefault="009B39F5" w:rsidP="00B71F08">
            <w:pPr>
              <w:keepNext/>
              <w:keepLines/>
              <w:spacing w:after="0"/>
              <w:jc w:val="right"/>
              <w:rPr>
                <w:sz w:val="22"/>
                <w:szCs w:val="22"/>
              </w:rPr>
            </w:pPr>
          </w:p>
        </w:tc>
      </w:tr>
      <w:tr w:rsidR="00AE23C3" w:rsidRPr="007D7393" w14:paraId="7D052013" w14:textId="77777777" w:rsidTr="004F0620">
        <w:trPr>
          <w:trHeight w:val="283"/>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61829294" w14:textId="77777777" w:rsidR="001372B9" w:rsidRPr="007D7393" w:rsidRDefault="7823C623" w:rsidP="7823C623">
            <w:pPr>
              <w:keepNext/>
              <w:keepLines/>
              <w:spacing w:after="0"/>
              <w:ind w:firstLineChars="284" w:firstLine="625"/>
              <w:jc w:val="left"/>
              <w:rPr>
                <w:i/>
                <w:iCs/>
                <w:sz w:val="22"/>
                <w:szCs w:val="22"/>
              </w:rPr>
            </w:pPr>
            <w:r w:rsidRPr="7823C623">
              <w:rPr>
                <w:i/>
                <w:iCs/>
                <w:sz w:val="22"/>
                <w:szCs w:val="22"/>
              </w:rPr>
              <w:t>Rokkantsági, rehabilitációs ellátások</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3E18A5" w14:textId="784F3993" w:rsidR="001372B9" w:rsidRPr="007D7393" w:rsidRDefault="7823C623" w:rsidP="004F0620">
            <w:pPr>
              <w:keepNext/>
              <w:keepLines/>
              <w:spacing w:after="0"/>
              <w:jc w:val="right"/>
              <w:rPr>
                <w:sz w:val="22"/>
                <w:szCs w:val="22"/>
              </w:rPr>
            </w:pPr>
            <w:r w:rsidRPr="7823C623">
              <w:rPr>
                <w:sz w:val="22"/>
                <w:szCs w:val="22"/>
              </w:rPr>
              <w:t>234,1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446CD4" w14:textId="2C639CE8" w:rsidR="001372B9" w:rsidRPr="007D7393" w:rsidRDefault="7823C623" w:rsidP="004F0620">
            <w:pPr>
              <w:keepNext/>
              <w:keepLines/>
              <w:spacing w:after="0" w:line="259" w:lineRule="auto"/>
              <w:jc w:val="right"/>
              <w:rPr>
                <w:sz w:val="22"/>
                <w:szCs w:val="22"/>
              </w:rPr>
            </w:pPr>
            <w:r w:rsidRPr="7823C623">
              <w:rPr>
                <w:sz w:val="22"/>
                <w:szCs w:val="22"/>
              </w:rPr>
              <w:t>274,3</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720FB04B" w14:textId="5744B0B3" w:rsidR="001372B9" w:rsidRPr="007D7393" w:rsidRDefault="7823C623" w:rsidP="004F0620">
            <w:pPr>
              <w:keepNext/>
              <w:keepLines/>
              <w:spacing w:after="0" w:line="259" w:lineRule="auto"/>
              <w:jc w:val="right"/>
              <w:rPr>
                <w:sz w:val="22"/>
                <w:szCs w:val="22"/>
              </w:rPr>
            </w:pPr>
            <w:r w:rsidRPr="7823C623">
              <w:rPr>
                <w:sz w:val="22"/>
                <w:szCs w:val="22"/>
              </w:rPr>
              <w:t>40,2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EB1EB0" w14:textId="07CEE7CA" w:rsidR="001372B9" w:rsidRPr="007D7393" w:rsidRDefault="7823C623" w:rsidP="004F0620">
            <w:pPr>
              <w:keepNext/>
              <w:keepLines/>
              <w:spacing w:after="0" w:line="259" w:lineRule="auto"/>
              <w:jc w:val="right"/>
              <w:rPr>
                <w:sz w:val="22"/>
                <w:szCs w:val="22"/>
              </w:rPr>
            </w:pPr>
            <w:r w:rsidRPr="7823C623">
              <w:rPr>
                <w:sz w:val="22"/>
                <w:szCs w:val="22"/>
              </w:rPr>
              <w:t>117,2</w:t>
            </w:r>
          </w:p>
        </w:tc>
      </w:tr>
      <w:tr w:rsidR="00AE23C3" w:rsidRPr="007D7393" w14:paraId="1B1C820A" w14:textId="77777777" w:rsidTr="004F0620">
        <w:trPr>
          <w:trHeight w:val="283"/>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48AC6673" w14:textId="77777777" w:rsidR="001372B9" w:rsidRPr="007D7393" w:rsidRDefault="7823C623" w:rsidP="7823C623">
            <w:pPr>
              <w:keepNext/>
              <w:keepLines/>
              <w:spacing w:after="0"/>
              <w:ind w:firstLineChars="284" w:firstLine="625"/>
              <w:jc w:val="left"/>
              <w:rPr>
                <w:i/>
                <w:iCs/>
                <w:sz w:val="22"/>
                <w:szCs w:val="22"/>
              </w:rPr>
            </w:pPr>
            <w:r w:rsidRPr="7823C623">
              <w:rPr>
                <w:i/>
                <w:iCs/>
                <w:sz w:val="22"/>
                <w:szCs w:val="22"/>
              </w:rPr>
              <w:t>Gyermekgondozási díj</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8E312D6" w14:textId="38289B39" w:rsidR="001372B9" w:rsidRPr="007D7393" w:rsidRDefault="7823C623" w:rsidP="004F0620">
            <w:pPr>
              <w:keepNext/>
              <w:keepLines/>
              <w:spacing w:after="0" w:line="259" w:lineRule="auto"/>
              <w:jc w:val="right"/>
              <w:rPr>
                <w:sz w:val="22"/>
                <w:szCs w:val="22"/>
              </w:rPr>
            </w:pPr>
            <w:r w:rsidRPr="7823C623">
              <w:rPr>
                <w:sz w:val="22"/>
                <w:szCs w:val="22"/>
              </w:rPr>
              <w:t>205,9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56530A" w14:textId="2ACCB4E7" w:rsidR="001372B9" w:rsidRPr="007D7393" w:rsidRDefault="7823C623" w:rsidP="004F0620">
            <w:pPr>
              <w:keepNext/>
              <w:keepLines/>
              <w:spacing w:after="0" w:line="259" w:lineRule="auto"/>
              <w:jc w:val="right"/>
              <w:rPr>
                <w:sz w:val="22"/>
                <w:szCs w:val="22"/>
              </w:rPr>
            </w:pPr>
            <w:r w:rsidRPr="7823C623">
              <w:rPr>
                <w:sz w:val="22"/>
                <w:szCs w:val="22"/>
              </w:rPr>
              <w:t>239,2</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3CBC826C" w14:textId="3A56DD1C" w:rsidR="001372B9" w:rsidRPr="007D7393" w:rsidRDefault="7823C623" w:rsidP="004F0620">
            <w:pPr>
              <w:keepNext/>
              <w:keepLines/>
              <w:spacing w:after="0" w:line="259" w:lineRule="auto"/>
              <w:jc w:val="right"/>
              <w:rPr>
                <w:sz w:val="22"/>
                <w:szCs w:val="22"/>
              </w:rPr>
            </w:pPr>
            <w:r w:rsidRPr="7823C623">
              <w:rPr>
                <w:sz w:val="22"/>
                <w:szCs w:val="22"/>
              </w:rPr>
              <w:t>33,3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E43045" w14:textId="2F11C398" w:rsidR="001372B9" w:rsidRPr="007D7393" w:rsidRDefault="7823C623" w:rsidP="004F0620">
            <w:pPr>
              <w:keepNext/>
              <w:keepLines/>
              <w:spacing w:after="0" w:line="259" w:lineRule="auto"/>
              <w:jc w:val="right"/>
              <w:rPr>
                <w:sz w:val="22"/>
                <w:szCs w:val="22"/>
              </w:rPr>
            </w:pPr>
            <w:r w:rsidRPr="7823C623">
              <w:rPr>
                <w:sz w:val="22"/>
                <w:szCs w:val="22"/>
              </w:rPr>
              <w:t>116,2</w:t>
            </w:r>
          </w:p>
        </w:tc>
      </w:tr>
      <w:tr w:rsidR="00AE23C3" w:rsidRPr="007D7393" w14:paraId="7780DF35" w14:textId="77777777" w:rsidTr="004F0620">
        <w:trPr>
          <w:trHeight w:val="283"/>
        </w:trPr>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56B3D" w14:textId="77777777" w:rsidR="001372B9" w:rsidRPr="007D7393" w:rsidRDefault="7823C623" w:rsidP="7823C623">
            <w:pPr>
              <w:keepNext/>
              <w:keepLines/>
              <w:spacing w:after="0"/>
              <w:ind w:firstLineChars="284" w:firstLine="625"/>
              <w:jc w:val="left"/>
              <w:rPr>
                <w:i/>
                <w:iCs/>
                <w:sz w:val="22"/>
                <w:szCs w:val="22"/>
              </w:rPr>
            </w:pPr>
            <w:r w:rsidRPr="7823C623">
              <w:rPr>
                <w:i/>
                <w:iCs/>
                <w:sz w:val="22"/>
                <w:szCs w:val="22"/>
              </w:rPr>
              <w:t>Táppénz</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DFC013" w14:textId="61485D34" w:rsidR="001372B9" w:rsidRPr="007D7393" w:rsidRDefault="7823C623" w:rsidP="004F0620">
            <w:pPr>
              <w:keepNext/>
              <w:keepLines/>
              <w:spacing w:after="0" w:line="259" w:lineRule="auto"/>
              <w:jc w:val="right"/>
              <w:rPr>
                <w:sz w:val="22"/>
                <w:szCs w:val="22"/>
              </w:rPr>
            </w:pPr>
            <w:r w:rsidRPr="7823C623">
              <w:rPr>
                <w:sz w:val="22"/>
                <w:szCs w:val="22"/>
              </w:rPr>
              <w:t>137,1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D88C97" w14:textId="64E63D9C" w:rsidR="001372B9" w:rsidRPr="007D7393" w:rsidRDefault="7823C623" w:rsidP="004F0620">
            <w:pPr>
              <w:keepNext/>
              <w:keepLines/>
              <w:spacing w:after="0" w:line="259" w:lineRule="auto"/>
              <w:jc w:val="right"/>
              <w:rPr>
                <w:sz w:val="22"/>
                <w:szCs w:val="22"/>
              </w:rPr>
            </w:pPr>
            <w:r w:rsidRPr="7823C623">
              <w:rPr>
                <w:sz w:val="22"/>
                <w:szCs w:val="22"/>
              </w:rPr>
              <w:t>157,1</w:t>
            </w:r>
          </w:p>
        </w:tc>
        <w:tc>
          <w:tcPr>
            <w:tcW w:w="1137" w:type="dxa"/>
            <w:tcBorders>
              <w:top w:val="single" w:sz="4" w:space="0" w:color="auto"/>
              <w:left w:val="nil"/>
              <w:bottom w:val="single" w:sz="4" w:space="0" w:color="auto"/>
              <w:right w:val="single" w:sz="4" w:space="0" w:color="auto"/>
            </w:tcBorders>
            <w:shd w:val="clear" w:color="auto" w:fill="auto"/>
            <w:noWrap/>
            <w:vAlign w:val="center"/>
          </w:tcPr>
          <w:p w14:paraId="6D966813" w14:textId="64A4224B" w:rsidR="001372B9" w:rsidRPr="007D7393" w:rsidRDefault="7823C623" w:rsidP="004F0620">
            <w:pPr>
              <w:keepNext/>
              <w:keepLines/>
              <w:spacing w:after="0" w:line="259" w:lineRule="auto"/>
              <w:jc w:val="right"/>
              <w:rPr>
                <w:sz w:val="22"/>
                <w:szCs w:val="22"/>
              </w:rPr>
            </w:pPr>
            <w:r w:rsidRPr="7823C623">
              <w:rPr>
                <w:sz w:val="22"/>
                <w:szCs w:val="22"/>
              </w:rPr>
              <w:t>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E239E68" w14:textId="64118092" w:rsidR="001372B9" w:rsidRPr="007D7393" w:rsidRDefault="7823C623" w:rsidP="004F0620">
            <w:pPr>
              <w:keepNext/>
              <w:keepLines/>
              <w:spacing w:after="0" w:line="259" w:lineRule="auto"/>
              <w:jc w:val="right"/>
              <w:rPr>
                <w:sz w:val="22"/>
                <w:szCs w:val="22"/>
              </w:rPr>
            </w:pPr>
            <w:r w:rsidRPr="7823C623">
              <w:rPr>
                <w:sz w:val="22"/>
                <w:szCs w:val="22"/>
              </w:rPr>
              <w:t>114,6</w:t>
            </w:r>
          </w:p>
        </w:tc>
      </w:tr>
    </w:tbl>
    <w:p w14:paraId="0B67B6AB" w14:textId="641FE960" w:rsidR="511CC280" w:rsidRPr="00AE23C3" w:rsidRDefault="511CC280" w:rsidP="511CC280">
      <w:pPr>
        <w:rPr>
          <w:sz w:val="22"/>
          <w:szCs w:val="22"/>
        </w:rPr>
      </w:pPr>
    </w:p>
    <w:p w14:paraId="371B969D" w14:textId="7EA2179E" w:rsidR="511CC280" w:rsidRPr="00AE23C3" w:rsidRDefault="7823C623" w:rsidP="00C036D0">
      <w:r>
        <w:t xml:space="preserve">A </w:t>
      </w:r>
      <w:r w:rsidRPr="7823C623">
        <w:rPr>
          <w:b/>
          <w:bCs/>
        </w:rPr>
        <w:t>gyógyító-megelőző ellátásokra</w:t>
      </w:r>
      <w:r>
        <w:t xml:space="preserve"> fordított kiadás október végéig 1798,0 milliárd forintot tett ki a 2021. évi azonos időszaki 1485,8 milliárd forint összegű kiadással szemben. Az előző évhez viszonyított magasabb összegű kiadás a 2021. januártól bevezetett, az állami és önkormányzati fekvő- és járóbeteg-ellátásban dolgozó orvosok béremelésével, valamint a háziorvosok, fogorvosok és szakdolgozóik bértámogatásával, az egészségügyi szakdolgozók 2022. január 1-jei béremelésével, továbbá az „Összevont szakellátásból” megvalósuló többletfinanszírozással kapcsolatosan jelentkezik.</w:t>
      </w:r>
    </w:p>
    <w:p w14:paraId="4B4F3B70" w14:textId="60123ACF" w:rsidR="511CC280" w:rsidRPr="00AE23C3" w:rsidRDefault="7823C623" w:rsidP="00C036D0">
      <w:r w:rsidRPr="7823C623">
        <w:rPr>
          <w:b/>
          <w:bCs/>
        </w:rPr>
        <w:t>Gyógyszertámogatásra</w:t>
      </w:r>
      <w:r>
        <w:t xml:space="preserve"> az év első tíz hónapjában 361,7 milliárd forintot fordítottak, amely 19,9 milliárd forinttal több az előző év azonos időszakában kifizetett összegnél.</w:t>
      </w:r>
    </w:p>
    <w:p w14:paraId="25FFF5E2" w14:textId="34BD2A95" w:rsidR="007A0A81" w:rsidRPr="00AE23C3" w:rsidRDefault="009F0C4E" w:rsidP="00716265">
      <w:r w:rsidRPr="00AE23C3">
        <w:br w:type="page"/>
      </w:r>
    </w:p>
    <w:p w14:paraId="5D4F03CB" w14:textId="6C116392" w:rsidR="003E5ED6" w:rsidRPr="00AE23C3" w:rsidRDefault="7823C623" w:rsidP="7823C623">
      <w:pPr>
        <w:pStyle w:val="Cmsor3"/>
        <w:numPr>
          <w:ilvl w:val="0"/>
          <w:numId w:val="8"/>
        </w:numPr>
        <w:spacing w:before="0" w:after="120"/>
        <w:jc w:val="both"/>
        <w:rPr>
          <w:sz w:val="26"/>
          <w:szCs w:val="26"/>
        </w:rPr>
      </w:pPr>
      <w:r w:rsidRPr="7823C623">
        <w:rPr>
          <w:sz w:val="26"/>
          <w:szCs w:val="26"/>
        </w:rPr>
        <w:lastRenderedPageBreak/>
        <w:t xml:space="preserve">A költségvetési szervek és fejezeti kezelésű előirányzatok alakulása </w:t>
      </w:r>
    </w:p>
    <w:p w14:paraId="194E761C" w14:textId="7E773601" w:rsidR="00DD2F4A" w:rsidRPr="00770C86" w:rsidRDefault="7823C623" w:rsidP="7823C623">
      <w:pPr>
        <w:pStyle w:val="NormlWeb"/>
        <w:spacing w:before="0" w:beforeAutospacing="0" w:after="120" w:afterAutospacing="0"/>
        <w:jc w:val="both"/>
        <w:rPr>
          <w:sz w:val="26"/>
          <w:szCs w:val="26"/>
        </w:rPr>
      </w:pPr>
      <w:r w:rsidRPr="7823C623">
        <w:rPr>
          <w:sz w:val="26"/>
          <w:szCs w:val="26"/>
        </w:rPr>
        <w:t xml:space="preserve">Október végéig a </w:t>
      </w:r>
      <w:r w:rsidRPr="7823C623">
        <w:rPr>
          <w:b/>
          <w:bCs/>
          <w:sz w:val="26"/>
          <w:szCs w:val="26"/>
        </w:rPr>
        <w:t>költségvetési szervek bevételei</w:t>
      </w:r>
      <w:r w:rsidRPr="7823C623">
        <w:rPr>
          <w:sz w:val="26"/>
          <w:szCs w:val="26"/>
        </w:rPr>
        <w:t xml:space="preserve"> összesen 2011,3 milliárd forintot tettek ki, amely 17,9%-kal magasabb az előző év azonos időszakához képest. Az intézmények bevételei közül 944,0 milliárd forintot tett ki a Nemzeti Egészségbiztosítási Alapkezelő által az egészségügyi intézményeknek utalt támogatás. Ezen felül 192,2 milliárd forintos jóváírás történt a Klebelsberg Központnál a „Helyreállítási és Ellenállóképességi Eszköz (RRF)” uniós központi kezelésű előirányzatról a digitális oktatáshoz való egyenlő hozzáférés feltételeinek biztosítása érdekében a tanulók és a pedagógusok számára.</w:t>
      </w:r>
    </w:p>
    <w:p w14:paraId="7215D720" w14:textId="79D1C337" w:rsidR="00DD2F4A" w:rsidRPr="00770C86" w:rsidRDefault="7823C623" w:rsidP="7823C623">
      <w:pPr>
        <w:pStyle w:val="NormlWeb"/>
        <w:spacing w:before="0" w:beforeAutospacing="0" w:after="120" w:afterAutospacing="0"/>
        <w:jc w:val="both"/>
        <w:rPr>
          <w:sz w:val="26"/>
          <w:szCs w:val="26"/>
        </w:rPr>
      </w:pPr>
      <w:r w:rsidRPr="7823C623">
        <w:rPr>
          <w:sz w:val="26"/>
          <w:szCs w:val="26"/>
        </w:rPr>
        <w:t xml:space="preserve">A </w:t>
      </w:r>
      <w:r w:rsidRPr="7823C623">
        <w:rPr>
          <w:b/>
          <w:bCs/>
          <w:sz w:val="26"/>
          <w:szCs w:val="26"/>
        </w:rPr>
        <w:t>Szakmai fejezeti kezelésű előirányzatok bevételei</w:t>
      </w:r>
      <w:r w:rsidRPr="7823C623">
        <w:rPr>
          <w:sz w:val="26"/>
          <w:szCs w:val="26"/>
        </w:rPr>
        <w:t xml:space="preserve"> október végéig 284,3 milliárd forintot tettek ki, mely 138,1 milliárd forinttal alacsonyabb az előző év azonos időszakának bevételeihez képest. A bevételek jelentős részét (102,9 milliárd forintot) az „Alapok alapja GINOP pénzügyi eszközök” törvényi sorra befolyt összeg teszi ki, mely nem uniós bevételként jóváírt tétel.</w:t>
      </w:r>
    </w:p>
    <w:p w14:paraId="4AEAE75A" w14:textId="1DFBC44A" w:rsidR="00DD2F4A" w:rsidRPr="00AE23C3" w:rsidRDefault="7823C623" w:rsidP="7823C623">
      <w:pPr>
        <w:pStyle w:val="NormlWeb"/>
        <w:spacing w:before="0" w:beforeAutospacing="0" w:after="120" w:afterAutospacing="0"/>
        <w:jc w:val="both"/>
        <w:rPr>
          <w:sz w:val="26"/>
          <w:szCs w:val="26"/>
        </w:rPr>
      </w:pPr>
      <w:r w:rsidRPr="7823C623">
        <w:rPr>
          <w:sz w:val="26"/>
          <w:szCs w:val="26"/>
        </w:rPr>
        <w:t>Az október végi, mintegy 2296 milliárd forint összegű bevételek megoszlását a következő grafikon szemlélteti:</w:t>
      </w:r>
    </w:p>
    <w:p w14:paraId="1CFC1A26" w14:textId="53C6CECD" w:rsidR="00A6041E" w:rsidRPr="00AE23C3" w:rsidRDefault="0049355D" w:rsidP="00F50C89">
      <w:pPr>
        <w:jc w:val="center"/>
      </w:pPr>
      <w:r w:rsidRPr="0049355D">
        <w:rPr>
          <w:noProof/>
        </w:rPr>
        <w:drawing>
          <wp:inline distT="0" distB="0" distL="0" distR="0" wp14:anchorId="08672D9A" wp14:editId="3D62E25D">
            <wp:extent cx="5940425" cy="3248166"/>
            <wp:effectExtent l="0" t="0" r="3175" b="9525"/>
            <wp:docPr id="13" name="Kép 13" descr="Z:\Áht_gyors_moni\2022_10_okt\0_feljegyzés_monitoring\ábrák\___szervek_fejkezek_bevétel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Áht_gyors_moni\2022_10_okt\0_feljegyzés_monitoring\ábrák\___szervek_fejkezek_bevételei.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3248166"/>
                    </a:xfrm>
                    <a:prstGeom prst="rect">
                      <a:avLst/>
                    </a:prstGeom>
                    <a:noFill/>
                    <a:ln>
                      <a:noFill/>
                    </a:ln>
                  </pic:spPr>
                </pic:pic>
              </a:graphicData>
            </a:graphic>
          </wp:inline>
        </w:drawing>
      </w:r>
    </w:p>
    <w:p w14:paraId="74D399C1" w14:textId="5CF7B870" w:rsidR="00DD2F4A" w:rsidRPr="006B05EB" w:rsidRDefault="7823C623" w:rsidP="00966F90">
      <w:pPr>
        <w:pStyle w:val="NormlWeb"/>
        <w:spacing w:before="0" w:beforeAutospacing="0" w:after="120" w:afterAutospacing="0"/>
        <w:jc w:val="both"/>
        <w:rPr>
          <w:sz w:val="26"/>
          <w:szCs w:val="26"/>
        </w:rPr>
      </w:pPr>
      <w:r w:rsidRPr="7823C623">
        <w:rPr>
          <w:sz w:val="26"/>
          <w:szCs w:val="26"/>
        </w:rPr>
        <w:t xml:space="preserve">A </w:t>
      </w:r>
      <w:r w:rsidRPr="7823C623">
        <w:rPr>
          <w:b/>
          <w:bCs/>
          <w:sz w:val="26"/>
          <w:szCs w:val="26"/>
        </w:rPr>
        <w:t>Költségvetési szervek kiadásai</w:t>
      </w:r>
      <w:r w:rsidRPr="7823C623">
        <w:rPr>
          <w:sz w:val="26"/>
          <w:szCs w:val="26"/>
        </w:rPr>
        <w:t xml:space="preserve"> mérlegsoron október végéig 5492,1 milliárd forint kiadás teljesült, mely 0,6%-kal alacsonyabb az előző év azonos időszakához képest. A kiadásból 3375,2 milliárd forint a személyi juttatásokra és munkaadókat terhelő járulékokra kifizetett összeg, amely 10,1%-kal magasabb az előző év azonos hónapjaihoz képest, melynek oka, hogy a fegyveres szerveknél kifizetésre került az egyszeri szolgálati juttatás.</w:t>
      </w:r>
    </w:p>
    <w:p w14:paraId="74BE6763" w14:textId="58829C4D" w:rsidR="00DD2F4A" w:rsidRPr="00AE23C3" w:rsidRDefault="7823C623" w:rsidP="00966F90">
      <w:pPr>
        <w:pStyle w:val="NormlWeb"/>
        <w:spacing w:before="0" w:beforeAutospacing="0" w:after="120" w:afterAutospacing="0"/>
        <w:jc w:val="both"/>
        <w:rPr>
          <w:sz w:val="26"/>
          <w:szCs w:val="26"/>
        </w:rPr>
      </w:pPr>
      <w:r w:rsidRPr="7823C623">
        <w:rPr>
          <w:sz w:val="26"/>
          <w:szCs w:val="26"/>
        </w:rPr>
        <w:t xml:space="preserve">A </w:t>
      </w:r>
      <w:r w:rsidRPr="7823C623">
        <w:rPr>
          <w:b/>
          <w:bCs/>
          <w:sz w:val="26"/>
          <w:szCs w:val="26"/>
        </w:rPr>
        <w:t>Szakmai fejezeti kezelésű előirányzatok kiadásai</w:t>
      </w:r>
      <w:r w:rsidRPr="7823C623">
        <w:rPr>
          <w:sz w:val="26"/>
          <w:szCs w:val="26"/>
        </w:rPr>
        <w:t xml:space="preserve"> mérlegsoron október végéig 4090,1 milliárd forint kiadás teljesült, mely 656,1 milliárd forinttal magasabb volt, mint az előző év azonos hónapjainak kiadása.</w:t>
      </w:r>
    </w:p>
    <w:p w14:paraId="40F9BB07" w14:textId="4788D515" w:rsidR="006B05EB" w:rsidRDefault="006B05EB" w:rsidP="00966F90">
      <w:pPr>
        <w:pStyle w:val="NormlWeb"/>
        <w:spacing w:before="0" w:beforeAutospacing="0" w:after="120" w:afterAutospacing="0"/>
        <w:jc w:val="both"/>
        <w:rPr>
          <w:szCs w:val="26"/>
        </w:rPr>
      </w:pPr>
      <w:r>
        <w:rPr>
          <w:sz w:val="26"/>
          <w:szCs w:val="26"/>
        </w:rPr>
        <w:br w:type="page"/>
      </w:r>
    </w:p>
    <w:p w14:paraId="3D4AEE3D" w14:textId="317DC4F5" w:rsidR="006B05EB" w:rsidRPr="006B05EB" w:rsidRDefault="7823C623" w:rsidP="7823C623">
      <w:pPr>
        <w:pStyle w:val="NormlWeb"/>
        <w:spacing w:before="120" w:beforeAutospacing="0" w:after="120" w:afterAutospacing="0"/>
        <w:jc w:val="both"/>
        <w:rPr>
          <w:sz w:val="26"/>
          <w:szCs w:val="26"/>
        </w:rPr>
      </w:pPr>
      <w:r w:rsidRPr="7823C623">
        <w:rPr>
          <w:sz w:val="26"/>
          <w:szCs w:val="26"/>
        </w:rPr>
        <w:lastRenderedPageBreak/>
        <w:t xml:space="preserve">Ezen időszak teljesítéséből az alábbi kiadások emelhetők ki: </w:t>
      </w:r>
    </w:p>
    <w:p w14:paraId="47913EEB" w14:textId="39D00F98" w:rsidR="00DD2F4A" w:rsidRPr="006B05EB" w:rsidRDefault="7823C623" w:rsidP="7823C623">
      <w:pPr>
        <w:pStyle w:val="NormlWeb"/>
        <w:spacing w:before="0" w:beforeAutospacing="0" w:after="120" w:afterAutospacing="0"/>
        <w:jc w:val="right"/>
        <w:rPr>
          <w:i/>
          <w:iCs/>
          <w:sz w:val="20"/>
          <w:szCs w:val="20"/>
        </w:rPr>
      </w:pPr>
      <w:r w:rsidRPr="7823C623">
        <w:rPr>
          <w:i/>
          <w:iCs/>
          <w:sz w:val="20"/>
          <w:szCs w:val="20"/>
        </w:rPr>
        <w:t>milliárd forint</w:t>
      </w:r>
    </w:p>
    <w:tbl>
      <w:tblPr>
        <w:tblStyle w:val="Rcsostblzat"/>
        <w:tblW w:w="0" w:type="auto"/>
        <w:tblInd w:w="108" w:type="dxa"/>
        <w:tblLook w:val="04A0" w:firstRow="1" w:lastRow="0" w:firstColumn="1" w:lastColumn="0" w:noHBand="0" w:noVBand="1"/>
      </w:tblPr>
      <w:tblGrid>
        <w:gridCol w:w="8505"/>
        <w:gridCol w:w="851"/>
      </w:tblGrid>
      <w:tr w:rsidR="006B05EB" w:rsidRPr="006B05EB" w14:paraId="18F1CC78" w14:textId="77777777" w:rsidTr="7823C623">
        <w:trPr>
          <w:trHeight w:val="638"/>
        </w:trPr>
        <w:tc>
          <w:tcPr>
            <w:tcW w:w="8505" w:type="dxa"/>
            <w:vAlign w:val="center"/>
            <w:hideMark/>
          </w:tcPr>
          <w:p w14:paraId="3AB878C6" w14:textId="77777777" w:rsidR="006B05EB" w:rsidRPr="006B05EB" w:rsidRDefault="7823C623" w:rsidP="7823C623">
            <w:pPr>
              <w:pStyle w:val="NormlWeb"/>
              <w:spacing w:before="60" w:beforeAutospacing="0" w:after="60" w:afterAutospacing="0"/>
              <w:jc w:val="both"/>
              <w:rPr>
                <w:sz w:val="20"/>
                <w:szCs w:val="20"/>
              </w:rPr>
            </w:pPr>
            <w:r w:rsidRPr="7823C623">
              <w:rPr>
                <w:sz w:val="20"/>
                <w:szCs w:val="20"/>
              </w:rPr>
              <w:t>Normatív finanszírozás (köznevelési célú humánszolgáltatás és működési támogatás, hit- és erkölcstanoktatás és tankönyvtámogatás, illetve szociális, gyermekvédelmi, gyermekjóléti és fogyatékos személyek esélyegyenlőségét elősegítő célelőirányzatok)</w:t>
            </w:r>
          </w:p>
        </w:tc>
        <w:tc>
          <w:tcPr>
            <w:tcW w:w="851" w:type="dxa"/>
            <w:noWrap/>
            <w:vAlign w:val="center"/>
            <w:hideMark/>
          </w:tcPr>
          <w:p w14:paraId="51FE0424" w14:textId="77777777" w:rsidR="006B05EB" w:rsidRPr="006B05EB" w:rsidRDefault="7823C623" w:rsidP="7823C623">
            <w:pPr>
              <w:pStyle w:val="NormlWeb"/>
              <w:spacing w:before="60" w:beforeAutospacing="0" w:after="60" w:afterAutospacing="0"/>
              <w:jc w:val="right"/>
              <w:rPr>
                <w:sz w:val="20"/>
                <w:szCs w:val="20"/>
              </w:rPr>
            </w:pPr>
            <w:r w:rsidRPr="7823C623">
              <w:rPr>
                <w:sz w:val="20"/>
                <w:szCs w:val="20"/>
              </w:rPr>
              <w:t>476,8</w:t>
            </w:r>
          </w:p>
        </w:tc>
      </w:tr>
      <w:tr w:rsidR="006B05EB" w:rsidRPr="006B05EB" w14:paraId="07052756" w14:textId="77777777" w:rsidTr="7823C623">
        <w:trPr>
          <w:trHeight w:val="315"/>
        </w:trPr>
        <w:tc>
          <w:tcPr>
            <w:tcW w:w="8505" w:type="dxa"/>
            <w:vAlign w:val="center"/>
            <w:hideMark/>
          </w:tcPr>
          <w:p w14:paraId="0F3DE6F2" w14:textId="77777777" w:rsidR="006B05EB" w:rsidRPr="006B05EB" w:rsidRDefault="7823C623" w:rsidP="7823C623">
            <w:pPr>
              <w:pStyle w:val="NormlWeb"/>
              <w:spacing w:before="60" w:beforeAutospacing="0" w:after="60" w:afterAutospacing="0"/>
              <w:jc w:val="both"/>
              <w:rPr>
                <w:sz w:val="20"/>
                <w:szCs w:val="20"/>
              </w:rPr>
            </w:pPr>
            <w:r w:rsidRPr="7823C623">
              <w:rPr>
                <w:sz w:val="20"/>
                <w:szCs w:val="20"/>
              </w:rPr>
              <w:t>Nem állami felsőoktatási intézmények támogatása</w:t>
            </w:r>
          </w:p>
        </w:tc>
        <w:tc>
          <w:tcPr>
            <w:tcW w:w="851" w:type="dxa"/>
            <w:noWrap/>
            <w:vAlign w:val="center"/>
            <w:hideMark/>
          </w:tcPr>
          <w:p w14:paraId="54D1931A" w14:textId="77777777" w:rsidR="006B05EB" w:rsidRPr="006B05EB" w:rsidRDefault="7823C623" w:rsidP="7823C623">
            <w:pPr>
              <w:pStyle w:val="NormlWeb"/>
              <w:spacing w:before="60" w:beforeAutospacing="0" w:after="60" w:afterAutospacing="0"/>
              <w:jc w:val="right"/>
              <w:rPr>
                <w:sz w:val="20"/>
                <w:szCs w:val="20"/>
              </w:rPr>
            </w:pPr>
            <w:r w:rsidRPr="7823C623">
              <w:rPr>
                <w:sz w:val="20"/>
                <w:szCs w:val="20"/>
              </w:rPr>
              <w:t>363,5</w:t>
            </w:r>
          </w:p>
        </w:tc>
      </w:tr>
      <w:tr w:rsidR="006B05EB" w:rsidRPr="006B05EB" w14:paraId="278765F1" w14:textId="77777777" w:rsidTr="7823C623">
        <w:trPr>
          <w:trHeight w:val="315"/>
        </w:trPr>
        <w:tc>
          <w:tcPr>
            <w:tcW w:w="8505" w:type="dxa"/>
            <w:vAlign w:val="center"/>
            <w:hideMark/>
          </w:tcPr>
          <w:p w14:paraId="6BC2CE61" w14:textId="77777777" w:rsidR="006B05EB" w:rsidRPr="006B05EB" w:rsidRDefault="7823C623" w:rsidP="7823C623">
            <w:pPr>
              <w:pStyle w:val="NormlWeb"/>
              <w:spacing w:before="60" w:beforeAutospacing="0" w:after="60" w:afterAutospacing="0"/>
              <w:jc w:val="both"/>
              <w:rPr>
                <w:sz w:val="20"/>
                <w:szCs w:val="20"/>
              </w:rPr>
            </w:pPr>
            <w:r w:rsidRPr="7823C623">
              <w:rPr>
                <w:sz w:val="20"/>
                <w:szCs w:val="20"/>
              </w:rPr>
              <w:t>Közúti fejlesztések</w:t>
            </w:r>
          </w:p>
        </w:tc>
        <w:tc>
          <w:tcPr>
            <w:tcW w:w="851" w:type="dxa"/>
            <w:noWrap/>
            <w:vAlign w:val="center"/>
            <w:hideMark/>
          </w:tcPr>
          <w:p w14:paraId="2B744BA9" w14:textId="77777777" w:rsidR="006B05EB" w:rsidRPr="006B05EB" w:rsidRDefault="7823C623" w:rsidP="7823C623">
            <w:pPr>
              <w:pStyle w:val="NormlWeb"/>
              <w:spacing w:before="60" w:beforeAutospacing="0" w:after="60" w:afterAutospacing="0"/>
              <w:jc w:val="right"/>
              <w:rPr>
                <w:sz w:val="20"/>
                <w:szCs w:val="20"/>
              </w:rPr>
            </w:pPr>
            <w:r w:rsidRPr="7823C623">
              <w:rPr>
                <w:sz w:val="20"/>
                <w:szCs w:val="20"/>
              </w:rPr>
              <w:t>201,3</w:t>
            </w:r>
          </w:p>
        </w:tc>
      </w:tr>
      <w:tr w:rsidR="006B05EB" w:rsidRPr="006B05EB" w14:paraId="58CAE7BD" w14:textId="77777777" w:rsidTr="7823C623">
        <w:trPr>
          <w:trHeight w:val="315"/>
        </w:trPr>
        <w:tc>
          <w:tcPr>
            <w:tcW w:w="8505" w:type="dxa"/>
            <w:vAlign w:val="center"/>
            <w:hideMark/>
          </w:tcPr>
          <w:p w14:paraId="105E9656" w14:textId="77777777" w:rsidR="006B05EB" w:rsidRPr="006B05EB" w:rsidRDefault="7823C623" w:rsidP="7823C623">
            <w:pPr>
              <w:pStyle w:val="NormlWeb"/>
              <w:spacing w:before="60" w:beforeAutospacing="0" w:after="60" w:afterAutospacing="0"/>
              <w:jc w:val="both"/>
              <w:rPr>
                <w:sz w:val="20"/>
                <w:szCs w:val="20"/>
              </w:rPr>
            </w:pPr>
            <w:r w:rsidRPr="7823C623">
              <w:rPr>
                <w:sz w:val="20"/>
                <w:szCs w:val="20"/>
              </w:rPr>
              <w:t>Közlekedési ágazati programok</w:t>
            </w:r>
          </w:p>
        </w:tc>
        <w:tc>
          <w:tcPr>
            <w:tcW w:w="851" w:type="dxa"/>
            <w:noWrap/>
            <w:vAlign w:val="center"/>
            <w:hideMark/>
          </w:tcPr>
          <w:p w14:paraId="17BA152C" w14:textId="77777777" w:rsidR="006B05EB" w:rsidRPr="006B05EB" w:rsidRDefault="7823C623" w:rsidP="7823C623">
            <w:pPr>
              <w:pStyle w:val="NormlWeb"/>
              <w:spacing w:before="60" w:beforeAutospacing="0" w:after="60" w:afterAutospacing="0"/>
              <w:jc w:val="right"/>
              <w:rPr>
                <w:sz w:val="20"/>
                <w:szCs w:val="20"/>
              </w:rPr>
            </w:pPr>
            <w:r w:rsidRPr="7823C623">
              <w:rPr>
                <w:sz w:val="20"/>
                <w:szCs w:val="20"/>
              </w:rPr>
              <w:t>148,0</w:t>
            </w:r>
          </w:p>
        </w:tc>
      </w:tr>
      <w:tr w:rsidR="006B05EB" w:rsidRPr="006B05EB" w14:paraId="385A4D48" w14:textId="77777777" w:rsidTr="7823C623">
        <w:trPr>
          <w:trHeight w:val="315"/>
        </w:trPr>
        <w:tc>
          <w:tcPr>
            <w:tcW w:w="8505" w:type="dxa"/>
            <w:vAlign w:val="center"/>
            <w:hideMark/>
          </w:tcPr>
          <w:p w14:paraId="7B2924AF" w14:textId="77777777" w:rsidR="006B05EB" w:rsidRPr="006B05EB" w:rsidRDefault="7823C623" w:rsidP="7823C623">
            <w:pPr>
              <w:pStyle w:val="NormlWeb"/>
              <w:spacing w:before="60" w:beforeAutospacing="0" w:after="60" w:afterAutospacing="0"/>
              <w:jc w:val="both"/>
              <w:rPr>
                <w:sz w:val="20"/>
                <w:szCs w:val="20"/>
              </w:rPr>
            </w:pPr>
            <w:r w:rsidRPr="7823C623">
              <w:rPr>
                <w:sz w:val="20"/>
                <w:szCs w:val="20"/>
              </w:rPr>
              <w:t>Turisztikai fejlesztési célelőirányzat</w:t>
            </w:r>
          </w:p>
        </w:tc>
        <w:tc>
          <w:tcPr>
            <w:tcW w:w="851" w:type="dxa"/>
            <w:noWrap/>
            <w:vAlign w:val="center"/>
            <w:hideMark/>
          </w:tcPr>
          <w:p w14:paraId="74714468" w14:textId="77777777" w:rsidR="006B05EB" w:rsidRPr="006B05EB" w:rsidRDefault="7823C623" w:rsidP="7823C623">
            <w:pPr>
              <w:pStyle w:val="NormlWeb"/>
              <w:spacing w:before="60" w:beforeAutospacing="0" w:after="60" w:afterAutospacing="0"/>
              <w:jc w:val="right"/>
              <w:rPr>
                <w:sz w:val="20"/>
                <w:szCs w:val="20"/>
              </w:rPr>
            </w:pPr>
            <w:r w:rsidRPr="7823C623">
              <w:rPr>
                <w:sz w:val="20"/>
                <w:szCs w:val="20"/>
              </w:rPr>
              <w:t>134,4</w:t>
            </w:r>
          </w:p>
        </w:tc>
      </w:tr>
      <w:tr w:rsidR="006B05EB" w:rsidRPr="006B05EB" w14:paraId="43D5C07C" w14:textId="77777777" w:rsidTr="7823C623">
        <w:trPr>
          <w:trHeight w:val="315"/>
        </w:trPr>
        <w:tc>
          <w:tcPr>
            <w:tcW w:w="8505" w:type="dxa"/>
            <w:vAlign w:val="center"/>
            <w:hideMark/>
          </w:tcPr>
          <w:p w14:paraId="7B53949A" w14:textId="77777777" w:rsidR="006B05EB" w:rsidRPr="006B05EB" w:rsidRDefault="7823C623" w:rsidP="7823C623">
            <w:pPr>
              <w:pStyle w:val="NormlWeb"/>
              <w:spacing w:before="60" w:beforeAutospacing="0" w:after="60" w:afterAutospacing="0"/>
              <w:jc w:val="both"/>
              <w:rPr>
                <w:sz w:val="20"/>
                <w:szCs w:val="20"/>
              </w:rPr>
            </w:pPr>
            <w:r w:rsidRPr="7823C623">
              <w:rPr>
                <w:sz w:val="20"/>
                <w:szCs w:val="20"/>
              </w:rPr>
              <w:t>Autópálya rendelkezésre állási díj</w:t>
            </w:r>
          </w:p>
        </w:tc>
        <w:tc>
          <w:tcPr>
            <w:tcW w:w="851" w:type="dxa"/>
            <w:noWrap/>
            <w:vAlign w:val="center"/>
            <w:hideMark/>
          </w:tcPr>
          <w:p w14:paraId="5078C2CB" w14:textId="77777777" w:rsidR="006B05EB" w:rsidRPr="006B05EB" w:rsidRDefault="7823C623" w:rsidP="7823C623">
            <w:pPr>
              <w:pStyle w:val="NormlWeb"/>
              <w:spacing w:before="60" w:beforeAutospacing="0" w:after="60" w:afterAutospacing="0"/>
              <w:jc w:val="right"/>
              <w:rPr>
                <w:sz w:val="20"/>
                <w:szCs w:val="20"/>
              </w:rPr>
            </w:pPr>
            <w:r w:rsidRPr="7823C623">
              <w:rPr>
                <w:sz w:val="20"/>
                <w:szCs w:val="20"/>
              </w:rPr>
              <w:t>117,3</w:t>
            </w:r>
          </w:p>
        </w:tc>
      </w:tr>
      <w:tr w:rsidR="006B05EB" w:rsidRPr="006B05EB" w14:paraId="3F3CEC0A" w14:textId="77777777" w:rsidTr="7823C623">
        <w:trPr>
          <w:trHeight w:val="315"/>
        </w:trPr>
        <w:tc>
          <w:tcPr>
            <w:tcW w:w="8505" w:type="dxa"/>
            <w:vAlign w:val="center"/>
            <w:hideMark/>
          </w:tcPr>
          <w:p w14:paraId="7A462D9C" w14:textId="77777777" w:rsidR="006B05EB" w:rsidRPr="006B05EB" w:rsidRDefault="7823C623" w:rsidP="7823C623">
            <w:pPr>
              <w:pStyle w:val="NormlWeb"/>
              <w:spacing w:before="60" w:beforeAutospacing="0" w:after="60" w:afterAutospacing="0"/>
              <w:jc w:val="both"/>
              <w:rPr>
                <w:sz w:val="20"/>
                <w:szCs w:val="20"/>
              </w:rPr>
            </w:pPr>
            <w:r w:rsidRPr="7823C623">
              <w:rPr>
                <w:sz w:val="20"/>
                <w:szCs w:val="20"/>
              </w:rPr>
              <w:t>Vasúti fejlesztések</w:t>
            </w:r>
          </w:p>
        </w:tc>
        <w:tc>
          <w:tcPr>
            <w:tcW w:w="851" w:type="dxa"/>
            <w:noWrap/>
            <w:vAlign w:val="center"/>
            <w:hideMark/>
          </w:tcPr>
          <w:p w14:paraId="7150AE55" w14:textId="77777777" w:rsidR="006B05EB" w:rsidRPr="006B05EB" w:rsidRDefault="7823C623" w:rsidP="7823C623">
            <w:pPr>
              <w:pStyle w:val="NormlWeb"/>
              <w:spacing w:before="60" w:beforeAutospacing="0" w:after="60" w:afterAutospacing="0"/>
              <w:jc w:val="right"/>
              <w:rPr>
                <w:sz w:val="20"/>
                <w:szCs w:val="20"/>
              </w:rPr>
            </w:pPr>
            <w:r w:rsidRPr="7823C623">
              <w:rPr>
                <w:sz w:val="20"/>
                <w:szCs w:val="20"/>
              </w:rPr>
              <w:t>106,5</w:t>
            </w:r>
          </w:p>
        </w:tc>
      </w:tr>
      <w:tr w:rsidR="006B05EB" w:rsidRPr="006B05EB" w14:paraId="3ED659D7" w14:textId="77777777" w:rsidTr="7823C623">
        <w:trPr>
          <w:trHeight w:val="315"/>
        </w:trPr>
        <w:tc>
          <w:tcPr>
            <w:tcW w:w="8505" w:type="dxa"/>
            <w:vAlign w:val="center"/>
            <w:hideMark/>
          </w:tcPr>
          <w:p w14:paraId="1F380A89" w14:textId="77777777" w:rsidR="006B05EB" w:rsidRPr="006B05EB" w:rsidRDefault="7823C623" w:rsidP="7823C623">
            <w:pPr>
              <w:pStyle w:val="NormlWeb"/>
              <w:spacing w:before="60" w:beforeAutospacing="0" w:after="60" w:afterAutospacing="0"/>
              <w:jc w:val="both"/>
              <w:rPr>
                <w:sz w:val="20"/>
                <w:szCs w:val="20"/>
              </w:rPr>
            </w:pPr>
            <w:r w:rsidRPr="7823C623">
              <w:rPr>
                <w:sz w:val="20"/>
                <w:szCs w:val="20"/>
              </w:rPr>
              <w:t>Beruházás ösztönzési célelőirányzat</w:t>
            </w:r>
          </w:p>
        </w:tc>
        <w:tc>
          <w:tcPr>
            <w:tcW w:w="851" w:type="dxa"/>
            <w:noWrap/>
            <w:vAlign w:val="center"/>
            <w:hideMark/>
          </w:tcPr>
          <w:p w14:paraId="43F8E783" w14:textId="77777777" w:rsidR="006B05EB" w:rsidRPr="006B05EB" w:rsidRDefault="7823C623" w:rsidP="7823C623">
            <w:pPr>
              <w:pStyle w:val="NormlWeb"/>
              <w:spacing w:before="60" w:beforeAutospacing="0" w:after="60" w:afterAutospacing="0"/>
              <w:jc w:val="right"/>
              <w:rPr>
                <w:sz w:val="20"/>
                <w:szCs w:val="20"/>
              </w:rPr>
            </w:pPr>
            <w:r w:rsidRPr="7823C623">
              <w:rPr>
                <w:sz w:val="20"/>
                <w:szCs w:val="20"/>
              </w:rPr>
              <w:t>91,3</w:t>
            </w:r>
          </w:p>
        </w:tc>
      </w:tr>
      <w:tr w:rsidR="006B05EB" w:rsidRPr="006B05EB" w14:paraId="7AF889AE" w14:textId="77777777" w:rsidTr="7823C623">
        <w:trPr>
          <w:trHeight w:val="315"/>
        </w:trPr>
        <w:tc>
          <w:tcPr>
            <w:tcW w:w="8505" w:type="dxa"/>
            <w:vAlign w:val="center"/>
            <w:hideMark/>
          </w:tcPr>
          <w:p w14:paraId="4041715C" w14:textId="77777777" w:rsidR="006B05EB" w:rsidRPr="006B05EB" w:rsidRDefault="7823C623" w:rsidP="7823C623">
            <w:pPr>
              <w:pStyle w:val="NormlWeb"/>
              <w:spacing w:before="60" w:beforeAutospacing="0" w:after="60" w:afterAutospacing="0"/>
              <w:jc w:val="both"/>
              <w:rPr>
                <w:sz w:val="20"/>
                <w:szCs w:val="20"/>
              </w:rPr>
            </w:pPr>
            <w:r w:rsidRPr="7823C623">
              <w:rPr>
                <w:sz w:val="20"/>
                <w:szCs w:val="20"/>
              </w:rPr>
              <w:t>Magyar Falu program</w:t>
            </w:r>
          </w:p>
        </w:tc>
        <w:tc>
          <w:tcPr>
            <w:tcW w:w="851" w:type="dxa"/>
            <w:noWrap/>
            <w:vAlign w:val="center"/>
            <w:hideMark/>
          </w:tcPr>
          <w:p w14:paraId="29A6B19C" w14:textId="77777777" w:rsidR="006B05EB" w:rsidRPr="006B05EB" w:rsidRDefault="7823C623" w:rsidP="7823C623">
            <w:pPr>
              <w:pStyle w:val="NormlWeb"/>
              <w:spacing w:before="60" w:beforeAutospacing="0" w:after="60" w:afterAutospacing="0"/>
              <w:jc w:val="right"/>
              <w:rPr>
                <w:sz w:val="20"/>
                <w:szCs w:val="20"/>
              </w:rPr>
            </w:pPr>
            <w:r w:rsidRPr="7823C623">
              <w:rPr>
                <w:sz w:val="20"/>
                <w:szCs w:val="20"/>
              </w:rPr>
              <w:t>85,8</w:t>
            </w:r>
          </w:p>
        </w:tc>
      </w:tr>
      <w:tr w:rsidR="006B05EB" w:rsidRPr="006B05EB" w14:paraId="1B872EEA" w14:textId="77777777" w:rsidTr="7823C623">
        <w:trPr>
          <w:trHeight w:val="315"/>
        </w:trPr>
        <w:tc>
          <w:tcPr>
            <w:tcW w:w="8505" w:type="dxa"/>
            <w:vAlign w:val="center"/>
            <w:hideMark/>
          </w:tcPr>
          <w:p w14:paraId="2BC6DA83" w14:textId="77777777" w:rsidR="006B05EB" w:rsidRPr="006B05EB" w:rsidRDefault="7823C623" w:rsidP="7823C623">
            <w:pPr>
              <w:pStyle w:val="NormlWeb"/>
              <w:spacing w:before="60" w:beforeAutospacing="0" w:after="60" w:afterAutospacing="0"/>
              <w:jc w:val="both"/>
              <w:rPr>
                <w:sz w:val="20"/>
                <w:szCs w:val="20"/>
              </w:rPr>
            </w:pPr>
            <w:r w:rsidRPr="7823C623">
              <w:rPr>
                <w:sz w:val="20"/>
                <w:szCs w:val="20"/>
              </w:rPr>
              <w:t>Egyházi működési, program és fejlesztési támogatások</w:t>
            </w:r>
          </w:p>
        </w:tc>
        <w:tc>
          <w:tcPr>
            <w:tcW w:w="851" w:type="dxa"/>
            <w:noWrap/>
            <w:vAlign w:val="center"/>
            <w:hideMark/>
          </w:tcPr>
          <w:p w14:paraId="06B9A8A3" w14:textId="77777777" w:rsidR="006B05EB" w:rsidRPr="006B05EB" w:rsidRDefault="7823C623" w:rsidP="7823C623">
            <w:pPr>
              <w:pStyle w:val="NormlWeb"/>
              <w:spacing w:before="60" w:beforeAutospacing="0" w:after="60" w:afterAutospacing="0"/>
              <w:jc w:val="right"/>
              <w:rPr>
                <w:sz w:val="20"/>
                <w:szCs w:val="20"/>
              </w:rPr>
            </w:pPr>
            <w:r w:rsidRPr="7823C623">
              <w:rPr>
                <w:sz w:val="20"/>
                <w:szCs w:val="20"/>
              </w:rPr>
              <w:t>62,2</w:t>
            </w:r>
          </w:p>
        </w:tc>
      </w:tr>
      <w:tr w:rsidR="006B05EB" w:rsidRPr="006B05EB" w14:paraId="5F3C4FE3" w14:textId="77777777" w:rsidTr="7823C623">
        <w:trPr>
          <w:trHeight w:val="315"/>
        </w:trPr>
        <w:tc>
          <w:tcPr>
            <w:tcW w:w="8505" w:type="dxa"/>
            <w:vAlign w:val="center"/>
            <w:hideMark/>
          </w:tcPr>
          <w:p w14:paraId="2C1F753D" w14:textId="77777777" w:rsidR="006B05EB" w:rsidRPr="006B05EB" w:rsidRDefault="7823C623" w:rsidP="7823C623">
            <w:pPr>
              <w:pStyle w:val="NormlWeb"/>
              <w:spacing w:before="60" w:beforeAutospacing="0" w:after="60" w:afterAutospacing="0"/>
              <w:jc w:val="both"/>
              <w:rPr>
                <w:sz w:val="20"/>
                <w:szCs w:val="20"/>
              </w:rPr>
            </w:pPr>
            <w:r w:rsidRPr="7823C623">
              <w:rPr>
                <w:sz w:val="20"/>
                <w:szCs w:val="20"/>
              </w:rPr>
              <w:t>Nemzeti agrártámogatások</w:t>
            </w:r>
          </w:p>
        </w:tc>
        <w:tc>
          <w:tcPr>
            <w:tcW w:w="851" w:type="dxa"/>
            <w:noWrap/>
            <w:vAlign w:val="center"/>
            <w:hideMark/>
          </w:tcPr>
          <w:p w14:paraId="4DE181C5" w14:textId="77777777" w:rsidR="006B05EB" w:rsidRPr="006B05EB" w:rsidRDefault="7823C623" w:rsidP="7823C623">
            <w:pPr>
              <w:pStyle w:val="NormlWeb"/>
              <w:spacing w:before="60" w:beforeAutospacing="0" w:after="60" w:afterAutospacing="0"/>
              <w:jc w:val="right"/>
              <w:rPr>
                <w:sz w:val="20"/>
                <w:szCs w:val="20"/>
              </w:rPr>
            </w:pPr>
            <w:r w:rsidRPr="7823C623">
              <w:rPr>
                <w:sz w:val="20"/>
                <w:szCs w:val="20"/>
              </w:rPr>
              <w:t>61,2</w:t>
            </w:r>
          </w:p>
        </w:tc>
      </w:tr>
      <w:tr w:rsidR="006B05EB" w:rsidRPr="006B05EB" w14:paraId="44C51E5A" w14:textId="77777777" w:rsidTr="7823C623">
        <w:trPr>
          <w:trHeight w:val="315"/>
        </w:trPr>
        <w:tc>
          <w:tcPr>
            <w:tcW w:w="8505" w:type="dxa"/>
            <w:vAlign w:val="center"/>
            <w:hideMark/>
          </w:tcPr>
          <w:p w14:paraId="27D191D5" w14:textId="77777777" w:rsidR="006B05EB" w:rsidRPr="006B05EB" w:rsidRDefault="7823C623" w:rsidP="7823C623">
            <w:pPr>
              <w:pStyle w:val="NormlWeb"/>
              <w:spacing w:before="60" w:beforeAutospacing="0" w:after="60" w:afterAutospacing="0"/>
              <w:jc w:val="both"/>
              <w:rPr>
                <w:sz w:val="20"/>
                <w:szCs w:val="20"/>
              </w:rPr>
            </w:pPr>
            <w:r w:rsidRPr="7823C623">
              <w:rPr>
                <w:sz w:val="20"/>
                <w:szCs w:val="20"/>
              </w:rPr>
              <w:t>Külügyi fejlesztési és kutatási programok</w:t>
            </w:r>
          </w:p>
        </w:tc>
        <w:tc>
          <w:tcPr>
            <w:tcW w:w="851" w:type="dxa"/>
            <w:noWrap/>
            <w:vAlign w:val="center"/>
            <w:hideMark/>
          </w:tcPr>
          <w:p w14:paraId="2DD44E1B" w14:textId="77777777" w:rsidR="006B05EB" w:rsidRPr="006B05EB" w:rsidRDefault="7823C623" w:rsidP="7823C623">
            <w:pPr>
              <w:pStyle w:val="NormlWeb"/>
              <w:spacing w:before="60" w:beforeAutospacing="0" w:after="60" w:afterAutospacing="0"/>
              <w:jc w:val="right"/>
              <w:rPr>
                <w:sz w:val="20"/>
                <w:szCs w:val="20"/>
              </w:rPr>
            </w:pPr>
            <w:r w:rsidRPr="7823C623">
              <w:rPr>
                <w:sz w:val="20"/>
                <w:szCs w:val="20"/>
              </w:rPr>
              <w:t>51,4</w:t>
            </w:r>
          </w:p>
        </w:tc>
      </w:tr>
    </w:tbl>
    <w:p w14:paraId="1903468D" w14:textId="77777777" w:rsidR="00966F90" w:rsidRDefault="00966F90" w:rsidP="00966F90"/>
    <w:p w14:paraId="5B5015E1" w14:textId="5D48CC51" w:rsidR="00F50C89" w:rsidRPr="00944844" w:rsidRDefault="7823C623" w:rsidP="00966F90">
      <w:r>
        <w:t>A két év első tíz hónapjának kiadásai közötti eltérést okozó tényezők közül kiemelhetők a nem állami felsőoktatási intézmények támogatására, a normatív finanszírozásra, a turisztikai fejlesztési célelőirányzatra, valamint a külügyi fejlesztési és kutatási programokra kifizetett összegek. Ezen felül ezen időszakban kiemelkedő összegűek voltak a Megtakarítási Alapba történt befizetések is.</w:t>
      </w:r>
    </w:p>
    <w:p w14:paraId="2A64513A" w14:textId="65B51849" w:rsidR="00F50C89" w:rsidRPr="00AE23C3" w:rsidRDefault="7823C623" w:rsidP="00966F90">
      <w:pPr>
        <w:pStyle w:val="NormlWeb"/>
        <w:spacing w:before="0" w:beforeAutospacing="0" w:after="120" w:afterAutospacing="0"/>
        <w:jc w:val="both"/>
        <w:rPr>
          <w:sz w:val="26"/>
          <w:szCs w:val="26"/>
        </w:rPr>
      </w:pPr>
      <w:r w:rsidRPr="7823C623">
        <w:rPr>
          <w:sz w:val="26"/>
          <w:szCs w:val="26"/>
        </w:rPr>
        <w:t>Az ez év október végi, mintegy 958</w:t>
      </w:r>
      <w:r w:rsidR="00F93AAE">
        <w:rPr>
          <w:sz w:val="26"/>
          <w:szCs w:val="26"/>
        </w:rPr>
        <w:t>2</w:t>
      </w:r>
      <w:r w:rsidRPr="7823C623">
        <w:rPr>
          <w:sz w:val="26"/>
          <w:szCs w:val="26"/>
        </w:rPr>
        <w:t> milliárd forint összegű kiadások megoszlását a következő grafikon szemlélteti:</w:t>
      </w:r>
    </w:p>
    <w:p w14:paraId="7BBF8F82" w14:textId="3ACA197E" w:rsidR="00904220" w:rsidRPr="00AE23C3" w:rsidRDefault="0049355D" w:rsidP="001B7FFC">
      <w:pPr>
        <w:jc w:val="center"/>
        <w:rPr>
          <w:szCs w:val="26"/>
        </w:rPr>
      </w:pPr>
      <w:r w:rsidRPr="0049355D">
        <w:rPr>
          <w:noProof/>
          <w:szCs w:val="26"/>
        </w:rPr>
        <w:drawing>
          <wp:inline distT="0" distB="0" distL="0" distR="0" wp14:anchorId="565921A0" wp14:editId="62A4D490">
            <wp:extent cx="5940425" cy="3267188"/>
            <wp:effectExtent l="0" t="0" r="3175" b="9525"/>
            <wp:docPr id="14" name="Kép 14" descr="Z:\Áht_gyors_moni\2022_10_okt\0_feljegyzés_monitoring\ábrák\___szervek_fejkezek_kiadás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Áht_gyors_moni\2022_10_okt\0_feljegyzés_monitoring\ábrák\___szervek_fejkezek_kiadásai.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3267188"/>
                    </a:xfrm>
                    <a:prstGeom prst="rect">
                      <a:avLst/>
                    </a:prstGeom>
                    <a:noFill/>
                    <a:ln>
                      <a:noFill/>
                    </a:ln>
                  </pic:spPr>
                </pic:pic>
              </a:graphicData>
            </a:graphic>
          </wp:inline>
        </w:drawing>
      </w:r>
    </w:p>
    <w:p w14:paraId="6D36C14B" w14:textId="77777777" w:rsidR="00904220" w:rsidRPr="00AE23C3" w:rsidRDefault="00904220" w:rsidP="001B7FFC">
      <w:pPr>
        <w:jc w:val="center"/>
        <w:rPr>
          <w:szCs w:val="26"/>
        </w:rPr>
      </w:pPr>
    </w:p>
    <w:p w14:paraId="5D4F03D8" w14:textId="77777777" w:rsidR="00A83A7D" w:rsidRPr="00AE23C3" w:rsidRDefault="7823C623" w:rsidP="7823C623">
      <w:pPr>
        <w:pStyle w:val="Cmsor3"/>
        <w:numPr>
          <w:ilvl w:val="0"/>
          <w:numId w:val="8"/>
        </w:numPr>
        <w:spacing w:before="0" w:after="120"/>
        <w:jc w:val="left"/>
        <w:rPr>
          <w:sz w:val="26"/>
          <w:szCs w:val="26"/>
        </w:rPr>
      </w:pPr>
      <w:r w:rsidRPr="7823C623">
        <w:rPr>
          <w:sz w:val="26"/>
          <w:szCs w:val="26"/>
        </w:rPr>
        <w:lastRenderedPageBreak/>
        <w:t>Kamategyenleg</w:t>
      </w:r>
    </w:p>
    <w:p w14:paraId="1827C763" w14:textId="28C89180" w:rsidR="003934EA" w:rsidRPr="00AE23C3" w:rsidRDefault="7823C623" w:rsidP="00C036D0">
      <w:pPr>
        <w:widowControl w:val="0"/>
        <w:rPr>
          <w:szCs w:val="26"/>
        </w:rPr>
      </w:pPr>
      <w:r>
        <w:t xml:space="preserve">A bevételek és kiadások egyenlegeként adódó </w:t>
      </w:r>
      <w:r w:rsidR="000C7808">
        <w:t>1447,2</w:t>
      </w:r>
      <w:r>
        <w:t xml:space="preserve"> milliárd forint összegű </w:t>
      </w:r>
      <w:r w:rsidRPr="7823C623">
        <w:rPr>
          <w:b/>
          <w:bCs/>
        </w:rPr>
        <w:t>nettó kamatkiadás</w:t>
      </w:r>
      <w:r>
        <w:t xml:space="preserve"> </w:t>
      </w:r>
      <w:r w:rsidR="000C7808">
        <w:t>415,5</w:t>
      </w:r>
      <w:r>
        <w:t> milliárd forinttal lett több az előző év azonos időszakához képest, mely a kamatfizetések éven belüli eltérő lefutásával, az előző évitől különböző hozamokkal és finanszírozási szerkezettel magyarázható.</w:t>
      </w:r>
    </w:p>
    <w:p w14:paraId="4E88F94B" w14:textId="77777777" w:rsidR="008D5FD2" w:rsidRPr="00AE23C3" w:rsidRDefault="008D5FD2" w:rsidP="008D5FD2">
      <w:pPr>
        <w:widowControl w:val="0"/>
      </w:pPr>
    </w:p>
    <w:p w14:paraId="53E1E684" w14:textId="4CD2DD68" w:rsidR="004C30D8" w:rsidRPr="007D7393" w:rsidRDefault="7823C623" w:rsidP="7823C623">
      <w:pPr>
        <w:tabs>
          <w:tab w:val="left" w:pos="550"/>
        </w:tabs>
        <w:spacing w:before="120"/>
        <w:jc w:val="center"/>
        <w:rPr>
          <w:b/>
          <w:bCs/>
          <w:sz w:val="22"/>
          <w:szCs w:val="22"/>
        </w:rPr>
      </w:pPr>
      <w:r w:rsidRPr="7823C623">
        <w:rPr>
          <w:b/>
          <w:bCs/>
          <w:sz w:val="22"/>
          <w:szCs w:val="22"/>
        </w:rPr>
        <w:t>A kamategyenleg összetétele (milliárd forintban)</w:t>
      </w:r>
    </w:p>
    <w:tbl>
      <w:tblPr>
        <w:tblW w:w="7165" w:type="dxa"/>
        <w:jc w:val="center"/>
        <w:tblCellMar>
          <w:left w:w="70" w:type="dxa"/>
          <w:right w:w="70" w:type="dxa"/>
        </w:tblCellMar>
        <w:tblLook w:val="04A0" w:firstRow="1" w:lastRow="0" w:firstColumn="1" w:lastColumn="0" w:noHBand="0" w:noVBand="1"/>
      </w:tblPr>
      <w:tblGrid>
        <w:gridCol w:w="4755"/>
        <w:gridCol w:w="1134"/>
        <w:gridCol w:w="1276"/>
      </w:tblGrid>
      <w:tr w:rsidR="00AE23C3" w:rsidRPr="007D7393" w14:paraId="50A6EC76" w14:textId="77777777" w:rsidTr="7823C623">
        <w:trPr>
          <w:trHeight w:val="397"/>
          <w:jc w:val="center"/>
        </w:trPr>
        <w:tc>
          <w:tcPr>
            <w:tcW w:w="47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1DD050" w14:textId="244AB689" w:rsidR="00285E8E" w:rsidRPr="007D7393" w:rsidRDefault="7823C623" w:rsidP="7823C623">
            <w:pPr>
              <w:spacing w:after="0"/>
              <w:contextualSpacing/>
              <w:jc w:val="center"/>
              <w:rPr>
                <w:b/>
                <w:bCs/>
                <w:sz w:val="22"/>
                <w:szCs w:val="22"/>
              </w:rPr>
            </w:pPr>
            <w:r w:rsidRPr="7823C623">
              <w:rPr>
                <w:b/>
                <w:bCs/>
                <w:sz w:val="22"/>
                <w:szCs w:val="22"/>
              </w:rPr>
              <w:t>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D5E49" w14:textId="2FD1D20F" w:rsidR="00285E8E" w:rsidRPr="007D7393" w:rsidRDefault="000C7808" w:rsidP="7823C623">
            <w:pPr>
              <w:spacing w:after="0"/>
              <w:contextualSpacing/>
              <w:jc w:val="center"/>
              <w:rPr>
                <w:b/>
                <w:bCs/>
                <w:sz w:val="22"/>
                <w:szCs w:val="22"/>
              </w:rPr>
            </w:pPr>
            <w:r>
              <w:rPr>
                <w:b/>
                <w:bCs/>
                <w:sz w:val="22"/>
                <w:szCs w:val="22"/>
              </w:rPr>
              <w:t>I-</w:t>
            </w:r>
            <w:r w:rsidR="7823C623" w:rsidRPr="7823C623">
              <w:rPr>
                <w:b/>
                <w:bCs/>
                <w:sz w:val="22"/>
                <w:szCs w:val="22"/>
              </w:rPr>
              <w:t>X. hó</w:t>
            </w:r>
          </w:p>
        </w:tc>
      </w:tr>
      <w:tr w:rsidR="00F863C6" w:rsidRPr="007D7393" w14:paraId="2427CE9F" w14:textId="77777777" w:rsidTr="7823C623">
        <w:trPr>
          <w:trHeight w:val="397"/>
          <w:jc w:val="center"/>
        </w:trPr>
        <w:tc>
          <w:tcPr>
            <w:tcW w:w="4755" w:type="dxa"/>
            <w:vMerge/>
            <w:tcBorders>
              <w:top w:val="single" w:sz="4" w:space="0" w:color="auto"/>
              <w:left w:val="single" w:sz="4" w:space="0" w:color="auto"/>
              <w:bottom w:val="single" w:sz="4" w:space="0" w:color="auto"/>
              <w:right w:val="single" w:sz="4" w:space="0" w:color="auto"/>
            </w:tcBorders>
            <w:vAlign w:val="center"/>
            <w:hideMark/>
          </w:tcPr>
          <w:p w14:paraId="2ECA51D2" w14:textId="77777777" w:rsidR="00F863C6" w:rsidRPr="007D7393" w:rsidRDefault="00F863C6" w:rsidP="00F863C6">
            <w:pPr>
              <w:spacing w:after="0"/>
              <w:contextualSpacing/>
              <w:jc w:val="left"/>
              <w:rPr>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1AECC" w14:textId="319E4340" w:rsidR="00F863C6" w:rsidRPr="007D7393" w:rsidRDefault="7823C623" w:rsidP="7823C623">
            <w:pPr>
              <w:spacing w:after="0"/>
              <w:contextualSpacing/>
              <w:jc w:val="center"/>
              <w:rPr>
                <w:b/>
                <w:bCs/>
                <w:sz w:val="22"/>
                <w:szCs w:val="22"/>
              </w:rPr>
            </w:pPr>
            <w:r w:rsidRPr="7823C623">
              <w:rPr>
                <w:b/>
                <w:bCs/>
                <w:sz w:val="22"/>
                <w:szCs w:val="22"/>
              </w:rPr>
              <w:t>2021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58B82DB" w14:textId="11BF6022" w:rsidR="00F863C6" w:rsidRPr="007D7393" w:rsidRDefault="7823C623" w:rsidP="7823C623">
            <w:pPr>
              <w:spacing w:after="0"/>
              <w:contextualSpacing/>
              <w:jc w:val="center"/>
              <w:rPr>
                <w:b/>
                <w:bCs/>
                <w:sz w:val="22"/>
                <w:szCs w:val="22"/>
              </w:rPr>
            </w:pPr>
            <w:r w:rsidRPr="7823C623">
              <w:rPr>
                <w:b/>
                <w:bCs/>
                <w:sz w:val="22"/>
                <w:szCs w:val="22"/>
              </w:rPr>
              <w:t>2022</w:t>
            </w:r>
          </w:p>
        </w:tc>
      </w:tr>
      <w:tr w:rsidR="000C7808" w:rsidRPr="007D7393" w14:paraId="42F2E0CC" w14:textId="77777777" w:rsidTr="00542081">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62E730B" w14:textId="77777777" w:rsidR="000C7808" w:rsidRPr="007D7393" w:rsidRDefault="000C7808" w:rsidP="000C7808">
            <w:pPr>
              <w:spacing w:after="0"/>
              <w:contextualSpacing/>
              <w:jc w:val="left"/>
              <w:rPr>
                <w:b/>
                <w:bCs/>
                <w:sz w:val="22"/>
                <w:szCs w:val="22"/>
              </w:rPr>
            </w:pPr>
            <w:r w:rsidRPr="7823C623">
              <w:rPr>
                <w:b/>
                <w:bCs/>
                <w:sz w:val="22"/>
                <w:szCs w:val="22"/>
              </w:rPr>
              <w:t>1. Bevétel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03932" w14:textId="1BC0F759" w:rsidR="000C7808" w:rsidRPr="007D7393" w:rsidRDefault="000C7808" w:rsidP="000C7808">
            <w:pPr>
              <w:spacing w:after="0"/>
              <w:contextualSpacing/>
              <w:jc w:val="right"/>
              <w:rPr>
                <w:b/>
                <w:bCs/>
                <w:sz w:val="22"/>
                <w:szCs w:val="22"/>
              </w:rPr>
            </w:pPr>
            <w:r>
              <w:rPr>
                <w:b/>
                <w:bCs/>
                <w:sz w:val="22"/>
                <w:szCs w:val="22"/>
              </w:rPr>
              <w:t>84,8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69F28F4" w14:textId="5DE4C790" w:rsidR="000C7808" w:rsidRPr="007D7393" w:rsidRDefault="000C7808" w:rsidP="000C7808">
            <w:pPr>
              <w:spacing w:after="0"/>
              <w:contextualSpacing/>
              <w:jc w:val="right"/>
              <w:rPr>
                <w:b/>
                <w:bCs/>
                <w:sz w:val="22"/>
                <w:szCs w:val="22"/>
              </w:rPr>
            </w:pPr>
            <w:r>
              <w:rPr>
                <w:b/>
                <w:bCs/>
                <w:sz w:val="22"/>
                <w:szCs w:val="22"/>
              </w:rPr>
              <w:t>185,2</w:t>
            </w:r>
          </w:p>
        </w:tc>
      </w:tr>
      <w:tr w:rsidR="000C7808" w:rsidRPr="007D7393" w14:paraId="00D816FC" w14:textId="77777777" w:rsidTr="00542081">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AA6C8E0" w14:textId="77777777" w:rsidR="000C7808" w:rsidRPr="007D7393" w:rsidRDefault="000C7808" w:rsidP="000C7808">
            <w:pPr>
              <w:spacing w:after="0"/>
              <w:ind w:firstLine="253"/>
              <w:contextualSpacing/>
              <w:jc w:val="left"/>
              <w:rPr>
                <w:b/>
                <w:bCs/>
                <w:sz w:val="22"/>
                <w:szCs w:val="22"/>
              </w:rPr>
            </w:pPr>
            <w:r w:rsidRPr="7823C623">
              <w:rPr>
                <w:b/>
                <w:bCs/>
                <w:sz w:val="22"/>
                <w:szCs w:val="22"/>
              </w:rPr>
              <w:t>1.1. Forint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52040" w14:textId="69C6BF65" w:rsidR="000C7808" w:rsidRPr="007D7393" w:rsidRDefault="000C7808" w:rsidP="00146E10">
            <w:pPr>
              <w:spacing w:after="0"/>
              <w:contextualSpacing/>
              <w:jc w:val="right"/>
              <w:rPr>
                <w:b/>
                <w:bCs/>
                <w:sz w:val="22"/>
                <w:szCs w:val="22"/>
              </w:rPr>
            </w:pPr>
            <w:r>
              <w:rPr>
                <w:b/>
                <w:bCs/>
                <w:sz w:val="22"/>
                <w:szCs w:val="22"/>
              </w:rPr>
              <w:t>82,</w:t>
            </w:r>
            <w:r w:rsidR="00146E10">
              <w:rPr>
                <w:b/>
                <w:bCs/>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63203A" w14:textId="53F28619" w:rsidR="000C7808" w:rsidRPr="007D7393" w:rsidRDefault="000C7808" w:rsidP="000C7808">
            <w:pPr>
              <w:spacing w:after="0"/>
              <w:contextualSpacing/>
              <w:jc w:val="right"/>
              <w:rPr>
                <w:b/>
                <w:bCs/>
                <w:sz w:val="22"/>
                <w:szCs w:val="22"/>
              </w:rPr>
            </w:pPr>
            <w:r>
              <w:rPr>
                <w:b/>
                <w:bCs/>
                <w:sz w:val="22"/>
                <w:szCs w:val="22"/>
              </w:rPr>
              <w:t>185,3</w:t>
            </w:r>
          </w:p>
        </w:tc>
      </w:tr>
      <w:tr w:rsidR="000C7808" w:rsidRPr="007D7393" w14:paraId="1250D9BA" w14:textId="77777777" w:rsidTr="00542081">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CF660B7" w14:textId="77777777" w:rsidR="000C7808" w:rsidRPr="007D7393" w:rsidRDefault="000C7808" w:rsidP="000C7808">
            <w:pPr>
              <w:spacing w:after="0"/>
              <w:ind w:firstLine="536"/>
              <w:contextualSpacing/>
              <w:jc w:val="left"/>
              <w:rPr>
                <w:i/>
                <w:iCs/>
                <w:sz w:val="22"/>
                <w:szCs w:val="22"/>
              </w:rPr>
            </w:pPr>
            <w:r w:rsidRPr="7823C623">
              <w:rPr>
                <w:i/>
                <w:iCs/>
                <w:sz w:val="22"/>
                <w:szCs w:val="22"/>
              </w:rPr>
              <w:t>1.1.1. Államkötvények kamata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93BE7" w14:textId="5A149B64" w:rsidR="000C7808" w:rsidRPr="007D7393" w:rsidRDefault="000C7808" w:rsidP="000C7808">
            <w:pPr>
              <w:spacing w:after="0"/>
              <w:contextualSpacing/>
              <w:jc w:val="right"/>
              <w:rPr>
                <w:i/>
                <w:iCs/>
                <w:sz w:val="22"/>
                <w:szCs w:val="22"/>
              </w:rPr>
            </w:pPr>
            <w:r>
              <w:rPr>
                <w:i/>
                <w:iCs/>
                <w:sz w:val="22"/>
                <w:szCs w:val="22"/>
              </w:rPr>
              <w:t>65,5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ABCFD5" w14:textId="2FCC638A" w:rsidR="000C7808" w:rsidRPr="007D7393" w:rsidRDefault="000C7808" w:rsidP="000C7808">
            <w:pPr>
              <w:spacing w:after="0"/>
              <w:contextualSpacing/>
              <w:jc w:val="right"/>
              <w:rPr>
                <w:i/>
                <w:iCs/>
                <w:sz w:val="22"/>
                <w:szCs w:val="22"/>
              </w:rPr>
            </w:pPr>
            <w:r>
              <w:rPr>
                <w:i/>
                <w:iCs/>
                <w:sz w:val="22"/>
                <w:szCs w:val="22"/>
              </w:rPr>
              <w:t>104,0</w:t>
            </w:r>
          </w:p>
        </w:tc>
      </w:tr>
      <w:tr w:rsidR="000C7808" w:rsidRPr="007D7393" w14:paraId="01971550" w14:textId="77777777" w:rsidTr="00542081">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BD62A7" w14:textId="77777777" w:rsidR="000C7808" w:rsidRPr="007D7393" w:rsidRDefault="000C7808" w:rsidP="000C7808">
            <w:pPr>
              <w:spacing w:after="0"/>
              <w:ind w:firstLine="536"/>
              <w:contextualSpacing/>
              <w:jc w:val="left"/>
              <w:rPr>
                <w:sz w:val="22"/>
                <w:szCs w:val="22"/>
              </w:rPr>
            </w:pPr>
            <w:r w:rsidRPr="7823C623">
              <w:rPr>
                <w:i/>
                <w:iCs/>
                <w:sz w:val="22"/>
                <w:szCs w:val="22"/>
              </w:rPr>
              <w:t>1.1.2. Kincstárjegyek kamata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7E6F57" w14:textId="370CA9E2" w:rsidR="000C7808" w:rsidRPr="007D7393" w:rsidRDefault="000C7808" w:rsidP="000C7808">
            <w:pPr>
              <w:spacing w:after="0"/>
              <w:contextualSpacing/>
              <w:jc w:val="right"/>
              <w:rPr>
                <w:i/>
                <w:iCs/>
                <w:sz w:val="22"/>
                <w:szCs w:val="22"/>
              </w:rPr>
            </w:pPr>
            <w:r>
              <w:rPr>
                <w:i/>
                <w:iCs/>
                <w:sz w:val="22"/>
                <w:szCs w:val="22"/>
              </w:rPr>
              <w:t>0,</w:t>
            </w:r>
            <w:proofErr w:type="spellStart"/>
            <w:r>
              <w:rPr>
                <w:i/>
                <w:iCs/>
                <w:sz w:val="22"/>
                <w:szCs w:val="22"/>
              </w:rPr>
              <w:t>0</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B82522A" w14:textId="132E798B" w:rsidR="000C7808" w:rsidRPr="007D7393" w:rsidRDefault="000C7808" w:rsidP="000C7808">
            <w:pPr>
              <w:spacing w:after="0"/>
              <w:contextualSpacing/>
              <w:jc w:val="right"/>
              <w:rPr>
                <w:i/>
                <w:iCs/>
                <w:sz w:val="22"/>
                <w:szCs w:val="22"/>
              </w:rPr>
            </w:pPr>
            <w:r>
              <w:rPr>
                <w:i/>
                <w:iCs/>
                <w:sz w:val="22"/>
                <w:szCs w:val="22"/>
              </w:rPr>
              <w:t>0,2</w:t>
            </w:r>
          </w:p>
        </w:tc>
      </w:tr>
      <w:tr w:rsidR="000C7808" w:rsidRPr="007D7393" w14:paraId="27D32BA6" w14:textId="77777777" w:rsidTr="00542081">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C1961E0" w14:textId="77777777" w:rsidR="000C7808" w:rsidRPr="007D7393" w:rsidRDefault="000C7808" w:rsidP="000C7808">
            <w:pPr>
              <w:spacing w:after="0"/>
              <w:ind w:firstLine="536"/>
              <w:contextualSpacing/>
              <w:jc w:val="left"/>
              <w:rPr>
                <w:i/>
                <w:iCs/>
                <w:sz w:val="22"/>
                <w:szCs w:val="22"/>
              </w:rPr>
            </w:pPr>
            <w:r w:rsidRPr="7823C623">
              <w:rPr>
                <w:i/>
                <w:iCs/>
                <w:sz w:val="22"/>
                <w:szCs w:val="22"/>
              </w:rPr>
              <w:t xml:space="preserve">1.1.3. </w:t>
            </w:r>
            <w:proofErr w:type="spellStart"/>
            <w:r w:rsidRPr="7823C623">
              <w:rPr>
                <w:i/>
                <w:iCs/>
                <w:sz w:val="22"/>
                <w:szCs w:val="22"/>
              </w:rPr>
              <w:t>Repóügyletek</w:t>
            </w:r>
            <w:proofErr w:type="spellEnd"/>
            <w:r w:rsidRPr="7823C623">
              <w:rPr>
                <w:i/>
                <w:iCs/>
                <w:sz w:val="22"/>
                <w:szCs w:val="22"/>
              </w:rPr>
              <w:t xml:space="preserve"> kamata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C909E" w14:textId="19A606D1" w:rsidR="000C7808" w:rsidRPr="007D7393" w:rsidRDefault="000C7808" w:rsidP="000C7808">
            <w:pPr>
              <w:spacing w:after="0"/>
              <w:contextualSpacing/>
              <w:jc w:val="right"/>
              <w:rPr>
                <w:i/>
                <w:iCs/>
                <w:sz w:val="22"/>
                <w:szCs w:val="22"/>
              </w:rPr>
            </w:pPr>
            <w:r>
              <w:rPr>
                <w:i/>
                <w:iCs/>
                <w:sz w:val="22"/>
                <w:szCs w:val="22"/>
              </w:rPr>
              <w:t>1,6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D4ABE5" w14:textId="348F31D9" w:rsidR="000C7808" w:rsidRPr="007D7393" w:rsidRDefault="000C7808" w:rsidP="000C7808">
            <w:pPr>
              <w:spacing w:after="0"/>
              <w:contextualSpacing/>
              <w:jc w:val="right"/>
              <w:rPr>
                <w:i/>
                <w:iCs/>
                <w:sz w:val="22"/>
                <w:szCs w:val="22"/>
              </w:rPr>
            </w:pPr>
            <w:r>
              <w:rPr>
                <w:i/>
                <w:iCs/>
                <w:sz w:val="22"/>
                <w:szCs w:val="22"/>
              </w:rPr>
              <w:t>1,8</w:t>
            </w:r>
          </w:p>
        </w:tc>
      </w:tr>
      <w:tr w:rsidR="000C7808" w:rsidRPr="007D7393" w14:paraId="2BD9430A" w14:textId="77777777" w:rsidTr="00542081">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3E4B04" w14:textId="77777777" w:rsidR="000C7808" w:rsidRPr="007D7393" w:rsidRDefault="000C7808" w:rsidP="000C7808">
            <w:pPr>
              <w:spacing w:after="0"/>
              <w:ind w:firstLine="536"/>
              <w:contextualSpacing/>
              <w:jc w:val="left"/>
              <w:rPr>
                <w:sz w:val="22"/>
                <w:szCs w:val="22"/>
              </w:rPr>
            </w:pPr>
            <w:r w:rsidRPr="7823C623">
              <w:rPr>
                <w:i/>
                <w:iCs/>
                <w:sz w:val="22"/>
                <w:szCs w:val="22"/>
              </w:rPr>
              <w:t>1.1.4. KESZ forint-betét kamata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0DA7E" w14:textId="3E61977D" w:rsidR="000C7808" w:rsidRPr="007D7393" w:rsidRDefault="000C7808" w:rsidP="000C7808">
            <w:pPr>
              <w:spacing w:after="0"/>
              <w:contextualSpacing/>
              <w:jc w:val="right"/>
              <w:rPr>
                <w:i/>
                <w:iCs/>
                <w:sz w:val="22"/>
                <w:szCs w:val="22"/>
              </w:rPr>
            </w:pPr>
            <w:r>
              <w:rPr>
                <w:i/>
                <w:iCs/>
                <w:sz w:val="22"/>
                <w:szCs w:val="22"/>
              </w:rPr>
              <w:t>15,5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5AE393" w14:textId="54E22344" w:rsidR="000C7808" w:rsidRPr="007D7393" w:rsidRDefault="000C7808" w:rsidP="000C7808">
            <w:pPr>
              <w:spacing w:after="0"/>
              <w:contextualSpacing/>
              <w:jc w:val="right"/>
              <w:rPr>
                <w:i/>
                <w:iCs/>
                <w:sz w:val="22"/>
                <w:szCs w:val="22"/>
              </w:rPr>
            </w:pPr>
            <w:r>
              <w:rPr>
                <w:i/>
                <w:iCs/>
                <w:sz w:val="22"/>
                <w:szCs w:val="22"/>
              </w:rPr>
              <w:t>79,3</w:t>
            </w:r>
          </w:p>
        </w:tc>
      </w:tr>
      <w:tr w:rsidR="000C7808" w:rsidRPr="007D7393" w14:paraId="023835E5" w14:textId="77777777" w:rsidTr="00542081">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ED98CB" w14:textId="77777777" w:rsidR="000C7808" w:rsidRPr="007D7393" w:rsidRDefault="000C7808" w:rsidP="000C7808">
            <w:pPr>
              <w:spacing w:after="0"/>
              <w:ind w:firstLine="253"/>
              <w:contextualSpacing/>
              <w:jc w:val="left"/>
              <w:rPr>
                <w:sz w:val="22"/>
                <w:szCs w:val="22"/>
              </w:rPr>
            </w:pPr>
            <w:r w:rsidRPr="7823C623">
              <w:rPr>
                <w:b/>
                <w:bCs/>
                <w:sz w:val="22"/>
                <w:szCs w:val="22"/>
              </w:rPr>
              <w:t>1.2. Deviza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B8C7F" w14:textId="17B95CA2" w:rsidR="000C7808" w:rsidRPr="007D7393" w:rsidRDefault="000C7808" w:rsidP="000C7808">
            <w:pPr>
              <w:spacing w:after="0"/>
              <w:contextualSpacing/>
              <w:jc w:val="right"/>
              <w:rPr>
                <w:b/>
                <w:bCs/>
                <w:sz w:val="22"/>
                <w:szCs w:val="22"/>
              </w:rPr>
            </w:pPr>
            <w:r>
              <w:rPr>
                <w:b/>
                <w:bCs/>
                <w:sz w:val="22"/>
                <w:szCs w:val="22"/>
              </w:rPr>
              <w:t>2,</w:t>
            </w:r>
            <w:proofErr w:type="spellStart"/>
            <w:r>
              <w:rPr>
                <w:b/>
                <w:bCs/>
                <w:sz w:val="22"/>
                <w:szCs w:val="22"/>
              </w:rPr>
              <w:t>2</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19BB6D" w14:textId="11F70EBF" w:rsidR="000C7808" w:rsidRPr="007D7393" w:rsidRDefault="000C7808" w:rsidP="000C7808">
            <w:pPr>
              <w:spacing w:after="0"/>
              <w:contextualSpacing/>
              <w:jc w:val="right"/>
              <w:rPr>
                <w:b/>
                <w:bCs/>
                <w:sz w:val="22"/>
                <w:szCs w:val="22"/>
              </w:rPr>
            </w:pPr>
            <w:r>
              <w:rPr>
                <w:b/>
                <w:bCs/>
                <w:sz w:val="22"/>
                <w:szCs w:val="22"/>
              </w:rPr>
              <w:t>-0,1</w:t>
            </w:r>
          </w:p>
        </w:tc>
      </w:tr>
      <w:tr w:rsidR="000C7808" w:rsidRPr="007D7393" w14:paraId="287E02EE" w14:textId="77777777" w:rsidTr="00542081">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17837E1" w14:textId="51C98C62" w:rsidR="000C7808" w:rsidRPr="007D7393" w:rsidRDefault="000C7808" w:rsidP="000C7808">
            <w:pPr>
              <w:spacing w:after="0"/>
              <w:contextualSpacing/>
              <w:jc w:val="left"/>
              <w:rPr>
                <w:sz w:val="22"/>
                <w:szCs w:val="22"/>
              </w:rPr>
            </w:pPr>
            <w:r w:rsidRPr="7823C623">
              <w:rPr>
                <w:i/>
                <w:iCs/>
                <w:sz w:val="22"/>
                <w:szCs w:val="22"/>
              </w:rPr>
              <w:t xml:space="preserve">         1.2.1. Devizaműveletek kamatelszámolásai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49A98" w14:textId="0DE9153F" w:rsidR="000C7808" w:rsidRPr="007D7393" w:rsidRDefault="000C7808" w:rsidP="000C7808">
            <w:pPr>
              <w:spacing w:after="0"/>
              <w:contextualSpacing/>
              <w:jc w:val="right"/>
              <w:rPr>
                <w:i/>
                <w:iCs/>
                <w:sz w:val="22"/>
                <w:szCs w:val="22"/>
              </w:rPr>
            </w:pPr>
            <w:r>
              <w:rPr>
                <w:i/>
                <w:iCs/>
                <w:sz w:val="22"/>
                <w:szCs w:val="22"/>
              </w:rPr>
              <w:t>-2,3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AB7A42" w14:textId="6576842C" w:rsidR="000C7808" w:rsidRPr="007D7393" w:rsidRDefault="000C7808" w:rsidP="000C7808">
            <w:pPr>
              <w:spacing w:after="0"/>
              <w:contextualSpacing/>
              <w:jc w:val="right"/>
              <w:rPr>
                <w:i/>
                <w:iCs/>
                <w:sz w:val="22"/>
                <w:szCs w:val="22"/>
              </w:rPr>
            </w:pPr>
            <w:r>
              <w:rPr>
                <w:i/>
                <w:iCs/>
                <w:sz w:val="22"/>
                <w:szCs w:val="22"/>
              </w:rPr>
              <w:t>-0,1</w:t>
            </w:r>
          </w:p>
        </w:tc>
      </w:tr>
      <w:tr w:rsidR="000C7808" w:rsidRPr="007D7393" w14:paraId="6E2B9BDB" w14:textId="77777777" w:rsidTr="00542081">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432CD8" w14:textId="3C1B7B2C" w:rsidR="000C7808" w:rsidRPr="007D7393" w:rsidRDefault="000C7808" w:rsidP="000C7808">
            <w:pPr>
              <w:spacing w:after="0"/>
              <w:contextualSpacing/>
              <w:jc w:val="left"/>
              <w:rPr>
                <w:i/>
                <w:iCs/>
                <w:sz w:val="22"/>
                <w:szCs w:val="22"/>
              </w:rPr>
            </w:pPr>
            <w:r w:rsidRPr="7823C623">
              <w:rPr>
                <w:i/>
                <w:iCs/>
                <w:sz w:val="22"/>
                <w:szCs w:val="22"/>
              </w:rPr>
              <w:t xml:space="preserve">         1.2.2. Felvett hitel kamatjellegű bevétele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C1FC6" w14:textId="7D91D2A2" w:rsidR="000C7808" w:rsidRPr="007D7393" w:rsidRDefault="000C7808" w:rsidP="000C7808">
            <w:pPr>
              <w:spacing w:after="0"/>
              <w:contextualSpacing/>
              <w:jc w:val="right"/>
              <w:rPr>
                <w:i/>
                <w:iCs/>
                <w:sz w:val="22"/>
                <w:szCs w:val="22"/>
              </w:rPr>
            </w:pPr>
            <w:r>
              <w:rPr>
                <w:i/>
                <w:iCs/>
                <w:sz w:val="22"/>
                <w:szCs w:val="22"/>
              </w:rPr>
              <w:t>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AFBEFCF" w14:textId="6EDF2A11" w:rsidR="000C7808" w:rsidRPr="007D7393" w:rsidRDefault="000C7808" w:rsidP="000C7808">
            <w:pPr>
              <w:spacing w:after="0"/>
              <w:contextualSpacing/>
              <w:jc w:val="right"/>
              <w:rPr>
                <w:i/>
                <w:iCs/>
                <w:sz w:val="22"/>
                <w:szCs w:val="22"/>
              </w:rPr>
            </w:pPr>
            <w:r>
              <w:rPr>
                <w:i/>
                <w:iCs/>
                <w:sz w:val="22"/>
                <w:szCs w:val="22"/>
              </w:rPr>
              <w:t>0,</w:t>
            </w:r>
            <w:proofErr w:type="spellStart"/>
            <w:r>
              <w:rPr>
                <w:i/>
                <w:iCs/>
                <w:sz w:val="22"/>
                <w:szCs w:val="22"/>
              </w:rPr>
              <w:t>0</w:t>
            </w:r>
            <w:proofErr w:type="spellEnd"/>
          </w:p>
        </w:tc>
      </w:tr>
      <w:tr w:rsidR="000C7808" w:rsidRPr="007D7393" w14:paraId="0F767D6C" w14:textId="77777777" w:rsidTr="00542081">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A072196" w14:textId="353B14F8" w:rsidR="000C7808" w:rsidRPr="007D7393" w:rsidRDefault="000C7808" w:rsidP="000C7808">
            <w:pPr>
              <w:spacing w:after="0"/>
              <w:contextualSpacing/>
              <w:jc w:val="left"/>
              <w:rPr>
                <w:b/>
                <w:bCs/>
                <w:sz w:val="22"/>
                <w:szCs w:val="22"/>
              </w:rPr>
            </w:pPr>
            <w:r w:rsidRPr="7823C623">
              <w:rPr>
                <w:b/>
                <w:bCs/>
                <w:sz w:val="22"/>
                <w:szCs w:val="22"/>
              </w:rPr>
              <w:t xml:space="preserve">     1.3. Egyéb függő tételek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0493E" w14:textId="7C1BFCE3" w:rsidR="000C7808" w:rsidRPr="007D7393" w:rsidRDefault="00146E10" w:rsidP="000C7808">
            <w:pPr>
              <w:spacing w:after="0"/>
              <w:contextualSpacing/>
              <w:jc w:val="right"/>
              <w:rPr>
                <w:b/>
                <w:bCs/>
                <w:sz w:val="22"/>
                <w:szCs w:val="22"/>
              </w:rPr>
            </w:pPr>
            <w:r>
              <w:rPr>
                <w:i/>
                <w:iCs/>
                <w:sz w:val="22"/>
                <w:szCs w:val="22"/>
              </w:rPr>
              <w:t>0,</w:t>
            </w:r>
            <w:proofErr w:type="spellStart"/>
            <w:r>
              <w:rPr>
                <w:i/>
                <w:iCs/>
                <w:sz w:val="22"/>
                <w:szCs w:val="22"/>
              </w:rPr>
              <w:t>0</w:t>
            </w:r>
            <w:proofErr w:type="spellEnd"/>
            <w:r w:rsidR="000C7808">
              <w:rPr>
                <w:i/>
                <w:iCs/>
                <w:sz w:val="22"/>
                <w:szCs w:val="22"/>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268986" w14:textId="68BAE8B9" w:rsidR="000C7808" w:rsidRPr="007D7393" w:rsidRDefault="00146E10" w:rsidP="000C7808">
            <w:pPr>
              <w:spacing w:after="0"/>
              <w:contextualSpacing/>
              <w:jc w:val="right"/>
              <w:rPr>
                <w:b/>
                <w:bCs/>
                <w:sz w:val="22"/>
                <w:szCs w:val="22"/>
              </w:rPr>
            </w:pPr>
            <w:r>
              <w:rPr>
                <w:i/>
                <w:iCs/>
                <w:sz w:val="22"/>
                <w:szCs w:val="22"/>
              </w:rPr>
              <w:t>0,</w:t>
            </w:r>
            <w:proofErr w:type="spellStart"/>
            <w:r>
              <w:rPr>
                <w:i/>
                <w:iCs/>
                <w:sz w:val="22"/>
                <w:szCs w:val="22"/>
              </w:rPr>
              <w:t>0</w:t>
            </w:r>
            <w:proofErr w:type="spellEnd"/>
          </w:p>
        </w:tc>
      </w:tr>
      <w:tr w:rsidR="000C7808" w:rsidRPr="007D7393" w14:paraId="7BF7F8DD" w14:textId="77777777" w:rsidTr="00542081">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B6645C" w14:textId="77777777" w:rsidR="000C7808" w:rsidRPr="007D7393" w:rsidRDefault="000C7808" w:rsidP="000C7808">
            <w:pPr>
              <w:spacing w:after="0"/>
              <w:contextualSpacing/>
              <w:jc w:val="left"/>
              <w:rPr>
                <w:b/>
                <w:bCs/>
                <w:sz w:val="22"/>
                <w:szCs w:val="22"/>
              </w:rPr>
            </w:pPr>
            <w:r w:rsidRPr="7823C623">
              <w:rPr>
                <w:b/>
                <w:bCs/>
                <w:sz w:val="22"/>
                <w:szCs w:val="22"/>
              </w:rPr>
              <w:t>2. Kiadás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50C3E" w14:textId="7F3AD7CE" w:rsidR="000C7808" w:rsidRPr="007D7393" w:rsidRDefault="000C7808" w:rsidP="000C7808">
            <w:pPr>
              <w:spacing w:after="0"/>
              <w:contextualSpacing/>
              <w:jc w:val="right"/>
              <w:rPr>
                <w:b/>
                <w:bCs/>
                <w:sz w:val="22"/>
                <w:szCs w:val="22"/>
              </w:rPr>
            </w:pPr>
            <w:r>
              <w:rPr>
                <w:b/>
                <w:bCs/>
                <w:sz w:val="22"/>
                <w:szCs w:val="22"/>
              </w:rPr>
              <w:t>1116,5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52372CD" w14:textId="396581A4" w:rsidR="000C7808" w:rsidRPr="007D7393" w:rsidRDefault="000C7808" w:rsidP="000C7808">
            <w:pPr>
              <w:spacing w:after="0"/>
              <w:contextualSpacing/>
              <w:jc w:val="right"/>
              <w:rPr>
                <w:b/>
                <w:bCs/>
                <w:sz w:val="22"/>
                <w:szCs w:val="22"/>
              </w:rPr>
            </w:pPr>
            <w:r>
              <w:rPr>
                <w:b/>
                <w:bCs/>
                <w:sz w:val="22"/>
                <w:szCs w:val="22"/>
              </w:rPr>
              <w:t>1632,4</w:t>
            </w:r>
          </w:p>
        </w:tc>
      </w:tr>
      <w:tr w:rsidR="000C7808" w:rsidRPr="007D7393" w14:paraId="1D69A8E9" w14:textId="77777777" w:rsidTr="00542081">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1320AE" w14:textId="77777777" w:rsidR="000C7808" w:rsidRPr="007D7393" w:rsidRDefault="000C7808" w:rsidP="000C7808">
            <w:pPr>
              <w:spacing w:after="0"/>
              <w:ind w:firstLine="253"/>
              <w:contextualSpacing/>
              <w:jc w:val="left"/>
              <w:rPr>
                <w:sz w:val="22"/>
                <w:szCs w:val="22"/>
              </w:rPr>
            </w:pPr>
            <w:r w:rsidRPr="7823C623">
              <w:rPr>
                <w:b/>
                <w:bCs/>
                <w:sz w:val="22"/>
                <w:szCs w:val="22"/>
              </w:rPr>
              <w:t>2.1 Forint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9B0B7" w14:textId="4796083D" w:rsidR="000C7808" w:rsidRPr="007D7393" w:rsidRDefault="000C7808" w:rsidP="000C7808">
            <w:pPr>
              <w:spacing w:after="0"/>
              <w:contextualSpacing/>
              <w:jc w:val="right"/>
              <w:rPr>
                <w:b/>
                <w:bCs/>
                <w:sz w:val="22"/>
                <w:szCs w:val="22"/>
              </w:rPr>
            </w:pPr>
            <w:r>
              <w:rPr>
                <w:b/>
                <w:bCs/>
                <w:sz w:val="22"/>
                <w:szCs w:val="22"/>
              </w:rPr>
              <w:t>947,3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5D3FEA" w14:textId="27277787" w:rsidR="000C7808" w:rsidRPr="007D7393" w:rsidRDefault="000C7808" w:rsidP="000C7808">
            <w:pPr>
              <w:spacing w:after="0"/>
              <w:contextualSpacing/>
              <w:jc w:val="right"/>
              <w:rPr>
                <w:b/>
                <w:bCs/>
                <w:sz w:val="22"/>
                <w:szCs w:val="22"/>
              </w:rPr>
            </w:pPr>
            <w:r>
              <w:rPr>
                <w:b/>
                <w:bCs/>
                <w:sz w:val="22"/>
                <w:szCs w:val="22"/>
              </w:rPr>
              <w:t>1455,9</w:t>
            </w:r>
          </w:p>
        </w:tc>
      </w:tr>
      <w:tr w:rsidR="000C7808" w:rsidRPr="007D7393" w14:paraId="7168EB04" w14:textId="77777777" w:rsidTr="00542081">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981AF42" w14:textId="77777777" w:rsidR="000C7808" w:rsidRPr="007D7393" w:rsidRDefault="000C7808" w:rsidP="000C7808">
            <w:pPr>
              <w:spacing w:after="0"/>
              <w:ind w:firstLine="536"/>
              <w:contextualSpacing/>
              <w:jc w:val="left"/>
              <w:rPr>
                <w:i/>
                <w:iCs/>
                <w:sz w:val="22"/>
                <w:szCs w:val="22"/>
              </w:rPr>
            </w:pPr>
            <w:r w:rsidRPr="7823C623">
              <w:rPr>
                <w:i/>
                <w:iCs/>
                <w:sz w:val="22"/>
                <w:szCs w:val="22"/>
              </w:rPr>
              <w:t>2.1.1. Forinthitelek kamata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D7527" w14:textId="04877661" w:rsidR="000C7808" w:rsidRPr="007D7393" w:rsidRDefault="000C7808" w:rsidP="000C7808">
            <w:pPr>
              <w:spacing w:after="0"/>
              <w:contextualSpacing/>
              <w:jc w:val="right"/>
              <w:rPr>
                <w:i/>
                <w:iCs/>
                <w:sz w:val="22"/>
                <w:szCs w:val="22"/>
              </w:rPr>
            </w:pPr>
            <w:r>
              <w:rPr>
                <w:i/>
                <w:iCs/>
                <w:sz w:val="22"/>
                <w:szCs w:val="22"/>
              </w:rPr>
              <w:t>14,5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F454E1" w14:textId="18915A1D" w:rsidR="000C7808" w:rsidRPr="007D7393" w:rsidRDefault="000C7808" w:rsidP="000C7808">
            <w:pPr>
              <w:spacing w:after="0"/>
              <w:contextualSpacing/>
              <w:jc w:val="right"/>
              <w:rPr>
                <w:i/>
                <w:iCs/>
                <w:sz w:val="22"/>
                <w:szCs w:val="22"/>
              </w:rPr>
            </w:pPr>
            <w:r>
              <w:rPr>
                <w:i/>
                <w:iCs/>
                <w:sz w:val="22"/>
                <w:szCs w:val="22"/>
              </w:rPr>
              <w:t>24,7</w:t>
            </w:r>
          </w:p>
        </w:tc>
      </w:tr>
      <w:tr w:rsidR="000C7808" w:rsidRPr="007D7393" w14:paraId="02FC72B9" w14:textId="77777777" w:rsidTr="00542081">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0CE9E5" w14:textId="77777777" w:rsidR="000C7808" w:rsidRPr="007D7393" w:rsidRDefault="000C7808" w:rsidP="000C7808">
            <w:pPr>
              <w:spacing w:after="0"/>
              <w:ind w:firstLine="536"/>
              <w:contextualSpacing/>
              <w:jc w:val="left"/>
              <w:rPr>
                <w:sz w:val="22"/>
                <w:szCs w:val="22"/>
              </w:rPr>
            </w:pPr>
            <w:r w:rsidRPr="7823C623">
              <w:rPr>
                <w:i/>
                <w:iCs/>
                <w:sz w:val="22"/>
                <w:szCs w:val="22"/>
              </w:rPr>
              <w:t>2.1.2. Államkötvények kamata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5D054" w14:textId="39169990" w:rsidR="000C7808" w:rsidRPr="007D7393" w:rsidRDefault="000C7808" w:rsidP="000C7808">
            <w:pPr>
              <w:spacing w:after="0"/>
              <w:contextualSpacing/>
              <w:jc w:val="right"/>
              <w:rPr>
                <w:i/>
                <w:iCs/>
                <w:sz w:val="22"/>
                <w:szCs w:val="22"/>
              </w:rPr>
            </w:pPr>
            <w:r>
              <w:rPr>
                <w:i/>
                <w:iCs/>
                <w:sz w:val="22"/>
                <w:szCs w:val="22"/>
              </w:rPr>
              <w:t>902,9</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C61410" w14:textId="39E3F4A1" w:rsidR="000C7808" w:rsidRPr="007D7393" w:rsidRDefault="000C7808" w:rsidP="000C7808">
            <w:pPr>
              <w:spacing w:after="0"/>
              <w:contextualSpacing/>
              <w:jc w:val="right"/>
              <w:rPr>
                <w:i/>
                <w:iCs/>
                <w:sz w:val="22"/>
                <w:szCs w:val="22"/>
              </w:rPr>
            </w:pPr>
            <w:r>
              <w:rPr>
                <w:i/>
                <w:iCs/>
                <w:sz w:val="22"/>
                <w:szCs w:val="22"/>
              </w:rPr>
              <w:t>1385,9</w:t>
            </w:r>
          </w:p>
        </w:tc>
      </w:tr>
      <w:tr w:rsidR="000C7808" w:rsidRPr="007D7393" w14:paraId="434851F1" w14:textId="77777777" w:rsidTr="00542081">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9C9CC92" w14:textId="77777777" w:rsidR="000C7808" w:rsidRPr="007D7393" w:rsidRDefault="000C7808" w:rsidP="000C7808">
            <w:pPr>
              <w:spacing w:after="0"/>
              <w:ind w:firstLine="536"/>
              <w:contextualSpacing/>
              <w:jc w:val="left"/>
              <w:rPr>
                <w:sz w:val="22"/>
                <w:szCs w:val="22"/>
              </w:rPr>
            </w:pPr>
            <w:r w:rsidRPr="7823C623">
              <w:rPr>
                <w:i/>
                <w:iCs/>
                <w:sz w:val="22"/>
                <w:szCs w:val="22"/>
              </w:rPr>
              <w:t>2.1.3. Kincstárjegyek kamata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9BAB5" w14:textId="3C72D457" w:rsidR="000C7808" w:rsidRPr="007D7393" w:rsidRDefault="000C7808" w:rsidP="000C7808">
            <w:pPr>
              <w:spacing w:after="0"/>
              <w:contextualSpacing/>
              <w:jc w:val="right"/>
              <w:rPr>
                <w:i/>
                <w:iCs/>
                <w:sz w:val="22"/>
                <w:szCs w:val="22"/>
              </w:rPr>
            </w:pPr>
            <w:r>
              <w:rPr>
                <w:i/>
                <w:iCs/>
                <w:sz w:val="22"/>
                <w:szCs w:val="22"/>
              </w:rPr>
              <w:t>29,8</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3C8F0B" w14:textId="320C674C" w:rsidR="000C7808" w:rsidRPr="007D7393" w:rsidRDefault="000C7808" w:rsidP="000C7808">
            <w:pPr>
              <w:spacing w:after="0"/>
              <w:contextualSpacing/>
              <w:jc w:val="right"/>
              <w:rPr>
                <w:i/>
                <w:iCs/>
                <w:sz w:val="22"/>
                <w:szCs w:val="22"/>
              </w:rPr>
            </w:pPr>
            <w:r>
              <w:rPr>
                <w:i/>
                <w:iCs/>
                <w:sz w:val="22"/>
                <w:szCs w:val="22"/>
              </w:rPr>
              <w:t>42,2</w:t>
            </w:r>
          </w:p>
        </w:tc>
      </w:tr>
      <w:tr w:rsidR="000C7808" w:rsidRPr="007D7393" w14:paraId="2C9CD66C" w14:textId="77777777" w:rsidTr="00542081">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7C6630" w14:textId="77777777" w:rsidR="000C7808" w:rsidRPr="007D7393" w:rsidRDefault="000C7808" w:rsidP="000C7808">
            <w:pPr>
              <w:spacing w:after="0"/>
              <w:ind w:firstLine="536"/>
              <w:contextualSpacing/>
              <w:jc w:val="left"/>
              <w:rPr>
                <w:sz w:val="22"/>
                <w:szCs w:val="22"/>
              </w:rPr>
            </w:pPr>
            <w:r w:rsidRPr="7823C623">
              <w:rPr>
                <w:i/>
                <w:iCs/>
                <w:sz w:val="22"/>
                <w:szCs w:val="22"/>
              </w:rPr>
              <w:t xml:space="preserve">2.1.4. </w:t>
            </w:r>
            <w:proofErr w:type="spellStart"/>
            <w:r w:rsidRPr="7823C623">
              <w:rPr>
                <w:i/>
                <w:iCs/>
                <w:sz w:val="22"/>
                <w:szCs w:val="22"/>
              </w:rPr>
              <w:t>Repóügyletek</w:t>
            </w:r>
            <w:proofErr w:type="spellEnd"/>
            <w:r w:rsidRPr="7823C623">
              <w:rPr>
                <w:i/>
                <w:iCs/>
                <w:sz w:val="22"/>
                <w:szCs w:val="22"/>
              </w:rPr>
              <w:t xml:space="preserve"> kamata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91EE5" w14:textId="567D6F92" w:rsidR="000C7808" w:rsidRPr="007D7393" w:rsidRDefault="000C7808" w:rsidP="000C7808">
            <w:pPr>
              <w:spacing w:after="0"/>
              <w:contextualSpacing/>
              <w:jc w:val="right"/>
              <w:rPr>
                <w:i/>
                <w:iCs/>
                <w:sz w:val="22"/>
                <w:szCs w:val="22"/>
              </w:rPr>
            </w:pPr>
            <w:r>
              <w:rPr>
                <w:i/>
                <w:iCs/>
                <w:sz w:val="22"/>
                <w:szCs w:val="22"/>
              </w:rPr>
              <w:t>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6D320C4" w14:textId="76CB14E2" w:rsidR="000C7808" w:rsidRPr="007D7393" w:rsidRDefault="000C7808" w:rsidP="000C7808">
            <w:pPr>
              <w:spacing w:after="0"/>
              <w:contextualSpacing/>
              <w:jc w:val="right"/>
              <w:rPr>
                <w:i/>
                <w:iCs/>
                <w:sz w:val="22"/>
                <w:szCs w:val="22"/>
              </w:rPr>
            </w:pPr>
            <w:r>
              <w:rPr>
                <w:i/>
                <w:iCs/>
                <w:sz w:val="22"/>
                <w:szCs w:val="22"/>
              </w:rPr>
              <w:t>3,1</w:t>
            </w:r>
          </w:p>
        </w:tc>
      </w:tr>
      <w:tr w:rsidR="000C7808" w:rsidRPr="007D7393" w14:paraId="6E977BC3" w14:textId="77777777" w:rsidTr="00542081">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7DAB132" w14:textId="77777777" w:rsidR="000C7808" w:rsidRPr="007D7393" w:rsidRDefault="000C7808" w:rsidP="000C7808">
            <w:pPr>
              <w:spacing w:after="0"/>
              <w:ind w:firstLine="536"/>
              <w:contextualSpacing/>
              <w:jc w:val="left"/>
              <w:rPr>
                <w:i/>
                <w:iCs/>
                <w:sz w:val="22"/>
                <w:szCs w:val="22"/>
              </w:rPr>
            </w:pPr>
            <w:r w:rsidRPr="7823C623">
              <w:rPr>
                <w:i/>
                <w:iCs/>
                <w:sz w:val="22"/>
                <w:szCs w:val="22"/>
              </w:rPr>
              <w:t>2.1.5. Egyéb függő tételek</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C9B57" w14:textId="104C9072" w:rsidR="000C7808" w:rsidRPr="007D7393" w:rsidRDefault="000C7808" w:rsidP="000C7808">
            <w:pPr>
              <w:spacing w:after="0"/>
              <w:contextualSpacing/>
              <w:jc w:val="right"/>
              <w:rPr>
                <w:i/>
                <w:iCs/>
                <w:sz w:val="22"/>
                <w:szCs w:val="22"/>
              </w:rPr>
            </w:pPr>
            <w:r>
              <w:rPr>
                <w:i/>
                <w:iCs/>
                <w:sz w:val="22"/>
                <w:szCs w:val="22"/>
              </w:rPr>
              <w:t>0,</w:t>
            </w:r>
            <w:proofErr w:type="spellStart"/>
            <w:r>
              <w:rPr>
                <w:i/>
                <w:iCs/>
                <w:sz w:val="22"/>
                <w:szCs w:val="22"/>
              </w:rPr>
              <w:t>0</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7019B8" w14:textId="26007344" w:rsidR="000C7808" w:rsidRPr="007D7393" w:rsidRDefault="000C7808" w:rsidP="000C7808">
            <w:pPr>
              <w:spacing w:after="0"/>
              <w:contextualSpacing/>
              <w:jc w:val="right"/>
              <w:rPr>
                <w:i/>
                <w:iCs/>
                <w:sz w:val="22"/>
                <w:szCs w:val="22"/>
              </w:rPr>
            </w:pPr>
            <w:r>
              <w:rPr>
                <w:i/>
                <w:iCs/>
                <w:sz w:val="22"/>
                <w:szCs w:val="22"/>
              </w:rPr>
              <w:t>0,</w:t>
            </w:r>
            <w:proofErr w:type="spellStart"/>
            <w:r>
              <w:rPr>
                <w:i/>
                <w:iCs/>
                <w:sz w:val="22"/>
                <w:szCs w:val="22"/>
              </w:rPr>
              <w:t>0</w:t>
            </w:r>
            <w:proofErr w:type="spellEnd"/>
          </w:p>
        </w:tc>
      </w:tr>
      <w:tr w:rsidR="000C7808" w:rsidRPr="007D7393" w14:paraId="37368B4F" w14:textId="77777777" w:rsidTr="00542081">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473D276" w14:textId="0D2BE476" w:rsidR="000C7808" w:rsidRPr="007D7393" w:rsidRDefault="000C7808" w:rsidP="000C7808">
            <w:pPr>
              <w:spacing w:after="0"/>
              <w:ind w:firstLine="253"/>
              <w:contextualSpacing/>
              <w:jc w:val="left"/>
              <w:rPr>
                <w:sz w:val="22"/>
                <w:szCs w:val="22"/>
              </w:rPr>
            </w:pPr>
            <w:r w:rsidRPr="7823C623">
              <w:rPr>
                <w:b/>
                <w:bCs/>
                <w:sz w:val="22"/>
                <w:szCs w:val="22"/>
              </w:rPr>
              <w:t>2.2. Deviza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DE4FE" w14:textId="2411591D" w:rsidR="000C7808" w:rsidRPr="007D7393" w:rsidRDefault="000C7808" w:rsidP="000C7808">
            <w:pPr>
              <w:spacing w:after="0"/>
              <w:contextualSpacing/>
              <w:jc w:val="right"/>
              <w:rPr>
                <w:b/>
                <w:bCs/>
                <w:sz w:val="22"/>
                <w:szCs w:val="22"/>
              </w:rPr>
            </w:pPr>
            <w:r>
              <w:rPr>
                <w:b/>
                <w:bCs/>
                <w:sz w:val="22"/>
                <w:szCs w:val="22"/>
              </w:rPr>
              <w:t>169,2</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F269BDE" w14:textId="65E525DB" w:rsidR="000C7808" w:rsidRPr="007D7393" w:rsidRDefault="000C7808" w:rsidP="00146E10">
            <w:pPr>
              <w:spacing w:after="0"/>
              <w:contextualSpacing/>
              <w:jc w:val="right"/>
              <w:rPr>
                <w:b/>
                <w:bCs/>
                <w:sz w:val="22"/>
                <w:szCs w:val="22"/>
              </w:rPr>
            </w:pPr>
            <w:r>
              <w:rPr>
                <w:b/>
                <w:bCs/>
                <w:sz w:val="22"/>
                <w:szCs w:val="22"/>
              </w:rPr>
              <w:t>176,</w:t>
            </w:r>
            <w:r w:rsidR="00146E10">
              <w:rPr>
                <w:b/>
                <w:bCs/>
                <w:sz w:val="22"/>
                <w:szCs w:val="22"/>
              </w:rPr>
              <w:t>5</w:t>
            </w:r>
          </w:p>
        </w:tc>
      </w:tr>
      <w:tr w:rsidR="000C7808" w:rsidRPr="007D7393" w14:paraId="114C21E4" w14:textId="77777777" w:rsidTr="00542081">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8B32AF" w14:textId="65525C1F" w:rsidR="000C7808" w:rsidRPr="007D7393" w:rsidRDefault="000C7808" w:rsidP="000C7808">
            <w:pPr>
              <w:spacing w:after="0"/>
              <w:ind w:firstLine="536"/>
              <w:contextualSpacing/>
              <w:jc w:val="left"/>
              <w:rPr>
                <w:sz w:val="22"/>
                <w:szCs w:val="22"/>
              </w:rPr>
            </w:pPr>
            <w:r w:rsidRPr="7823C623">
              <w:rPr>
                <w:i/>
                <w:iCs/>
                <w:sz w:val="22"/>
                <w:szCs w:val="22"/>
              </w:rPr>
              <w:t>2.2.1. Devizahitelek kamata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44D5F" w14:textId="44BF9785" w:rsidR="000C7808" w:rsidRPr="007D7393" w:rsidRDefault="000C7808" w:rsidP="000C7808">
            <w:pPr>
              <w:spacing w:after="0"/>
              <w:contextualSpacing/>
              <w:jc w:val="right"/>
              <w:rPr>
                <w:i/>
                <w:iCs/>
                <w:sz w:val="22"/>
                <w:szCs w:val="22"/>
              </w:rPr>
            </w:pPr>
            <w:r>
              <w:rPr>
                <w:i/>
                <w:iCs/>
                <w:sz w:val="22"/>
                <w:szCs w:val="22"/>
              </w:rPr>
              <w:t>17,1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B921A3" w14:textId="7FCFE35D" w:rsidR="000C7808" w:rsidRPr="007D7393" w:rsidRDefault="000C7808" w:rsidP="000C7808">
            <w:pPr>
              <w:spacing w:after="0"/>
              <w:contextualSpacing/>
              <w:jc w:val="right"/>
              <w:rPr>
                <w:i/>
                <w:iCs/>
                <w:sz w:val="22"/>
                <w:szCs w:val="22"/>
              </w:rPr>
            </w:pPr>
            <w:r>
              <w:rPr>
                <w:i/>
                <w:iCs/>
                <w:sz w:val="22"/>
                <w:szCs w:val="22"/>
              </w:rPr>
              <w:t>16,4</w:t>
            </w:r>
          </w:p>
        </w:tc>
      </w:tr>
      <w:tr w:rsidR="000C7808" w:rsidRPr="007D7393" w14:paraId="7939DFDD" w14:textId="77777777" w:rsidTr="00542081">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BCD9BB" w14:textId="00A2C799" w:rsidR="000C7808" w:rsidRPr="007D7393" w:rsidRDefault="000C7808" w:rsidP="000C7808">
            <w:pPr>
              <w:spacing w:after="0"/>
              <w:ind w:firstLine="536"/>
              <w:contextualSpacing/>
              <w:jc w:val="left"/>
              <w:rPr>
                <w:sz w:val="22"/>
                <w:szCs w:val="22"/>
              </w:rPr>
            </w:pPr>
            <w:r w:rsidRPr="7823C623">
              <w:rPr>
                <w:i/>
                <w:iCs/>
                <w:sz w:val="22"/>
                <w:szCs w:val="22"/>
              </w:rPr>
              <w:t>2.2.2. Devizakötvények kamata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9B3B9" w14:textId="6E0BA410" w:rsidR="000C7808" w:rsidRPr="007D7393" w:rsidRDefault="000C7808" w:rsidP="000C7808">
            <w:pPr>
              <w:spacing w:after="0"/>
              <w:contextualSpacing/>
              <w:jc w:val="right"/>
              <w:rPr>
                <w:i/>
                <w:iCs/>
                <w:sz w:val="22"/>
                <w:szCs w:val="22"/>
              </w:rPr>
            </w:pPr>
            <w:r>
              <w:rPr>
                <w:i/>
                <w:iCs/>
                <w:sz w:val="22"/>
                <w:szCs w:val="22"/>
              </w:rPr>
              <w:t>152,1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170A36A" w14:textId="196DDFF7" w:rsidR="000C7808" w:rsidRPr="007D7393" w:rsidRDefault="000C7808" w:rsidP="00146E10">
            <w:pPr>
              <w:spacing w:after="0"/>
              <w:contextualSpacing/>
              <w:jc w:val="right"/>
              <w:rPr>
                <w:i/>
                <w:iCs/>
                <w:sz w:val="22"/>
                <w:szCs w:val="22"/>
              </w:rPr>
            </w:pPr>
            <w:r>
              <w:rPr>
                <w:i/>
                <w:iCs/>
                <w:sz w:val="22"/>
                <w:szCs w:val="22"/>
              </w:rPr>
              <w:t>160,</w:t>
            </w:r>
            <w:r w:rsidR="00146E10">
              <w:rPr>
                <w:i/>
                <w:iCs/>
                <w:sz w:val="22"/>
                <w:szCs w:val="22"/>
              </w:rPr>
              <w:t>1</w:t>
            </w:r>
          </w:p>
        </w:tc>
      </w:tr>
      <w:tr w:rsidR="000C7808" w:rsidRPr="007D7393" w14:paraId="2991046C" w14:textId="77777777" w:rsidTr="00542081">
        <w:trPr>
          <w:trHeight w:val="397"/>
          <w:jc w:val="center"/>
        </w:trPr>
        <w:tc>
          <w:tcPr>
            <w:tcW w:w="475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4F24722" w14:textId="0F75EDFC" w:rsidR="000C7808" w:rsidRPr="007D7393" w:rsidRDefault="000C7808" w:rsidP="000C7808">
            <w:pPr>
              <w:spacing w:after="0"/>
              <w:contextualSpacing/>
              <w:jc w:val="left"/>
              <w:rPr>
                <w:b/>
                <w:bCs/>
                <w:sz w:val="22"/>
                <w:szCs w:val="22"/>
              </w:rPr>
            </w:pPr>
            <w:r w:rsidRPr="7823C623">
              <w:rPr>
                <w:b/>
                <w:bCs/>
                <w:sz w:val="22"/>
                <w:szCs w:val="22"/>
              </w:rPr>
              <w:t>3. Kamategyenleg</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FA283" w14:textId="58403987" w:rsidR="000C7808" w:rsidRPr="007D7393" w:rsidRDefault="000C7808" w:rsidP="000C7808">
            <w:pPr>
              <w:spacing w:after="0"/>
              <w:contextualSpacing/>
              <w:jc w:val="right"/>
              <w:rPr>
                <w:b/>
                <w:bCs/>
                <w:sz w:val="22"/>
                <w:szCs w:val="22"/>
              </w:rPr>
            </w:pPr>
            <w:r>
              <w:rPr>
                <w:b/>
                <w:bCs/>
                <w:sz w:val="22"/>
                <w:szCs w:val="22"/>
              </w:rPr>
              <w:t>1031,7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02A8083" w14:textId="3DC6D213" w:rsidR="000C7808" w:rsidRPr="007D7393" w:rsidRDefault="000C7808" w:rsidP="000C7808">
            <w:pPr>
              <w:spacing w:after="0"/>
              <w:contextualSpacing/>
              <w:jc w:val="right"/>
              <w:rPr>
                <w:b/>
                <w:bCs/>
                <w:sz w:val="22"/>
                <w:szCs w:val="22"/>
              </w:rPr>
            </w:pPr>
            <w:r>
              <w:rPr>
                <w:b/>
                <w:bCs/>
                <w:sz w:val="22"/>
                <w:szCs w:val="22"/>
              </w:rPr>
              <w:t>1447,2</w:t>
            </w:r>
          </w:p>
        </w:tc>
      </w:tr>
    </w:tbl>
    <w:p w14:paraId="5D4F03D9" w14:textId="07AF30E8" w:rsidR="00D52A69" w:rsidRPr="00AE23C3" w:rsidRDefault="00E4079D" w:rsidP="00D52A69">
      <w:pPr>
        <w:tabs>
          <w:tab w:val="left" w:pos="550"/>
        </w:tabs>
        <w:spacing w:before="120"/>
        <w:rPr>
          <w:caps/>
        </w:rPr>
      </w:pPr>
      <w:r w:rsidRPr="00AE23C3">
        <w:rPr>
          <w:caps/>
        </w:rPr>
        <w:br w:type="page"/>
      </w:r>
    </w:p>
    <w:p w14:paraId="5D4F0440" w14:textId="417C1316" w:rsidR="00B93477" w:rsidRPr="00550AF1" w:rsidRDefault="7823C623" w:rsidP="7823C623">
      <w:pPr>
        <w:pStyle w:val="Cmsor4"/>
        <w:ind w:right="-1"/>
        <w:jc w:val="center"/>
        <w:rPr>
          <w:caps/>
        </w:rPr>
      </w:pPr>
      <w:r w:rsidRPr="7823C623">
        <w:rPr>
          <w:caps/>
        </w:rPr>
        <w:lastRenderedPageBreak/>
        <w:t>II.</w:t>
      </w:r>
      <w:r w:rsidR="69871672">
        <w:br/>
      </w:r>
      <w:r w:rsidRPr="7823C623">
        <w:rPr>
          <w:caps/>
        </w:rPr>
        <w:t>Az államháztartás központi alrendszerének finanszírozása</w:t>
      </w:r>
    </w:p>
    <w:p w14:paraId="64D3034E" w14:textId="77777777" w:rsidR="00650CB3" w:rsidRPr="00550AF1" w:rsidRDefault="00650CB3" w:rsidP="00F15CBF">
      <w:pPr>
        <w:widowControl w:val="0"/>
        <w:rPr>
          <w:szCs w:val="26"/>
        </w:rPr>
      </w:pPr>
    </w:p>
    <w:p w14:paraId="5D4F0441" w14:textId="77777777" w:rsidR="006E2559" w:rsidRPr="00550AF1" w:rsidRDefault="7823C623" w:rsidP="00F15CBF">
      <w:pPr>
        <w:pStyle w:val="Cmsor4"/>
        <w:rPr>
          <w:szCs w:val="26"/>
        </w:rPr>
      </w:pPr>
      <w:r>
        <w:t xml:space="preserve">Állományi adatok </w:t>
      </w:r>
    </w:p>
    <w:p w14:paraId="589C55E4" w14:textId="77777777" w:rsidR="005D009C" w:rsidRPr="00550AF1" w:rsidRDefault="005D009C" w:rsidP="00F15CBF">
      <w:pPr>
        <w:keepNext/>
        <w:rPr>
          <w:szCs w:val="26"/>
        </w:rPr>
      </w:pPr>
    </w:p>
    <w:p w14:paraId="5198F558" w14:textId="77777777" w:rsidR="006F49CA" w:rsidRPr="0035775A" w:rsidRDefault="006F49CA" w:rsidP="00F15CBF">
      <w:pPr>
        <w:ind w:right="23"/>
        <w:rPr>
          <w:bCs/>
          <w:szCs w:val="26"/>
        </w:rPr>
      </w:pPr>
      <w:r w:rsidRPr="0035775A">
        <w:rPr>
          <w:b/>
          <w:bCs/>
          <w:szCs w:val="26"/>
        </w:rPr>
        <w:t xml:space="preserve">A központi költségvetés adóssága 2022. október végéig </w:t>
      </w:r>
      <w:r w:rsidRPr="0035775A">
        <w:rPr>
          <w:bCs/>
          <w:szCs w:val="26"/>
        </w:rPr>
        <w:t>3594,4</w:t>
      </w:r>
      <w:r>
        <w:rPr>
          <w:bCs/>
          <w:szCs w:val="26"/>
        </w:rPr>
        <w:t> milliárd</w:t>
      </w:r>
      <w:r w:rsidRPr="0035775A">
        <w:rPr>
          <w:bCs/>
          <w:szCs w:val="26"/>
        </w:rPr>
        <w:t xml:space="preserve"> forinttal </w:t>
      </w:r>
      <w:r w:rsidRPr="0035775A">
        <w:rPr>
          <w:b/>
          <w:bCs/>
          <w:szCs w:val="26"/>
        </w:rPr>
        <w:t xml:space="preserve">növekedett </w:t>
      </w:r>
      <w:r w:rsidRPr="0035775A">
        <w:rPr>
          <w:bCs/>
          <w:szCs w:val="26"/>
        </w:rPr>
        <w:t>a következő négy tényező eredményeképpen:</w:t>
      </w:r>
    </w:p>
    <w:p w14:paraId="74090C4E" w14:textId="77777777" w:rsidR="006F49CA" w:rsidRPr="0035775A" w:rsidRDefault="006F49CA" w:rsidP="00F15CBF">
      <w:pPr>
        <w:numPr>
          <w:ilvl w:val="0"/>
          <w:numId w:val="7"/>
        </w:numPr>
        <w:ind w:left="714" w:right="23" w:hanging="357"/>
        <w:rPr>
          <w:bCs/>
          <w:szCs w:val="26"/>
        </w:rPr>
      </w:pPr>
      <w:r w:rsidRPr="0035775A">
        <w:rPr>
          <w:b/>
          <w:bCs/>
          <w:szCs w:val="26"/>
        </w:rPr>
        <w:t>Az első tényező,</w:t>
      </w:r>
      <w:r w:rsidRPr="0035775A">
        <w:rPr>
          <w:bCs/>
          <w:szCs w:val="26"/>
        </w:rPr>
        <w:t xml:space="preserve"> amely </w:t>
      </w:r>
      <w:r w:rsidRPr="0035775A">
        <w:rPr>
          <w:b/>
          <w:bCs/>
          <w:szCs w:val="26"/>
        </w:rPr>
        <w:t xml:space="preserve">növelte </w:t>
      </w:r>
      <w:r w:rsidRPr="0035775A">
        <w:rPr>
          <w:bCs/>
          <w:szCs w:val="26"/>
        </w:rPr>
        <w:t>az adósságot, a nettó forintkibocsátás 873,5</w:t>
      </w:r>
      <w:r>
        <w:rPr>
          <w:bCs/>
          <w:szCs w:val="26"/>
        </w:rPr>
        <w:t> milliárd</w:t>
      </w:r>
      <w:r w:rsidRPr="0035775A">
        <w:rPr>
          <w:bCs/>
          <w:szCs w:val="26"/>
        </w:rPr>
        <w:t xml:space="preserve"> forint összegben, ami a költségvetés hiányát finanszírozza.</w:t>
      </w:r>
    </w:p>
    <w:p w14:paraId="1A29F64A" w14:textId="77777777" w:rsidR="006F49CA" w:rsidRPr="0035775A" w:rsidRDefault="006F49CA" w:rsidP="00F15CBF">
      <w:pPr>
        <w:numPr>
          <w:ilvl w:val="0"/>
          <w:numId w:val="7"/>
        </w:numPr>
        <w:ind w:right="23"/>
        <w:rPr>
          <w:bCs/>
          <w:szCs w:val="26"/>
        </w:rPr>
      </w:pPr>
      <w:r w:rsidRPr="0035775A">
        <w:rPr>
          <w:b/>
          <w:bCs/>
          <w:szCs w:val="26"/>
        </w:rPr>
        <w:t xml:space="preserve">A második – növelő hatású – tényező </w:t>
      </w:r>
      <w:r w:rsidRPr="0035775A">
        <w:rPr>
          <w:bCs/>
          <w:szCs w:val="26"/>
        </w:rPr>
        <w:t xml:space="preserve">a nettó </w:t>
      </w:r>
      <w:proofErr w:type="spellStart"/>
      <w:r w:rsidRPr="0035775A">
        <w:rPr>
          <w:bCs/>
          <w:szCs w:val="26"/>
        </w:rPr>
        <w:t>devizakibocsátás</w:t>
      </w:r>
      <w:proofErr w:type="spellEnd"/>
      <w:r w:rsidRPr="0035775A">
        <w:rPr>
          <w:bCs/>
          <w:szCs w:val="26"/>
        </w:rPr>
        <w:t>, amely 1312,7</w:t>
      </w:r>
      <w:r>
        <w:rPr>
          <w:bCs/>
          <w:szCs w:val="26"/>
        </w:rPr>
        <w:t> milliárd</w:t>
      </w:r>
      <w:r w:rsidRPr="0035775A">
        <w:rPr>
          <w:bCs/>
          <w:szCs w:val="26"/>
        </w:rPr>
        <w:t xml:space="preserve"> forinttal növelte a költségvetés adósságát.</w:t>
      </w:r>
    </w:p>
    <w:p w14:paraId="56DA225D" w14:textId="77777777" w:rsidR="006F49CA" w:rsidRPr="0035775A" w:rsidRDefault="006F49CA" w:rsidP="00F15CBF">
      <w:pPr>
        <w:numPr>
          <w:ilvl w:val="0"/>
          <w:numId w:val="7"/>
        </w:numPr>
        <w:ind w:left="714" w:right="23" w:hanging="357"/>
        <w:rPr>
          <w:bCs/>
          <w:szCs w:val="26"/>
        </w:rPr>
      </w:pPr>
      <w:r w:rsidRPr="0035775A">
        <w:rPr>
          <w:b/>
          <w:bCs/>
          <w:szCs w:val="26"/>
        </w:rPr>
        <w:t xml:space="preserve">A harmadik – szintén növelő hatású – tényező </w:t>
      </w:r>
      <w:r w:rsidRPr="0035775A">
        <w:rPr>
          <w:bCs/>
          <w:szCs w:val="26"/>
        </w:rPr>
        <w:t xml:space="preserve">a forint árfolyamának az elmúlt év végéhez képest bekövetkezett gyengülése, amely az adósság devizában fennálló részének forintban számított nyilvántartási értékét </w:t>
      </w:r>
      <w:r>
        <w:rPr>
          <w:bCs/>
          <w:szCs w:val="26"/>
        </w:rPr>
        <w:t>1</w:t>
      </w:r>
      <w:r w:rsidRPr="0035775A">
        <w:rPr>
          <w:bCs/>
          <w:szCs w:val="26"/>
        </w:rPr>
        <w:t>063,6</w:t>
      </w:r>
      <w:r>
        <w:rPr>
          <w:bCs/>
          <w:szCs w:val="26"/>
        </w:rPr>
        <w:t> milliárd</w:t>
      </w:r>
      <w:r w:rsidRPr="0035775A">
        <w:rPr>
          <w:bCs/>
          <w:szCs w:val="26"/>
        </w:rPr>
        <w:t xml:space="preserve"> forinttal növelte.</w:t>
      </w:r>
    </w:p>
    <w:p w14:paraId="009803F1" w14:textId="09652D72" w:rsidR="005D009C" w:rsidRPr="00550AF1" w:rsidRDefault="006F49CA" w:rsidP="00F15CBF">
      <w:pPr>
        <w:numPr>
          <w:ilvl w:val="0"/>
          <w:numId w:val="7"/>
        </w:numPr>
        <w:ind w:left="714" w:right="23" w:hanging="357"/>
      </w:pPr>
      <w:r w:rsidRPr="0035775A">
        <w:rPr>
          <w:b/>
          <w:bCs/>
          <w:szCs w:val="26"/>
        </w:rPr>
        <w:t xml:space="preserve">A negyedik – további növelő hatású – tényező </w:t>
      </w:r>
      <w:r w:rsidRPr="0035775A">
        <w:rPr>
          <w:bCs/>
          <w:szCs w:val="26"/>
        </w:rPr>
        <w:t xml:space="preserve">a deviza-keresztárfolyamok változása és egyéb tényezők miatt bekövetkezett </w:t>
      </w:r>
      <w:proofErr w:type="spellStart"/>
      <w:r w:rsidRPr="0035775A">
        <w:rPr>
          <w:bCs/>
          <w:szCs w:val="26"/>
        </w:rPr>
        <w:t>mark-to-market</w:t>
      </w:r>
      <w:proofErr w:type="spellEnd"/>
      <w:r w:rsidRPr="0035775A">
        <w:rPr>
          <w:bCs/>
          <w:szCs w:val="26"/>
        </w:rPr>
        <w:t xml:space="preserve"> betétállományok növekedése 344,6</w:t>
      </w:r>
      <w:r>
        <w:rPr>
          <w:bCs/>
          <w:szCs w:val="26"/>
        </w:rPr>
        <w:t> milliárd</w:t>
      </w:r>
      <w:r w:rsidRPr="0035775A">
        <w:rPr>
          <w:bCs/>
          <w:szCs w:val="26"/>
        </w:rPr>
        <w:t xml:space="preserve"> forint összegben</w:t>
      </w:r>
      <w:r w:rsidR="7823C623">
        <w:t>.</w:t>
      </w:r>
    </w:p>
    <w:p w14:paraId="2A5B3AF7" w14:textId="77777777" w:rsidR="005D009C" w:rsidRPr="00550AF1" w:rsidRDefault="005D009C" w:rsidP="00F15CBF">
      <w:pPr>
        <w:rPr>
          <w:szCs w:val="26"/>
        </w:rPr>
      </w:pPr>
    </w:p>
    <w:p w14:paraId="509339C9" w14:textId="77777777" w:rsidR="00427794" w:rsidRPr="00550AF1" w:rsidRDefault="00427794" w:rsidP="00F15CBF">
      <w:pPr>
        <w:spacing w:before="120"/>
        <w:ind w:right="23"/>
        <w:rPr>
          <w:bCs/>
          <w:szCs w:val="26"/>
        </w:rPr>
        <w:sectPr w:rsidR="00427794" w:rsidRPr="00550AF1" w:rsidSect="00D46179">
          <w:headerReference w:type="default" r:id="rId24"/>
          <w:headerReference w:type="first" r:id="rId25"/>
          <w:footnotePr>
            <w:numRestart w:val="eachPage"/>
          </w:footnotePr>
          <w:pgSz w:w="11907" w:h="16840" w:code="9"/>
          <w:pgMar w:top="1134" w:right="1134" w:bottom="1418" w:left="1418" w:header="709" w:footer="709" w:gutter="0"/>
          <w:pgNumType w:start="1"/>
          <w:cols w:space="708"/>
          <w:docGrid w:linePitch="354"/>
        </w:sectPr>
      </w:pPr>
    </w:p>
    <w:p w14:paraId="405D8FE5" w14:textId="51513638" w:rsidR="00256EE8" w:rsidRPr="00550AF1" w:rsidRDefault="7823C623" w:rsidP="005675B2">
      <w:pPr>
        <w:ind w:right="23"/>
        <w:rPr>
          <w:bCs/>
          <w:szCs w:val="26"/>
        </w:rPr>
      </w:pPr>
      <w:r>
        <w:lastRenderedPageBreak/>
        <w:t xml:space="preserve">Az előzetes adatok szerint </w:t>
      </w:r>
      <w:r w:rsidR="000C7808">
        <w:t>október</w:t>
      </w:r>
      <w:r>
        <w:t xml:space="preserve"> végén a </w:t>
      </w:r>
      <w:r w:rsidRPr="7823C623">
        <w:rPr>
          <w:b/>
          <w:bCs/>
        </w:rPr>
        <w:t xml:space="preserve">központi költségvetés forint- és devizaadóssága </w:t>
      </w:r>
      <w:r>
        <w:t>az alábbiak szerint alakult:</w:t>
      </w:r>
    </w:p>
    <w:p w14:paraId="45726EA9" w14:textId="3A77F9A5" w:rsidR="00BF18EE" w:rsidRPr="00550AF1" w:rsidRDefault="7823C623" w:rsidP="005675B2">
      <w:pPr>
        <w:overflowPunct w:val="0"/>
        <w:autoSpaceDE w:val="0"/>
        <w:autoSpaceDN w:val="0"/>
        <w:adjustRightInd w:val="0"/>
        <w:ind w:right="23"/>
        <w:jc w:val="center"/>
        <w:textAlignment w:val="baseline"/>
        <w:rPr>
          <w:szCs w:val="26"/>
        </w:rPr>
      </w:pPr>
      <w:r>
        <w:t>A központi költségvetés adósságának alakulása 2022-ben, milliárd forint</w:t>
      </w:r>
    </w:p>
    <w:p w14:paraId="689D04B3" w14:textId="6ADA2D92" w:rsidR="009773BE" w:rsidRPr="00550AF1" w:rsidRDefault="000C7808" w:rsidP="00D94F6F">
      <w:pPr>
        <w:overflowPunct w:val="0"/>
        <w:autoSpaceDE w:val="0"/>
        <w:autoSpaceDN w:val="0"/>
        <w:adjustRightInd w:val="0"/>
        <w:ind w:right="23"/>
        <w:jc w:val="center"/>
        <w:textAlignment w:val="baseline"/>
        <w:rPr>
          <w:szCs w:val="26"/>
        </w:rPr>
      </w:pPr>
      <w:r w:rsidRPr="000C7808">
        <w:rPr>
          <w:noProof/>
        </w:rPr>
        <w:drawing>
          <wp:inline distT="0" distB="0" distL="0" distR="0" wp14:anchorId="5903049F" wp14:editId="42B13224">
            <wp:extent cx="9072880" cy="3606651"/>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072880" cy="3606651"/>
                    </a:xfrm>
                    <a:prstGeom prst="rect">
                      <a:avLst/>
                    </a:prstGeom>
                    <a:noFill/>
                    <a:ln>
                      <a:noFill/>
                    </a:ln>
                  </pic:spPr>
                </pic:pic>
              </a:graphicData>
            </a:graphic>
          </wp:inline>
        </w:drawing>
      </w:r>
    </w:p>
    <w:p w14:paraId="6ECE2FDE" w14:textId="12A9786E" w:rsidR="00E6275A" w:rsidRPr="003E7566" w:rsidRDefault="7823C623" w:rsidP="00F15CBF">
      <w:pPr>
        <w:rPr>
          <w:sz w:val="24"/>
          <w:szCs w:val="26"/>
        </w:rPr>
      </w:pPr>
      <w:r w:rsidRPr="003E7566">
        <w:rPr>
          <w:i/>
          <w:iCs/>
          <w:sz w:val="24"/>
        </w:rPr>
        <w:t>Megjegyzés: a táblában szereplő tizedes eltérések kerekítésből adódnak.</w:t>
      </w:r>
    </w:p>
    <w:p w14:paraId="5D4F044B" w14:textId="77777777" w:rsidR="00881044" w:rsidRPr="00550AF1" w:rsidRDefault="00881044" w:rsidP="00F15CBF">
      <w:pPr>
        <w:overflowPunct w:val="0"/>
        <w:autoSpaceDE w:val="0"/>
        <w:autoSpaceDN w:val="0"/>
        <w:adjustRightInd w:val="0"/>
        <w:ind w:right="23"/>
        <w:textAlignment w:val="baseline"/>
        <w:rPr>
          <w:b/>
          <w:bCs/>
          <w:szCs w:val="26"/>
        </w:rPr>
        <w:sectPr w:rsidR="00881044" w:rsidRPr="00550AF1" w:rsidSect="00D46179">
          <w:headerReference w:type="default" r:id="rId27"/>
          <w:headerReference w:type="first" r:id="rId28"/>
          <w:footnotePr>
            <w:numRestart w:val="eachPage"/>
          </w:footnotePr>
          <w:pgSz w:w="16840" w:h="11907" w:orient="landscape" w:code="9"/>
          <w:pgMar w:top="993" w:right="1134" w:bottom="1134" w:left="1418" w:header="709" w:footer="709" w:gutter="0"/>
          <w:cols w:space="708"/>
          <w:titlePg/>
        </w:sectPr>
      </w:pPr>
    </w:p>
    <w:p w14:paraId="79018333" w14:textId="77777777" w:rsidR="006F49CA" w:rsidRPr="006F49CA" w:rsidRDefault="006F49CA" w:rsidP="00F15CBF">
      <w:pPr>
        <w:pStyle w:val="Szvegtrzs"/>
        <w:rPr>
          <w:color w:val="auto"/>
          <w:szCs w:val="26"/>
        </w:rPr>
      </w:pPr>
      <w:r w:rsidRPr="006F49CA">
        <w:rPr>
          <w:b/>
          <w:bCs/>
          <w:color w:val="auto"/>
          <w:szCs w:val="26"/>
        </w:rPr>
        <w:lastRenderedPageBreak/>
        <w:t>A központi költségvetés devizaadóssága</w:t>
      </w:r>
      <w:r w:rsidRPr="006F49CA">
        <w:rPr>
          <w:color w:val="auto"/>
          <w:szCs w:val="26"/>
        </w:rPr>
        <w:t xml:space="preserve"> 2022-ben 2376,3 milliárd forinttal 10 771,5 milliárd forintra növekedett az elmúlt év végéhez képest. A devizaadósság részaránya a 2021. év végi 20,6%-os szintről 24,3%-os szintre emelkedett a teljes adósságon belül. A növekedés hátterében döntően a februárban kibocsátott 205,4 milliárd forint összegű Szamuráj kötvények, a júniusban kibocsátott 1441,3 milliárd forint összegű devizakötvények, valamint az árfolyamgyengülés állnak.</w:t>
      </w:r>
    </w:p>
    <w:p w14:paraId="4A132759" w14:textId="77777777" w:rsidR="006F49CA" w:rsidRPr="0035775A" w:rsidRDefault="006F49CA" w:rsidP="00F15CBF">
      <w:pPr>
        <w:rPr>
          <w:szCs w:val="26"/>
        </w:rPr>
      </w:pPr>
      <w:r w:rsidRPr="0035775A">
        <w:rPr>
          <w:b/>
          <w:bCs/>
          <w:szCs w:val="26"/>
        </w:rPr>
        <w:t>A költségvetés forintadóssága</w:t>
      </w:r>
      <w:r w:rsidRPr="0035775A">
        <w:rPr>
          <w:szCs w:val="26"/>
        </w:rPr>
        <w:t xml:space="preserve"> október</w:t>
      </w:r>
      <w:r w:rsidRPr="0035775A">
        <w:rPr>
          <w:bCs/>
          <w:szCs w:val="26"/>
        </w:rPr>
        <w:t xml:space="preserve"> végéig 873,5</w:t>
      </w:r>
      <w:r>
        <w:rPr>
          <w:bCs/>
          <w:szCs w:val="26"/>
        </w:rPr>
        <w:t> milliárd</w:t>
      </w:r>
      <w:r w:rsidRPr="0035775A">
        <w:rPr>
          <w:szCs w:val="26"/>
        </w:rPr>
        <w:t xml:space="preserve"> forinttal növekedett, és 32 994,7</w:t>
      </w:r>
      <w:r>
        <w:rPr>
          <w:szCs w:val="26"/>
        </w:rPr>
        <w:t> milliárd</w:t>
      </w:r>
      <w:r w:rsidRPr="0035775A">
        <w:rPr>
          <w:szCs w:val="26"/>
        </w:rPr>
        <w:t xml:space="preserve"> forintot ért el, a forint adósság a teljes államadósság 74,5%-át teszi ki. 2021 decemberében ez az arány 78,9% volt. </w:t>
      </w:r>
    </w:p>
    <w:p w14:paraId="5BD969DB" w14:textId="77777777" w:rsidR="006F49CA" w:rsidRPr="0035775A" w:rsidRDefault="006F49CA" w:rsidP="00F15CBF">
      <w:pPr>
        <w:rPr>
          <w:szCs w:val="26"/>
        </w:rPr>
      </w:pPr>
      <w:r w:rsidRPr="0035775A">
        <w:rPr>
          <w:szCs w:val="26"/>
        </w:rPr>
        <w:t>2022.</w:t>
      </w:r>
      <w:r w:rsidRPr="0035775A">
        <w:rPr>
          <w:bCs/>
          <w:szCs w:val="26"/>
        </w:rPr>
        <w:t xml:space="preserve"> október </w:t>
      </w:r>
      <w:r w:rsidRPr="0035775A">
        <w:rPr>
          <w:szCs w:val="26"/>
        </w:rPr>
        <w:t>végén a forint lakossági állampapírok állománya 8997,9</w:t>
      </w:r>
      <w:r>
        <w:rPr>
          <w:szCs w:val="26"/>
        </w:rPr>
        <w:t> milliárd</w:t>
      </w:r>
      <w:r w:rsidRPr="0035775A">
        <w:rPr>
          <w:szCs w:val="26"/>
        </w:rPr>
        <w:t xml:space="preserve"> forintot tett ki, ami 1012,4</w:t>
      </w:r>
      <w:r>
        <w:rPr>
          <w:szCs w:val="26"/>
        </w:rPr>
        <w:t> milliárd</w:t>
      </w:r>
      <w:r w:rsidRPr="0035775A">
        <w:rPr>
          <w:szCs w:val="26"/>
        </w:rPr>
        <w:t xml:space="preserve"> forint csökkenést jelent 2021. december vége óta. </w:t>
      </w:r>
    </w:p>
    <w:p w14:paraId="3EBEDF4F" w14:textId="77777777" w:rsidR="006F49CA" w:rsidRPr="0035775A" w:rsidRDefault="006F49CA" w:rsidP="00F15CBF">
      <w:pPr>
        <w:pStyle w:val="Default"/>
        <w:spacing w:after="120"/>
        <w:jc w:val="both"/>
        <w:rPr>
          <w:rFonts w:ascii="Times New Roman" w:hAnsi="Times New Roman" w:cs="Times New Roman"/>
          <w:sz w:val="26"/>
          <w:szCs w:val="26"/>
        </w:rPr>
      </w:pPr>
      <w:r w:rsidRPr="0035775A">
        <w:rPr>
          <w:rFonts w:ascii="Times New Roman" w:hAnsi="Times New Roman" w:cs="Times New Roman"/>
          <w:sz w:val="26"/>
          <w:szCs w:val="26"/>
        </w:rPr>
        <w:t>A lakossági állampapír</w:t>
      </w:r>
      <w:r>
        <w:rPr>
          <w:rFonts w:ascii="Times New Roman" w:hAnsi="Times New Roman" w:cs="Times New Roman"/>
          <w:sz w:val="26"/>
          <w:szCs w:val="26"/>
        </w:rPr>
        <w:t>-</w:t>
      </w:r>
      <w:r w:rsidRPr="0035775A">
        <w:rPr>
          <w:rFonts w:ascii="Times New Roman" w:hAnsi="Times New Roman" w:cs="Times New Roman"/>
          <w:sz w:val="26"/>
          <w:szCs w:val="26"/>
        </w:rPr>
        <w:t>kereslet döntő hányadát az egy évnél hosszabb futamidejű Prémium Magyar Állampapír értékesítése képezte. A Prémium Magyar Állampapír állománya 2022. október végére 1764,8</w:t>
      </w:r>
      <w:r>
        <w:rPr>
          <w:rFonts w:ascii="Times New Roman" w:hAnsi="Times New Roman" w:cs="Times New Roman"/>
          <w:sz w:val="26"/>
          <w:szCs w:val="26"/>
        </w:rPr>
        <w:t> milliárd</w:t>
      </w:r>
      <w:r w:rsidRPr="0035775A">
        <w:rPr>
          <w:rFonts w:ascii="Times New Roman" w:hAnsi="Times New Roman" w:cs="Times New Roman"/>
          <w:sz w:val="26"/>
          <w:szCs w:val="26"/>
        </w:rPr>
        <w:t xml:space="preserve"> forinttal növekedett, amely így 3967,6</w:t>
      </w:r>
      <w:r>
        <w:rPr>
          <w:rFonts w:ascii="Times New Roman" w:hAnsi="Times New Roman" w:cs="Times New Roman"/>
          <w:sz w:val="26"/>
          <w:szCs w:val="26"/>
        </w:rPr>
        <w:t> milliárd</w:t>
      </w:r>
      <w:r w:rsidRPr="0035775A">
        <w:rPr>
          <w:rFonts w:ascii="Times New Roman" w:hAnsi="Times New Roman" w:cs="Times New Roman"/>
          <w:sz w:val="26"/>
          <w:szCs w:val="26"/>
        </w:rPr>
        <w:t xml:space="preserve"> forintot tett ki. A szeptembertől újra bevezetésre került Bónusz Magyar Állampapír állománya 293,9</w:t>
      </w:r>
      <w:r>
        <w:rPr>
          <w:rFonts w:ascii="Times New Roman" w:hAnsi="Times New Roman" w:cs="Times New Roman"/>
          <w:sz w:val="26"/>
          <w:szCs w:val="26"/>
        </w:rPr>
        <w:t> milliárd</w:t>
      </w:r>
      <w:r w:rsidRPr="0035775A">
        <w:rPr>
          <w:rFonts w:ascii="Times New Roman" w:hAnsi="Times New Roman" w:cs="Times New Roman"/>
          <w:sz w:val="26"/>
          <w:szCs w:val="26"/>
        </w:rPr>
        <w:t xml:space="preserve"> forinttal növekedett, így a korábbi kibocsátású állampapírokkal együtt hó</w:t>
      </w:r>
      <w:r>
        <w:rPr>
          <w:rFonts w:ascii="Times New Roman" w:hAnsi="Times New Roman" w:cs="Times New Roman"/>
          <w:sz w:val="26"/>
          <w:szCs w:val="26"/>
        </w:rPr>
        <w:t xml:space="preserve"> </w:t>
      </w:r>
      <w:r w:rsidRPr="0035775A">
        <w:rPr>
          <w:rFonts w:ascii="Times New Roman" w:hAnsi="Times New Roman" w:cs="Times New Roman"/>
          <w:sz w:val="26"/>
          <w:szCs w:val="26"/>
        </w:rPr>
        <w:t>végén 354,7</w:t>
      </w:r>
      <w:r>
        <w:rPr>
          <w:rFonts w:ascii="Times New Roman" w:hAnsi="Times New Roman" w:cs="Times New Roman"/>
          <w:sz w:val="26"/>
          <w:szCs w:val="26"/>
        </w:rPr>
        <w:t> milliárd</w:t>
      </w:r>
      <w:r w:rsidRPr="0035775A">
        <w:rPr>
          <w:rFonts w:ascii="Times New Roman" w:hAnsi="Times New Roman" w:cs="Times New Roman"/>
          <w:sz w:val="26"/>
          <w:szCs w:val="26"/>
        </w:rPr>
        <w:t xml:space="preserve"> forintot tett ki. A Magyar Állampapír Plusz állománya október végéig </w:t>
      </w:r>
      <w:r>
        <w:rPr>
          <w:rFonts w:ascii="Times New Roman" w:hAnsi="Times New Roman" w:cs="Times New Roman"/>
          <w:sz w:val="26"/>
          <w:szCs w:val="26"/>
        </w:rPr>
        <w:t>3</w:t>
      </w:r>
      <w:r w:rsidRPr="0035775A">
        <w:rPr>
          <w:rFonts w:ascii="Times New Roman" w:hAnsi="Times New Roman" w:cs="Times New Roman"/>
          <w:sz w:val="26"/>
          <w:szCs w:val="26"/>
        </w:rPr>
        <w:t>029,1</w:t>
      </w:r>
      <w:r>
        <w:rPr>
          <w:rFonts w:ascii="Times New Roman" w:hAnsi="Times New Roman" w:cs="Times New Roman"/>
          <w:sz w:val="26"/>
          <w:szCs w:val="26"/>
        </w:rPr>
        <w:t> milliárd</w:t>
      </w:r>
      <w:r w:rsidRPr="0035775A">
        <w:rPr>
          <w:rFonts w:ascii="Times New Roman" w:hAnsi="Times New Roman" w:cs="Times New Roman"/>
          <w:sz w:val="26"/>
          <w:szCs w:val="26"/>
        </w:rPr>
        <w:t xml:space="preserve"> forinttal </w:t>
      </w:r>
      <w:r>
        <w:rPr>
          <w:rFonts w:ascii="Times New Roman" w:hAnsi="Times New Roman" w:cs="Times New Roman"/>
          <w:sz w:val="26"/>
          <w:szCs w:val="26"/>
        </w:rPr>
        <w:t>2</w:t>
      </w:r>
      <w:r w:rsidRPr="0035775A">
        <w:rPr>
          <w:rFonts w:ascii="Times New Roman" w:hAnsi="Times New Roman" w:cs="Times New Roman"/>
          <w:sz w:val="26"/>
          <w:szCs w:val="26"/>
        </w:rPr>
        <w:t>917,4</w:t>
      </w:r>
      <w:r>
        <w:rPr>
          <w:rFonts w:ascii="Times New Roman" w:hAnsi="Times New Roman" w:cs="Times New Roman"/>
          <w:sz w:val="26"/>
          <w:szCs w:val="26"/>
        </w:rPr>
        <w:t> milliárd</w:t>
      </w:r>
      <w:r w:rsidRPr="0035775A">
        <w:rPr>
          <w:rFonts w:ascii="Times New Roman" w:hAnsi="Times New Roman" w:cs="Times New Roman"/>
          <w:sz w:val="26"/>
          <w:szCs w:val="26"/>
        </w:rPr>
        <w:t xml:space="preserve"> forintra csökkent. A nyomdai úton előállított Magyar Állampapír Plusz állománya 96,0</w:t>
      </w:r>
      <w:r>
        <w:rPr>
          <w:rFonts w:ascii="Times New Roman" w:hAnsi="Times New Roman" w:cs="Times New Roman"/>
          <w:sz w:val="26"/>
          <w:szCs w:val="26"/>
        </w:rPr>
        <w:t> milliárd</w:t>
      </w:r>
      <w:r w:rsidRPr="0035775A">
        <w:rPr>
          <w:rFonts w:ascii="Times New Roman" w:hAnsi="Times New Roman" w:cs="Times New Roman"/>
          <w:sz w:val="26"/>
          <w:szCs w:val="26"/>
        </w:rPr>
        <w:t xml:space="preserve"> forint csökkenés következtében 319,1</w:t>
      </w:r>
      <w:r>
        <w:rPr>
          <w:rFonts w:ascii="Times New Roman" w:hAnsi="Times New Roman" w:cs="Times New Roman"/>
          <w:sz w:val="26"/>
          <w:szCs w:val="26"/>
        </w:rPr>
        <w:t> milliárd</w:t>
      </w:r>
      <w:r w:rsidRPr="0035775A">
        <w:rPr>
          <w:rFonts w:ascii="Times New Roman" w:hAnsi="Times New Roman" w:cs="Times New Roman"/>
          <w:sz w:val="26"/>
          <w:szCs w:val="26"/>
        </w:rPr>
        <w:t xml:space="preserve"> forint volt hó végén. </w:t>
      </w:r>
    </w:p>
    <w:p w14:paraId="3B89B0FE" w14:textId="77777777" w:rsidR="006F49CA" w:rsidRPr="0035775A" w:rsidRDefault="006F49CA" w:rsidP="00F15CBF">
      <w:pPr>
        <w:pStyle w:val="Default"/>
        <w:spacing w:after="120"/>
        <w:jc w:val="both"/>
        <w:rPr>
          <w:rFonts w:ascii="Times New Roman" w:hAnsi="Times New Roman" w:cs="Times New Roman"/>
          <w:sz w:val="26"/>
          <w:szCs w:val="26"/>
        </w:rPr>
      </w:pPr>
      <w:r w:rsidRPr="0035775A">
        <w:rPr>
          <w:rFonts w:ascii="Times New Roman" w:hAnsi="Times New Roman" w:cs="Times New Roman"/>
          <w:sz w:val="26"/>
          <w:szCs w:val="26"/>
        </w:rPr>
        <w:t>Az Egyéves Magyar Állampapír állománya 957,0</w:t>
      </w:r>
      <w:r>
        <w:rPr>
          <w:rFonts w:ascii="Times New Roman" w:hAnsi="Times New Roman" w:cs="Times New Roman"/>
          <w:sz w:val="26"/>
          <w:szCs w:val="26"/>
        </w:rPr>
        <w:t> milliárd</w:t>
      </w:r>
      <w:r w:rsidRPr="0035775A">
        <w:rPr>
          <w:rFonts w:ascii="Times New Roman" w:hAnsi="Times New Roman" w:cs="Times New Roman"/>
          <w:sz w:val="26"/>
          <w:szCs w:val="26"/>
        </w:rPr>
        <w:t xml:space="preserve"> forint volt október</w:t>
      </w:r>
      <w:r w:rsidRPr="0035775A">
        <w:rPr>
          <w:rFonts w:ascii="Times New Roman" w:hAnsi="Times New Roman" w:cs="Times New Roman"/>
          <w:bCs/>
          <w:sz w:val="26"/>
          <w:szCs w:val="26"/>
        </w:rPr>
        <w:t xml:space="preserve"> </w:t>
      </w:r>
      <w:r w:rsidRPr="0035775A">
        <w:rPr>
          <w:rFonts w:ascii="Times New Roman" w:hAnsi="Times New Roman" w:cs="Times New Roman"/>
          <w:sz w:val="26"/>
          <w:szCs w:val="26"/>
        </w:rPr>
        <w:t>végén, ami 44,6</w:t>
      </w:r>
      <w:r>
        <w:rPr>
          <w:rFonts w:ascii="Times New Roman" w:hAnsi="Times New Roman" w:cs="Times New Roman"/>
          <w:sz w:val="26"/>
          <w:szCs w:val="26"/>
        </w:rPr>
        <w:t> milliárd</w:t>
      </w:r>
      <w:r w:rsidRPr="0035775A">
        <w:rPr>
          <w:rFonts w:ascii="Times New Roman" w:hAnsi="Times New Roman" w:cs="Times New Roman"/>
          <w:sz w:val="26"/>
          <w:szCs w:val="26"/>
        </w:rPr>
        <w:t xml:space="preserve"> forinttal alacsonyabb a 2021. év végi állománynál. A gyermekek életkezdési támogatását szolgáló Babakötvény állománya 2022-ben 36,5</w:t>
      </w:r>
      <w:r>
        <w:rPr>
          <w:rFonts w:ascii="Times New Roman" w:hAnsi="Times New Roman" w:cs="Times New Roman"/>
          <w:sz w:val="26"/>
          <w:szCs w:val="26"/>
        </w:rPr>
        <w:t> milliárd</w:t>
      </w:r>
      <w:r w:rsidRPr="0035775A">
        <w:rPr>
          <w:rFonts w:ascii="Times New Roman" w:hAnsi="Times New Roman" w:cs="Times New Roman"/>
          <w:sz w:val="26"/>
          <w:szCs w:val="26"/>
        </w:rPr>
        <w:t xml:space="preserve"> forinttal növekedett és október végére elérte a 185,3</w:t>
      </w:r>
      <w:r>
        <w:rPr>
          <w:rFonts w:ascii="Times New Roman" w:hAnsi="Times New Roman" w:cs="Times New Roman"/>
          <w:sz w:val="26"/>
          <w:szCs w:val="26"/>
        </w:rPr>
        <w:t> milliárd</w:t>
      </w:r>
      <w:r w:rsidRPr="0035775A">
        <w:rPr>
          <w:rFonts w:ascii="Times New Roman" w:hAnsi="Times New Roman" w:cs="Times New Roman"/>
          <w:sz w:val="26"/>
          <w:szCs w:val="26"/>
        </w:rPr>
        <w:t xml:space="preserve"> forintot. </w:t>
      </w:r>
    </w:p>
    <w:p w14:paraId="2C57CB34" w14:textId="77777777" w:rsidR="006F49CA" w:rsidRPr="0035775A" w:rsidRDefault="006F49CA" w:rsidP="00F15CBF">
      <w:pPr>
        <w:pStyle w:val="Default"/>
        <w:spacing w:after="120"/>
        <w:jc w:val="both"/>
        <w:rPr>
          <w:rFonts w:ascii="Times New Roman" w:hAnsi="Times New Roman" w:cs="Times New Roman"/>
          <w:sz w:val="26"/>
          <w:szCs w:val="26"/>
        </w:rPr>
      </w:pPr>
      <w:r w:rsidRPr="7823C623">
        <w:rPr>
          <w:rFonts w:ascii="Times New Roman" w:hAnsi="Times New Roman" w:cs="Times New Roman"/>
          <w:sz w:val="26"/>
          <w:szCs w:val="26"/>
        </w:rPr>
        <w:t xml:space="preserve">Az Államadósság Kezelő Központ (ÁKK </w:t>
      </w:r>
      <w:proofErr w:type="spellStart"/>
      <w:r w:rsidRPr="7823C623">
        <w:rPr>
          <w:rFonts w:ascii="Times New Roman" w:hAnsi="Times New Roman" w:cs="Times New Roman"/>
          <w:sz w:val="26"/>
          <w:szCs w:val="26"/>
        </w:rPr>
        <w:t>Zrt</w:t>
      </w:r>
      <w:proofErr w:type="spellEnd"/>
      <w:r w:rsidRPr="7823C623">
        <w:rPr>
          <w:rFonts w:ascii="Times New Roman" w:hAnsi="Times New Roman" w:cs="Times New Roman"/>
          <w:sz w:val="26"/>
          <w:szCs w:val="26"/>
        </w:rPr>
        <w:t>.)</w:t>
      </w:r>
      <w:r w:rsidRPr="0035775A">
        <w:rPr>
          <w:rFonts w:ascii="Times New Roman" w:hAnsi="Times New Roman" w:cs="Times New Roman"/>
          <w:sz w:val="26"/>
          <w:szCs w:val="26"/>
        </w:rPr>
        <w:t xml:space="preserve"> október hó folyamán összesen 550,0</w:t>
      </w:r>
      <w:r>
        <w:rPr>
          <w:rFonts w:ascii="Times New Roman" w:hAnsi="Times New Roman" w:cs="Times New Roman"/>
          <w:sz w:val="26"/>
          <w:szCs w:val="26"/>
        </w:rPr>
        <w:t> milliárd</w:t>
      </w:r>
      <w:r w:rsidRPr="0035775A">
        <w:rPr>
          <w:rFonts w:ascii="Times New Roman" w:hAnsi="Times New Roman" w:cs="Times New Roman"/>
          <w:sz w:val="26"/>
          <w:szCs w:val="26"/>
        </w:rPr>
        <w:t xml:space="preserve"> forint összegben vásárolt vissza lakossági állampapírokat a forgalmazó bankoktól.</w:t>
      </w:r>
    </w:p>
    <w:p w14:paraId="3F1B55F1" w14:textId="77777777" w:rsidR="006F49CA" w:rsidRPr="0035775A" w:rsidRDefault="006F49CA" w:rsidP="00F15CBF">
      <w:pPr>
        <w:ind w:right="23"/>
        <w:rPr>
          <w:szCs w:val="26"/>
        </w:rPr>
      </w:pPr>
      <w:r w:rsidRPr="0035775A">
        <w:rPr>
          <w:szCs w:val="26"/>
        </w:rPr>
        <w:t xml:space="preserve">A </w:t>
      </w:r>
      <w:r w:rsidRPr="0035775A">
        <w:rPr>
          <w:iCs/>
          <w:szCs w:val="26"/>
        </w:rPr>
        <w:t>külföldi befektetők állampap</w:t>
      </w:r>
      <w:r>
        <w:rPr>
          <w:iCs/>
          <w:szCs w:val="26"/>
        </w:rPr>
        <w:t>ír-</w:t>
      </w:r>
      <w:r w:rsidRPr="0035775A">
        <w:rPr>
          <w:iCs/>
          <w:szCs w:val="26"/>
        </w:rPr>
        <w:t>állománya októberben</w:t>
      </w:r>
      <w:r w:rsidRPr="0035775A">
        <w:rPr>
          <w:szCs w:val="26"/>
        </w:rPr>
        <w:t xml:space="preserve"> </w:t>
      </w:r>
      <w:r>
        <w:rPr>
          <w:szCs w:val="26"/>
        </w:rPr>
        <w:t>1</w:t>
      </w:r>
      <w:r w:rsidRPr="0035775A">
        <w:rPr>
          <w:szCs w:val="26"/>
        </w:rPr>
        <w:t>201,3</w:t>
      </w:r>
      <w:r>
        <w:rPr>
          <w:szCs w:val="26"/>
        </w:rPr>
        <w:t> milliárd</w:t>
      </w:r>
      <w:r w:rsidRPr="0035775A">
        <w:rPr>
          <w:szCs w:val="26"/>
        </w:rPr>
        <w:t xml:space="preserve"> forinttal </w:t>
      </w:r>
      <w:r>
        <w:rPr>
          <w:szCs w:val="26"/>
        </w:rPr>
        <w:t>5</w:t>
      </w:r>
      <w:r w:rsidRPr="0035775A">
        <w:rPr>
          <w:szCs w:val="26"/>
        </w:rPr>
        <w:t>913,7</w:t>
      </w:r>
      <w:r>
        <w:rPr>
          <w:szCs w:val="26"/>
        </w:rPr>
        <w:t> milliárd</w:t>
      </w:r>
      <w:r w:rsidRPr="0035775A">
        <w:rPr>
          <w:szCs w:val="26"/>
        </w:rPr>
        <w:t xml:space="preserve"> forintra nőtt az előző hónaphoz képest. A külföldi állomány 99,9%-a, </w:t>
      </w:r>
      <w:r>
        <w:rPr>
          <w:szCs w:val="26"/>
        </w:rPr>
        <w:t>5</w:t>
      </w:r>
      <w:r w:rsidRPr="0035775A">
        <w:rPr>
          <w:szCs w:val="26"/>
        </w:rPr>
        <w:t>905,7</w:t>
      </w:r>
      <w:r>
        <w:rPr>
          <w:szCs w:val="26"/>
        </w:rPr>
        <w:t> milliárd</w:t>
      </w:r>
      <w:r w:rsidRPr="0035775A">
        <w:rPr>
          <w:szCs w:val="26"/>
        </w:rPr>
        <w:t xml:space="preserve"> forint államkötvény és 0,1%-a, 8,0</w:t>
      </w:r>
      <w:r>
        <w:rPr>
          <w:szCs w:val="26"/>
        </w:rPr>
        <w:t> milliárd</w:t>
      </w:r>
      <w:r w:rsidRPr="0035775A">
        <w:rPr>
          <w:szCs w:val="26"/>
        </w:rPr>
        <w:t xml:space="preserve"> forint diszkontkincstárjegy. A külföldi állomány átlagos hátralévő futamideje október végén 6,2 év volt, amely csökkent az előző hónap végéhez képest.</w:t>
      </w:r>
    </w:p>
    <w:p w14:paraId="7C55038D" w14:textId="16BCE667" w:rsidR="00AA21F5" w:rsidRPr="00741D35" w:rsidRDefault="006F49CA" w:rsidP="00F15CBF">
      <w:pPr>
        <w:ind w:right="23"/>
        <w:rPr>
          <w:szCs w:val="26"/>
        </w:rPr>
      </w:pPr>
      <w:r w:rsidRPr="0035775A">
        <w:rPr>
          <w:szCs w:val="26"/>
        </w:rPr>
        <w:t xml:space="preserve">A deviza-államadósság kockázatainak csökkentése érdekében az ÁKK </w:t>
      </w:r>
      <w:proofErr w:type="spellStart"/>
      <w:r w:rsidRPr="0035775A">
        <w:rPr>
          <w:szCs w:val="26"/>
        </w:rPr>
        <w:t>Zrt</w:t>
      </w:r>
      <w:proofErr w:type="spellEnd"/>
      <w:r w:rsidRPr="0035775A">
        <w:rPr>
          <w:szCs w:val="26"/>
        </w:rPr>
        <w:t xml:space="preserve">. </w:t>
      </w:r>
      <w:proofErr w:type="spellStart"/>
      <w:r w:rsidRPr="0035775A">
        <w:rPr>
          <w:szCs w:val="26"/>
        </w:rPr>
        <w:t>swap</w:t>
      </w:r>
      <w:proofErr w:type="spellEnd"/>
      <w:r w:rsidRPr="0035775A">
        <w:rPr>
          <w:szCs w:val="26"/>
        </w:rPr>
        <w:t xml:space="preserve"> műveleteket köt, amiből az adósságállomány részét képezik az ezen ügyletek után az ÁKK </w:t>
      </w:r>
      <w:proofErr w:type="spellStart"/>
      <w:r w:rsidRPr="0035775A">
        <w:rPr>
          <w:szCs w:val="26"/>
        </w:rPr>
        <w:t>Zrt.-nél</w:t>
      </w:r>
      <w:proofErr w:type="spellEnd"/>
      <w:r w:rsidRPr="0035775A">
        <w:rPr>
          <w:szCs w:val="26"/>
        </w:rPr>
        <w:t xml:space="preserve"> elhelyezésre kerülő fedezeti összegek (az ún. </w:t>
      </w:r>
      <w:proofErr w:type="spellStart"/>
      <w:r w:rsidRPr="0035775A">
        <w:rPr>
          <w:szCs w:val="26"/>
        </w:rPr>
        <w:t>mark-to-market</w:t>
      </w:r>
      <w:proofErr w:type="spellEnd"/>
      <w:r w:rsidRPr="0035775A">
        <w:rPr>
          <w:szCs w:val="26"/>
        </w:rPr>
        <w:t xml:space="preserve"> betétek) az egyéb kötelezettségek soron. A korábbi dollárkötvény kibocsátások óta eltelt időszakban az egyéb devizák (főként az USD) jelentősen felértékelődtek az euróhoz képest, az emiatt keletkező többletadósságot viszont a </w:t>
      </w:r>
      <w:proofErr w:type="spellStart"/>
      <w:r w:rsidRPr="0035775A">
        <w:rPr>
          <w:szCs w:val="26"/>
        </w:rPr>
        <w:t>swapkötéssel</w:t>
      </w:r>
      <w:proofErr w:type="spellEnd"/>
      <w:r w:rsidRPr="0035775A">
        <w:rPr>
          <w:szCs w:val="26"/>
        </w:rPr>
        <w:t xml:space="preserve"> sikerült kizárni. A vizsgált időszakban az egyéb kötelezettségek állománya 344,6</w:t>
      </w:r>
      <w:r>
        <w:rPr>
          <w:szCs w:val="26"/>
        </w:rPr>
        <w:t> milliárd</w:t>
      </w:r>
      <w:r w:rsidRPr="0035775A">
        <w:rPr>
          <w:szCs w:val="26"/>
        </w:rPr>
        <w:t xml:space="preserve"> forinttal növekedett. Október végén az állomány 525,3</w:t>
      </w:r>
      <w:r>
        <w:rPr>
          <w:szCs w:val="26"/>
        </w:rPr>
        <w:t> milliárd</w:t>
      </w:r>
      <w:r w:rsidRPr="0035775A">
        <w:rPr>
          <w:szCs w:val="26"/>
        </w:rPr>
        <w:t xml:space="preserve"> forintot tett ki, ami a teljes államadósság 1,2%-át jelenti</w:t>
      </w:r>
      <w:r w:rsidR="7823C623">
        <w:t>.</w:t>
      </w:r>
    </w:p>
    <w:sectPr w:rsidR="00AA21F5" w:rsidRPr="00741D35" w:rsidSect="00730878">
      <w:footnotePr>
        <w:numRestart w:val="eachPage"/>
      </w:footnotePr>
      <w:pgSz w:w="11907" w:h="16840" w:code="9"/>
      <w:pgMar w:top="1134" w:right="1134" w:bottom="1418" w:left="1418" w:header="709" w:footer="283"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D05E3" w14:textId="77777777" w:rsidR="003E3D83" w:rsidRDefault="003E3D83">
      <w:r>
        <w:separator/>
      </w:r>
    </w:p>
  </w:endnote>
  <w:endnote w:type="continuationSeparator" w:id="0">
    <w:p w14:paraId="31A2A93E" w14:textId="77777777" w:rsidR="003E3D83" w:rsidRDefault="003E3D83">
      <w:r>
        <w:continuationSeparator/>
      </w:r>
    </w:p>
  </w:endnote>
  <w:endnote w:type="continuationNotice" w:id="1">
    <w:p w14:paraId="5D731A93" w14:textId="77777777" w:rsidR="003E3D83" w:rsidRDefault="003E3D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Myriad Pr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567945"/>
      <w:docPartObj>
        <w:docPartGallery w:val="Page Numbers (Bottom of Page)"/>
        <w:docPartUnique/>
      </w:docPartObj>
    </w:sdtPr>
    <w:sdtContent>
      <w:p w14:paraId="2BEC4955" w14:textId="77777777" w:rsidR="003E3D83" w:rsidRDefault="003E3D83">
        <w:pPr>
          <w:pStyle w:val="llb"/>
          <w:jc w:val="center"/>
        </w:pPr>
      </w:p>
      <w:p w14:paraId="5D4F0473" w14:textId="7CE65423" w:rsidR="003E3D83" w:rsidRPr="00B65D56" w:rsidRDefault="003E3D83" w:rsidP="00F1795F">
        <w:pPr>
          <w:pStyle w:val="llb"/>
          <w:jc w:val="center"/>
        </w:pPr>
        <w:r>
          <w:fldChar w:fldCharType="begin"/>
        </w:r>
        <w:r>
          <w:instrText>PAGE   \* MERGEFORMAT</w:instrText>
        </w:r>
        <w:r>
          <w:fldChar w:fldCharType="separate"/>
        </w:r>
        <w:r w:rsidR="003D1DDD">
          <w:rPr>
            <w:noProof/>
          </w:rPr>
          <w:t>18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882586"/>
      <w:docPartObj>
        <w:docPartGallery w:val="Page Numbers (Bottom of Page)"/>
        <w:docPartUnique/>
      </w:docPartObj>
    </w:sdtPr>
    <w:sdtContent>
      <w:p w14:paraId="5FB57992" w14:textId="07DF7DE5" w:rsidR="003E3D83" w:rsidRDefault="003E3D83">
        <w:pPr>
          <w:pStyle w:val="llb"/>
          <w:jc w:val="center"/>
        </w:pPr>
        <w:r>
          <w:fldChar w:fldCharType="begin"/>
        </w:r>
        <w:r>
          <w:instrText>PAGE   \* MERGEFORMAT</w:instrText>
        </w:r>
        <w:r>
          <w:fldChar w:fldCharType="separate"/>
        </w:r>
        <w:r w:rsidR="003D1DDD">
          <w:rPr>
            <w:noProof/>
          </w:rPr>
          <w:t>20</w:t>
        </w:r>
        <w:r>
          <w:fldChar w:fldCharType="end"/>
        </w:r>
      </w:p>
    </w:sdtContent>
  </w:sdt>
  <w:p w14:paraId="2F25FF07" w14:textId="77777777" w:rsidR="003E3D83" w:rsidRDefault="003E3D8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A3DBE" w14:textId="77777777" w:rsidR="003E3D83" w:rsidRDefault="003E3D83">
      <w:r>
        <w:separator/>
      </w:r>
    </w:p>
  </w:footnote>
  <w:footnote w:type="continuationSeparator" w:id="0">
    <w:p w14:paraId="3C0D09F4" w14:textId="77777777" w:rsidR="003E3D83" w:rsidRDefault="003E3D83">
      <w:r>
        <w:continuationSeparator/>
      </w:r>
    </w:p>
  </w:footnote>
  <w:footnote w:type="continuationNotice" w:id="1">
    <w:p w14:paraId="4FD7E609" w14:textId="77777777" w:rsidR="003E3D83" w:rsidRDefault="003E3D83">
      <w:pPr>
        <w:spacing w:after="0"/>
      </w:pPr>
    </w:p>
  </w:footnote>
  <w:footnote w:id="2">
    <w:p w14:paraId="5D4F0478" w14:textId="77777777" w:rsidR="003E3D83" w:rsidRDefault="003E3D83" w:rsidP="7823C623">
      <w:pPr>
        <w:pStyle w:val="Lbjegyzetszveg"/>
        <w:ind w:hanging="142"/>
        <w:jc w:val="both"/>
        <w:rPr>
          <w:sz w:val="18"/>
          <w:szCs w:val="18"/>
        </w:rPr>
      </w:pPr>
      <w:r w:rsidRPr="2291142B">
        <w:rPr>
          <w:rStyle w:val="Lbjegyzet-hivatkozs"/>
          <w:sz w:val="18"/>
          <w:szCs w:val="18"/>
        </w:rPr>
        <w:t>*</w:t>
      </w:r>
      <w:r>
        <w:rPr>
          <w:sz w:val="18"/>
        </w:rPr>
        <w:tab/>
      </w:r>
      <w:r w:rsidRPr="2291142B">
        <w:rPr>
          <w:sz w:val="18"/>
          <w:szCs w:val="18"/>
        </w:rPr>
        <w:t>Az államháztartás központi alrendszerének havonkénti részletes adatai megtalálhatók a Magyar Államkincstár honlapján (http://www.allamkincstar.gov.hu).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CC22A" w14:textId="77777777" w:rsidR="003E3D83" w:rsidRPr="00881044" w:rsidRDefault="003E3D83" w:rsidP="00881044">
    <w:pPr>
      <w:pStyle w:val="lfej"/>
      <w:rPr>
        <w:rStyle w:val="Oldalsz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92FB" w14:textId="77777777" w:rsidR="003E3D83" w:rsidRPr="00FE4DD1" w:rsidRDefault="003E3D83" w:rsidP="00FE4DD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F0476" w14:textId="77777777" w:rsidR="003E3D83" w:rsidRPr="00881044" w:rsidRDefault="003E3D83" w:rsidP="00881044">
    <w:pPr>
      <w:pStyle w:val="lfej"/>
      <w:rPr>
        <w:rStyle w:val="Oldalszm"/>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F0477" w14:textId="77777777" w:rsidR="003E3D83" w:rsidRPr="00FE4DD1" w:rsidRDefault="003E3D83" w:rsidP="00FE4DD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E5A"/>
    <w:multiLevelType w:val="hybridMultilevel"/>
    <w:tmpl w:val="EA4C29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627298"/>
    <w:multiLevelType w:val="hybridMultilevel"/>
    <w:tmpl w:val="44CCC2AC"/>
    <w:lvl w:ilvl="0" w:tplc="08783BEC">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A535F0"/>
    <w:multiLevelType w:val="hybridMultilevel"/>
    <w:tmpl w:val="078025E6"/>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E6876C3"/>
    <w:multiLevelType w:val="hybridMultilevel"/>
    <w:tmpl w:val="1760077C"/>
    <w:lvl w:ilvl="0" w:tplc="8CDC5FA0">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F9E7043"/>
    <w:multiLevelType w:val="hybridMultilevel"/>
    <w:tmpl w:val="1498719C"/>
    <w:lvl w:ilvl="0" w:tplc="0C4C157A">
      <w:start w:val="1"/>
      <w:numFmt w:val="decimal"/>
      <w:lvlText w:val="%1."/>
      <w:lvlJc w:val="left"/>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66A2F41"/>
    <w:multiLevelType w:val="hybridMultilevel"/>
    <w:tmpl w:val="1D885B00"/>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6EA776E"/>
    <w:multiLevelType w:val="hybridMultilevel"/>
    <w:tmpl w:val="F278880E"/>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E875348"/>
    <w:multiLevelType w:val="hybridMultilevel"/>
    <w:tmpl w:val="4C7C8330"/>
    <w:lvl w:ilvl="0" w:tplc="EEE8FA84">
      <w:start w:val="1"/>
      <w:numFmt w:val="upperRoman"/>
      <w:pStyle w:val="Kpalrs"/>
      <w:lvlText w:val="%1."/>
      <w:lvlJc w:val="left"/>
      <w:pPr>
        <w:tabs>
          <w:tab w:val="num" w:pos="1080"/>
        </w:tabs>
        <w:ind w:left="1080" w:hanging="720"/>
      </w:pPr>
      <w:rPr>
        <w:rFonts w:hint="default"/>
        <w:u w:val="none"/>
      </w:rPr>
    </w:lvl>
    <w:lvl w:ilvl="1" w:tplc="4F781A04">
      <w:start w:val="1"/>
      <w:numFmt w:val="decimal"/>
      <w:lvlText w:val="%2."/>
      <w:lvlJc w:val="left"/>
      <w:pPr>
        <w:tabs>
          <w:tab w:val="num" w:pos="1440"/>
        </w:tabs>
        <w:ind w:left="1440" w:hanging="360"/>
      </w:pPr>
      <w:rPr>
        <w:rFonts w:hint="default"/>
        <w:u w:val="none"/>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5573523A"/>
    <w:multiLevelType w:val="hybridMultilevel"/>
    <w:tmpl w:val="92D45DA0"/>
    <w:lvl w:ilvl="0" w:tplc="5E4290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E7C7F0F"/>
    <w:multiLevelType w:val="hybridMultilevel"/>
    <w:tmpl w:val="710EC9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FD006B9"/>
    <w:multiLevelType w:val="hybridMultilevel"/>
    <w:tmpl w:val="50901804"/>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2F47659"/>
    <w:multiLevelType w:val="hybridMultilevel"/>
    <w:tmpl w:val="C60A11E4"/>
    <w:lvl w:ilvl="0" w:tplc="D9649056">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FA549BC"/>
    <w:multiLevelType w:val="hybridMultilevel"/>
    <w:tmpl w:val="DD082DA0"/>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CCE33D1"/>
    <w:multiLevelType w:val="hybridMultilevel"/>
    <w:tmpl w:val="D4381014"/>
    <w:lvl w:ilvl="0" w:tplc="B60223D4">
      <w:start w:val="201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5"/>
  </w:num>
  <w:num w:numId="6">
    <w:abstractNumId w:val="9"/>
  </w:num>
  <w:num w:numId="7">
    <w:abstractNumId w:val="8"/>
  </w:num>
  <w:num w:numId="8">
    <w:abstractNumId w:val="1"/>
  </w:num>
  <w:num w:numId="9">
    <w:abstractNumId w:val="11"/>
  </w:num>
  <w:num w:numId="10">
    <w:abstractNumId w:val="13"/>
  </w:num>
  <w:num w:numId="11">
    <w:abstractNumId w:val="3"/>
  </w:num>
  <w:num w:numId="12">
    <w:abstractNumId w:val="10"/>
  </w:num>
  <w:num w:numId="13">
    <w:abstractNumId w:val="12"/>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hu-HU" w:vendorID="7" w:dllVersion="513" w:checkStyle="0"/>
  <w:activeWritingStyle w:appName="MSWord" w:lang="hu-HU" w:vendorID="7" w:dllVersion="52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30"/>
  <w:drawingGridVerticalSpacing w:val="120"/>
  <w:displayHorizontalDrawingGridEvery w:val="2"/>
  <w:displayVerticalDrawingGridEvery w:val="0"/>
  <w:noPunctuationKerning/>
  <w:characterSpacingControl w:val="doNotCompress"/>
  <w:hdrShapeDefaults>
    <o:shapedefaults v:ext="edit" spidmax="471041"/>
  </w:hdrShapeDefaults>
  <w:footnotePr>
    <w:numRestart w:val="eachPage"/>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9A"/>
    <w:rsid w:val="00000262"/>
    <w:rsid w:val="0000053E"/>
    <w:rsid w:val="00000779"/>
    <w:rsid w:val="000007F2"/>
    <w:rsid w:val="00000980"/>
    <w:rsid w:val="00000AF7"/>
    <w:rsid w:val="00000B92"/>
    <w:rsid w:val="00000BD9"/>
    <w:rsid w:val="00000C70"/>
    <w:rsid w:val="00000FA7"/>
    <w:rsid w:val="0000167C"/>
    <w:rsid w:val="00001A1C"/>
    <w:rsid w:val="000024F5"/>
    <w:rsid w:val="00002D44"/>
    <w:rsid w:val="00002EBA"/>
    <w:rsid w:val="00002F1F"/>
    <w:rsid w:val="00002F32"/>
    <w:rsid w:val="0000319C"/>
    <w:rsid w:val="000031E7"/>
    <w:rsid w:val="0000346F"/>
    <w:rsid w:val="0000352A"/>
    <w:rsid w:val="0000366C"/>
    <w:rsid w:val="000039C4"/>
    <w:rsid w:val="00003A0A"/>
    <w:rsid w:val="00003AB5"/>
    <w:rsid w:val="00003D71"/>
    <w:rsid w:val="00003DAA"/>
    <w:rsid w:val="00003E72"/>
    <w:rsid w:val="000040A1"/>
    <w:rsid w:val="00004153"/>
    <w:rsid w:val="000041CC"/>
    <w:rsid w:val="0000447C"/>
    <w:rsid w:val="00004A2B"/>
    <w:rsid w:val="00004B11"/>
    <w:rsid w:val="00004C60"/>
    <w:rsid w:val="000050A4"/>
    <w:rsid w:val="00005414"/>
    <w:rsid w:val="00005653"/>
    <w:rsid w:val="00006BEB"/>
    <w:rsid w:val="00006E83"/>
    <w:rsid w:val="00007429"/>
    <w:rsid w:val="0000786D"/>
    <w:rsid w:val="00007C32"/>
    <w:rsid w:val="0001020A"/>
    <w:rsid w:val="00010472"/>
    <w:rsid w:val="00010E9B"/>
    <w:rsid w:val="00010EF9"/>
    <w:rsid w:val="00010FD3"/>
    <w:rsid w:val="00010FED"/>
    <w:rsid w:val="000111EE"/>
    <w:rsid w:val="000115A7"/>
    <w:rsid w:val="00011735"/>
    <w:rsid w:val="000118A8"/>
    <w:rsid w:val="00011A1C"/>
    <w:rsid w:val="00011AEC"/>
    <w:rsid w:val="00011CA1"/>
    <w:rsid w:val="00011D84"/>
    <w:rsid w:val="000122E0"/>
    <w:rsid w:val="00012954"/>
    <w:rsid w:val="00012962"/>
    <w:rsid w:val="00012FB0"/>
    <w:rsid w:val="00012FE4"/>
    <w:rsid w:val="00013057"/>
    <w:rsid w:val="000133DD"/>
    <w:rsid w:val="000134F5"/>
    <w:rsid w:val="000138C1"/>
    <w:rsid w:val="00013907"/>
    <w:rsid w:val="00013A33"/>
    <w:rsid w:val="00013CD2"/>
    <w:rsid w:val="000140C0"/>
    <w:rsid w:val="00014401"/>
    <w:rsid w:val="000148D6"/>
    <w:rsid w:val="00014A69"/>
    <w:rsid w:val="00014D97"/>
    <w:rsid w:val="000150A0"/>
    <w:rsid w:val="00015137"/>
    <w:rsid w:val="000158B9"/>
    <w:rsid w:val="000159D2"/>
    <w:rsid w:val="000162DD"/>
    <w:rsid w:val="000171BE"/>
    <w:rsid w:val="0001738B"/>
    <w:rsid w:val="000173CF"/>
    <w:rsid w:val="00017505"/>
    <w:rsid w:val="000176FF"/>
    <w:rsid w:val="00017AB9"/>
    <w:rsid w:val="00017D30"/>
    <w:rsid w:val="00017D97"/>
    <w:rsid w:val="0002048B"/>
    <w:rsid w:val="00020553"/>
    <w:rsid w:val="0002080A"/>
    <w:rsid w:val="000208DE"/>
    <w:rsid w:val="0002092A"/>
    <w:rsid w:val="000209F2"/>
    <w:rsid w:val="00020A40"/>
    <w:rsid w:val="00021491"/>
    <w:rsid w:val="00021555"/>
    <w:rsid w:val="00021768"/>
    <w:rsid w:val="00021A79"/>
    <w:rsid w:val="00022190"/>
    <w:rsid w:val="0002286F"/>
    <w:rsid w:val="000228D4"/>
    <w:rsid w:val="00022C6B"/>
    <w:rsid w:val="00022D2F"/>
    <w:rsid w:val="00022F1B"/>
    <w:rsid w:val="00022FBD"/>
    <w:rsid w:val="000230A1"/>
    <w:rsid w:val="0002313D"/>
    <w:rsid w:val="00023277"/>
    <w:rsid w:val="00023497"/>
    <w:rsid w:val="00023517"/>
    <w:rsid w:val="000235DE"/>
    <w:rsid w:val="00023977"/>
    <w:rsid w:val="00023B1E"/>
    <w:rsid w:val="00023D4A"/>
    <w:rsid w:val="000244AA"/>
    <w:rsid w:val="000249CF"/>
    <w:rsid w:val="00024A56"/>
    <w:rsid w:val="00024F61"/>
    <w:rsid w:val="00025088"/>
    <w:rsid w:val="0002532C"/>
    <w:rsid w:val="00025486"/>
    <w:rsid w:val="00025629"/>
    <w:rsid w:val="00025BA3"/>
    <w:rsid w:val="00025C6B"/>
    <w:rsid w:val="0002604D"/>
    <w:rsid w:val="00026280"/>
    <w:rsid w:val="000264E2"/>
    <w:rsid w:val="000266DF"/>
    <w:rsid w:val="00026701"/>
    <w:rsid w:val="000267A2"/>
    <w:rsid w:val="000268B5"/>
    <w:rsid w:val="00026C3E"/>
    <w:rsid w:val="00026CF8"/>
    <w:rsid w:val="00026D90"/>
    <w:rsid w:val="00027046"/>
    <w:rsid w:val="000272F9"/>
    <w:rsid w:val="0002735F"/>
    <w:rsid w:val="00027464"/>
    <w:rsid w:val="000274E3"/>
    <w:rsid w:val="000278D7"/>
    <w:rsid w:val="00027CED"/>
    <w:rsid w:val="000301B5"/>
    <w:rsid w:val="000302F7"/>
    <w:rsid w:val="0003042E"/>
    <w:rsid w:val="0003073A"/>
    <w:rsid w:val="00030BF8"/>
    <w:rsid w:val="00031079"/>
    <w:rsid w:val="00031114"/>
    <w:rsid w:val="00031212"/>
    <w:rsid w:val="00031A7F"/>
    <w:rsid w:val="00031EE0"/>
    <w:rsid w:val="00032036"/>
    <w:rsid w:val="0003206C"/>
    <w:rsid w:val="0003279A"/>
    <w:rsid w:val="000327EC"/>
    <w:rsid w:val="00032904"/>
    <w:rsid w:val="00032981"/>
    <w:rsid w:val="000329B0"/>
    <w:rsid w:val="000329C3"/>
    <w:rsid w:val="00032B54"/>
    <w:rsid w:val="00032F08"/>
    <w:rsid w:val="000336BA"/>
    <w:rsid w:val="00033817"/>
    <w:rsid w:val="00033B0A"/>
    <w:rsid w:val="000341D4"/>
    <w:rsid w:val="00034369"/>
    <w:rsid w:val="00034A1C"/>
    <w:rsid w:val="00034E9F"/>
    <w:rsid w:val="0003506A"/>
    <w:rsid w:val="000356B8"/>
    <w:rsid w:val="00035846"/>
    <w:rsid w:val="000359D1"/>
    <w:rsid w:val="00035B72"/>
    <w:rsid w:val="00035DFD"/>
    <w:rsid w:val="00035E6C"/>
    <w:rsid w:val="00035FC8"/>
    <w:rsid w:val="00036A80"/>
    <w:rsid w:val="00036B13"/>
    <w:rsid w:val="00036CEF"/>
    <w:rsid w:val="000371AA"/>
    <w:rsid w:val="000374B0"/>
    <w:rsid w:val="000374D9"/>
    <w:rsid w:val="000375DB"/>
    <w:rsid w:val="0003779F"/>
    <w:rsid w:val="00037A25"/>
    <w:rsid w:val="00037DE9"/>
    <w:rsid w:val="00037E5D"/>
    <w:rsid w:val="00040071"/>
    <w:rsid w:val="00040530"/>
    <w:rsid w:val="000406F4"/>
    <w:rsid w:val="00040819"/>
    <w:rsid w:val="00040D56"/>
    <w:rsid w:val="000411F7"/>
    <w:rsid w:val="00041242"/>
    <w:rsid w:val="00041496"/>
    <w:rsid w:val="000415D6"/>
    <w:rsid w:val="00041712"/>
    <w:rsid w:val="00041DA5"/>
    <w:rsid w:val="00041E51"/>
    <w:rsid w:val="00041F52"/>
    <w:rsid w:val="00041FF6"/>
    <w:rsid w:val="000424F9"/>
    <w:rsid w:val="0004255E"/>
    <w:rsid w:val="00042964"/>
    <w:rsid w:val="00042AAC"/>
    <w:rsid w:val="00042E08"/>
    <w:rsid w:val="00042F3F"/>
    <w:rsid w:val="0004309A"/>
    <w:rsid w:val="0004312B"/>
    <w:rsid w:val="00043F64"/>
    <w:rsid w:val="000444EE"/>
    <w:rsid w:val="0004453C"/>
    <w:rsid w:val="0004471D"/>
    <w:rsid w:val="0004489D"/>
    <w:rsid w:val="00044996"/>
    <w:rsid w:val="00044B91"/>
    <w:rsid w:val="00044D05"/>
    <w:rsid w:val="00044DBD"/>
    <w:rsid w:val="00044E9F"/>
    <w:rsid w:val="000450BB"/>
    <w:rsid w:val="00045390"/>
    <w:rsid w:val="0004560C"/>
    <w:rsid w:val="000459B0"/>
    <w:rsid w:val="00045EDE"/>
    <w:rsid w:val="00046118"/>
    <w:rsid w:val="00046204"/>
    <w:rsid w:val="00046229"/>
    <w:rsid w:val="0004639A"/>
    <w:rsid w:val="000463F7"/>
    <w:rsid w:val="000464B0"/>
    <w:rsid w:val="000464EB"/>
    <w:rsid w:val="00046834"/>
    <w:rsid w:val="000468C4"/>
    <w:rsid w:val="000468D4"/>
    <w:rsid w:val="00046908"/>
    <w:rsid w:val="00046D1C"/>
    <w:rsid w:val="0004748D"/>
    <w:rsid w:val="0004754D"/>
    <w:rsid w:val="0004788F"/>
    <w:rsid w:val="000478D9"/>
    <w:rsid w:val="00047986"/>
    <w:rsid w:val="00047A20"/>
    <w:rsid w:val="00050055"/>
    <w:rsid w:val="00050561"/>
    <w:rsid w:val="00050A93"/>
    <w:rsid w:val="00050BE9"/>
    <w:rsid w:val="00050C3F"/>
    <w:rsid w:val="00050E7F"/>
    <w:rsid w:val="000513D6"/>
    <w:rsid w:val="00051653"/>
    <w:rsid w:val="00051A03"/>
    <w:rsid w:val="00051D83"/>
    <w:rsid w:val="00051E51"/>
    <w:rsid w:val="00051F8F"/>
    <w:rsid w:val="000521E9"/>
    <w:rsid w:val="00052378"/>
    <w:rsid w:val="0005257C"/>
    <w:rsid w:val="00052889"/>
    <w:rsid w:val="0005295B"/>
    <w:rsid w:val="00052C8F"/>
    <w:rsid w:val="00052DE7"/>
    <w:rsid w:val="00052E9D"/>
    <w:rsid w:val="00052F73"/>
    <w:rsid w:val="00053202"/>
    <w:rsid w:val="00053627"/>
    <w:rsid w:val="0005363D"/>
    <w:rsid w:val="00053733"/>
    <w:rsid w:val="00053770"/>
    <w:rsid w:val="000538D8"/>
    <w:rsid w:val="00053930"/>
    <w:rsid w:val="00053BEC"/>
    <w:rsid w:val="00053CEC"/>
    <w:rsid w:val="0005407D"/>
    <w:rsid w:val="000540CA"/>
    <w:rsid w:val="000540E7"/>
    <w:rsid w:val="00054213"/>
    <w:rsid w:val="00054509"/>
    <w:rsid w:val="0005467E"/>
    <w:rsid w:val="00054697"/>
    <w:rsid w:val="000547CF"/>
    <w:rsid w:val="00054FE3"/>
    <w:rsid w:val="00055097"/>
    <w:rsid w:val="000551F1"/>
    <w:rsid w:val="000556FC"/>
    <w:rsid w:val="000557AC"/>
    <w:rsid w:val="00055A48"/>
    <w:rsid w:val="00055D3F"/>
    <w:rsid w:val="00056522"/>
    <w:rsid w:val="00056922"/>
    <w:rsid w:val="00056BC3"/>
    <w:rsid w:val="00057672"/>
    <w:rsid w:val="0005769C"/>
    <w:rsid w:val="000577AA"/>
    <w:rsid w:val="00057912"/>
    <w:rsid w:val="00057F9F"/>
    <w:rsid w:val="0006001E"/>
    <w:rsid w:val="000604A5"/>
    <w:rsid w:val="00060784"/>
    <w:rsid w:val="00060826"/>
    <w:rsid w:val="00060844"/>
    <w:rsid w:val="00060866"/>
    <w:rsid w:val="00060AF3"/>
    <w:rsid w:val="00060D40"/>
    <w:rsid w:val="00060F82"/>
    <w:rsid w:val="000610CB"/>
    <w:rsid w:val="00061530"/>
    <w:rsid w:val="00061722"/>
    <w:rsid w:val="00061C42"/>
    <w:rsid w:val="00061DFB"/>
    <w:rsid w:val="00061E39"/>
    <w:rsid w:val="00061E89"/>
    <w:rsid w:val="00061FC3"/>
    <w:rsid w:val="000620AD"/>
    <w:rsid w:val="000621F4"/>
    <w:rsid w:val="000622F9"/>
    <w:rsid w:val="00062332"/>
    <w:rsid w:val="000625BF"/>
    <w:rsid w:val="00062A7C"/>
    <w:rsid w:val="00062C73"/>
    <w:rsid w:val="0006326A"/>
    <w:rsid w:val="000632EB"/>
    <w:rsid w:val="00063356"/>
    <w:rsid w:val="0006342C"/>
    <w:rsid w:val="000636B7"/>
    <w:rsid w:val="00063730"/>
    <w:rsid w:val="0006386C"/>
    <w:rsid w:val="000639D7"/>
    <w:rsid w:val="00063B10"/>
    <w:rsid w:val="00063BB3"/>
    <w:rsid w:val="00063D43"/>
    <w:rsid w:val="000640FE"/>
    <w:rsid w:val="0006470B"/>
    <w:rsid w:val="0006483D"/>
    <w:rsid w:val="00064A55"/>
    <w:rsid w:val="00064E97"/>
    <w:rsid w:val="00065234"/>
    <w:rsid w:val="000652D1"/>
    <w:rsid w:val="00065AAD"/>
    <w:rsid w:val="00065B27"/>
    <w:rsid w:val="00065B4D"/>
    <w:rsid w:val="00065C49"/>
    <w:rsid w:val="0006642A"/>
    <w:rsid w:val="0006644F"/>
    <w:rsid w:val="0006662A"/>
    <w:rsid w:val="000669B7"/>
    <w:rsid w:val="00066A73"/>
    <w:rsid w:val="00066F74"/>
    <w:rsid w:val="0006715A"/>
    <w:rsid w:val="000676EC"/>
    <w:rsid w:val="0006777F"/>
    <w:rsid w:val="000678A5"/>
    <w:rsid w:val="00067BCE"/>
    <w:rsid w:val="00067C20"/>
    <w:rsid w:val="00070072"/>
    <w:rsid w:val="000702D0"/>
    <w:rsid w:val="000704E9"/>
    <w:rsid w:val="00071166"/>
    <w:rsid w:val="000712BF"/>
    <w:rsid w:val="0007134D"/>
    <w:rsid w:val="00071668"/>
    <w:rsid w:val="00071860"/>
    <w:rsid w:val="00071BE9"/>
    <w:rsid w:val="000720C3"/>
    <w:rsid w:val="0007223D"/>
    <w:rsid w:val="00073031"/>
    <w:rsid w:val="00073170"/>
    <w:rsid w:val="000736A3"/>
    <w:rsid w:val="000738A3"/>
    <w:rsid w:val="00073991"/>
    <w:rsid w:val="00073A61"/>
    <w:rsid w:val="00073D4B"/>
    <w:rsid w:val="00073EB1"/>
    <w:rsid w:val="00074329"/>
    <w:rsid w:val="00074544"/>
    <w:rsid w:val="0007454D"/>
    <w:rsid w:val="00074742"/>
    <w:rsid w:val="00074C6F"/>
    <w:rsid w:val="00074D2D"/>
    <w:rsid w:val="0007516A"/>
    <w:rsid w:val="0007523F"/>
    <w:rsid w:val="000754B7"/>
    <w:rsid w:val="000756AB"/>
    <w:rsid w:val="00075A68"/>
    <w:rsid w:val="00075EA6"/>
    <w:rsid w:val="00075FCE"/>
    <w:rsid w:val="00076374"/>
    <w:rsid w:val="00076629"/>
    <w:rsid w:val="00076937"/>
    <w:rsid w:val="00076F7E"/>
    <w:rsid w:val="0007709B"/>
    <w:rsid w:val="000772FD"/>
    <w:rsid w:val="0007731E"/>
    <w:rsid w:val="000774D1"/>
    <w:rsid w:val="000806E9"/>
    <w:rsid w:val="00080A8A"/>
    <w:rsid w:val="00080BF9"/>
    <w:rsid w:val="00080C35"/>
    <w:rsid w:val="00080E92"/>
    <w:rsid w:val="0008118D"/>
    <w:rsid w:val="0008129E"/>
    <w:rsid w:val="0008147F"/>
    <w:rsid w:val="000818EC"/>
    <w:rsid w:val="00081900"/>
    <w:rsid w:val="00081A82"/>
    <w:rsid w:val="00081FB2"/>
    <w:rsid w:val="000822C0"/>
    <w:rsid w:val="0008235E"/>
    <w:rsid w:val="0008236A"/>
    <w:rsid w:val="000827C1"/>
    <w:rsid w:val="000828B9"/>
    <w:rsid w:val="00082A5E"/>
    <w:rsid w:val="000831D7"/>
    <w:rsid w:val="00083625"/>
    <w:rsid w:val="00083647"/>
    <w:rsid w:val="00083873"/>
    <w:rsid w:val="000838E8"/>
    <w:rsid w:val="00083928"/>
    <w:rsid w:val="000839C4"/>
    <w:rsid w:val="00083D48"/>
    <w:rsid w:val="00083DB7"/>
    <w:rsid w:val="0008442C"/>
    <w:rsid w:val="000846B0"/>
    <w:rsid w:val="00084C35"/>
    <w:rsid w:val="00084E94"/>
    <w:rsid w:val="00084F8F"/>
    <w:rsid w:val="0008512A"/>
    <w:rsid w:val="00085183"/>
    <w:rsid w:val="000851FF"/>
    <w:rsid w:val="0008602D"/>
    <w:rsid w:val="00086040"/>
    <w:rsid w:val="0008659E"/>
    <w:rsid w:val="000865F4"/>
    <w:rsid w:val="00086830"/>
    <w:rsid w:val="00086B95"/>
    <w:rsid w:val="00086F21"/>
    <w:rsid w:val="00086F64"/>
    <w:rsid w:val="00087150"/>
    <w:rsid w:val="00087423"/>
    <w:rsid w:val="00087444"/>
    <w:rsid w:val="000875CA"/>
    <w:rsid w:val="000876A5"/>
    <w:rsid w:val="00087987"/>
    <w:rsid w:val="00087CD3"/>
    <w:rsid w:val="000900CB"/>
    <w:rsid w:val="000900E7"/>
    <w:rsid w:val="0009025B"/>
    <w:rsid w:val="00090271"/>
    <w:rsid w:val="0009055D"/>
    <w:rsid w:val="0009067F"/>
    <w:rsid w:val="0009071A"/>
    <w:rsid w:val="000908E7"/>
    <w:rsid w:val="00090AB4"/>
    <w:rsid w:val="00090C97"/>
    <w:rsid w:val="00090CE7"/>
    <w:rsid w:val="00091084"/>
    <w:rsid w:val="0009121C"/>
    <w:rsid w:val="00091B8D"/>
    <w:rsid w:val="00091B97"/>
    <w:rsid w:val="00091C45"/>
    <w:rsid w:val="00091E96"/>
    <w:rsid w:val="0009222C"/>
    <w:rsid w:val="0009228A"/>
    <w:rsid w:val="00092529"/>
    <w:rsid w:val="00092834"/>
    <w:rsid w:val="00092B62"/>
    <w:rsid w:val="0009307E"/>
    <w:rsid w:val="00093352"/>
    <w:rsid w:val="000933D7"/>
    <w:rsid w:val="0009352F"/>
    <w:rsid w:val="00093854"/>
    <w:rsid w:val="000938C6"/>
    <w:rsid w:val="00093B0E"/>
    <w:rsid w:val="00093B1E"/>
    <w:rsid w:val="00093CEC"/>
    <w:rsid w:val="00093D38"/>
    <w:rsid w:val="00094808"/>
    <w:rsid w:val="00094843"/>
    <w:rsid w:val="00095E87"/>
    <w:rsid w:val="000961B9"/>
    <w:rsid w:val="00096779"/>
    <w:rsid w:val="00096B6E"/>
    <w:rsid w:val="00096BD2"/>
    <w:rsid w:val="00096D11"/>
    <w:rsid w:val="00096F1F"/>
    <w:rsid w:val="00096FF2"/>
    <w:rsid w:val="00097EC8"/>
    <w:rsid w:val="00097ED1"/>
    <w:rsid w:val="000A0799"/>
    <w:rsid w:val="000A0825"/>
    <w:rsid w:val="000A0935"/>
    <w:rsid w:val="000A0A12"/>
    <w:rsid w:val="000A0A38"/>
    <w:rsid w:val="000A10BA"/>
    <w:rsid w:val="000A10BD"/>
    <w:rsid w:val="000A1E01"/>
    <w:rsid w:val="000A1EE8"/>
    <w:rsid w:val="000A1FC2"/>
    <w:rsid w:val="000A209E"/>
    <w:rsid w:val="000A271A"/>
    <w:rsid w:val="000A2C9B"/>
    <w:rsid w:val="000A2CB2"/>
    <w:rsid w:val="000A30EA"/>
    <w:rsid w:val="000A3113"/>
    <w:rsid w:val="000A3214"/>
    <w:rsid w:val="000A3327"/>
    <w:rsid w:val="000A38EF"/>
    <w:rsid w:val="000A3BEE"/>
    <w:rsid w:val="000A3E99"/>
    <w:rsid w:val="000A4135"/>
    <w:rsid w:val="000A41AF"/>
    <w:rsid w:val="000A42B7"/>
    <w:rsid w:val="000A44CA"/>
    <w:rsid w:val="000A45CB"/>
    <w:rsid w:val="000A4F88"/>
    <w:rsid w:val="000A55BD"/>
    <w:rsid w:val="000A55D3"/>
    <w:rsid w:val="000A5B61"/>
    <w:rsid w:val="000A5E92"/>
    <w:rsid w:val="000A64D5"/>
    <w:rsid w:val="000A683F"/>
    <w:rsid w:val="000A6EF4"/>
    <w:rsid w:val="000A6F73"/>
    <w:rsid w:val="000A741E"/>
    <w:rsid w:val="000A74A9"/>
    <w:rsid w:val="000A7E87"/>
    <w:rsid w:val="000B0206"/>
    <w:rsid w:val="000B0A30"/>
    <w:rsid w:val="000B0A92"/>
    <w:rsid w:val="000B0BC5"/>
    <w:rsid w:val="000B0CF3"/>
    <w:rsid w:val="000B0E2B"/>
    <w:rsid w:val="000B0FC9"/>
    <w:rsid w:val="000B1186"/>
    <w:rsid w:val="000B11F1"/>
    <w:rsid w:val="000B13EA"/>
    <w:rsid w:val="000B15CB"/>
    <w:rsid w:val="000B18F1"/>
    <w:rsid w:val="000B1EEB"/>
    <w:rsid w:val="000B2692"/>
    <w:rsid w:val="000B275D"/>
    <w:rsid w:val="000B2A50"/>
    <w:rsid w:val="000B2ED2"/>
    <w:rsid w:val="000B3357"/>
    <w:rsid w:val="000B379C"/>
    <w:rsid w:val="000B3A17"/>
    <w:rsid w:val="000B3C1C"/>
    <w:rsid w:val="000B3CFE"/>
    <w:rsid w:val="000B3DC8"/>
    <w:rsid w:val="000B3EC9"/>
    <w:rsid w:val="000B427F"/>
    <w:rsid w:val="000B459B"/>
    <w:rsid w:val="000B4A7E"/>
    <w:rsid w:val="000B5BB2"/>
    <w:rsid w:val="000B615B"/>
    <w:rsid w:val="000B65B0"/>
    <w:rsid w:val="000B66DA"/>
    <w:rsid w:val="000B6A3F"/>
    <w:rsid w:val="000B6AC4"/>
    <w:rsid w:val="000B6C0E"/>
    <w:rsid w:val="000B6C94"/>
    <w:rsid w:val="000B6E36"/>
    <w:rsid w:val="000B6ECD"/>
    <w:rsid w:val="000B6FDC"/>
    <w:rsid w:val="000B74D4"/>
    <w:rsid w:val="000B7925"/>
    <w:rsid w:val="000B79EC"/>
    <w:rsid w:val="000B7D3E"/>
    <w:rsid w:val="000C0263"/>
    <w:rsid w:val="000C037A"/>
    <w:rsid w:val="000C040F"/>
    <w:rsid w:val="000C0E4E"/>
    <w:rsid w:val="000C10AD"/>
    <w:rsid w:val="000C1110"/>
    <w:rsid w:val="000C11C6"/>
    <w:rsid w:val="000C174E"/>
    <w:rsid w:val="000C17B1"/>
    <w:rsid w:val="000C18B6"/>
    <w:rsid w:val="000C22FD"/>
    <w:rsid w:val="000C23BC"/>
    <w:rsid w:val="000C243D"/>
    <w:rsid w:val="000C2553"/>
    <w:rsid w:val="000C2C75"/>
    <w:rsid w:val="000C3448"/>
    <w:rsid w:val="000C3598"/>
    <w:rsid w:val="000C383B"/>
    <w:rsid w:val="000C398C"/>
    <w:rsid w:val="000C3E03"/>
    <w:rsid w:val="000C3E3E"/>
    <w:rsid w:val="000C41ED"/>
    <w:rsid w:val="000C45BE"/>
    <w:rsid w:val="000C463E"/>
    <w:rsid w:val="000C4664"/>
    <w:rsid w:val="000C4867"/>
    <w:rsid w:val="000C508F"/>
    <w:rsid w:val="000C5241"/>
    <w:rsid w:val="000C5397"/>
    <w:rsid w:val="000C549B"/>
    <w:rsid w:val="000C5604"/>
    <w:rsid w:val="000C56CA"/>
    <w:rsid w:val="000C58F6"/>
    <w:rsid w:val="000C5968"/>
    <w:rsid w:val="000C6061"/>
    <w:rsid w:val="000C624F"/>
    <w:rsid w:val="000C6BCD"/>
    <w:rsid w:val="000C6BD0"/>
    <w:rsid w:val="000C6FB4"/>
    <w:rsid w:val="000C733A"/>
    <w:rsid w:val="000C7391"/>
    <w:rsid w:val="000C7453"/>
    <w:rsid w:val="000C7808"/>
    <w:rsid w:val="000C794C"/>
    <w:rsid w:val="000C7B44"/>
    <w:rsid w:val="000C7B8F"/>
    <w:rsid w:val="000D0012"/>
    <w:rsid w:val="000D02C7"/>
    <w:rsid w:val="000D0419"/>
    <w:rsid w:val="000D0735"/>
    <w:rsid w:val="000D07ED"/>
    <w:rsid w:val="000D0B9E"/>
    <w:rsid w:val="000D0BC6"/>
    <w:rsid w:val="000D0CCF"/>
    <w:rsid w:val="000D0EC8"/>
    <w:rsid w:val="000D1080"/>
    <w:rsid w:val="000D143E"/>
    <w:rsid w:val="000D1AEC"/>
    <w:rsid w:val="000D20D0"/>
    <w:rsid w:val="000D2162"/>
    <w:rsid w:val="000D2222"/>
    <w:rsid w:val="000D22DD"/>
    <w:rsid w:val="000D2A91"/>
    <w:rsid w:val="000D2ACD"/>
    <w:rsid w:val="000D2BFD"/>
    <w:rsid w:val="000D3686"/>
    <w:rsid w:val="000D3CDF"/>
    <w:rsid w:val="000D3EB0"/>
    <w:rsid w:val="000D3F95"/>
    <w:rsid w:val="000D46AE"/>
    <w:rsid w:val="000D4BD6"/>
    <w:rsid w:val="000D4EF1"/>
    <w:rsid w:val="000D51E1"/>
    <w:rsid w:val="000D542F"/>
    <w:rsid w:val="000D54C4"/>
    <w:rsid w:val="000D577A"/>
    <w:rsid w:val="000D5CCD"/>
    <w:rsid w:val="000D5D99"/>
    <w:rsid w:val="000D6810"/>
    <w:rsid w:val="000D6C76"/>
    <w:rsid w:val="000D6D1C"/>
    <w:rsid w:val="000D6E2E"/>
    <w:rsid w:val="000D6E87"/>
    <w:rsid w:val="000D6FE6"/>
    <w:rsid w:val="000D75C1"/>
    <w:rsid w:val="000D79F5"/>
    <w:rsid w:val="000D7C17"/>
    <w:rsid w:val="000D7D3C"/>
    <w:rsid w:val="000E0020"/>
    <w:rsid w:val="000E05E5"/>
    <w:rsid w:val="000E07AE"/>
    <w:rsid w:val="000E0B80"/>
    <w:rsid w:val="000E0E98"/>
    <w:rsid w:val="000E0F46"/>
    <w:rsid w:val="000E1114"/>
    <w:rsid w:val="000E12E5"/>
    <w:rsid w:val="000E12F9"/>
    <w:rsid w:val="000E1AFF"/>
    <w:rsid w:val="000E1C9E"/>
    <w:rsid w:val="000E1DE7"/>
    <w:rsid w:val="000E20B0"/>
    <w:rsid w:val="000E223E"/>
    <w:rsid w:val="000E2466"/>
    <w:rsid w:val="000E26F1"/>
    <w:rsid w:val="000E2940"/>
    <w:rsid w:val="000E29A2"/>
    <w:rsid w:val="000E2DA0"/>
    <w:rsid w:val="000E312F"/>
    <w:rsid w:val="000E3278"/>
    <w:rsid w:val="000E338E"/>
    <w:rsid w:val="000E3420"/>
    <w:rsid w:val="000E342E"/>
    <w:rsid w:val="000E3430"/>
    <w:rsid w:val="000E38E8"/>
    <w:rsid w:val="000E39FA"/>
    <w:rsid w:val="000E3D46"/>
    <w:rsid w:val="000E41DC"/>
    <w:rsid w:val="000E420F"/>
    <w:rsid w:val="000E4277"/>
    <w:rsid w:val="000E47AC"/>
    <w:rsid w:val="000E49CE"/>
    <w:rsid w:val="000E503A"/>
    <w:rsid w:val="000E5591"/>
    <w:rsid w:val="000E5A34"/>
    <w:rsid w:val="000E5F7D"/>
    <w:rsid w:val="000E6041"/>
    <w:rsid w:val="000E62B5"/>
    <w:rsid w:val="000E662E"/>
    <w:rsid w:val="000E6909"/>
    <w:rsid w:val="000E6B85"/>
    <w:rsid w:val="000E6BA9"/>
    <w:rsid w:val="000E6E60"/>
    <w:rsid w:val="000E6F1C"/>
    <w:rsid w:val="000E6FB7"/>
    <w:rsid w:val="000E703D"/>
    <w:rsid w:val="000E7350"/>
    <w:rsid w:val="000E745B"/>
    <w:rsid w:val="000E76B8"/>
    <w:rsid w:val="000E7B7C"/>
    <w:rsid w:val="000F098D"/>
    <w:rsid w:val="000F0E46"/>
    <w:rsid w:val="000F10D0"/>
    <w:rsid w:val="000F154F"/>
    <w:rsid w:val="000F184F"/>
    <w:rsid w:val="000F1BD8"/>
    <w:rsid w:val="000F1E65"/>
    <w:rsid w:val="000F24A1"/>
    <w:rsid w:val="000F24A3"/>
    <w:rsid w:val="000F2784"/>
    <w:rsid w:val="000F2FB7"/>
    <w:rsid w:val="000F31F6"/>
    <w:rsid w:val="000F341F"/>
    <w:rsid w:val="000F363A"/>
    <w:rsid w:val="000F3838"/>
    <w:rsid w:val="000F3B93"/>
    <w:rsid w:val="000F3C2E"/>
    <w:rsid w:val="000F3DCE"/>
    <w:rsid w:val="000F3E1A"/>
    <w:rsid w:val="000F3F4D"/>
    <w:rsid w:val="000F4030"/>
    <w:rsid w:val="000F43D9"/>
    <w:rsid w:val="000F44F9"/>
    <w:rsid w:val="000F49B7"/>
    <w:rsid w:val="000F5CD3"/>
    <w:rsid w:val="000F5DF9"/>
    <w:rsid w:val="000F5FF7"/>
    <w:rsid w:val="000F6073"/>
    <w:rsid w:val="000F6D0F"/>
    <w:rsid w:val="000F6FB3"/>
    <w:rsid w:val="000F7060"/>
    <w:rsid w:val="000F7170"/>
    <w:rsid w:val="000F744F"/>
    <w:rsid w:val="000F7849"/>
    <w:rsid w:val="000F7B58"/>
    <w:rsid w:val="000F7BD6"/>
    <w:rsid w:val="000F7F23"/>
    <w:rsid w:val="001006F2"/>
    <w:rsid w:val="00100AED"/>
    <w:rsid w:val="00100E92"/>
    <w:rsid w:val="00100F23"/>
    <w:rsid w:val="00101701"/>
    <w:rsid w:val="0010181C"/>
    <w:rsid w:val="0010199E"/>
    <w:rsid w:val="00101B9B"/>
    <w:rsid w:val="00101BC2"/>
    <w:rsid w:val="00101BC3"/>
    <w:rsid w:val="00101FDA"/>
    <w:rsid w:val="0010208B"/>
    <w:rsid w:val="00102255"/>
    <w:rsid w:val="00102343"/>
    <w:rsid w:val="001024C6"/>
    <w:rsid w:val="001027C3"/>
    <w:rsid w:val="00102ABC"/>
    <w:rsid w:val="00102D54"/>
    <w:rsid w:val="00103A1E"/>
    <w:rsid w:val="00103AF9"/>
    <w:rsid w:val="00104084"/>
    <w:rsid w:val="00104479"/>
    <w:rsid w:val="00104728"/>
    <w:rsid w:val="0010496A"/>
    <w:rsid w:val="00104AEE"/>
    <w:rsid w:val="00104BAF"/>
    <w:rsid w:val="00104D97"/>
    <w:rsid w:val="00105314"/>
    <w:rsid w:val="00105777"/>
    <w:rsid w:val="00105951"/>
    <w:rsid w:val="00105CA3"/>
    <w:rsid w:val="00105D1F"/>
    <w:rsid w:val="00105E89"/>
    <w:rsid w:val="00105EB9"/>
    <w:rsid w:val="001063AD"/>
    <w:rsid w:val="00106752"/>
    <w:rsid w:val="001069E7"/>
    <w:rsid w:val="00106BC7"/>
    <w:rsid w:val="00106CDC"/>
    <w:rsid w:val="00106F31"/>
    <w:rsid w:val="00107058"/>
    <w:rsid w:val="001071AB"/>
    <w:rsid w:val="0010724A"/>
    <w:rsid w:val="00107827"/>
    <w:rsid w:val="00110091"/>
    <w:rsid w:val="0011034D"/>
    <w:rsid w:val="00110748"/>
    <w:rsid w:val="00110B6A"/>
    <w:rsid w:val="00111517"/>
    <w:rsid w:val="00111635"/>
    <w:rsid w:val="00111904"/>
    <w:rsid w:val="00111B0B"/>
    <w:rsid w:val="001121BA"/>
    <w:rsid w:val="001121FA"/>
    <w:rsid w:val="00112BAF"/>
    <w:rsid w:val="00112BB6"/>
    <w:rsid w:val="00112BE5"/>
    <w:rsid w:val="001136A2"/>
    <w:rsid w:val="001136F6"/>
    <w:rsid w:val="001139C5"/>
    <w:rsid w:val="00113ABD"/>
    <w:rsid w:val="00113B53"/>
    <w:rsid w:val="00113BAF"/>
    <w:rsid w:val="00113C91"/>
    <w:rsid w:val="001149F9"/>
    <w:rsid w:val="0011508B"/>
    <w:rsid w:val="001150A8"/>
    <w:rsid w:val="0011549F"/>
    <w:rsid w:val="00115546"/>
    <w:rsid w:val="00115750"/>
    <w:rsid w:val="0011595F"/>
    <w:rsid w:val="00116066"/>
    <w:rsid w:val="00116176"/>
    <w:rsid w:val="00116427"/>
    <w:rsid w:val="0011648B"/>
    <w:rsid w:val="00116AB1"/>
    <w:rsid w:val="00116DAD"/>
    <w:rsid w:val="00116DBB"/>
    <w:rsid w:val="00116E10"/>
    <w:rsid w:val="00116F04"/>
    <w:rsid w:val="00116FB4"/>
    <w:rsid w:val="00117574"/>
    <w:rsid w:val="00117717"/>
    <w:rsid w:val="00117C41"/>
    <w:rsid w:val="00120104"/>
    <w:rsid w:val="0012048C"/>
    <w:rsid w:val="001204FC"/>
    <w:rsid w:val="00120A2C"/>
    <w:rsid w:val="00120F4A"/>
    <w:rsid w:val="00120FEB"/>
    <w:rsid w:val="001210AF"/>
    <w:rsid w:val="001212C9"/>
    <w:rsid w:val="001212D4"/>
    <w:rsid w:val="0012135A"/>
    <w:rsid w:val="00121410"/>
    <w:rsid w:val="00121619"/>
    <w:rsid w:val="00121DE4"/>
    <w:rsid w:val="00121E1C"/>
    <w:rsid w:val="0012263B"/>
    <w:rsid w:val="001226AA"/>
    <w:rsid w:val="00122F03"/>
    <w:rsid w:val="00123710"/>
    <w:rsid w:val="001239CC"/>
    <w:rsid w:val="00123CD0"/>
    <w:rsid w:val="00124225"/>
    <w:rsid w:val="00124607"/>
    <w:rsid w:val="0012462D"/>
    <w:rsid w:val="0012476B"/>
    <w:rsid w:val="0012477D"/>
    <w:rsid w:val="00124897"/>
    <w:rsid w:val="00124967"/>
    <w:rsid w:val="00124B7A"/>
    <w:rsid w:val="00125076"/>
    <w:rsid w:val="0012513D"/>
    <w:rsid w:val="00125141"/>
    <w:rsid w:val="00125AC8"/>
    <w:rsid w:val="00125B76"/>
    <w:rsid w:val="00125D2F"/>
    <w:rsid w:val="00125D90"/>
    <w:rsid w:val="0012618A"/>
    <w:rsid w:val="00126262"/>
    <w:rsid w:val="00126620"/>
    <w:rsid w:val="0012679F"/>
    <w:rsid w:val="00126867"/>
    <w:rsid w:val="00126A1B"/>
    <w:rsid w:val="00126E1A"/>
    <w:rsid w:val="00126E66"/>
    <w:rsid w:val="00127139"/>
    <w:rsid w:val="0012794E"/>
    <w:rsid w:val="00127C84"/>
    <w:rsid w:val="0013003B"/>
    <w:rsid w:val="00130ABA"/>
    <w:rsid w:val="00130B55"/>
    <w:rsid w:val="001312D1"/>
    <w:rsid w:val="0013137D"/>
    <w:rsid w:val="00131485"/>
    <w:rsid w:val="00131900"/>
    <w:rsid w:val="00131FF7"/>
    <w:rsid w:val="001321D7"/>
    <w:rsid w:val="0013241C"/>
    <w:rsid w:val="00132592"/>
    <w:rsid w:val="00133101"/>
    <w:rsid w:val="00133884"/>
    <w:rsid w:val="00133D79"/>
    <w:rsid w:val="0013409A"/>
    <w:rsid w:val="0013447D"/>
    <w:rsid w:val="00134C90"/>
    <w:rsid w:val="00134F0C"/>
    <w:rsid w:val="00134F92"/>
    <w:rsid w:val="0013513D"/>
    <w:rsid w:val="00135169"/>
    <w:rsid w:val="0013527B"/>
    <w:rsid w:val="00135388"/>
    <w:rsid w:val="00135696"/>
    <w:rsid w:val="00135AEC"/>
    <w:rsid w:val="00135D7A"/>
    <w:rsid w:val="00135E8F"/>
    <w:rsid w:val="00136092"/>
    <w:rsid w:val="0013609D"/>
    <w:rsid w:val="00136531"/>
    <w:rsid w:val="001365AE"/>
    <w:rsid w:val="0013661D"/>
    <w:rsid w:val="00136AEA"/>
    <w:rsid w:val="00136CA2"/>
    <w:rsid w:val="00136DD0"/>
    <w:rsid w:val="00136DD3"/>
    <w:rsid w:val="00136EB9"/>
    <w:rsid w:val="00136EC9"/>
    <w:rsid w:val="00137097"/>
    <w:rsid w:val="001372B9"/>
    <w:rsid w:val="001376D7"/>
    <w:rsid w:val="00137A21"/>
    <w:rsid w:val="00137B29"/>
    <w:rsid w:val="00137C45"/>
    <w:rsid w:val="00137D4B"/>
    <w:rsid w:val="00140219"/>
    <w:rsid w:val="001402FD"/>
    <w:rsid w:val="00140314"/>
    <w:rsid w:val="0014031C"/>
    <w:rsid w:val="0014082F"/>
    <w:rsid w:val="00140AED"/>
    <w:rsid w:val="00140F6E"/>
    <w:rsid w:val="001411DD"/>
    <w:rsid w:val="0014126A"/>
    <w:rsid w:val="0014129D"/>
    <w:rsid w:val="0014148F"/>
    <w:rsid w:val="00142069"/>
    <w:rsid w:val="001423BA"/>
    <w:rsid w:val="0014298A"/>
    <w:rsid w:val="00142E30"/>
    <w:rsid w:val="00142F34"/>
    <w:rsid w:val="00142F57"/>
    <w:rsid w:val="00143002"/>
    <w:rsid w:val="0014316A"/>
    <w:rsid w:val="00143392"/>
    <w:rsid w:val="00143671"/>
    <w:rsid w:val="001437F8"/>
    <w:rsid w:val="001438EA"/>
    <w:rsid w:val="001439FE"/>
    <w:rsid w:val="00143A35"/>
    <w:rsid w:val="00143C04"/>
    <w:rsid w:val="00143C5A"/>
    <w:rsid w:val="00143DD0"/>
    <w:rsid w:val="00143E8D"/>
    <w:rsid w:val="0014446E"/>
    <w:rsid w:val="0014479F"/>
    <w:rsid w:val="00144B94"/>
    <w:rsid w:val="0014569E"/>
    <w:rsid w:val="00145A32"/>
    <w:rsid w:val="00145D01"/>
    <w:rsid w:val="00145D9D"/>
    <w:rsid w:val="00145F80"/>
    <w:rsid w:val="00145FF7"/>
    <w:rsid w:val="00146A4C"/>
    <w:rsid w:val="00146AE4"/>
    <w:rsid w:val="00146E10"/>
    <w:rsid w:val="00146F36"/>
    <w:rsid w:val="001473C4"/>
    <w:rsid w:val="00147585"/>
    <w:rsid w:val="00147A25"/>
    <w:rsid w:val="00147C45"/>
    <w:rsid w:val="00147CB3"/>
    <w:rsid w:val="001501D7"/>
    <w:rsid w:val="0015045E"/>
    <w:rsid w:val="00150A96"/>
    <w:rsid w:val="00150E18"/>
    <w:rsid w:val="00150EC6"/>
    <w:rsid w:val="00150ECC"/>
    <w:rsid w:val="00151165"/>
    <w:rsid w:val="001511CD"/>
    <w:rsid w:val="00151DFA"/>
    <w:rsid w:val="00151E44"/>
    <w:rsid w:val="00151F5E"/>
    <w:rsid w:val="0015205B"/>
    <w:rsid w:val="00152292"/>
    <w:rsid w:val="001522F1"/>
    <w:rsid w:val="001526E0"/>
    <w:rsid w:val="00152C6F"/>
    <w:rsid w:val="00152E35"/>
    <w:rsid w:val="00152EB0"/>
    <w:rsid w:val="00153027"/>
    <w:rsid w:val="0015307F"/>
    <w:rsid w:val="001532A4"/>
    <w:rsid w:val="0015383C"/>
    <w:rsid w:val="00153905"/>
    <w:rsid w:val="001540AC"/>
    <w:rsid w:val="00154FFA"/>
    <w:rsid w:val="001550B9"/>
    <w:rsid w:val="00155223"/>
    <w:rsid w:val="0015540C"/>
    <w:rsid w:val="00155ED0"/>
    <w:rsid w:val="00155F30"/>
    <w:rsid w:val="001560DC"/>
    <w:rsid w:val="001561F0"/>
    <w:rsid w:val="00156A5E"/>
    <w:rsid w:val="00156D2A"/>
    <w:rsid w:val="0015742E"/>
    <w:rsid w:val="00157964"/>
    <w:rsid w:val="00157E6F"/>
    <w:rsid w:val="00157ECB"/>
    <w:rsid w:val="00160175"/>
    <w:rsid w:val="00160607"/>
    <w:rsid w:val="0016092E"/>
    <w:rsid w:val="00160CEB"/>
    <w:rsid w:val="00160D8C"/>
    <w:rsid w:val="0016103C"/>
    <w:rsid w:val="001615B7"/>
    <w:rsid w:val="001616CB"/>
    <w:rsid w:val="001619E6"/>
    <w:rsid w:val="00161B19"/>
    <w:rsid w:val="00161C64"/>
    <w:rsid w:val="00161DA4"/>
    <w:rsid w:val="00161E2D"/>
    <w:rsid w:val="001621EF"/>
    <w:rsid w:val="001622C5"/>
    <w:rsid w:val="001624B0"/>
    <w:rsid w:val="0016263B"/>
    <w:rsid w:val="00162ABA"/>
    <w:rsid w:val="00162AC3"/>
    <w:rsid w:val="00162D32"/>
    <w:rsid w:val="00162F2A"/>
    <w:rsid w:val="001631A9"/>
    <w:rsid w:val="00163243"/>
    <w:rsid w:val="001637A1"/>
    <w:rsid w:val="001637DC"/>
    <w:rsid w:val="00163BF1"/>
    <w:rsid w:val="00163C01"/>
    <w:rsid w:val="00163D1F"/>
    <w:rsid w:val="00163E20"/>
    <w:rsid w:val="001640C4"/>
    <w:rsid w:val="0016436C"/>
    <w:rsid w:val="0016444F"/>
    <w:rsid w:val="00164878"/>
    <w:rsid w:val="00164A1E"/>
    <w:rsid w:val="00164AC6"/>
    <w:rsid w:val="00164F57"/>
    <w:rsid w:val="00164FAC"/>
    <w:rsid w:val="00165003"/>
    <w:rsid w:val="00166196"/>
    <w:rsid w:val="001664BB"/>
    <w:rsid w:val="00166F66"/>
    <w:rsid w:val="00167475"/>
    <w:rsid w:val="00167B8E"/>
    <w:rsid w:val="00167EA0"/>
    <w:rsid w:val="00167FF6"/>
    <w:rsid w:val="00170138"/>
    <w:rsid w:val="001701CA"/>
    <w:rsid w:val="001702A3"/>
    <w:rsid w:val="00170361"/>
    <w:rsid w:val="0017042D"/>
    <w:rsid w:val="001707E8"/>
    <w:rsid w:val="0017098E"/>
    <w:rsid w:val="00171261"/>
    <w:rsid w:val="00171283"/>
    <w:rsid w:val="00171427"/>
    <w:rsid w:val="00171C3F"/>
    <w:rsid w:val="00171DAF"/>
    <w:rsid w:val="00171E2F"/>
    <w:rsid w:val="00172024"/>
    <w:rsid w:val="0017229E"/>
    <w:rsid w:val="0017242D"/>
    <w:rsid w:val="00172767"/>
    <w:rsid w:val="00172BE9"/>
    <w:rsid w:val="00172E1B"/>
    <w:rsid w:val="00173014"/>
    <w:rsid w:val="00173160"/>
    <w:rsid w:val="00173290"/>
    <w:rsid w:val="001735E5"/>
    <w:rsid w:val="001736C2"/>
    <w:rsid w:val="00173BFB"/>
    <w:rsid w:val="00173F4F"/>
    <w:rsid w:val="00174315"/>
    <w:rsid w:val="0017462A"/>
    <w:rsid w:val="00174E61"/>
    <w:rsid w:val="0017518F"/>
    <w:rsid w:val="00175289"/>
    <w:rsid w:val="001752C0"/>
    <w:rsid w:val="0017578F"/>
    <w:rsid w:val="00175830"/>
    <w:rsid w:val="00175B91"/>
    <w:rsid w:val="00175CFC"/>
    <w:rsid w:val="00175D0C"/>
    <w:rsid w:val="00175D85"/>
    <w:rsid w:val="00175E8F"/>
    <w:rsid w:val="0017601F"/>
    <w:rsid w:val="0017607A"/>
    <w:rsid w:val="00176479"/>
    <w:rsid w:val="00176574"/>
    <w:rsid w:val="001765F3"/>
    <w:rsid w:val="00176A14"/>
    <w:rsid w:val="00176AF6"/>
    <w:rsid w:val="00176F90"/>
    <w:rsid w:val="00177104"/>
    <w:rsid w:val="0017738D"/>
    <w:rsid w:val="00177426"/>
    <w:rsid w:val="00177593"/>
    <w:rsid w:val="00177711"/>
    <w:rsid w:val="00177A9C"/>
    <w:rsid w:val="00177B0B"/>
    <w:rsid w:val="00177C38"/>
    <w:rsid w:val="00177CFE"/>
    <w:rsid w:val="00177EE6"/>
    <w:rsid w:val="001808E8"/>
    <w:rsid w:val="0018091B"/>
    <w:rsid w:val="00180932"/>
    <w:rsid w:val="00180A1B"/>
    <w:rsid w:val="00180C76"/>
    <w:rsid w:val="00180CB2"/>
    <w:rsid w:val="00180D14"/>
    <w:rsid w:val="00180DB7"/>
    <w:rsid w:val="00181096"/>
    <w:rsid w:val="001812A7"/>
    <w:rsid w:val="001813A7"/>
    <w:rsid w:val="001813C1"/>
    <w:rsid w:val="001819C2"/>
    <w:rsid w:val="0018208B"/>
    <w:rsid w:val="00182593"/>
    <w:rsid w:val="001828D0"/>
    <w:rsid w:val="00182E26"/>
    <w:rsid w:val="00182EAC"/>
    <w:rsid w:val="00182F8D"/>
    <w:rsid w:val="00182FAF"/>
    <w:rsid w:val="00183087"/>
    <w:rsid w:val="0018317F"/>
    <w:rsid w:val="001831E4"/>
    <w:rsid w:val="001834FC"/>
    <w:rsid w:val="00183501"/>
    <w:rsid w:val="00183580"/>
    <w:rsid w:val="001835EC"/>
    <w:rsid w:val="00183C61"/>
    <w:rsid w:val="00184119"/>
    <w:rsid w:val="001844D8"/>
    <w:rsid w:val="00184754"/>
    <w:rsid w:val="001848FF"/>
    <w:rsid w:val="00184C77"/>
    <w:rsid w:val="00184CFF"/>
    <w:rsid w:val="00184D31"/>
    <w:rsid w:val="00184D61"/>
    <w:rsid w:val="00184FA0"/>
    <w:rsid w:val="001855AD"/>
    <w:rsid w:val="00185792"/>
    <w:rsid w:val="00185938"/>
    <w:rsid w:val="00185957"/>
    <w:rsid w:val="00185C47"/>
    <w:rsid w:val="00185E4D"/>
    <w:rsid w:val="0018608A"/>
    <w:rsid w:val="001863D5"/>
    <w:rsid w:val="00186629"/>
    <w:rsid w:val="00186981"/>
    <w:rsid w:val="00186FB8"/>
    <w:rsid w:val="00186FD4"/>
    <w:rsid w:val="001871F1"/>
    <w:rsid w:val="001872BD"/>
    <w:rsid w:val="0018754E"/>
    <w:rsid w:val="00187693"/>
    <w:rsid w:val="001877BE"/>
    <w:rsid w:val="00187A34"/>
    <w:rsid w:val="00187DFE"/>
    <w:rsid w:val="001907A0"/>
    <w:rsid w:val="001909EA"/>
    <w:rsid w:val="00190A7E"/>
    <w:rsid w:val="00190B88"/>
    <w:rsid w:val="00190BAC"/>
    <w:rsid w:val="00190F89"/>
    <w:rsid w:val="00191196"/>
    <w:rsid w:val="00191462"/>
    <w:rsid w:val="001916BE"/>
    <w:rsid w:val="00191925"/>
    <w:rsid w:val="00191C2B"/>
    <w:rsid w:val="00192427"/>
    <w:rsid w:val="00192667"/>
    <w:rsid w:val="001927BA"/>
    <w:rsid w:val="00193225"/>
    <w:rsid w:val="00193579"/>
    <w:rsid w:val="00193C6A"/>
    <w:rsid w:val="00194256"/>
    <w:rsid w:val="001943CB"/>
    <w:rsid w:val="00194B05"/>
    <w:rsid w:val="00194B3F"/>
    <w:rsid w:val="00195214"/>
    <w:rsid w:val="0019548C"/>
    <w:rsid w:val="001956D7"/>
    <w:rsid w:val="00196036"/>
    <w:rsid w:val="001960A1"/>
    <w:rsid w:val="001960EB"/>
    <w:rsid w:val="00196207"/>
    <w:rsid w:val="00196366"/>
    <w:rsid w:val="001963B1"/>
    <w:rsid w:val="001966C8"/>
    <w:rsid w:val="0019688A"/>
    <w:rsid w:val="00196C0C"/>
    <w:rsid w:val="00196EB7"/>
    <w:rsid w:val="0019705B"/>
    <w:rsid w:val="0019732A"/>
    <w:rsid w:val="001973AC"/>
    <w:rsid w:val="00197428"/>
    <w:rsid w:val="0019766B"/>
    <w:rsid w:val="00197758"/>
    <w:rsid w:val="0019780A"/>
    <w:rsid w:val="00197BF4"/>
    <w:rsid w:val="00197E5D"/>
    <w:rsid w:val="001A0137"/>
    <w:rsid w:val="001A0367"/>
    <w:rsid w:val="001A0814"/>
    <w:rsid w:val="001A084F"/>
    <w:rsid w:val="001A09C9"/>
    <w:rsid w:val="001A11AE"/>
    <w:rsid w:val="001A1324"/>
    <w:rsid w:val="001A1354"/>
    <w:rsid w:val="001A13B2"/>
    <w:rsid w:val="001A143D"/>
    <w:rsid w:val="001A1B7A"/>
    <w:rsid w:val="001A20AE"/>
    <w:rsid w:val="001A22C7"/>
    <w:rsid w:val="001A2601"/>
    <w:rsid w:val="001A27D2"/>
    <w:rsid w:val="001A298B"/>
    <w:rsid w:val="001A2BDC"/>
    <w:rsid w:val="001A2CC7"/>
    <w:rsid w:val="001A2E56"/>
    <w:rsid w:val="001A2FEF"/>
    <w:rsid w:val="001A3540"/>
    <w:rsid w:val="001A3624"/>
    <w:rsid w:val="001A3B9B"/>
    <w:rsid w:val="001A3CC8"/>
    <w:rsid w:val="001A3DC7"/>
    <w:rsid w:val="001A3E96"/>
    <w:rsid w:val="001A3EFD"/>
    <w:rsid w:val="001A40BE"/>
    <w:rsid w:val="001A42A0"/>
    <w:rsid w:val="001A4452"/>
    <w:rsid w:val="001A4555"/>
    <w:rsid w:val="001A5268"/>
    <w:rsid w:val="001A56D0"/>
    <w:rsid w:val="001A570B"/>
    <w:rsid w:val="001A5A54"/>
    <w:rsid w:val="001A5F47"/>
    <w:rsid w:val="001A6102"/>
    <w:rsid w:val="001A6CE4"/>
    <w:rsid w:val="001A72C9"/>
    <w:rsid w:val="001A7A0E"/>
    <w:rsid w:val="001A7A40"/>
    <w:rsid w:val="001A7A7F"/>
    <w:rsid w:val="001A7E52"/>
    <w:rsid w:val="001A7E84"/>
    <w:rsid w:val="001A7ECE"/>
    <w:rsid w:val="001B0B96"/>
    <w:rsid w:val="001B0F06"/>
    <w:rsid w:val="001B1635"/>
    <w:rsid w:val="001B188F"/>
    <w:rsid w:val="001B1A2F"/>
    <w:rsid w:val="001B1E31"/>
    <w:rsid w:val="001B1FA7"/>
    <w:rsid w:val="001B20B6"/>
    <w:rsid w:val="001B21EB"/>
    <w:rsid w:val="001B22DA"/>
    <w:rsid w:val="001B2300"/>
    <w:rsid w:val="001B2374"/>
    <w:rsid w:val="001B2540"/>
    <w:rsid w:val="001B2574"/>
    <w:rsid w:val="001B26F3"/>
    <w:rsid w:val="001B2772"/>
    <w:rsid w:val="001B27E4"/>
    <w:rsid w:val="001B2AA1"/>
    <w:rsid w:val="001B309F"/>
    <w:rsid w:val="001B35F2"/>
    <w:rsid w:val="001B3C5E"/>
    <w:rsid w:val="001B3D2F"/>
    <w:rsid w:val="001B3F9A"/>
    <w:rsid w:val="001B40BB"/>
    <w:rsid w:val="001B4158"/>
    <w:rsid w:val="001B4207"/>
    <w:rsid w:val="001B425B"/>
    <w:rsid w:val="001B474F"/>
    <w:rsid w:val="001B47A9"/>
    <w:rsid w:val="001B495D"/>
    <w:rsid w:val="001B4BE2"/>
    <w:rsid w:val="001B4E58"/>
    <w:rsid w:val="001B5764"/>
    <w:rsid w:val="001B59C2"/>
    <w:rsid w:val="001B59DA"/>
    <w:rsid w:val="001B5D7C"/>
    <w:rsid w:val="001B609D"/>
    <w:rsid w:val="001B6293"/>
    <w:rsid w:val="001B64BC"/>
    <w:rsid w:val="001B64E6"/>
    <w:rsid w:val="001B7291"/>
    <w:rsid w:val="001B79C0"/>
    <w:rsid w:val="001B7B2E"/>
    <w:rsid w:val="001B7EC3"/>
    <w:rsid w:val="001B7FFC"/>
    <w:rsid w:val="001C00FC"/>
    <w:rsid w:val="001C0822"/>
    <w:rsid w:val="001C097A"/>
    <w:rsid w:val="001C09F1"/>
    <w:rsid w:val="001C160A"/>
    <w:rsid w:val="001C1680"/>
    <w:rsid w:val="001C185F"/>
    <w:rsid w:val="001C189D"/>
    <w:rsid w:val="001C196C"/>
    <w:rsid w:val="001C1A94"/>
    <w:rsid w:val="001C1EF5"/>
    <w:rsid w:val="001C202A"/>
    <w:rsid w:val="001C230B"/>
    <w:rsid w:val="001C255B"/>
    <w:rsid w:val="001C27A9"/>
    <w:rsid w:val="001C2D9E"/>
    <w:rsid w:val="001C2E8B"/>
    <w:rsid w:val="001C2EA3"/>
    <w:rsid w:val="001C301E"/>
    <w:rsid w:val="001C313C"/>
    <w:rsid w:val="001C3E90"/>
    <w:rsid w:val="001C4050"/>
    <w:rsid w:val="001C4384"/>
    <w:rsid w:val="001C4AF1"/>
    <w:rsid w:val="001C4BE4"/>
    <w:rsid w:val="001C505A"/>
    <w:rsid w:val="001C5E20"/>
    <w:rsid w:val="001C5E6E"/>
    <w:rsid w:val="001C5F2E"/>
    <w:rsid w:val="001C694B"/>
    <w:rsid w:val="001C6BAB"/>
    <w:rsid w:val="001C6C0E"/>
    <w:rsid w:val="001C6C81"/>
    <w:rsid w:val="001C6EC0"/>
    <w:rsid w:val="001C714E"/>
    <w:rsid w:val="001C7188"/>
    <w:rsid w:val="001C7231"/>
    <w:rsid w:val="001C759A"/>
    <w:rsid w:val="001C77AE"/>
    <w:rsid w:val="001C7834"/>
    <w:rsid w:val="001C7D34"/>
    <w:rsid w:val="001D0049"/>
    <w:rsid w:val="001D005E"/>
    <w:rsid w:val="001D01AE"/>
    <w:rsid w:val="001D024E"/>
    <w:rsid w:val="001D0563"/>
    <w:rsid w:val="001D0685"/>
    <w:rsid w:val="001D1C7F"/>
    <w:rsid w:val="001D2067"/>
    <w:rsid w:val="001D21DA"/>
    <w:rsid w:val="001D3178"/>
    <w:rsid w:val="001D351B"/>
    <w:rsid w:val="001D3702"/>
    <w:rsid w:val="001D3709"/>
    <w:rsid w:val="001D3C35"/>
    <w:rsid w:val="001D42BF"/>
    <w:rsid w:val="001D48C1"/>
    <w:rsid w:val="001D4A12"/>
    <w:rsid w:val="001D4C9B"/>
    <w:rsid w:val="001D51CE"/>
    <w:rsid w:val="001D5317"/>
    <w:rsid w:val="001D5468"/>
    <w:rsid w:val="001D5A2C"/>
    <w:rsid w:val="001D5C83"/>
    <w:rsid w:val="001D603C"/>
    <w:rsid w:val="001D627C"/>
    <w:rsid w:val="001D67C4"/>
    <w:rsid w:val="001D67FE"/>
    <w:rsid w:val="001D6B71"/>
    <w:rsid w:val="001D6C5B"/>
    <w:rsid w:val="001D6CAE"/>
    <w:rsid w:val="001D6DF6"/>
    <w:rsid w:val="001D6F83"/>
    <w:rsid w:val="001D70A4"/>
    <w:rsid w:val="001D73E3"/>
    <w:rsid w:val="001D758F"/>
    <w:rsid w:val="001D75F1"/>
    <w:rsid w:val="001D7682"/>
    <w:rsid w:val="001D76CB"/>
    <w:rsid w:val="001D7A65"/>
    <w:rsid w:val="001D7B57"/>
    <w:rsid w:val="001D7BE0"/>
    <w:rsid w:val="001D7E9D"/>
    <w:rsid w:val="001D7EBA"/>
    <w:rsid w:val="001E0026"/>
    <w:rsid w:val="001E005B"/>
    <w:rsid w:val="001E0145"/>
    <w:rsid w:val="001E053A"/>
    <w:rsid w:val="001E0CA7"/>
    <w:rsid w:val="001E0D45"/>
    <w:rsid w:val="001E1334"/>
    <w:rsid w:val="001E142E"/>
    <w:rsid w:val="001E144D"/>
    <w:rsid w:val="001E155D"/>
    <w:rsid w:val="001E1848"/>
    <w:rsid w:val="001E1996"/>
    <w:rsid w:val="001E19AD"/>
    <w:rsid w:val="001E20FE"/>
    <w:rsid w:val="001E259E"/>
    <w:rsid w:val="001E2C86"/>
    <w:rsid w:val="001E2DF0"/>
    <w:rsid w:val="001E3297"/>
    <w:rsid w:val="001E33F7"/>
    <w:rsid w:val="001E342A"/>
    <w:rsid w:val="001E35C3"/>
    <w:rsid w:val="001E370A"/>
    <w:rsid w:val="001E37AA"/>
    <w:rsid w:val="001E37D3"/>
    <w:rsid w:val="001E43E5"/>
    <w:rsid w:val="001E46F9"/>
    <w:rsid w:val="001E4959"/>
    <w:rsid w:val="001E4AB1"/>
    <w:rsid w:val="001E4CCC"/>
    <w:rsid w:val="001E4DA2"/>
    <w:rsid w:val="001E4F63"/>
    <w:rsid w:val="001E5D38"/>
    <w:rsid w:val="001E5EA9"/>
    <w:rsid w:val="001E650D"/>
    <w:rsid w:val="001E677B"/>
    <w:rsid w:val="001E6840"/>
    <w:rsid w:val="001E6BD1"/>
    <w:rsid w:val="001E6EDC"/>
    <w:rsid w:val="001E73DE"/>
    <w:rsid w:val="001E7962"/>
    <w:rsid w:val="001F0049"/>
    <w:rsid w:val="001F06B9"/>
    <w:rsid w:val="001F0997"/>
    <w:rsid w:val="001F0A97"/>
    <w:rsid w:val="001F0A99"/>
    <w:rsid w:val="001F0B90"/>
    <w:rsid w:val="001F0D8A"/>
    <w:rsid w:val="001F0DC5"/>
    <w:rsid w:val="001F0FFE"/>
    <w:rsid w:val="001F1095"/>
    <w:rsid w:val="001F1299"/>
    <w:rsid w:val="001F14DF"/>
    <w:rsid w:val="001F1507"/>
    <w:rsid w:val="001F207C"/>
    <w:rsid w:val="001F22AD"/>
    <w:rsid w:val="001F22F3"/>
    <w:rsid w:val="001F29AE"/>
    <w:rsid w:val="001F2B78"/>
    <w:rsid w:val="001F2CEA"/>
    <w:rsid w:val="001F31E6"/>
    <w:rsid w:val="001F32A7"/>
    <w:rsid w:val="001F3550"/>
    <w:rsid w:val="001F3BFF"/>
    <w:rsid w:val="001F3CD9"/>
    <w:rsid w:val="001F3F4E"/>
    <w:rsid w:val="001F4520"/>
    <w:rsid w:val="001F4A79"/>
    <w:rsid w:val="001F4BF3"/>
    <w:rsid w:val="001F4C6C"/>
    <w:rsid w:val="001F4E40"/>
    <w:rsid w:val="001F57E2"/>
    <w:rsid w:val="001F5964"/>
    <w:rsid w:val="001F5CC3"/>
    <w:rsid w:val="001F5DB3"/>
    <w:rsid w:val="001F5F28"/>
    <w:rsid w:val="001F63F8"/>
    <w:rsid w:val="001F6543"/>
    <w:rsid w:val="001F6889"/>
    <w:rsid w:val="001F6BD1"/>
    <w:rsid w:val="001F6E41"/>
    <w:rsid w:val="001F70CF"/>
    <w:rsid w:val="001F7308"/>
    <w:rsid w:val="001F7461"/>
    <w:rsid w:val="001F7742"/>
    <w:rsid w:val="001F78F1"/>
    <w:rsid w:val="001F7CAF"/>
    <w:rsid w:val="001F7E56"/>
    <w:rsid w:val="001F7F01"/>
    <w:rsid w:val="001F7FE0"/>
    <w:rsid w:val="002000F9"/>
    <w:rsid w:val="002003B0"/>
    <w:rsid w:val="00200654"/>
    <w:rsid w:val="002008DA"/>
    <w:rsid w:val="002009DE"/>
    <w:rsid w:val="0020118C"/>
    <w:rsid w:val="0020136C"/>
    <w:rsid w:val="0020142B"/>
    <w:rsid w:val="00201628"/>
    <w:rsid w:val="00201781"/>
    <w:rsid w:val="0020185F"/>
    <w:rsid w:val="00201A65"/>
    <w:rsid w:val="00201D02"/>
    <w:rsid w:val="00201F00"/>
    <w:rsid w:val="00203303"/>
    <w:rsid w:val="0020334E"/>
    <w:rsid w:val="00203483"/>
    <w:rsid w:val="002037B2"/>
    <w:rsid w:val="00203AAD"/>
    <w:rsid w:val="00203BC0"/>
    <w:rsid w:val="00203FE0"/>
    <w:rsid w:val="00204100"/>
    <w:rsid w:val="00204621"/>
    <w:rsid w:val="00204CE2"/>
    <w:rsid w:val="00205693"/>
    <w:rsid w:val="00205950"/>
    <w:rsid w:val="00205A89"/>
    <w:rsid w:val="00205C0D"/>
    <w:rsid w:val="00205CDE"/>
    <w:rsid w:val="00205DA5"/>
    <w:rsid w:val="0020650C"/>
    <w:rsid w:val="00206AF2"/>
    <w:rsid w:val="00206F45"/>
    <w:rsid w:val="00207E25"/>
    <w:rsid w:val="00207F81"/>
    <w:rsid w:val="00210147"/>
    <w:rsid w:val="002105C1"/>
    <w:rsid w:val="0021062E"/>
    <w:rsid w:val="002106A7"/>
    <w:rsid w:val="0021079F"/>
    <w:rsid w:val="00210948"/>
    <w:rsid w:val="002109BE"/>
    <w:rsid w:val="002109C0"/>
    <w:rsid w:val="002109F5"/>
    <w:rsid w:val="00210A98"/>
    <w:rsid w:val="00210C92"/>
    <w:rsid w:val="00211167"/>
    <w:rsid w:val="0021130F"/>
    <w:rsid w:val="002113A3"/>
    <w:rsid w:val="00211A60"/>
    <w:rsid w:val="00212185"/>
    <w:rsid w:val="00212205"/>
    <w:rsid w:val="00212432"/>
    <w:rsid w:val="0021243C"/>
    <w:rsid w:val="00212752"/>
    <w:rsid w:val="00212784"/>
    <w:rsid w:val="00212A87"/>
    <w:rsid w:val="00212AA3"/>
    <w:rsid w:val="00212BFA"/>
    <w:rsid w:val="00212E05"/>
    <w:rsid w:val="00213054"/>
    <w:rsid w:val="00213791"/>
    <w:rsid w:val="002139BD"/>
    <w:rsid w:val="00213A05"/>
    <w:rsid w:val="00214548"/>
    <w:rsid w:val="00214BF3"/>
    <w:rsid w:val="002153E3"/>
    <w:rsid w:val="00215474"/>
    <w:rsid w:val="002154AB"/>
    <w:rsid w:val="00215514"/>
    <w:rsid w:val="00215716"/>
    <w:rsid w:val="00216135"/>
    <w:rsid w:val="002163E0"/>
    <w:rsid w:val="00216571"/>
    <w:rsid w:val="00216A25"/>
    <w:rsid w:val="00216B10"/>
    <w:rsid w:val="00216BC3"/>
    <w:rsid w:val="00216FEB"/>
    <w:rsid w:val="00216FFE"/>
    <w:rsid w:val="002173DB"/>
    <w:rsid w:val="00217601"/>
    <w:rsid w:val="00217903"/>
    <w:rsid w:val="002179B2"/>
    <w:rsid w:val="00217BE8"/>
    <w:rsid w:val="00217F2A"/>
    <w:rsid w:val="00220093"/>
    <w:rsid w:val="0022065B"/>
    <w:rsid w:val="00220AFD"/>
    <w:rsid w:val="00220BB8"/>
    <w:rsid w:val="002210F4"/>
    <w:rsid w:val="00221615"/>
    <w:rsid w:val="002216E0"/>
    <w:rsid w:val="0022178D"/>
    <w:rsid w:val="0022179D"/>
    <w:rsid w:val="0022185C"/>
    <w:rsid w:val="002218A2"/>
    <w:rsid w:val="002218A4"/>
    <w:rsid w:val="002219C4"/>
    <w:rsid w:val="00221DB6"/>
    <w:rsid w:val="00221ED8"/>
    <w:rsid w:val="0022223D"/>
    <w:rsid w:val="002227D9"/>
    <w:rsid w:val="00222A7E"/>
    <w:rsid w:val="00222F82"/>
    <w:rsid w:val="00223142"/>
    <w:rsid w:val="00223956"/>
    <w:rsid w:val="00223AD3"/>
    <w:rsid w:val="00223BA0"/>
    <w:rsid w:val="0022431D"/>
    <w:rsid w:val="00224DC5"/>
    <w:rsid w:val="002251C6"/>
    <w:rsid w:val="00225365"/>
    <w:rsid w:val="002254D0"/>
    <w:rsid w:val="00225793"/>
    <w:rsid w:val="00225967"/>
    <w:rsid w:val="002259F3"/>
    <w:rsid w:val="00225B22"/>
    <w:rsid w:val="00226188"/>
    <w:rsid w:val="002264DD"/>
    <w:rsid w:val="00226874"/>
    <w:rsid w:val="002269C1"/>
    <w:rsid w:val="00226C84"/>
    <w:rsid w:val="002272CF"/>
    <w:rsid w:val="00227320"/>
    <w:rsid w:val="00227424"/>
    <w:rsid w:val="002276C4"/>
    <w:rsid w:val="00230033"/>
    <w:rsid w:val="002300BB"/>
    <w:rsid w:val="0023015C"/>
    <w:rsid w:val="002308BA"/>
    <w:rsid w:val="002309A7"/>
    <w:rsid w:val="00230A13"/>
    <w:rsid w:val="00230BF5"/>
    <w:rsid w:val="00230CE2"/>
    <w:rsid w:val="002311B8"/>
    <w:rsid w:val="002314D5"/>
    <w:rsid w:val="00231664"/>
    <w:rsid w:val="00231949"/>
    <w:rsid w:val="00231B39"/>
    <w:rsid w:val="00231BFE"/>
    <w:rsid w:val="00231F22"/>
    <w:rsid w:val="00231FBD"/>
    <w:rsid w:val="0023231A"/>
    <w:rsid w:val="002324E8"/>
    <w:rsid w:val="0023264A"/>
    <w:rsid w:val="00232763"/>
    <w:rsid w:val="00232A2E"/>
    <w:rsid w:val="00232FA9"/>
    <w:rsid w:val="00233082"/>
    <w:rsid w:val="00233180"/>
    <w:rsid w:val="0023327E"/>
    <w:rsid w:val="00233474"/>
    <w:rsid w:val="00233674"/>
    <w:rsid w:val="002336C5"/>
    <w:rsid w:val="002339F0"/>
    <w:rsid w:val="00233E42"/>
    <w:rsid w:val="00233E7F"/>
    <w:rsid w:val="00234110"/>
    <w:rsid w:val="00234437"/>
    <w:rsid w:val="002349CF"/>
    <w:rsid w:val="002349ED"/>
    <w:rsid w:val="00234F4A"/>
    <w:rsid w:val="0023538F"/>
    <w:rsid w:val="002355D3"/>
    <w:rsid w:val="002358F8"/>
    <w:rsid w:val="00235A40"/>
    <w:rsid w:val="00235AE2"/>
    <w:rsid w:val="00236294"/>
    <w:rsid w:val="002368F6"/>
    <w:rsid w:val="00236F99"/>
    <w:rsid w:val="0023716E"/>
    <w:rsid w:val="0023731C"/>
    <w:rsid w:val="00237681"/>
    <w:rsid w:val="002377C2"/>
    <w:rsid w:val="002378CB"/>
    <w:rsid w:val="00237963"/>
    <w:rsid w:val="00240057"/>
    <w:rsid w:val="00240682"/>
    <w:rsid w:val="002406E0"/>
    <w:rsid w:val="00240D1D"/>
    <w:rsid w:val="0024119A"/>
    <w:rsid w:val="0024134E"/>
    <w:rsid w:val="002414B9"/>
    <w:rsid w:val="00241A63"/>
    <w:rsid w:val="00241C3E"/>
    <w:rsid w:val="00241CF4"/>
    <w:rsid w:val="00241E2B"/>
    <w:rsid w:val="00241FB3"/>
    <w:rsid w:val="00242439"/>
    <w:rsid w:val="00242605"/>
    <w:rsid w:val="00242A5F"/>
    <w:rsid w:val="00242BC3"/>
    <w:rsid w:val="00242C51"/>
    <w:rsid w:val="00242D3A"/>
    <w:rsid w:val="00242D74"/>
    <w:rsid w:val="00242F1F"/>
    <w:rsid w:val="002434A9"/>
    <w:rsid w:val="00243535"/>
    <w:rsid w:val="00243CA7"/>
    <w:rsid w:val="0024442A"/>
    <w:rsid w:val="00244709"/>
    <w:rsid w:val="00244AE7"/>
    <w:rsid w:val="002452CA"/>
    <w:rsid w:val="00245571"/>
    <w:rsid w:val="00245DB2"/>
    <w:rsid w:val="00245F5B"/>
    <w:rsid w:val="002469EA"/>
    <w:rsid w:val="00246D63"/>
    <w:rsid w:val="00246DC2"/>
    <w:rsid w:val="0024709B"/>
    <w:rsid w:val="00247638"/>
    <w:rsid w:val="0024776A"/>
    <w:rsid w:val="0024778E"/>
    <w:rsid w:val="0024784E"/>
    <w:rsid w:val="002479A4"/>
    <w:rsid w:val="002479B9"/>
    <w:rsid w:val="00247BCC"/>
    <w:rsid w:val="00247D0F"/>
    <w:rsid w:val="00247F3C"/>
    <w:rsid w:val="002504FE"/>
    <w:rsid w:val="002505F3"/>
    <w:rsid w:val="002508E0"/>
    <w:rsid w:val="00250A11"/>
    <w:rsid w:val="00250C9F"/>
    <w:rsid w:val="00251099"/>
    <w:rsid w:val="00251269"/>
    <w:rsid w:val="0025172B"/>
    <w:rsid w:val="00251984"/>
    <w:rsid w:val="00251A60"/>
    <w:rsid w:val="00251C15"/>
    <w:rsid w:val="00251CDB"/>
    <w:rsid w:val="00251D1C"/>
    <w:rsid w:val="0025220B"/>
    <w:rsid w:val="002525C6"/>
    <w:rsid w:val="00252662"/>
    <w:rsid w:val="00252696"/>
    <w:rsid w:val="002528F9"/>
    <w:rsid w:val="00252B28"/>
    <w:rsid w:val="00252BAF"/>
    <w:rsid w:val="00252CF7"/>
    <w:rsid w:val="00252D36"/>
    <w:rsid w:val="002530F8"/>
    <w:rsid w:val="00253438"/>
    <w:rsid w:val="00253663"/>
    <w:rsid w:val="002539C0"/>
    <w:rsid w:val="00253B75"/>
    <w:rsid w:val="00253E19"/>
    <w:rsid w:val="00253F11"/>
    <w:rsid w:val="002542CD"/>
    <w:rsid w:val="00254597"/>
    <w:rsid w:val="00254AD2"/>
    <w:rsid w:val="00254E63"/>
    <w:rsid w:val="0025508A"/>
    <w:rsid w:val="002551C0"/>
    <w:rsid w:val="002551D2"/>
    <w:rsid w:val="002554F4"/>
    <w:rsid w:val="0025560B"/>
    <w:rsid w:val="002557C7"/>
    <w:rsid w:val="00255BC0"/>
    <w:rsid w:val="00256069"/>
    <w:rsid w:val="002562B9"/>
    <w:rsid w:val="00256495"/>
    <w:rsid w:val="002564EE"/>
    <w:rsid w:val="00256E1E"/>
    <w:rsid w:val="00256EE8"/>
    <w:rsid w:val="00257080"/>
    <w:rsid w:val="002577A0"/>
    <w:rsid w:val="00257CAC"/>
    <w:rsid w:val="00257DF6"/>
    <w:rsid w:val="002601E8"/>
    <w:rsid w:val="00260386"/>
    <w:rsid w:val="00260651"/>
    <w:rsid w:val="00260742"/>
    <w:rsid w:val="0026078A"/>
    <w:rsid w:val="002609BB"/>
    <w:rsid w:val="002610F3"/>
    <w:rsid w:val="00261261"/>
    <w:rsid w:val="00261279"/>
    <w:rsid w:val="0026157A"/>
    <w:rsid w:val="0026187B"/>
    <w:rsid w:val="00261B90"/>
    <w:rsid w:val="00261C2C"/>
    <w:rsid w:val="00261DCE"/>
    <w:rsid w:val="0026201C"/>
    <w:rsid w:val="00262460"/>
    <w:rsid w:val="002624D5"/>
    <w:rsid w:val="0026266D"/>
    <w:rsid w:val="002626FB"/>
    <w:rsid w:val="0026278D"/>
    <w:rsid w:val="0026289F"/>
    <w:rsid w:val="00262D6D"/>
    <w:rsid w:val="00262EC5"/>
    <w:rsid w:val="002630DF"/>
    <w:rsid w:val="002637FC"/>
    <w:rsid w:val="00263A57"/>
    <w:rsid w:val="00263DC4"/>
    <w:rsid w:val="00263FC8"/>
    <w:rsid w:val="00264679"/>
    <w:rsid w:val="00264A3D"/>
    <w:rsid w:val="00264A5E"/>
    <w:rsid w:val="00264B01"/>
    <w:rsid w:val="00265193"/>
    <w:rsid w:val="00265249"/>
    <w:rsid w:val="002652AA"/>
    <w:rsid w:val="002652EE"/>
    <w:rsid w:val="002656F3"/>
    <w:rsid w:val="00265736"/>
    <w:rsid w:val="00265739"/>
    <w:rsid w:val="00265830"/>
    <w:rsid w:val="00265B2D"/>
    <w:rsid w:val="00265B74"/>
    <w:rsid w:val="00265CF4"/>
    <w:rsid w:val="00265D82"/>
    <w:rsid w:val="002660E7"/>
    <w:rsid w:val="00266436"/>
    <w:rsid w:val="002665F7"/>
    <w:rsid w:val="00266749"/>
    <w:rsid w:val="00266816"/>
    <w:rsid w:val="00266AE8"/>
    <w:rsid w:val="00266B7D"/>
    <w:rsid w:val="00266CF4"/>
    <w:rsid w:val="00266D0B"/>
    <w:rsid w:val="00266D63"/>
    <w:rsid w:val="0026790D"/>
    <w:rsid w:val="00267A45"/>
    <w:rsid w:val="00267B57"/>
    <w:rsid w:val="00267F66"/>
    <w:rsid w:val="0027009D"/>
    <w:rsid w:val="00270562"/>
    <w:rsid w:val="002706AA"/>
    <w:rsid w:val="002708D5"/>
    <w:rsid w:val="00270C7F"/>
    <w:rsid w:val="002711E2"/>
    <w:rsid w:val="00271439"/>
    <w:rsid w:val="00272148"/>
    <w:rsid w:val="002724A5"/>
    <w:rsid w:val="002727DC"/>
    <w:rsid w:val="0027283D"/>
    <w:rsid w:val="00272916"/>
    <w:rsid w:val="00272C18"/>
    <w:rsid w:val="00272EF5"/>
    <w:rsid w:val="002736CA"/>
    <w:rsid w:val="0027391A"/>
    <w:rsid w:val="00273B49"/>
    <w:rsid w:val="00273C12"/>
    <w:rsid w:val="00273D39"/>
    <w:rsid w:val="00273D64"/>
    <w:rsid w:val="00274014"/>
    <w:rsid w:val="002741B7"/>
    <w:rsid w:val="00274470"/>
    <w:rsid w:val="00274500"/>
    <w:rsid w:val="00274787"/>
    <w:rsid w:val="00274B2C"/>
    <w:rsid w:val="00274E5F"/>
    <w:rsid w:val="00275201"/>
    <w:rsid w:val="0027531C"/>
    <w:rsid w:val="00275977"/>
    <w:rsid w:val="00275D02"/>
    <w:rsid w:val="00275D19"/>
    <w:rsid w:val="002764A8"/>
    <w:rsid w:val="002765B4"/>
    <w:rsid w:val="00276C52"/>
    <w:rsid w:val="00276FA2"/>
    <w:rsid w:val="002770BA"/>
    <w:rsid w:val="00277507"/>
    <w:rsid w:val="002776A7"/>
    <w:rsid w:val="002776F1"/>
    <w:rsid w:val="00277764"/>
    <w:rsid w:val="00277AC3"/>
    <w:rsid w:val="00277B59"/>
    <w:rsid w:val="00277D42"/>
    <w:rsid w:val="00277FE2"/>
    <w:rsid w:val="0028000B"/>
    <w:rsid w:val="00280129"/>
    <w:rsid w:val="002801BE"/>
    <w:rsid w:val="002803D4"/>
    <w:rsid w:val="0028055C"/>
    <w:rsid w:val="00280AFB"/>
    <w:rsid w:val="00280EE2"/>
    <w:rsid w:val="0028121E"/>
    <w:rsid w:val="002812DE"/>
    <w:rsid w:val="00281330"/>
    <w:rsid w:val="0028150E"/>
    <w:rsid w:val="00281636"/>
    <w:rsid w:val="0028181E"/>
    <w:rsid w:val="00281A9D"/>
    <w:rsid w:val="00281C3B"/>
    <w:rsid w:val="00281D7B"/>
    <w:rsid w:val="0028203D"/>
    <w:rsid w:val="0028221B"/>
    <w:rsid w:val="002822F7"/>
    <w:rsid w:val="002823BC"/>
    <w:rsid w:val="002826D8"/>
    <w:rsid w:val="002829AF"/>
    <w:rsid w:val="00282A0E"/>
    <w:rsid w:val="00282B45"/>
    <w:rsid w:val="0028325B"/>
    <w:rsid w:val="00283527"/>
    <w:rsid w:val="00283557"/>
    <w:rsid w:val="00283599"/>
    <w:rsid w:val="002835EB"/>
    <w:rsid w:val="00283EC1"/>
    <w:rsid w:val="00284188"/>
    <w:rsid w:val="00284219"/>
    <w:rsid w:val="002842B4"/>
    <w:rsid w:val="002846D2"/>
    <w:rsid w:val="00284D48"/>
    <w:rsid w:val="00285259"/>
    <w:rsid w:val="00285296"/>
    <w:rsid w:val="002854A2"/>
    <w:rsid w:val="0028554B"/>
    <w:rsid w:val="002859E6"/>
    <w:rsid w:val="00285E8E"/>
    <w:rsid w:val="00286081"/>
    <w:rsid w:val="002861AF"/>
    <w:rsid w:val="00286A3B"/>
    <w:rsid w:val="00286A48"/>
    <w:rsid w:val="00286FA6"/>
    <w:rsid w:val="00287011"/>
    <w:rsid w:val="00287165"/>
    <w:rsid w:val="00287236"/>
    <w:rsid w:val="0028743F"/>
    <w:rsid w:val="00287749"/>
    <w:rsid w:val="00287F4C"/>
    <w:rsid w:val="002900F0"/>
    <w:rsid w:val="00290547"/>
    <w:rsid w:val="00290623"/>
    <w:rsid w:val="002908C3"/>
    <w:rsid w:val="00290921"/>
    <w:rsid w:val="00290D74"/>
    <w:rsid w:val="002913E1"/>
    <w:rsid w:val="0029193F"/>
    <w:rsid w:val="00291D28"/>
    <w:rsid w:val="00291D78"/>
    <w:rsid w:val="00291E7F"/>
    <w:rsid w:val="00291FFE"/>
    <w:rsid w:val="00292187"/>
    <w:rsid w:val="0029230C"/>
    <w:rsid w:val="0029270C"/>
    <w:rsid w:val="00292763"/>
    <w:rsid w:val="00293002"/>
    <w:rsid w:val="0029331F"/>
    <w:rsid w:val="00293377"/>
    <w:rsid w:val="002933D6"/>
    <w:rsid w:val="002933DF"/>
    <w:rsid w:val="002934DC"/>
    <w:rsid w:val="0029355C"/>
    <w:rsid w:val="0029369A"/>
    <w:rsid w:val="00293838"/>
    <w:rsid w:val="002938B3"/>
    <w:rsid w:val="002938C2"/>
    <w:rsid w:val="00293C73"/>
    <w:rsid w:val="00293E30"/>
    <w:rsid w:val="00294001"/>
    <w:rsid w:val="00294019"/>
    <w:rsid w:val="002946B9"/>
    <w:rsid w:val="00294888"/>
    <w:rsid w:val="002949D6"/>
    <w:rsid w:val="00294B4F"/>
    <w:rsid w:val="00294B9E"/>
    <w:rsid w:val="00294CA7"/>
    <w:rsid w:val="00295095"/>
    <w:rsid w:val="00295B16"/>
    <w:rsid w:val="00295E02"/>
    <w:rsid w:val="00295F5D"/>
    <w:rsid w:val="00295FFA"/>
    <w:rsid w:val="0029601F"/>
    <w:rsid w:val="00296320"/>
    <w:rsid w:val="00296476"/>
    <w:rsid w:val="00296BB7"/>
    <w:rsid w:val="0029743E"/>
    <w:rsid w:val="002974BF"/>
    <w:rsid w:val="002977F4"/>
    <w:rsid w:val="00297BE8"/>
    <w:rsid w:val="00297C51"/>
    <w:rsid w:val="00297D2B"/>
    <w:rsid w:val="002A081C"/>
    <w:rsid w:val="002A0DB9"/>
    <w:rsid w:val="002A0DBF"/>
    <w:rsid w:val="002A11CD"/>
    <w:rsid w:val="002A15D0"/>
    <w:rsid w:val="002A1607"/>
    <w:rsid w:val="002A1668"/>
    <w:rsid w:val="002A2116"/>
    <w:rsid w:val="002A26CB"/>
    <w:rsid w:val="002A285F"/>
    <w:rsid w:val="002A2D70"/>
    <w:rsid w:val="002A2E02"/>
    <w:rsid w:val="002A343D"/>
    <w:rsid w:val="002A348C"/>
    <w:rsid w:val="002A3624"/>
    <w:rsid w:val="002A3678"/>
    <w:rsid w:val="002A367D"/>
    <w:rsid w:val="002A381F"/>
    <w:rsid w:val="002A3A0B"/>
    <w:rsid w:val="002A3BC1"/>
    <w:rsid w:val="002A3DBC"/>
    <w:rsid w:val="002A4297"/>
    <w:rsid w:val="002A45C1"/>
    <w:rsid w:val="002A462A"/>
    <w:rsid w:val="002A46E0"/>
    <w:rsid w:val="002A4F06"/>
    <w:rsid w:val="002A536A"/>
    <w:rsid w:val="002A5CFF"/>
    <w:rsid w:val="002A5E7F"/>
    <w:rsid w:val="002A5F7A"/>
    <w:rsid w:val="002A66F5"/>
    <w:rsid w:val="002A6760"/>
    <w:rsid w:val="002A6AA5"/>
    <w:rsid w:val="002A6E34"/>
    <w:rsid w:val="002A71A3"/>
    <w:rsid w:val="002A76F1"/>
    <w:rsid w:val="002A77DD"/>
    <w:rsid w:val="002A7B06"/>
    <w:rsid w:val="002A7D24"/>
    <w:rsid w:val="002A7FB1"/>
    <w:rsid w:val="002B02B6"/>
    <w:rsid w:val="002B02C9"/>
    <w:rsid w:val="002B0473"/>
    <w:rsid w:val="002B0504"/>
    <w:rsid w:val="002B055D"/>
    <w:rsid w:val="002B05D4"/>
    <w:rsid w:val="002B0A1C"/>
    <w:rsid w:val="002B0D00"/>
    <w:rsid w:val="002B118B"/>
    <w:rsid w:val="002B122F"/>
    <w:rsid w:val="002B1646"/>
    <w:rsid w:val="002B1811"/>
    <w:rsid w:val="002B1E21"/>
    <w:rsid w:val="002B24E1"/>
    <w:rsid w:val="002B2CA1"/>
    <w:rsid w:val="002B2D5E"/>
    <w:rsid w:val="002B2DA5"/>
    <w:rsid w:val="002B2FC3"/>
    <w:rsid w:val="002B316D"/>
    <w:rsid w:val="002B3201"/>
    <w:rsid w:val="002B37DA"/>
    <w:rsid w:val="002B3B31"/>
    <w:rsid w:val="002B400C"/>
    <w:rsid w:val="002B40E3"/>
    <w:rsid w:val="002B422A"/>
    <w:rsid w:val="002B4431"/>
    <w:rsid w:val="002B48C2"/>
    <w:rsid w:val="002B5037"/>
    <w:rsid w:val="002B51F5"/>
    <w:rsid w:val="002B52AF"/>
    <w:rsid w:val="002B5504"/>
    <w:rsid w:val="002B5A80"/>
    <w:rsid w:val="002B6141"/>
    <w:rsid w:val="002B6B28"/>
    <w:rsid w:val="002B6D04"/>
    <w:rsid w:val="002B7708"/>
    <w:rsid w:val="002B7AB9"/>
    <w:rsid w:val="002C0826"/>
    <w:rsid w:val="002C0985"/>
    <w:rsid w:val="002C0BEF"/>
    <w:rsid w:val="002C0D29"/>
    <w:rsid w:val="002C109F"/>
    <w:rsid w:val="002C12D9"/>
    <w:rsid w:val="002C157F"/>
    <w:rsid w:val="002C1817"/>
    <w:rsid w:val="002C18AD"/>
    <w:rsid w:val="002C1E64"/>
    <w:rsid w:val="002C201C"/>
    <w:rsid w:val="002C216E"/>
    <w:rsid w:val="002C21B6"/>
    <w:rsid w:val="002C23EF"/>
    <w:rsid w:val="002C27F3"/>
    <w:rsid w:val="002C298C"/>
    <w:rsid w:val="002C2B8C"/>
    <w:rsid w:val="002C2BF9"/>
    <w:rsid w:val="002C2C23"/>
    <w:rsid w:val="002C30D0"/>
    <w:rsid w:val="002C3122"/>
    <w:rsid w:val="002C31DD"/>
    <w:rsid w:val="002C340D"/>
    <w:rsid w:val="002C350A"/>
    <w:rsid w:val="002C3F27"/>
    <w:rsid w:val="002C421D"/>
    <w:rsid w:val="002C459B"/>
    <w:rsid w:val="002C481F"/>
    <w:rsid w:val="002C4A86"/>
    <w:rsid w:val="002C4DA2"/>
    <w:rsid w:val="002C4E4B"/>
    <w:rsid w:val="002C4E50"/>
    <w:rsid w:val="002C4FA3"/>
    <w:rsid w:val="002C50F7"/>
    <w:rsid w:val="002C5187"/>
    <w:rsid w:val="002C57DF"/>
    <w:rsid w:val="002C5996"/>
    <w:rsid w:val="002C5F6E"/>
    <w:rsid w:val="002C653C"/>
    <w:rsid w:val="002C66A5"/>
    <w:rsid w:val="002C6A04"/>
    <w:rsid w:val="002C6B51"/>
    <w:rsid w:val="002C6F4F"/>
    <w:rsid w:val="002C6F6E"/>
    <w:rsid w:val="002C7014"/>
    <w:rsid w:val="002C7175"/>
    <w:rsid w:val="002C7621"/>
    <w:rsid w:val="002C7A6E"/>
    <w:rsid w:val="002C7CC1"/>
    <w:rsid w:val="002C7ED6"/>
    <w:rsid w:val="002C7EFD"/>
    <w:rsid w:val="002D029A"/>
    <w:rsid w:val="002D0407"/>
    <w:rsid w:val="002D0480"/>
    <w:rsid w:val="002D0606"/>
    <w:rsid w:val="002D07BD"/>
    <w:rsid w:val="002D0C6C"/>
    <w:rsid w:val="002D0CC9"/>
    <w:rsid w:val="002D0D9F"/>
    <w:rsid w:val="002D0E1C"/>
    <w:rsid w:val="002D0F8A"/>
    <w:rsid w:val="002D10E8"/>
    <w:rsid w:val="002D17C2"/>
    <w:rsid w:val="002D1BA4"/>
    <w:rsid w:val="002D1E69"/>
    <w:rsid w:val="002D211F"/>
    <w:rsid w:val="002D2222"/>
    <w:rsid w:val="002D22FB"/>
    <w:rsid w:val="002D23D5"/>
    <w:rsid w:val="002D26E7"/>
    <w:rsid w:val="002D2918"/>
    <w:rsid w:val="002D2B2C"/>
    <w:rsid w:val="002D30B3"/>
    <w:rsid w:val="002D31B3"/>
    <w:rsid w:val="002D328A"/>
    <w:rsid w:val="002D392C"/>
    <w:rsid w:val="002D3E79"/>
    <w:rsid w:val="002D4087"/>
    <w:rsid w:val="002D40C3"/>
    <w:rsid w:val="002D512D"/>
    <w:rsid w:val="002D5373"/>
    <w:rsid w:val="002D5483"/>
    <w:rsid w:val="002D550F"/>
    <w:rsid w:val="002D5790"/>
    <w:rsid w:val="002D5A48"/>
    <w:rsid w:val="002D5E76"/>
    <w:rsid w:val="002D5F18"/>
    <w:rsid w:val="002D6296"/>
    <w:rsid w:val="002D659B"/>
    <w:rsid w:val="002D666A"/>
    <w:rsid w:val="002D683A"/>
    <w:rsid w:val="002D69FC"/>
    <w:rsid w:val="002D6B72"/>
    <w:rsid w:val="002D6D39"/>
    <w:rsid w:val="002D72DF"/>
    <w:rsid w:val="002D7306"/>
    <w:rsid w:val="002D748D"/>
    <w:rsid w:val="002D7585"/>
    <w:rsid w:val="002D7D04"/>
    <w:rsid w:val="002D7F8E"/>
    <w:rsid w:val="002E0082"/>
    <w:rsid w:val="002E058F"/>
    <w:rsid w:val="002E06AB"/>
    <w:rsid w:val="002E0925"/>
    <w:rsid w:val="002E09EC"/>
    <w:rsid w:val="002E0D51"/>
    <w:rsid w:val="002E13AB"/>
    <w:rsid w:val="002E16BA"/>
    <w:rsid w:val="002E1772"/>
    <w:rsid w:val="002E17AA"/>
    <w:rsid w:val="002E1808"/>
    <w:rsid w:val="002E1DF6"/>
    <w:rsid w:val="002E2818"/>
    <w:rsid w:val="002E2C4F"/>
    <w:rsid w:val="002E300F"/>
    <w:rsid w:val="002E3DAA"/>
    <w:rsid w:val="002E495B"/>
    <w:rsid w:val="002E53E0"/>
    <w:rsid w:val="002E5A13"/>
    <w:rsid w:val="002E5C94"/>
    <w:rsid w:val="002E5FED"/>
    <w:rsid w:val="002E615D"/>
    <w:rsid w:val="002E6308"/>
    <w:rsid w:val="002E6851"/>
    <w:rsid w:val="002E6907"/>
    <w:rsid w:val="002E6B2D"/>
    <w:rsid w:val="002E6CC7"/>
    <w:rsid w:val="002E7220"/>
    <w:rsid w:val="002E7BDC"/>
    <w:rsid w:val="002E7D35"/>
    <w:rsid w:val="002E7DD9"/>
    <w:rsid w:val="002E7E02"/>
    <w:rsid w:val="002F050B"/>
    <w:rsid w:val="002F08A7"/>
    <w:rsid w:val="002F0999"/>
    <w:rsid w:val="002F0B40"/>
    <w:rsid w:val="002F0BFE"/>
    <w:rsid w:val="002F1AC3"/>
    <w:rsid w:val="002F1B75"/>
    <w:rsid w:val="002F1E10"/>
    <w:rsid w:val="002F1E9E"/>
    <w:rsid w:val="002F2319"/>
    <w:rsid w:val="002F23EF"/>
    <w:rsid w:val="002F2404"/>
    <w:rsid w:val="002F25E1"/>
    <w:rsid w:val="002F272E"/>
    <w:rsid w:val="002F278B"/>
    <w:rsid w:val="002F2A64"/>
    <w:rsid w:val="002F2B19"/>
    <w:rsid w:val="002F2B88"/>
    <w:rsid w:val="002F2F47"/>
    <w:rsid w:val="002F33AC"/>
    <w:rsid w:val="002F33C4"/>
    <w:rsid w:val="002F3B45"/>
    <w:rsid w:val="002F3C17"/>
    <w:rsid w:val="002F3EC7"/>
    <w:rsid w:val="002F4C2F"/>
    <w:rsid w:val="002F4DCA"/>
    <w:rsid w:val="002F4FA7"/>
    <w:rsid w:val="002F5538"/>
    <w:rsid w:val="002F5588"/>
    <w:rsid w:val="002F5772"/>
    <w:rsid w:val="002F5779"/>
    <w:rsid w:val="002F6032"/>
    <w:rsid w:val="002F60D8"/>
    <w:rsid w:val="002F613E"/>
    <w:rsid w:val="002F62F7"/>
    <w:rsid w:val="002F6378"/>
    <w:rsid w:val="002F667D"/>
    <w:rsid w:val="002F669D"/>
    <w:rsid w:val="002F66C8"/>
    <w:rsid w:val="002F6AEE"/>
    <w:rsid w:val="002F6C17"/>
    <w:rsid w:val="002F7366"/>
    <w:rsid w:val="003004AE"/>
    <w:rsid w:val="00300646"/>
    <w:rsid w:val="00300C12"/>
    <w:rsid w:val="00300C27"/>
    <w:rsid w:val="00300D25"/>
    <w:rsid w:val="00300D96"/>
    <w:rsid w:val="00300E6A"/>
    <w:rsid w:val="003013FF"/>
    <w:rsid w:val="00301498"/>
    <w:rsid w:val="00301767"/>
    <w:rsid w:val="00302031"/>
    <w:rsid w:val="00302521"/>
    <w:rsid w:val="0030270D"/>
    <w:rsid w:val="003027AF"/>
    <w:rsid w:val="00302AF5"/>
    <w:rsid w:val="00302B9E"/>
    <w:rsid w:val="00302C30"/>
    <w:rsid w:val="00302DEA"/>
    <w:rsid w:val="0030303F"/>
    <w:rsid w:val="00303333"/>
    <w:rsid w:val="00303513"/>
    <w:rsid w:val="00303A4F"/>
    <w:rsid w:val="00303AB3"/>
    <w:rsid w:val="00303BDC"/>
    <w:rsid w:val="00303DB8"/>
    <w:rsid w:val="0030405E"/>
    <w:rsid w:val="0030452B"/>
    <w:rsid w:val="0030455D"/>
    <w:rsid w:val="00304666"/>
    <w:rsid w:val="00304835"/>
    <w:rsid w:val="0030487D"/>
    <w:rsid w:val="00304B91"/>
    <w:rsid w:val="00304E15"/>
    <w:rsid w:val="00304FB8"/>
    <w:rsid w:val="003051DB"/>
    <w:rsid w:val="0030558D"/>
    <w:rsid w:val="00305892"/>
    <w:rsid w:val="00305957"/>
    <w:rsid w:val="00305E1F"/>
    <w:rsid w:val="003061CB"/>
    <w:rsid w:val="0030623C"/>
    <w:rsid w:val="00306842"/>
    <w:rsid w:val="00306958"/>
    <w:rsid w:val="00306A87"/>
    <w:rsid w:val="00306B2C"/>
    <w:rsid w:val="0030702F"/>
    <w:rsid w:val="003070F7"/>
    <w:rsid w:val="00307153"/>
    <w:rsid w:val="0030796F"/>
    <w:rsid w:val="00307D41"/>
    <w:rsid w:val="00307D93"/>
    <w:rsid w:val="00310063"/>
    <w:rsid w:val="003100FD"/>
    <w:rsid w:val="0031067F"/>
    <w:rsid w:val="00311013"/>
    <w:rsid w:val="00311152"/>
    <w:rsid w:val="00311186"/>
    <w:rsid w:val="003113C0"/>
    <w:rsid w:val="003116E8"/>
    <w:rsid w:val="003116E9"/>
    <w:rsid w:val="003117B1"/>
    <w:rsid w:val="00311851"/>
    <w:rsid w:val="0031188B"/>
    <w:rsid w:val="00311AAA"/>
    <w:rsid w:val="00311E0B"/>
    <w:rsid w:val="003121B8"/>
    <w:rsid w:val="003122E3"/>
    <w:rsid w:val="003125B7"/>
    <w:rsid w:val="003126D8"/>
    <w:rsid w:val="003129FE"/>
    <w:rsid w:val="00312BE0"/>
    <w:rsid w:val="00312E0C"/>
    <w:rsid w:val="00312EC5"/>
    <w:rsid w:val="00312F98"/>
    <w:rsid w:val="00313119"/>
    <w:rsid w:val="003131B9"/>
    <w:rsid w:val="00313341"/>
    <w:rsid w:val="0031341A"/>
    <w:rsid w:val="003136B8"/>
    <w:rsid w:val="00313A5F"/>
    <w:rsid w:val="00313C49"/>
    <w:rsid w:val="0031426C"/>
    <w:rsid w:val="0031454E"/>
    <w:rsid w:val="003145E4"/>
    <w:rsid w:val="003149E2"/>
    <w:rsid w:val="00314F8B"/>
    <w:rsid w:val="00314FA6"/>
    <w:rsid w:val="003152AF"/>
    <w:rsid w:val="00315781"/>
    <w:rsid w:val="00315A8A"/>
    <w:rsid w:val="00315B33"/>
    <w:rsid w:val="00315E92"/>
    <w:rsid w:val="003160D7"/>
    <w:rsid w:val="003165F7"/>
    <w:rsid w:val="003166A8"/>
    <w:rsid w:val="00316759"/>
    <w:rsid w:val="003169A3"/>
    <w:rsid w:val="00316D5C"/>
    <w:rsid w:val="00316DDA"/>
    <w:rsid w:val="00316EBC"/>
    <w:rsid w:val="00316ED3"/>
    <w:rsid w:val="00316F22"/>
    <w:rsid w:val="00316FE0"/>
    <w:rsid w:val="00317430"/>
    <w:rsid w:val="00317BA8"/>
    <w:rsid w:val="00317C77"/>
    <w:rsid w:val="00317D3C"/>
    <w:rsid w:val="00317DC6"/>
    <w:rsid w:val="00317F0D"/>
    <w:rsid w:val="00317F2F"/>
    <w:rsid w:val="00317F7C"/>
    <w:rsid w:val="00320651"/>
    <w:rsid w:val="00320923"/>
    <w:rsid w:val="003210FA"/>
    <w:rsid w:val="0032142C"/>
    <w:rsid w:val="00321527"/>
    <w:rsid w:val="00321A47"/>
    <w:rsid w:val="00321DC5"/>
    <w:rsid w:val="00322382"/>
    <w:rsid w:val="003223DA"/>
    <w:rsid w:val="00322433"/>
    <w:rsid w:val="00322462"/>
    <w:rsid w:val="0032263A"/>
    <w:rsid w:val="0032276E"/>
    <w:rsid w:val="003228BB"/>
    <w:rsid w:val="003228CB"/>
    <w:rsid w:val="003229EC"/>
    <w:rsid w:val="00322CF5"/>
    <w:rsid w:val="003232D1"/>
    <w:rsid w:val="0032342F"/>
    <w:rsid w:val="00323533"/>
    <w:rsid w:val="00323ECC"/>
    <w:rsid w:val="00324111"/>
    <w:rsid w:val="00324162"/>
    <w:rsid w:val="003243CE"/>
    <w:rsid w:val="0032444A"/>
    <w:rsid w:val="0032466A"/>
    <w:rsid w:val="003248AA"/>
    <w:rsid w:val="00324A87"/>
    <w:rsid w:val="00324C63"/>
    <w:rsid w:val="00324D7D"/>
    <w:rsid w:val="00324D84"/>
    <w:rsid w:val="00324FF8"/>
    <w:rsid w:val="00325292"/>
    <w:rsid w:val="00325395"/>
    <w:rsid w:val="00325530"/>
    <w:rsid w:val="00325576"/>
    <w:rsid w:val="00325B64"/>
    <w:rsid w:val="00325D3E"/>
    <w:rsid w:val="00325E85"/>
    <w:rsid w:val="00325F83"/>
    <w:rsid w:val="003262F5"/>
    <w:rsid w:val="003265F4"/>
    <w:rsid w:val="00326A0F"/>
    <w:rsid w:val="00327069"/>
    <w:rsid w:val="003272D6"/>
    <w:rsid w:val="00327457"/>
    <w:rsid w:val="00327476"/>
    <w:rsid w:val="003275F1"/>
    <w:rsid w:val="0032774E"/>
    <w:rsid w:val="00327D83"/>
    <w:rsid w:val="00327F83"/>
    <w:rsid w:val="00330640"/>
    <w:rsid w:val="00330AEB"/>
    <w:rsid w:val="003313F2"/>
    <w:rsid w:val="00331524"/>
    <w:rsid w:val="003315AE"/>
    <w:rsid w:val="003316FA"/>
    <w:rsid w:val="00332462"/>
    <w:rsid w:val="00332704"/>
    <w:rsid w:val="00332A6C"/>
    <w:rsid w:val="00332ADB"/>
    <w:rsid w:val="00332B8F"/>
    <w:rsid w:val="00333841"/>
    <w:rsid w:val="003343EF"/>
    <w:rsid w:val="00335205"/>
    <w:rsid w:val="0033560D"/>
    <w:rsid w:val="00335A5F"/>
    <w:rsid w:val="00335D7A"/>
    <w:rsid w:val="00335F09"/>
    <w:rsid w:val="00336169"/>
    <w:rsid w:val="00336247"/>
    <w:rsid w:val="0033647B"/>
    <w:rsid w:val="003365D7"/>
    <w:rsid w:val="00336992"/>
    <w:rsid w:val="00336EE1"/>
    <w:rsid w:val="003373B4"/>
    <w:rsid w:val="003373FA"/>
    <w:rsid w:val="003374A5"/>
    <w:rsid w:val="00337529"/>
    <w:rsid w:val="003377FA"/>
    <w:rsid w:val="003378F7"/>
    <w:rsid w:val="003379EB"/>
    <w:rsid w:val="00337F6F"/>
    <w:rsid w:val="00337FB8"/>
    <w:rsid w:val="00340252"/>
    <w:rsid w:val="0034045D"/>
    <w:rsid w:val="003405DF"/>
    <w:rsid w:val="00340733"/>
    <w:rsid w:val="00340911"/>
    <w:rsid w:val="00340CC8"/>
    <w:rsid w:val="00340F30"/>
    <w:rsid w:val="003413EA"/>
    <w:rsid w:val="003417E6"/>
    <w:rsid w:val="003417ED"/>
    <w:rsid w:val="00341EBD"/>
    <w:rsid w:val="003420F2"/>
    <w:rsid w:val="00342585"/>
    <w:rsid w:val="00342590"/>
    <w:rsid w:val="00342A8D"/>
    <w:rsid w:val="00342B8A"/>
    <w:rsid w:val="00342DCF"/>
    <w:rsid w:val="003434C1"/>
    <w:rsid w:val="00343D36"/>
    <w:rsid w:val="00343F27"/>
    <w:rsid w:val="00344565"/>
    <w:rsid w:val="0034467A"/>
    <w:rsid w:val="0034474A"/>
    <w:rsid w:val="00344BD2"/>
    <w:rsid w:val="00344E92"/>
    <w:rsid w:val="00344EEA"/>
    <w:rsid w:val="00345043"/>
    <w:rsid w:val="0034510C"/>
    <w:rsid w:val="003454DD"/>
    <w:rsid w:val="00345B3F"/>
    <w:rsid w:val="0034663B"/>
    <w:rsid w:val="00346B3C"/>
    <w:rsid w:val="00346D8F"/>
    <w:rsid w:val="00346F5A"/>
    <w:rsid w:val="00347012"/>
    <w:rsid w:val="003470B4"/>
    <w:rsid w:val="00347BA9"/>
    <w:rsid w:val="00350451"/>
    <w:rsid w:val="00350A71"/>
    <w:rsid w:val="00350ACC"/>
    <w:rsid w:val="00350D4C"/>
    <w:rsid w:val="00351170"/>
    <w:rsid w:val="0035166B"/>
    <w:rsid w:val="00351A36"/>
    <w:rsid w:val="00351C81"/>
    <w:rsid w:val="00352499"/>
    <w:rsid w:val="00352863"/>
    <w:rsid w:val="00352A77"/>
    <w:rsid w:val="00352AD3"/>
    <w:rsid w:val="00352FCF"/>
    <w:rsid w:val="0035323A"/>
    <w:rsid w:val="003532A6"/>
    <w:rsid w:val="00353318"/>
    <w:rsid w:val="00353909"/>
    <w:rsid w:val="00353ACA"/>
    <w:rsid w:val="00353B7E"/>
    <w:rsid w:val="0035402B"/>
    <w:rsid w:val="00354443"/>
    <w:rsid w:val="00354CD5"/>
    <w:rsid w:val="00354E31"/>
    <w:rsid w:val="00354F11"/>
    <w:rsid w:val="0035500F"/>
    <w:rsid w:val="00355772"/>
    <w:rsid w:val="003559EA"/>
    <w:rsid w:val="00355DB0"/>
    <w:rsid w:val="00355DBF"/>
    <w:rsid w:val="00355F23"/>
    <w:rsid w:val="003561B8"/>
    <w:rsid w:val="00356223"/>
    <w:rsid w:val="00356260"/>
    <w:rsid w:val="0035628B"/>
    <w:rsid w:val="003563E6"/>
    <w:rsid w:val="003563F0"/>
    <w:rsid w:val="0035666F"/>
    <w:rsid w:val="0035679D"/>
    <w:rsid w:val="00356841"/>
    <w:rsid w:val="00356CE1"/>
    <w:rsid w:val="00356ED7"/>
    <w:rsid w:val="00357588"/>
    <w:rsid w:val="003577A5"/>
    <w:rsid w:val="0036011E"/>
    <w:rsid w:val="00360714"/>
    <w:rsid w:val="00360928"/>
    <w:rsid w:val="00360C33"/>
    <w:rsid w:val="00360DE2"/>
    <w:rsid w:val="00360ECE"/>
    <w:rsid w:val="00361272"/>
    <w:rsid w:val="00361522"/>
    <w:rsid w:val="003617E9"/>
    <w:rsid w:val="00361AAA"/>
    <w:rsid w:val="00361AFB"/>
    <w:rsid w:val="00362333"/>
    <w:rsid w:val="00362373"/>
    <w:rsid w:val="003626EA"/>
    <w:rsid w:val="003626F5"/>
    <w:rsid w:val="003628CD"/>
    <w:rsid w:val="00362BA1"/>
    <w:rsid w:val="00362F33"/>
    <w:rsid w:val="003634B9"/>
    <w:rsid w:val="00363A81"/>
    <w:rsid w:val="00363B34"/>
    <w:rsid w:val="00363B51"/>
    <w:rsid w:val="00363DEE"/>
    <w:rsid w:val="00363EEE"/>
    <w:rsid w:val="00364670"/>
    <w:rsid w:val="00364EA5"/>
    <w:rsid w:val="00365118"/>
    <w:rsid w:val="0036524A"/>
    <w:rsid w:val="00365F9C"/>
    <w:rsid w:val="00366186"/>
    <w:rsid w:val="00366540"/>
    <w:rsid w:val="00366543"/>
    <w:rsid w:val="0036677B"/>
    <w:rsid w:val="0036688C"/>
    <w:rsid w:val="00366F22"/>
    <w:rsid w:val="00367395"/>
    <w:rsid w:val="0036777E"/>
    <w:rsid w:val="00367990"/>
    <w:rsid w:val="00367DF1"/>
    <w:rsid w:val="003703D6"/>
    <w:rsid w:val="0037040D"/>
    <w:rsid w:val="00370645"/>
    <w:rsid w:val="003708A7"/>
    <w:rsid w:val="0037140F"/>
    <w:rsid w:val="00371E9E"/>
    <w:rsid w:val="003720D8"/>
    <w:rsid w:val="00372100"/>
    <w:rsid w:val="0037223B"/>
    <w:rsid w:val="0037232A"/>
    <w:rsid w:val="00372468"/>
    <w:rsid w:val="00372475"/>
    <w:rsid w:val="0037248B"/>
    <w:rsid w:val="00372605"/>
    <w:rsid w:val="003726C1"/>
    <w:rsid w:val="003727F6"/>
    <w:rsid w:val="00372839"/>
    <w:rsid w:val="00372ACF"/>
    <w:rsid w:val="00372DCB"/>
    <w:rsid w:val="00373151"/>
    <w:rsid w:val="00373294"/>
    <w:rsid w:val="003734EE"/>
    <w:rsid w:val="003737C0"/>
    <w:rsid w:val="00373A77"/>
    <w:rsid w:val="00373AB7"/>
    <w:rsid w:val="00373B0D"/>
    <w:rsid w:val="00373E66"/>
    <w:rsid w:val="00373F12"/>
    <w:rsid w:val="00374107"/>
    <w:rsid w:val="00374317"/>
    <w:rsid w:val="003744C9"/>
    <w:rsid w:val="00374655"/>
    <w:rsid w:val="0037535E"/>
    <w:rsid w:val="00375454"/>
    <w:rsid w:val="003759CE"/>
    <w:rsid w:val="00375AE9"/>
    <w:rsid w:val="00375BB0"/>
    <w:rsid w:val="003762B3"/>
    <w:rsid w:val="00376B53"/>
    <w:rsid w:val="00376CED"/>
    <w:rsid w:val="00376F3F"/>
    <w:rsid w:val="003771B4"/>
    <w:rsid w:val="00377379"/>
    <w:rsid w:val="00377460"/>
    <w:rsid w:val="003776B8"/>
    <w:rsid w:val="003778D9"/>
    <w:rsid w:val="0037792D"/>
    <w:rsid w:val="003779C3"/>
    <w:rsid w:val="0038031E"/>
    <w:rsid w:val="003805D1"/>
    <w:rsid w:val="00380BC8"/>
    <w:rsid w:val="0038103B"/>
    <w:rsid w:val="0038113C"/>
    <w:rsid w:val="0038139F"/>
    <w:rsid w:val="00381C53"/>
    <w:rsid w:val="00381C85"/>
    <w:rsid w:val="00381E75"/>
    <w:rsid w:val="0038217C"/>
    <w:rsid w:val="0038229E"/>
    <w:rsid w:val="00382311"/>
    <w:rsid w:val="00382729"/>
    <w:rsid w:val="00382CE0"/>
    <w:rsid w:val="00382FAA"/>
    <w:rsid w:val="003832DB"/>
    <w:rsid w:val="0038333B"/>
    <w:rsid w:val="003833FC"/>
    <w:rsid w:val="00383999"/>
    <w:rsid w:val="00383AEB"/>
    <w:rsid w:val="00383AF2"/>
    <w:rsid w:val="00383DB0"/>
    <w:rsid w:val="00383FC4"/>
    <w:rsid w:val="00384101"/>
    <w:rsid w:val="003842E0"/>
    <w:rsid w:val="003845C9"/>
    <w:rsid w:val="0038464F"/>
    <w:rsid w:val="00384691"/>
    <w:rsid w:val="003846CD"/>
    <w:rsid w:val="00384807"/>
    <w:rsid w:val="003848E8"/>
    <w:rsid w:val="003848FE"/>
    <w:rsid w:val="00384A2B"/>
    <w:rsid w:val="00384A6B"/>
    <w:rsid w:val="00385C0A"/>
    <w:rsid w:val="00385CF6"/>
    <w:rsid w:val="00385D82"/>
    <w:rsid w:val="00385E6F"/>
    <w:rsid w:val="00385FD8"/>
    <w:rsid w:val="00385FFB"/>
    <w:rsid w:val="0038600B"/>
    <w:rsid w:val="003869C6"/>
    <w:rsid w:val="00386BC5"/>
    <w:rsid w:val="00387A85"/>
    <w:rsid w:val="00387B10"/>
    <w:rsid w:val="003900D2"/>
    <w:rsid w:val="0039030A"/>
    <w:rsid w:val="00390493"/>
    <w:rsid w:val="00390575"/>
    <w:rsid w:val="003908B8"/>
    <w:rsid w:val="00390984"/>
    <w:rsid w:val="00390B1B"/>
    <w:rsid w:val="00390DCB"/>
    <w:rsid w:val="00390FEA"/>
    <w:rsid w:val="00391232"/>
    <w:rsid w:val="00391946"/>
    <w:rsid w:val="00391B3B"/>
    <w:rsid w:val="00391D38"/>
    <w:rsid w:val="003920FF"/>
    <w:rsid w:val="0039211A"/>
    <w:rsid w:val="0039241B"/>
    <w:rsid w:val="003925A7"/>
    <w:rsid w:val="00392713"/>
    <w:rsid w:val="00392948"/>
    <w:rsid w:val="00392B55"/>
    <w:rsid w:val="00392B5A"/>
    <w:rsid w:val="00392C84"/>
    <w:rsid w:val="00392CD4"/>
    <w:rsid w:val="00392CDD"/>
    <w:rsid w:val="003933A8"/>
    <w:rsid w:val="003934EA"/>
    <w:rsid w:val="00393567"/>
    <w:rsid w:val="0039356D"/>
    <w:rsid w:val="003937A8"/>
    <w:rsid w:val="00393B66"/>
    <w:rsid w:val="0039444B"/>
    <w:rsid w:val="003948FF"/>
    <w:rsid w:val="00394D69"/>
    <w:rsid w:val="00394E50"/>
    <w:rsid w:val="0039503A"/>
    <w:rsid w:val="00395135"/>
    <w:rsid w:val="003958D7"/>
    <w:rsid w:val="00395B0B"/>
    <w:rsid w:val="00395CE9"/>
    <w:rsid w:val="00395D64"/>
    <w:rsid w:val="0039604C"/>
    <w:rsid w:val="003960D4"/>
    <w:rsid w:val="003963F2"/>
    <w:rsid w:val="0039680F"/>
    <w:rsid w:val="00396AC0"/>
    <w:rsid w:val="00396AEA"/>
    <w:rsid w:val="00396C09"/>
    <w:rsid w:val="00396C54"/>
    <w:rsid w:val="00396D31"/>
    <w:rsid w:val="00396FB0"/>
    <w:rsid w:val="00397379"/>
    <w:rsid w:val="0039753B"/>
    <w:rsid w:val="00397934"/>
    <w:rsid w:val="00397B76"/>
    <w:rsid w:val="00397CF1"/>
    <w:rsid w:val="003A027F"/>
    <w:rsid w:val="003A03D9"/>
    <w:rsid w:val="003A0415"/>
    <w:rsid w:val="003A0438"/>
    <w:rsid w:val="003A0533"/>
    <w:rsid w:val="003A0673"/>
    <w:rsid w:val="003A07D0"/>
    <w:rsid w:val="003A0B11"/>
    <w:rsid w:val="003A0B63"/>
    <w:rsid w:val="003A0E17"/>
    <w:rsid w:val="003A1352"/>
    <w:rsid w:val="003A144E"/>
    <w:rsid w:val="003A14FC"/>
    <w:rsid w:val="003A17E5"/>
    <w:rsid w:val="003A1D91"/>
    <w:rsid w:val="003A1FA6"/>
    <w:rsid w:val="003A2331"/>
    <w:rsid w:val="003A23EF"/>
    <w:rsid w:val="003A2877"/>
    <w:rsid w:val="003A2A86"/>
    <w:rsid w:val="003A2B97"/>
    <w:rsid w:val="003A2CBC"/>
    <w:rsid w:val="003A3B71"/>
    <w:rsid w:val="003A4581"/>
    <w:rsid w:val="003A4A96"/>
    <w:rsid w:val="003A4AF3"/>
    <w:rsid w:val="003A4C92"/>
    <w:rsid w:val="003A4EF6"/>
    <w:rsid w:val="003A511F"/>
    <w:rsid w:val="003A52D9"/>
    <w:rsid w:val="003A53FE"/>
    <w:rsid w:val="003A5522"/>
    <w:rsid w:val="003A5902"/>
    <w:rsid w:val="003A5ACB"/>
    <w:rsid w:val="003A5B1C"/>
    <w:rsid w:val="003A5B9E"/>
    <w:rsid w:val="003A5F5A"/>
    <w:rsid w:val="003A5FBA"/>
    <w:rsid w:val="003A61C2"/>
    <w:rsid w:val="003A61C5"/>
    <w:rsid w:val="003A652C"/>
    <w:rsid w:val="003A66C1"/>
    <w:rsid w:val="003A6860"/>
    <w:rsid w:val="003A6A40"/>
    <w:rsid w:val="003A6BAB"/>
    <w:rsid w:val="003A71E6"/>
    <w:rsid w:val="003A74A3"/>
    <w:rsid w:val="003A7660"/>
    <w:rsid w:val="003A7CCC"/>
    <w:rsid w:val="003A7CF9"/>
    <w:rsid w:val="003B00C2"/>
    <w:rsid w:val="003B0174"/>
    <w:rsid w:val="003B03E1"/>
    <w:rsid w:val="003B07B3"/>
    <w:rsid w:val="003B0918"/>
    <w:rsid w:val="003B0AEC"/>
    <w:rsid w:val="003B0DD1"/>
    <w:rsid w:val="003B0ED6"/>
    <w:rsid w:val="003B12EF"/>
    <w:rsid w:val="003B14E3"/>
    <w:rsid w:val="003B1698"/>
    <w:rsid w:val="003B1861"/>
    <w:rsid w:val="003B190B"/>
    <w:rsid w:val="003B1C2D"/>
    <w:rsid w:val="003B1C34"/>
    <w:rsid w:val="003B2164"/>
    <w:rsid w:val="003B25E5"/>
    <w:rsid w:val="003B2816"/>
    <w:rsid w:val="003B2901"/>
    <w:rsid w:val="003B2B28"/>
    <w:rsid w:val="003B2D76"/>
    <w:rsid w:val="003B2DFD"/>
    <w:rsid w:val="003B3220"/>
    <w:rsid w:val="003B328D"/>
    <w:rsid w:val="003B39BE"/>
    <w:rsid w:val="003B3A8D"/>
    <w:rsid w:val="003B3E95"/>
    <w:rsid w:val="003B4422"/>
    <w:rsid w:val="003B45AE"/>
    <w:rsid w:val="003B4684"/>
    <w:rsid w:val="003B47B1"/>
    <w:rsid w:val="003B48D5"/>
    <w:rsid w:val="003B4A5D"/>
    <w:rsid w:val="003B4A7A"/>
    <w:rsid w:val="003B4B20"/>
    <w:rsid w:val="003B4CDD"/>
    <w:rsid w:val="003B5133"/>
    <w:rsid w:val="003B515D"/>
    <w:rsid w:val="003B59BE"/>
    <w:rsid w:val="003B5B99"/>
    <w:rsid w:val="003B5DC3"/>
    <w:rsid w:val="003B6662"/>
    <w:rsid w:val="003B674C"/>
    <w:rsid w:val="003B6A06"/>
    <w:rsid w:val="003B6A60"/>
    <w:rsid w:val="003B6DC7"/>
    <w:rsid w:val="003B6E7F"/>
    <w:rsid w:val="003B6E95"/>
    <w:rsid w:val="003B7723"/>
    <w:rsid w:val="003B7847"/>
    <w:rsid w:val="003B7DC4"/>
    <w:rsid w:val="003B7E2D"/>
    <w:rsid w:val="003C0565"/>
    <w:rsid w:val="003C0658"/>
    <w:rsid w:val="003C085C"/>
    <w:rsid w:val="003C09DC"/>
    <w:rsid w:val="003C0EAD"/>
    <w:rsid w:val="003C0F27"/>
    <w:rsid w:val="003C135C"/>
    <w:rsid w:val="003C1375"/>
    <w:rsid w:val="003C14BD"/>
    <w:rsid w:val="003C14FD"/>
    <w:rsid w:val="003C16A6"/>
    <w:rsid w:val="003C1A48"/>
    <w:rsid w:val="003C1DBA"/>
    <w:rsid w:val="003C20E3"/>
    <w:rsid w:val="003C2147"/>
    <w:rsid w:val="003C23C0"/>
    <w:rsid w:val="003C2520"/>
    <w:rsid w:val="003C254C"/>
    <w:rsid w:val="003C28F8"/>
    <w:rsid w:val="003C294E"/>
    <w:rsid w:val="003C2A40"/>
    <w:rsid w:val="003C2C05"/>
    <w:rsid w:val="003C2F8B"/>
    <w:rsid w:val="003C30C4"/>
    <w:rsid w:val="003C3333"/>
    <w:rsid w:val="003C353F"/>
    <w:rsid w:val="003C3E6F"/>
    <w:rsid w:val="003C3F4D"/>
    <w:rsid w:val="003C416A"/>
    <w:rsid w:val="003C50E3"/>
    <w:rsid w:val="003C5135"/>
    <w:rsid w:val="003C5DA5"/>
    <w:rsid w:val="003C5ED6"/>
    <w:rsid w:val="003C638B"/>
    <w:rsid w:val="003C6549"/>
    <w:rsid w:val="003C665F"/>
    <w:rsid w:val="003C676E"/>
    <w:rsid w:val="003C6B6E"/>
    <w:rsid w:val="003C6CC4"/>
    <w:rsid w:val="003C6DB8"/>
    <w:rsid w:val="003C6F30"/>
    <w:rsid w:val="003C73A6"/>
    <w:rsid w:val="003C7779"/>
    <w:rsid w:val="003C7785"/>
    <w:rsid w:val="003C77B4"/>
    <w:rsid w:val="003C7843"/>
    <w:rsid w:val="003C790E"/>
    <w:rsid w:val="003C7A26"/>
    <w:rsid w:val="003C7BA2"/>
    <w:rsid w:val="003C7C11"/>
    <w:rsid w:val="003D037A"/>
    <w:rsid w:val="003D03E0"/>
    <w:rsid w:val="003D04E8"/>
    <w:rsid w:val="003D0699"/>
    <w:rsid w:val="003D08B0"/>
    <w:rsid w:val="003D09E1"/>
    <w:rsid w:val="003D0B03"/>
    <w:rsid w:val="003D0B0F"/>
    <w:rsid w:val="003D0BEC"/>
    <w:rsid w:val="003D0EDD"/>
    <w:rsid w:val="003D0F0B"/>
    <w:rsid w:val="003D11A9"/>
    <w:rsid w:val="003D12E0"/>
    <w:rsid w:val="003D12ED"/>
    <w:rsid w:val="003D1AA1"/>
    <w:rsid w:val="003D1DDD"/>
    <w:rsid w:val="003D1F22"/>
    <w:rsid w:val="003D2138"/>
    <w:rsid w:val="003D2835"/>
    <w:rsid w:val="003D28F1"/>
    <w:rsid w:val="003D2DA7"/>
    <w:rsid w:val="003D2F5C"/>
    <w:rsid w:val="003D344E"/>
    <w:rsid w:val="003D3A51"/>
    <w:rsid w:val="003D3DCF"/>
    <w:rsid w:val="003D432F"/>
    <w:rsid w:val="003D4411"/>
    <w:rsid w:val="003D4548"/>
    <w:rsid w:val="003D4B83"/>
    <w:rsid w:val="003D5238"/>
    <w:rsid w:val="003D52F8"/>
    <w:rsid w:val="003D56C5"/>
    <w:rsid w:val="003D5782"/>
    <w:rsid w:val="003D59F4"/>
    <w:rsid w:val="003D5D7C"/>
    <w:rsid w:val="003D5E7B"/>
    <w:rsid w:val="003D5F4B"/>
    <w:rsid w:val="003D6246"/>
    <w:rsid w:val="003D686F"/>
    <w:rsid w:val="003D69C2"/>
    <w:rsid w:val="003D6A64"/>
    <w:rsid w:val="003D759B"/>
    <w:rsid w:val="003D78A5"/>
    <w:rsid w:val="003D7F6E"/>
    <w:rsid w:val="003E0025"/>
    <w:rsid w:val="003E0337"/>
    <w:rsid w:val="003E033D"/>
    <w:rsid w:val="003E03BB"/>
    <w:rsid w:val="003E03DC"/>
    <w:rsid w:val="003E068B"/>
    <w:rsid w:val="003E07DF"/>
    <w:rsid w:val="003E0BCE"/>
    <w:rsid w:val="003E0D11"/>
    <w:rsid w:val="003E0F89"/>
    <w:rsid w:val="003E11E0"/>
    <w:rsid w:val="003E16C4"/>
    <w:rsid w:val="003E16FC"/>
    <w:rsid w:val="003E1945"/>
    <w:rsid w:val="003E1C37"/>
    <w:rsid w:val="003E1D30"/>
    <w:rsid w:val="003E1EBB"/>
    <w:rsid w:val="003E205A"/>
    <w:rsid w:val="003E285A"/>
    <w:rsid w:val="003E2CB5"/>
    <w:rsid w:val="003E2D84"/>
    <w:rsid w:val="003E341E"/>
    <w:rsid w:val="003E3A1D"/>
    <w:rsid w:val="003E3D6A"/>
    <w:rsid w:val="003E3D83"/>
    <w:rsid w:val="003E3D99"/>
    <w:rsid w:val="003E3E72"/>
    <w:rsid w:val="003E416F"/>
    <w:rsid w:val="003E4220"/>
    <w:rsid w:val="003E42C4"/>
    <w:rsid w:val="003E42E8"/>
    <w:rsid w:val="003E44D4"/>
    <w:rsid w:val="003E4AAF"/>
    <w:rsid w:val="003E4D6D"/>
    <w:rsid w:val="003E51C3"/>
    <w:rsid w:val="003E5985"/>
    <w:rsid w:val="003E5CD0"/>
    <w:rsid w:val="003E5ED6"/>
    <w:rsid w:val="003E6044"/>
    <w:rsid w:val="003E6120"/>
    <w:rsid w:val="003E66BC"/>
    <w:rsid w:val="003E6725"/>
    <w:rsid w:val="003E6FCE"/>
    <w:rsid w:val="003E7143"/>
    <w:rsid w:val="003E7566"/>
    <w:rsid w:val="003E7569"/>
    <w:rsid w:val="003E7693"/>
    <w:rsid w:val="003E76D9"/>
    <w:rsid w:val="003E771A"/>
    <w:rsid w:val="003E77BC"/>
    <w:rsid w:val="003E7A02"/>
    <w:rsid w:val="003E7BF6"/>
    <w:rsid w:val="003E7C51"/>
    <w:rsid w:val="003E7E1D"/>
    <w:rsid w:val="003E7FDA"/>
    <w:rsid w:val="003F06E0"/>
    <w:rsid w:val="003F0722"/>
    <w:rsid w:val="003F0957"/>
    <w:rsid w:val="003F0B64"/>
    <w:rsid w:val="003F0B80"/>
    <w:rsid w:val="003F0C86"/>
    <w:rsid w:val="003F12BD"/>
    <w:rsid w:val="003F1341"/>
    <w:rsid w:val="003F1352"/>
    <w:rsid w:val="003F1CB2"/>
    <w:rsid w:val="003F1F70"/>
    <w:rsid w:val="003F20FD"/>
    <w:rsid w:val="003F2580"/>
    <w:rsid w:val="003F2787"/>
    <w:rsid w:val="003F2FB9"/>
    <w:rsid w:val="003F3257"/>
    <w:rsid w:val="003F32F0"/>
    <w:rsid w:val="003F34B5"/>
    <w:rsid w:val="003F34B7"/>
    <w:rsid w:val="003F365C"/>
    <w:rsid w:val="003F36DA"/>
    <w:rsid w:val="003F38DE"/>
    <w:rsid w:val="003F4ABF"/>
    <w:rsid w:val="003F4C65"/>
    <w:rsid w:val="003F4E93"/>
    <w:rsid w:val="003F4FD5"/>
    <w:rsid w:val="003F514D"/>
    <w:rsid w:val="003F5839"/>
    <w:rsid w:val="003F6175"/>
    <w:rsid w:val="003F66E5"/>
    <w:rsid w:val="003F66EB"/>
    <w:rsid w:val="003F6B2B"/>
    <w:rsid w:val="003F6CAC"/>
    <w:rsid w:val="003F702F"/>
    <w:rsid w:val="003F7347"/>
    <w:rsid w:val="003F7F61"/>
    <w:rsid w:val="0040000D"/>
    <w:rsid w:val="004000A1"/>
    <w:rsid w:val="004001FF"/>
    <w:rsid w:val="00400482"/>
    <w:rsid w:val="0040066B"/>
    <w:rsid w:val="004007A7"/>
    <w:rsid w:val="0040097D"/>
    <w:rsid w:val="00400A7F"/>
    <w:rsid w:val="00400CB6"/>
    <w:rsid w:val="00400DA4"/>
    <w:rsid w:val="00400EF8"/>
    <w:rsid w:val="00400FC2"/>
    <w:rsid w:val="0040107A"/>
    <w:rsid w:val="004012B4"/>
    <w:rsid w:val="004014FF"/>
    <w:rsid w:val="00401798"/>
    <w:rsid w:val="004017C0"/>
    <w:rsid w:val="00401EA7"/>
    <w:rsid w:val="00402139"/>
    <w:rsid w:val="004023A8"/>
    <w:rsid w:val="00402601"/>
    <w:rsid w:val="004026C5"/>
    <w:rsid w:val="004026D3"/>
    <w:rsid w:val="00402AC5"/>
    <w:rsid w:val="00402F9C"/>
    <w:rsid w:val="00403014"/>
    <w:rsid w:val="004036D0"/>
    <w:rsid w:val="00403D99"/>
    <w:rsid w:val="00404061"/>
    <w:rsid w:val="00404518"/>
    <w:rsid w:val="00404845"/>
    <w:rsid w:val="00404DFC"/>
    <w:rsid w:val="0040524C"/>
    <w:rsid w:val="00405258"/>
    <w:rsid w:val="0040563A"/>
    <w:rsid w:val="00405B50"/>
    <w:rsid w:val="00406144"/>
    <w:rsid w:val="004064FF"/>
    <w:rsid w:val="0040666D"/>
    <w:rsid w:val="00406786"/>
    <w:rsid w:val="004069E6"/>
    <w:rsid w:val="00406A98"/>
    <w:rsid w:val="00406B87"/>
    <w:rsid w:val="00406D3F"/>
    <w:rsid w:val="00407157"/>
    <w:rsid w:val="004078AB"/>
    <w:rsid w:val="00410263"/>
    <w:rsid w:val="0041038D"/>
    <w:rsid w:val="004103CB"/>
    <w:rsid w:val="004104FC"/>
    <w:rsid w:val="0041050B"/>
    <w:rsid w:val="004107F3"/>
    <w:rsid w:val="00410B6B"/>
    <w:rsid w:val="00410FAC"/>
    <w:rsid w:val="0041107F"/>
    <w:rsid w:val="004111D3"/>
    <w:rsid w:val="004111F9"/>
    <w:rsid w:val="00411B3B"/>
    <w:rsid w:val="00411BEC"/>
    <w:rsid w:val="00411C7E"/>
    <w:rsid w:val="00411D7C"/>
    <w:rsid w:val="00412219"/>
    <w:rsid w:val="004122A9"/>
    <w:rsid w:val="00412319"/>
    <w:rsid w:val="00412476"/>
    <w:rsid w:val="004126F9"/>
    <w:rsid w:val="00412B19"/>
    <w:rsid w:val="00413183"/>
    <w:rsid w:val="00413712"/>
    <w:rsid w:val="004137CB"/>
    <w:rsid w:val="004138D7"/>
    <w:rsid w:val="00413FEB"/>
    <w:rsid w:val="00414162"/>
    <w:rsid w:val="004142E0"/>
    <w:rsid w:val="004147C4"/>
    <w:rsid w:val="00414E7B"/>
    <w:rsid w:val="00414EF6"/>
    <w:rsid w:val="00414F4F"/>
    <w:rsid w:val="004151A0"/>
    <w:rsid w:val="0041536F"/>
    <w:rsid w:val="00415634"/>
    <w:rsid w:val="00415E52"/>
    <w:rsid w:val="00415F9B"/>
    <w:rsid w:val="004163B5"/>
    <w:rsid w:val="004164B9"/>
    <w:rsid w:val="004166BC"/>
    <w:rsid w:val="004167FC"/>
    <w:rsid w:val="0041713E"/>
    <w:rsid w:val="004172E9"/>
    <w:rsid w:val="004174CF"/>
    <w:rsid w:val="004176B1"/>
    <w:rsid w:val="00417924"/>
    <w:rsid w:val="00417B28"/>
    <w:rsid w:val="00417E5C"/>
    <w:rsid w:val="00417FC4"/>
    <w:rsid w:val="00420025"/>
    <w:rsid w:val="0042080C"/>
    <w:rsid w:val="0042086B"/>
    <w:rsid w:val="00420B88"/>
    <w:rsid w:val="0042110A"/>
    <w:rsid w:val="0042127C"/>
    <w:rsid w:val="004212BF"/>
    <w:rsid w:val="00421756"/>
    <w:rsid w:val="004218EF"/>
    <w:rsid w:val="0042195B"/>
    <w:rsid w:val="0042203D"/>
    <w:rsid w:val="00422054"/>
    <w:rsid w:val="0042217D"/>
    <w:rsid w:val="004221DA"/>
    <w:rsid w:val="00422304"/>
    <w:rsid w:val="00422DB6"/>
    <w:rsid w:val="00422EED"/>
    <w:rsid w:val="0042316A"/>
    <w:rsid w:val="00423230"/>
    <w:rsid w:val="0042382F"/>
    <w:rsid w:val="0042386C"/>
    <w:rsid w:val="00423B28"/>
    <w:rsid w:val="00423B93"/>
    <w:rsid w:val="00423C94"/>
    <w:rsid w:val="00423DF5"/>
    <w:rsid w:val="00424007"/>
    <w:rsid w:val="00424156"/>
    <w:rsid w:val="00424499"/>
    <w:rsid w:val="0042467C"/>
    <w:rsid w:val="00424834"/>
    <w:rsid w:val="0042493A"/>
    <w:rsid w:val="004249F9"/>
    <w:rsid w:val="00425257"/>
    <w:rsid w:val="00425295"/>
    <w:rsid w:val="0042564B"/>
    <w:rsid w:val="00425770"/>
    <w:rsid w:val="00425818"/>
    <w:rsid w:val="004258A8"/>
    <w:rsid w:val="004258D7"/>
    <w:rsid w:val="00425ADD"/>
    <w:rsid w:val="00425BBC"/>
    <w:rsid w:val="00425E07"/>
    <w:rsid w:val="00426200"/>
    <w:rsid w:val="00426469"/>
    <w:rsid w:val="0042664D"/>
    <w:rsid w:val="00426752"/>
    <w:rsid w:val="00426B0A"/>
    <w:rsid w:val="00426BD3"/>
    <w:rsid w:val="0042712E"/>
    <w:rsid w:val="004272D6"/>
    <w:rsid w:val="00427411"/>
    <w:rsid w:val="00427618"/>
    <w:rsid w:val="00427696"/>
    <w:rsid w:val="00427794"/>
    <w:rsid w:val="004277EE"/>
    <w:rsid w:val="00427EDA"/>
    <w:rsid w:val="00430348"/>
    <w:rsid w:val="004303C0"/>
    <w:rsid w:val="004303C7"/>
    <w:rsid w:val="004307AD"/>
    <w:rsid w:val="0043092A"/>
    <w:rsid w:val="00430F07"/>
    <w:rsid w:val="00430F78"/>
    <w:rsid w:val="004311A0"/>
    <w:rsid w:val="00431C28"/>
    <w:rsid w:val="00431D3B"/>
    <w:rsid w:val="00431E56"/>
    <w:rsid w:val="00432356"/>
    <w:rsid w:val="00432379"/>
    <w:rsid w:val="0043254A"/>
    <w:rsid w:val="00432984"/>
    <w:rsid w:val="004329BF"/>
    <w:rsid w:val="00432A08"/>
    <w:rsid w:val="004332F6"/>
    <w:rsid w:val="00433365"/>
    <w:rsid w:val="0043382A"/>
    <w:rsid w:val="00433D8F"/>
    <w:rsid w:val="00433F60"/>
    <w:rsid w:val="00434102"/>
    <w:rsid w:val="0043434C"/>
    <w:rsid w:val="00434613"/>
    <w:rsid w:val="00434A24"/>
    <w:rsid w:val="004350F4"/>
    <w:rsid w:val="004358C4"/>
    <w:rsid w:val="00435C49"/>
    <w:rsid w:val="00436349"/>
    <w:rsid w:val="004365E3"/>
    <w:rsid w:val="004368C3"/>
    <w:rsid w:val="004374ED"/>
    <w:rsid w:val="004376B2"/>
    <w:rsid w:val="00437D26"/>
    <w:rsid w:val="00437E83"/>
    <w:rsid w:val="004407D5"/>
    <w:rsid w:val="00441BF2"/>
    <w:rsid w:val="00441ED1"/>
    <w:rsid w:val="004421F3"/>
    <w:rsid w:val="004423F8"/>
    <w:rsid w:val="004432D2"/>
    <w:rsid w:val="00443520"/>
    <w:rsid w:val="0044392D"/>
    <w:rsid w:val="00443D66"/>
    <w:rsid w:val="00443E58"/>
    <w:rsid w:val="004442E2"/>
    <w:rsid w:val="0044465C"/>
    <w:rsid w:val="004448A1"/>
    <w:rsid w:val="004448B3"/>
    <w:rsid w:val="004448CD"/>
    <w:rsid w:val="00444921"/>
    <w:rsid w:val="00444A34"/>
    <w:rsid w:val="00444F31"/>
    <w:rsid w:val="004453FD"/>
    <w:rsid w:val="00445895"/>
    <w:rsid w:val="00445AA5"/>
    <w:rsid w:val="00445D0B"/>
    <w:rsid w:val="00445D50"/>
    <w:rsid w:val="00445E4D"/>
    <w:rsid w:val="00446060"/>
    <w:rsid w:val="004461E9"/>
    <w:rsid w:val="0044643B"/>
    <w:rsid w:val="004467E2"/>
    <w:rsid w:val="00446938"/>
    <w:rsid w:val="00446CCE"/>
    <w:rsid w:val="004470B1"/>
    <w:rsid w:val="00447AE9"/>
    <w:rsid w:val="00447D2B"/>
    <w:rsid w:val="0045003B"/>
    <w:rsid w:val="004500FC"/>
    <w:rsid w:val="00450126"/>
    <w:rsid w:val="00450791"/>
    <w:rsid w:val="00450A34"/>
    <w:rsid w:val="00450F11"/>
    <w:rsid w:val="004513CB"/>
    <w:rsid w:val="00451601"/>
    <w:rsid w:val="0045180E"/>
    <w:rsid w:val="00451B7A"/>
    <w:rsid w:val="00452218"/>
    <w:rsid w:val="00452413"/>
    <w:rsid w:val="0045257F"/>
    <w:rsid w:val="00452A10"/>
    <w:rsid w:val="00452AD4"/>
    <w:rsid w:val="00452DF6"/>
    <w:rsid w:val="00452F82"/>
    <w:rsid w:val="00453007"/>
    <w:rsid w:val="004530CD"/>
    <w:rsid w:val="00453532"/>
    <w:rsid w:val="0045374D"/>
    <w:rsid w:val="00453D20"/>
    <w:rsid w:val="00454145"/>
    <w:rsid w:val="004541C4"/>
    <w:rsid w:val="00454553"/>
    <w:rsid w:val="00454718"/>
    <w:rsid w:val="00454974"/>
    <w:rsid w:val="00454A62"/>
    <w:rsid w:val="00454D13"/>
    <w:rsid w:val="00454E4D"/>
    <w:rsid w:val="00454ECC"/>
    <w:rsid w:val="00454F56"/>
    <w:rsid w:val="00455189"/>
    <w:rsid w:val="0045530E"/>
    <w:rsid w:val="00455477"/>
    <w:rsid w:val="00455569"/>
    <w:rsid w:val="00455B50"/>
    <w:rsid w:val="00455C77"/>
    <w:rsid w:val="00455E7A"/>
    <w:rsid w:val="00455F14"/>
    <w:rsid w:val="00456935"/>
    <w:rsid w:val="00456FA7"/>
    <w:rsid w:val="004576D0"/>
    <w:rsid w:val="0045790C"/>
    <w:rsid w:val="00457ECB"/>
    <w:rsid w:val="00460237"/>
    <w:rsid w:val="00460492"/>
    <w:rsid w:val="00460543"/>
    <w:rsid w:val="0046067F"/>
    <w:rsid w:val="004607AA"/>
    <w:rsid w:val="004608FB"/>
    <w:rsid w:val="0046096E"/>
    <w:rsid w:val="004609D1"/>
    <w:rsid w:val="00460B56"/>
    <w:rsid w:val="00460CE1"/>
    <w:rsid w:val="00460E72"/>
    <w:rsid w:val="00460FC2"/>
    <w:rsid w:val="004610D8"/>
    <w:rsid w:val="004616A1"/>
    <w:rsid w:val="00461724"/>
    <w:rsid w:val="00461A02"/>
    <w:rsid w:val="00461CBD"/>
    <w:rsid w:val="004624E2"/>
    <w:rsid w:val="00462755"/>
    <w:rsid w:val="00462C73"/>
    <w:rsid w:val="00462ED0"/>
    <w:rsid w:val="00463182"/>
    <w:rsid w:val="004633BA"/>
    <w:rsid w:val="00463B47"/>
    <w:rsid w:val="00463E6A"/>
    <w:rsid w:val="00464205"/>
    <w:rsid w:val="0046437C"/>
    <w:rsid w:val="0046438A"/>
    <w:rsid w:val="00464A37"/>
    <w:rsid w:val="00464B4B"/>
    <w:rsid w:val="00464C76"/>
    <w:rsid w:val="00464E2B"/>
    <w:rsid w:val="00464F08"/>
    <w:rsid w:val="00464F42"/>
    <w:rsid w:val="0046500C"/>
    <w:rsid w:val="00465154"/>
    <w:rsid w:val="004653F2"/>
    <w:rsid w:val="0046547C"/>
    <w:rsid w:val="004655DE"/>
    <w:rsid w:val="00465ADF"/>
    <w:rsid w:val="00465BAD"/>
    <w:rsid w:val="00465BE6"/>
    <w:rsid w:val="00465F7C"/>
    <w:rsid w:val="004660EF"/>
    <w:rsid w:val="00466281"/>
    <w:rsid w:val="004665C7"/>
    <w:rsid w:val="00466B0F"/>
    <w:rsid w:val="00466C67"/>
    <w:rsid w:val="00466D70"/>
    <w:rsid w:val="00466E56"/>
    <w:rsid w:val="00467148"/>
    <w:rsid w:val="0046783F"/>
    <w:rsid w:val="00467B6B"/>
    <w:rsid w:val="00467E17"/>
    <w:rsid w:val="00467EAF"/>
    <w:rsid w:val="004702E7"/>
    <w:rsid w:val="004703CF"/>
    <w:rsid w:val="004704CF"/>
    <w:rsid w:val="00470811"/>
    <w:rsid w:val="00470AC8"/>
    <w:rsid w:val="00470EB5"/>
    <w:rsid w:val="004711B2"/>
    <w:rsid w:val="004713AB"/>
    <w:rsid w:val="004716E4"/>
    <w:rsid w:val="00471D0C"/>
    <w:rsid w:val="00471D78"/>
    <w:rsid w:val="00471F27"/>
    <w:rsid w:val="0047263B"/>
    <w:rsid w:val="0047279A"/>
    <w:rsid w:val="00472C25"/>
    <w:rsid w:val="00473070"/>
    <w:rsid w:val="00473071"/>
    <w:rsid w:val="00473259"/>
    <w:rsid w:val="0047336E"/>
    <w:rsid w:val="004737B7"/>
    <w:rsid w:val="00473B72"/>
    <w:rsid w:val="00473C85"/>
    <w:rsid w:val="00473D33"/>
    <w:rsid w:val="004740CB"/>
    <w:rsid w:val="004742BB"/>
    <w:rsid w:val="00474E06"/>
    <w:rsid w:val="00474F7B"/>
    <w:rsid w:val="0047595C"/>
    <w:rsid w:val="004759D3"/>
    <w:rsid w:val="00475BA4"/>
    <w:rsid w:val="00475C23"/>
    <w:rsid w:val="00475E0D"/>
    <w:rsid w:val="00475EB2"/>
    <w:rsid w:val="00475FEC"/>
    <w:rsid w:val="0047607E"/>
    <w:rsid w:val="0047610F"/>
    <w:rsid w:val="0047671B"/>
    <w:rsid w:val="00476CE7"/>
    <w:rsid w:val="00476FB5"/>
    <w:rsid w:val="00477238"/>
    <w:rsid w:val="00477411"/>
    <w:rsid w:val="0047758F"/>
    <w:rsid w:val="004776F8"/>
    <w:rsid w:val="00477CDE"/>
    <w:rsid w:val="00477DB5"/>
    <w:rsid w:val="004800D5"/>
    <w:rsid w:val="004808BF"/>
    <w:rsid w:val="00481265"/>
    <w:rsid w:val="004812C8"/>
    <w:rsid w:val="004812D3"/>
    <w:rsid w:val="004814B2"/>
    <w:rsid w:val="004814ED"/>
    <w:rsid w:val="004815B4"/>
    <w:rsid w:val="0048167D"/>
    <w:rsid w:val="0048193C"/>
    <w:rsid w:val="00481A37"/>
    <w:rsid w:val="00481BD0"/>
    <w:rsid w:val="00481C9A"/>
    <w:rsid w:val="00481FE7"/>
    <w:rsid w:val="004825F3"/>
    <w:rsid w:val="00482625"/>
    <w:rsid w:val="004828B1"/>
    <w:rsid w:val="004831CF"/>
    <w:rsid w:val="004834C6"/>
    <w:rsid w:val="0048363E"/>
    <w:rsid w:val="00483A53"/>
    <w:rsid w:val="00483DB0"/>
    <w:rsid w:val="00483F9E"/>
    <w:rsid w:val="00484034"/>
    <w:rsid w:val="0048489A"/>
    <w:rsid w:val="00484E3C"/>
    <w:rsid w:val="00484FD1"/>
    <w:rsid w:val="00485273"/>
    <w:rsid w:val="00485605"/>
    <w:rsid w:val="0048564B"/>
    <w:rsid w:val="00485788"/>
    <w:rsid w:val="004857A2"/>
    <w:rsid w:val="00485A0A"/>
    <w:rsid w:val="00485CEE"/>
    <w:rsid w:val="00485E28"/>
    <w:rsid w:val="004866EA"/>
    <w:rsid w:val="0048677C"/>
    <w:rsid w:val="004869FF"/>
    <w:rsid w:val="00486CED"/>
    <w:rsid w:val="00487259"/>
    <w:rsid w:val="0048741B"/>
    <w:rsid w:val="004875A8"/>
    <w:rsid w:val="0048760A"/>
    <w:rsid w:val="00487626"/>
    <w:rsid w:val="004876CE"/>
    <w:rsid w:val="004876EC"/>
    <w:rsid w:val="004905CE"/>
    <w:rsid w:val="00490961"/>
    <w:rsid w:val="00490BB0"/>
    <w:rsid w:val="00490CB9"/>
    <w:rsid w:val="00490F03"/>
    <w:rsid w:val="00491215"/>
    <w:rsid w:val="0049121D"/>
    <w:rsid w:val="00491599"/>
    <w:rsid w:val="0049182C"/>
    <w:rsid w:val="00491E2A"/>
    <w:rsid w:val="004927A8"/>
    <w:rsid w:val="004929BD"/>
    <w:rsid w:val="00492E03"/>
    <w:rsid w:val="0049355D"/>
    <w:rsid w:val="00493588"/>
    <w:rsid w:val="00493707"/>
    <w:rsid w:val="004939B6"/>
    <w:rsid w:val="00493C16"/>
    <w:rsid w:val="0049408C"/>
    <w:rsid w:val="0049455C"/>
    <w:rsid w:val="00494788"/>
    <w:rsid w:val="004949A3"/>
    <w:rsid w:val="00494E3A"/>
    <w:rsid w:val="004957D9"/>
    <w:rsid w:val="0049580B"/>
    <w:rsid w:val="00495C16"/>
    <w:rsid w:val="00495F2D"/>
    <w:rsid w:val="0049614C"/>
    <w:rsid w:val="004964B5"/>
    <w:rsid w:val="004967A0"/>
    <w:rsid w:val="00496A35"/>
    <w:rsid w:val="00496CB3"/>
    <w:rsid w:val="004970FC"/>
    <w:rsid w:val="004976B3"/>
    <w:rsid w:val="0049778F"/>
    <w:rsid w:val="004978BE"/>
    <w:rsid w:val="004978DD"/>
    <w:rsid w:val="004979D2"/>
    <w:rsid w:val="00497B99"/>
    <w:rsid w:val="00497CCD"/>
    <w:rsid w:val="00497FBF"/>
    <w:rsid w:val="004A0129"/>
    <w:rsid w:val="004A0166"/>
    <w:rsid w:val="004A025D"/>
    <w:rsid w:val="004A068D"/>
    <w:rsid w:val="004A0937"/>
    <w:rsid w:val="004A0D9B"/>
    <w:rsid w:val="004A0E21"/>
    <w:rsid w:val="004A0F65"/>
    <w:rsid w:val="004A11A2"/>
    <w:rsid w:val="004A157E"/>
    <w:rsid w:val="004A1BEA"/>
    <w:rsid w:val="004A1DB5"/>
    <w:rsid w:val="004A1F16"/>
    <w:rsid w:val="004A1FF2"/>
    <w:rsid w:val="004A21C2"/>
    <w:rsid w:val="004A2207"/>
    <w:rsid w:val="004A2279"/>
    <w:rsid w:val="004A29F9"/>
    <w:rsid w:val="004A2F5A"/>
    <w:rsid w:val="004A2F7D"/>
    <w:rsid w:val="004A2FC6"/>
    <w:rsid w:val="004A34EB"/>
    <w:rsid w:val="004A352E"/>
    <w:rsid w:val="004A42CA"/>
    <w:rsid w:val="004A4553"/>
    <w:rsid w:val="004A4D8C"/>
    <w:rsid w:val="004A4F4B"/>
    <w:rsid w:val="004A518A"/>
    <w:rsid w:val="004A5774"/>
    <w:rsid w:val="004A649E"/>
    <w:rsid w:val="004A6A0E"/>
    <w:rsid w:val="004A6C08"/>
    <w:rsid w:val="004A6C93"/>
    <w:rsid w:val="004A6F86"/>
    <w:rsid w:val="004A700F"/>
    <w:rsid w:val="004A713C"/>
    <w:rsid w:val="004A7167"/>
    <w:rsid w:val="004A7554"/>
    <w:rsid w:val="004A7602"/>
    <w:rsid w:val="004A77A9"/>
    <w:rsid w:val="004A79E2"/>
    <w:rsid w:val="004A7DFF"/>
    <w:rsid w:val="004B0075"/>
    <w:rsid w:val="004B00C0"/>
    <w:rsid w:val="004B03FB"/>
    <w:rsid w:val="004B0490"/>
    <w:rsid w:val="004B0866"/>
    <w:rsid w:val="004B0CAC"/>
    <w:rsid w:val="004B14B0"/>
    <w:rsid w:val="004B15F3"/>
    <w:rsid w:val="004B16AE"/>
    <w:rsid w:val="004B18B5"/>
    <w:rsid w:val="004B1960"/>
    <w:rsid w:val="004B1F75"/>
    <w:rsid w:val="004B2194"/>
    <w:rsid w:val="004B22C0"/>
    <w:rsid w:val="004B22CE"/>
    <w:rsid w:val="004B2379"/>
    <w:rsid w:val="004B23A8"/>
    <w:rsid w:val="004B243D"/>
    <w:rsid w:val="004B2642"/>
    <w:rsid w:val="004B293F"/>
    <w:rsid w:val="004B2AAA"/>
    <w:rsid w:val="004B2D10"/>
    <w:rsid w:val="004B2D49"/>
    <w:rsid w:val="004B2E03"/>
    <w:rsid w:val="004B31FF"/>
    <w:rsid w:val="004B362B"/>
    <w:rsid w:val="004B3994"/>
    <w:rsid w:val="004B3FA5"/>
    <w:rsid w:val="004B43BF"/>
    <w:rsid w:val="004B4551"/>
    <w:rsid w:val="004B499C"/>
    <w:rsid w:val="004B4C2B"/>
    <w:rsid w:val="004B4C6D"/>
    <w:rsid w:val="004B56DF"/>
    <w:rsid w:val="004B58F3"/>
    <w:rsid w:val="004B5A00"/>
    <w:rsid w:val="004B5C55"/>
    <w:rsid w:val="004B612E"/>
    <w:rsid w:val="004B6130"/>
    <w:rsid w:val="004B6253"/>
    <w:rsid w:val="004B6313"/>
    <w:rsid w:val="004B6A83"/>
    <w:rsid w:val="004B6F89"/>
    <w:rsid w:val="004B7411"/>
    <w:rsid w:val="004B74BC"/>
    <w:rsid w:val="004B75E0"/>
    <w:rsid w:val="004B76CD"/>
    <w:rsid w:val="004B776E"/>
    <w:rsid w:val="004B79FE"/>
    <w:rsid w:val="004B7F62"/>
    <w:rsid w:val="004C0416"/>
    <w:rsid w:val="004C04D3"/>
    <w:rsid w:val="004C050C"/>
    <w:rsid w:val="004C0702"/>
    <w:rsid w:val="004C099E"/>
    <w:rsid w:val="004C0BC5"/>
    <w:rsid w:val="004C12AE"/>
    <w:rsid w:val="004C1410"/>
    <w:rsid w:val="004C1494"/>
    <w:rsid w:val="004C1E6C"/>
    <w:rsid w:val="004C1FE6"/>
    <w:rsid w:val="004C203B"/>
    <w:rsid w:val="004C22C1"/>
    <w:rsid w:val="004C257D"/>
    <w:rsid w:val="004C26B3"/>
    <w:rsid w:val="004C3033"/>
    <w:rsid w:val="004C305C"/>
    <w:rsid w:val="004C30D8"/>
    <w:rsid w:val="004C30F8"/>
    <w:rsid w:val="004C342A"/>
    <w:rsid w:val="004C356F"/>
    <w:rsid w:val="004C3C2D"/>
    <w:rsid w:val="004C3C8E"/>
    <w:rsid w:val="004C3D0C"/>
    <w:rsid w:val="004C4442"/>
    <w:rsid w:val="004C4763"/>
    <w:rsid w:val="004C497C"/>
    <w:rsid w:val="004C4BC1"/>
    <w:rsid w:val="004C4F28"/>
    <w:rsid w:val="004C563A"/>
    <w:rsid w:val="004C5FDC"/>
    <w:rsid w:val="004C61AE"/>
    <w:rsid w:val="004C6275"/>
    <w:rsid w:val="004C6347"/>
    <w:rsid w:val="004C63DF"/>
    <w:rsid w:val="004C6578"/>
    <w:rsid w:val="004C68C3"/>
    <w:rsid w:val="004C68F7"/>
    <w:rsid w:val="004C6D17"/>
    <w:rsid w:val="004C6EBA"/>
    <w:rsid w:val="004C75B9"/>
    <w:rsid w:val="004C7955"/>
    <w:rsid w:val="004D057C"/>
    <w:rsid w:val="004D0801"/>
    <w:rsid w:val="004D0CC3"/>
    <w:rsid w:val="004D0E52"/>
    <w:rsid w:val="004D1474"/>
    <w:rsid w:val="004D1589"/>
    <w:rsid w:val="004D207B"/>
    <w:rsid w:val="004D20D3"/>
    <w:rsid w:val="004D229A"/>
    <w:rsid w:val="004D23C2"/>
    <w:rsid w:val="004D2D53"/>
    <w:rsid w:val="004D32AD"/>
    <w:rsid w:val="004D3A79"/>
    <w:rsid w:val="004D3B69"/>
    <w:rsid w:val="004D3E95"/>
    <w:rsid w:val="004D3EBC"/>
    <w:rsid w:val="004D3ECD"/>
    <w:rsid w:val="004D43BF"/>
    <w:rsid w:val="004D4685"/>
    <w:rsid w:val="004D4A7D"/>
    <w:rsid w:val="004D4E0E"/>
    <w:rsid w:val="004D51DF"/>
    <w:rsid w:val="004D52AE"/>
    <w:rsid w:val="004D52EC"/>
    <w:rsid w:val="004D5483"/>
    <w:rsid w:val="004D5569"/>
    <w:rsid w:val="004D5648"/>
    <w:rsid w:val="004D568D"/>
    <w:rsid w:val="004D5821"/>
    <w:rsid w:val="004D5CC2"/>
    <w:rsid w:val="004D5E3F"/>
    <w:rsid w:val="004D5E43"/>
    <w:rsid w:val="004D5F02"/>
    <w:rsid w:val="004D6247"/>
    <w:rsid w:val="004D6353"/>
    <w:rsid w:val="004D638A"/>
    <w:rsid w:val="004D6682"/>
    <w:rsid w:val="004D7005"/>
    <w:rsid w:val="004D7462"/>
    <w:rsid w:val="004D765B"/>
    <w:rsid w:val="004D7677"/>
    <w:rsid w:val="004D7809"/>
    <w:rsid w:val="004D7A46"/>
    <w:rsid w:val="004D7F5E"/>
    <w:rsid w:val="004E02DE"/>
    <w:rsid w:val="004E0640"/>
    <w:rsid w:val="004E0772"/>
    <w:rsid w:val="004E143B"/>
    <w:rsid w:val="004E161A"/>
    <w:rsid w:val="004E177A"/>
    <w:rsid w:val="004E1A76"/>
    <w:rsid w:val="004E1D8B"/>
    <w:rsid w:val="004E1E71"/>
    <w:rsid w:val="004E1F4C"/>
    <w:rsid w:val="004E226D"/>
    <w:rsid w:val="004E2272"/>
    <w:rsid w:val="004E2329"/>
    <w:rsid w:val="004E245C"/>
    <w:rsid w:val="004E251E"/>
    <w:rsid w:val="004E25F8"/>
    <w:rsid w:val="004E26F1"/>
    <w:rsid w:val="004E2944"/>
    <w:rsid w:val="004E2AAE"/>
    <w:rsid w:val="004E2D87"/>
    <w:rsid w:val="004E3479"/>
    <w:rsid w:val="004E3C6C"/>
    <w:rsid w:val="004E4492"/>
    <w:rsid w:val="004E4890"/>
    <w:rsid w:val="004E4C7C"/>
    <w:rsid w:val="004E4CBB"/>
    <w:rsid w:val="004E4CFB"/>
    <w:rsid w:val="004E4E2F"/>
    <w:rsid w:val="004E4FA3"/>
    <w:rsid w:val="004E4FCA"/>
    <w:rsid w:val="004E5274"/>
    <w:rsid w:val="004E5B43"/>
    <w:rsid w:val="004E5C56"/>
    <w:rsid w:val="004E5C67"/>
    <w:rsid w:val="004E633E"/>
    <w:rsid w:val="004E67A2"/>
    <w:rsid w:val="004E67EC"/>
    <w:rsid w:val="004E6978"/>
    <w:rsid w:val="004E69C6"/>
    <w:rsid w:val="004E7442"/>
    <w:rsid w:val="004E77F4"/>
    <w:rsid w:val="004E78A5"/>
    <w:rsid w:val="004F003C"/>
    <w:rsid w:val="004F0393"/>
    <w:rsid w:val="004F0620"/>
    <w:rsid w:val="004F09ED"/>
    <w:rsid w:val="004F0D19"/>
    <w:rsid w:val="004F0EBB"/>
    <w:rsid w:val="004F10CA"/>
    <w:rsid w:val="004F1256"/>
    <w:rsid w:val="004F12FC"/>
    <w:rsid w:val="004F13E9"/>
    <w:rsid w:val="004F1411"/>
    <w:rsid w:val="004F1527"/>
    <w:rsid w:val="004F1E0B"/>
    <w:rsid w:val="004F2272"/>
    <w:rsid w:val="004F2401"/>
    <w:rsid w:val="004F25E7"/>
    <w:rsid w:val="004F2681"/>
    <w:rsid w:val="004F289D"/>
    <w:rsid w:val="004F2B8B"/>
    <w:rsid w:val="004F3000"/>
    <w:rsid w:val="004F3061"/>
    <w:rsid w:val="004F396D"/>
    <w:rsid w:val="004F3A18"/>
    <w:rsid w:val="004F3ABF"/>
    <w:rsid w:val="004F3D72"/>
    <w:rsid w:val="004F3FB5"/>
    <w:rsid w:val="004F4633"/>
    <w:rsid w:val="004F4638"/>
    <w:rsid w:val="004F47D2"/>
    <w:rsid w:val="004F49FE"/>
    <w:rsid w:val="004F4C2A"/>
    <w:rsid w:val="004F4E29"/>
    <w:rsid w:val="004F53BF"/>
    <w:rsid w:val="004F54B6"/>
    <w:rsid w:val="004F5FAB"/>
    <w:rsid w:val="004F5FFF"/>
    <w:rsid w:val="004F606A"/>
    <w:rsid w:val="004F6318"/>
    <w:rsid w:val="004F649E"/>
    <w:rsid w:val="004F7094"/>
    <w:rsid w:val="004F7317"/>
    <w:rsid w:val="004F7638"/>
    <w:rsid w:val="004F77AB"/>
    <w:rsid w:val="005001E2"/>
    <w:rsid w:val="00500678"/>
    <w:rsid w:val="00500C21"/>
    <w:rsid w:val="005019AB"/>
    <w:rsid w:val="00501E8F"/>
    <w:rsid w:val="0050258A"/>
    <w:rsid w:val="005025BE"/>
    <w:rsid w:val="005029DF"/>
    <w:rsid w:val="00502A1E"/>
    <w:rsid w:val="0050309B"/>
    <w:rsid w:val="005030EE"/>
    <w:rsid w:val="005039F7"/>
    <w:rsid w:val="005039F8"/>
    <w:rsid w:val="00503B90"/>
    <w:rsid w:val="00503CF4"/>
    <w:rsid w:val="005040A6"/>
    <w:rsid w:val="005043A8"/>
    <w:rsid w:val="00504841"/>
    <w:rsid w:val="00504887"/>
    <w:rsid w:val="00504D34"/>
    <w:rsid w:val="00504D92"/>
    <w:rsid w:val="00504F9E"/>
    <w:rsid w:val="00505163"/>
    <w:rsid w:val="0050522C"/>
    <w:rsid w:val="005053A0"/>
    <w:rsid w:val="005053DB"/>
    <w:rsid w:val="0050580C"/>
    <w:rsid w:val="005058F8"/>
    <w:rsid w:val="00505D1C"/>
    <w:rsid w:val="00505DBB"/>
    <w:rsid w:val="005060C9"/>
    <w:rsid w:val="00506293"/>
    <w:rsid w:val="005062C7"/>
    <w:rsid w:val="00506504"/>
    <w:rsid w:val="00506A9B"/>
    <w:rsid w:val="00506BA8"/>
    <w:rsid w:val="005072A1"/>
    <w:rsid w:val="00507967"/>
    <w:rsid w:val="00507C3E"/>
    <w:rsid w:val="00507E30"/>
    <w:rsid w:val="00510352"/>
    <w:rsid w:val="00510D9D"/>
    <w:rsid w:val="00510F20"/>
    <w:rsid w:val="00510FB0"/>
    <w:rsid w:val="0051102F"/>
    <w:rsid w:val="005112F3"/>
    <w:rsid w:val="0051217E"/>
    <w:rsid w:val="005126BA"/>
    <w:rsid w:val="005128DA"/>
    <w:rsid w:val="00512917"/>
    <w:rsid w:val="00512950"/>
    <w:rsid w:val="00512E2D"/>
    <w:rsid w:val="00512F40"/>
    <w:rsid w:val="00513061"/>
    <w:rsid w:val="005134F9"/>
    <w:rsid w:val="00513C2E"/>
    <w:rsid w:val="005140D8"/>
    <w:rsid w:val="0051419C"/>
    <w:rsid w:val="00514880"/>
    <w:rsid w:val="00514F95"/>
    <w:rsid w:val="00515AA8"/>
    <w:rsid w:val="00515EB8"/>
    <w:rsid w:val="00515F98"/>
    <w:rsid w:val="00516127"/>
    <w:rsid w:val="0051639D"/>
    <w:rsid w:val="00516621"/>
    <w:rsid w:val="00516CA7"/>
    <w:rsid w:val="005175E2"/>
    <w:rsid w:val="00517DE4"/>
    <w:rsid w:val="0052016B"/>
    <w:rsid w:val="0052092D"/>
    <w:rsid w:val="00520C21"/>
    <w:rsid w:val="00520D35"/>
    <w:rsid w:val="00520D6F"/>
    <w:rsid w:val="00520E4C"/>
    <w:rsid w:val="00520FE5"/>
    <w:rsid w:val="00521005"/>
    <w:rsid w:val="00521231"/>
    <w:rsid w:val="005213C0"/>
    <w:rsid w:val="005216E1"/>
    <w:rsid w:val="00521706"/>
    <w:rsid w:val="00521897"/>
    <w:rsid w:val="00521E81"/>
    <w:rsid w:val="00521FA1"/>
    <w:rsid w:val="005224D3"/>
    <w:rsid w:val="00522A4D"/>
    <w:rsid w:val="00522E15"/>
    <w:rsid w:val="00522E26"/>
    <w:rsid w:val="00523122"/>
    <w:rsid w:val="00523250"/>
    <w:rsid w:val="00523320"/>
    <w:rsid w:val="00523691"/>
    <w:rsid w:val="00523A8B"/>
    <w:rsid w:val="00523E22"/>
    <w:rsid w:val="00523F14"/>
    <w:rsid w:val="00524324"/>
    <w:rsid w:val="005243EE"/>
    <w:rsid w:val="0052449A"/>
    <w:rsid w:val="0052454C"/>
    <w:rsid w:val="00524A80"/>
    <w:rsid w:val="00524D09"/>
    <w:rsid w:val="00524DC7"/>
    <w:rsid w:val="00524E32"/>
    <w:rsid w:val="00524F29"/>
    <w:rsid w:val="005256AA"/>
    <w:rsid w:val="0052575A"/>
    <w:rsid w:val="0052586C"/>
    <w:rsid w:val="0052594E"/>
    <w:rsid w:val="00525ACE"/>
    <w:rsid w:val="00526194"/>
    <w:rsid w:val="005264BF"/>
    <w:rsid w:val="00526844"/>
    <w:rsid w:val="00526AC9"/>
    <w:rsid w:val="00526B3A"/>
    <w:rsid w:val="00526BBF"/>
    <w:rsid w:val="00526BFA"/>
    <w:rsid w:val="005271A4"/>
    <w:rsid w:val="005273FB"/>
    <w:rsid w:val="00527660"/>
    <w:rsid w:val="005276A9"/>
    <w:rsid w:val="00527C77"/>
    <w:rsid w:val="00527EA5"/>
    <w:rsid w:val="00527F5D"/>
    <w:rsid w:val="0053003D"/>
    <w:rsid w:val="005301AD"/>
    <w:rsid w:val="005303A1"/>
    <w:rsid w:val="005309CF"/>
    <w:rsid w:val="00530C31"/>
    <w:rsid w:val="00530CB6"/>
    <w:rsid w:val="00530CC2"/>
    <w:rsid w:val="00530D2C"/>
    <w:rsid w:val="005311CC"/>
    <w:rsid w:val="005311D3"/>
    <w:rsid w:val="00531294"/>
    <w:rsid w:val="005312EB"/>
    <w:rsid w:val="00531410"/>
    <w:rsid w:val="005317CD"/>
    <w:rsid w:val="0053190D"/>
    <w:rsid w:val="00532772"/>
    <w:rsid w:val="0053287D"/>
    <w:rsid w:val="00532A8C"/>
    <w:rsid w:val="00532B71"/>
    <w:rsid w:val="00532B89"/>
    <w:rsid w:val="00532CD0"/>
    <w:rsid w:val="00532ECE"/>
    <w:rsid w:val="005334F0"/>
    <w:rsid w:val="00533C62"/>
    <w:rsid w:val="00533D59"/>
    <w:rsid w:val="00534342"/>
    <w:rsid w:val="0053452B"/>
    <w:rsid w:val="005346DA"/>
    <w:rsid w:val="00534E0A"/>
    <w:rsid w:val="00534E79"/>
    <w:rsid w:val="00535015"/>
    <w:rsid w:val="00535034"/>
    <w:rsid w:val="0053505E"/>
    <w:rsid w:val="005353AA"/>
    <w:rsid w:val="00535542"/>
    <w:rsid w:val="00535678"/>
    <w:rsid w:val="005358CD"/>
    <w:rsid w:val="005359D0"/>
    <w:rsid w:val="00535B50"/>
    <w:rsid w:val="00535E5B"/>
    <w:rsid w:val="00535F5B"/>
    <w:rsid w:val="00535F87"/>
    <w:rsid w:val="00535FDF"/>
    <w:rsid w:val="0053636A"/>
    <w:rsid w:val="00536708"/>
    <w:rsid w:val="00536EAC"/>
    <w:rsid w:val="00537179"/>
    <w:rsid w:val="005371D8"/>
    <w:rsid w:val="00540808"/>
    <w:rsid w:val="00540870"/>
    <w:rsid w:val="00540935"/>
    <w:rsid w:val="00540961"/>
    <w:rsid w:val="00540BFD"/>
    <w:rsid w:val="00540DE9"/>
    <w:rsid w:val="00540F31"/>
    <w:rsid w:val="00540F39"/>
    <w:rsid w:val="0054121C"/>
    <w:rsid w:val="00541235"/>
    <w:rsid w:val="0054125C"/>
    <w:rsid w:val="005417D0"/>
    <w:rsid w:val="00541986"/>
    <w:rsid w:val="00542081"/>
    <w:rsid w:val="00542276"/>
    <w:rsid w:val="00542409"/>
    <w:rsid w:val="0054305F"/>
    <w:rsid w:val="005434B0"/>
    <w:rsid w:val="00543976"/>
    <w:rsid w:val="005439B7"/>
    <w:rsid w:val="00543B3F"/>
    <w:rsid w:val="00543B97"/>
    <w:rsid w:val="0054403B"/>
    <w:rsid w:val="0054412D"/>
    <w:rsid w:val="00544268"/>
    <w:rsid w:val="005442DF"/>
    <w:rsid w:val="0054434A"/>
    <w:rsid w:val="0054437E"/>
    <w:rsid w:val="005443C3"/>
    <w:rsid w:val="0054443C"/>
    <w:rsid w:val="0054456E"/>
    <w:rsid w:val="0054463B"/>
    <w:rsid w:val="005448C9"/>
    <w:rsid w:val="00544C7E"/>
    <w:rsid w:val="00544DC0"/>
    <w:rsid w:val="00545085"/>
    <w:rsid w:val="005454C8"/>
    <w:rsid w:val="00545626"/>
    <w:rsid w:val="0054633C"/>
    <w:rsid w:val="00546345"/>
    <w:rsid w:val="0054636E"/>
    <w:rsid w:val="00546700"/>
    <w:rsid w:val="00546A40"/>
    <w:rsid w:val="00546A86"/>
    <w:rsid w:val="00546CA1"/>
    <w:rsid w:val="00546EA7"/>
    <w:rsid w:val="00547332"/>
    <w:rsid w:val="0054762D"/>
    <w:rsid w:val="0054786F"/>
    <w:rsid w:val="00547BD9"/>
    <w:rsid w:val="00547D49"/>
    <w:rsid w:val="00550213"/>
    <w:rsid w:val="00550AF1"/>
    <w:rsid w:val="00550DB8"/>
    <w:rsid w:val="00551291"/>
    <w:rsid w:val="005513F9"/>
    <w:rsid w:val="00551563"/>
    <w:rsid w:val="00551892"/>
    <w:rsid w:val="0055200A"/>
    <w:rsid w:val="0055214C"/>
    <w:rsid w:val="005523A5"/>
    <w:rsid w:val="00552B1E"/>
    <w:rsid w:val="00552BAD"/>
    <w:rsid w:val="0055359B"/>
    <w:rsid w:val="0055391C"/>
    <w:rsid w:val="00553934"/>
    <w:rsid w:val="00554205"/>
    <w:rsid w:val="00554325"/>
    <w:rsid w:val="005543D5"/>
    <w:rsid w:val="005545CB"/>
    <w:rsid w:val="005547B1"/>
    <w:rsid w:val="00554810"/>
    <w:rsid w:val="00554E6C"/>
    <w:rsid w:val="00554ED6"/>
    <w:rsid w:val="00554F38"/>
    <w:rsid w:val="00555051"/>
    <w:rsid w:val="00555153"/>
    <w:rsid w:val="005551B0"/>
    <w:rsid w:val="00555628"/>
    <w:rsid w:val="005558CC"/>
    <w:rsid w:val="00555D19"/>
    <w:rsid w:val="00555EB2"/>
    <w:rsid w:val="00556A44"/>
    <w:rsid w:val="00556E1D"/>
    <w:rsid w:val="00556E89"/>
    <w:rsid w:val="00557074"/>
    <w:rsid w:val="005572E6"/>
    <w:rsid w:val="0055747D"/>
    <w:rsid w:val="005576BE"/>
    <w:rsid w:val="00557706"/>
    <w:rsid w:val="00557BA4"/>
    <w:rsid w:val="00557D2B"/>
    <w:rsid w:val="00560197"/>
    <w:rsid w:val="00560392"/>
    <w:rsid w:val="00560618"/>
    <w:rsid w:val="00560725"/>
    <w:rsid w:val="005608B8"/>
    <w:rsid w:val="00560C55"/>
    <w:rsid w:val="00560D46"/>
    <w:rsid w:val="00560D75"/>
    <w:rsid w:val="00560EDF"/>
    <w:rsid w:val="00560F64"/>
    <w:rsid w:val="00560FAE"/>
    <w:rsid w:val="00561232"/>
    <w:rsid w:val="00561378"/>
    <w:rsid w:val="0056142E"/>
    <w:rsid w:val="00561612"/>
    <w:rsid w:val="005616F7"/>
    <w:rsid w:val="00561805"/>
    <w:rsid w:val="0056189E"/>
    <w:rsid w:val="005619D9"/>
    <w:rsid w:val="00561BE5"/>
    <w:rsid w:val="00562019"/>
    <w:rsid w:val="005620F2"/>
    <w:rsid w:val="005629C1"/>
    <w:rsid w:val="00562A31"/>
    <w:rsid w:val="00562B30"/>
    <w:rsid w:val="00562F7B"/>
    <w:rsid w:val="0056301A"/>
    <w:rsid w:val="00563246"/>
    <w:rsid w:val="00563642"/>
    <w:rsid w:val="0056365B"/>
    <w:rsid w:val="00563756"/>
    <w:rsid w:val="0056473C"/>
    <w:rsid w:val="0056482F"/>
    <w:rsid w:val="005648A0"/>
    <w:rsid w:val="00564950"/>
    <w:rsid w:val="0056498C"/>
    <w:rsid w:val="005649BF"/>
    <w:rsid w:val="00564AAC"/>
    <w:rsid w:val="00564B8E"/>
    <w:rsid w:val="00564CD2"/>
    <w:rsid w:val="005651DD"/>
    <w:rsid w:val="0056520D"/>
    <w:rsid w:val="0056530E"/>
    <w:rsid w:val="005653EB"/>
    <w:rsid w:val="00565993"/>
    <w:rsid w:val="00565BA8"/>
    <w:rsid w:val="00565BC1"/>
    <w:rsid w:val="00565C01"/>
    <w:rsid w:val="00565CE3"/>
    <w:rsid w:val="00565DB1"/>
    <w:rsid w:val="005661DC"/>
    <w:rsid w:val="0056639C"/>
    <w:rsid w:val="00566428"/>
    <w:rsid w:val="00566565"/>
    <w:rsid w:val="00567033"/>
    <w:rsid w:val="005675B2"/>
    <w:rsid w:val="005677C0"/>
    <w:rsid w:val="00567AAE"/>
    <w:rsid w:val="00567B09"/>
    <w:rsid w:val="00567B9D"/>
    <w:rsid w:val="00567C2C"/>
    <w:rsid w:val="00567ECF"/>
    <w:rsid w:val="0057017A"/>
    <w:rsid w:val="00570183"/>
    <w:rsid w:val="0057028C"/>
    <w:rsid w:val="0057052F"/>
    <w:rsid w:val="00570A8E"/>
    <w:rsid w:val="00570CDF"/>
    <w:rsid w:val="00571233"/>
    <w:rsid w:val="00571393"/>
    <w:rsid w:val="00571F96"/>
    <w:rsid w:val="005720C8"/>
    <w:rsid w:val="005721FD"/>
    <w:rsid w:val="00572249"/>
    <w:rsid w:val="00572661"/>
    <w:rsid w:val="0057304A"/>
    <w:rsid w:val="0057320B"/>
    <w:rsid w:val="00573557"/>
    <w:rsid w:val="0057378F"/>
    <w:rsid w:val="005738D3"/>
    <w:rsid w:val="00573A07"/>
    <w:rsid w:val="00573A99"/>
    <w:rsid w:val="00573AFF"/>
    <w:rsid w:val="00573C01"/>
    <w:rsid w:val="005745A6"/>
    <w:rsid w:val="00574CFA"/>
    <w:rsid w:val="00574E62"/>
    <w:rsid w:val="00575226"/>
    <w:rsid w:val="00575423"/>
    <w:rsid w:val="00575656"/>
    <w:rsid w:val="0057572C"/>
    <w:rsid w:val="00575917"/>
    <w:rsid w:val="0057591B"/>
    <w:rsid w:val="00575B46"/>
    <w:rsid w:val="0057627A"/>
    <w:rsid w:val="0057677F"/>
    <w:rsid w:val="00576AD3"/>
    <w:rsid w:val="00577289"/>
    <w:rsid w:val="00577443"/>
    <w:rsid w:val="00577561"/>
    <w:rsid w:val="005779FD"/>
    <w:rsid w:val="00577D42"/>
    <w:rsid w:val="00577E78"/>
    <w:rsid w:val="0058002C"/>
    <w:rsid w:val="0058020D"/>
    <w:rsid w:val="0058043D"/>
    <w:rsid w:val="005805CE"/>
    <w:rsid w:val="00580629"/>
    <w:rsid w:val="00580C90"/>
    <w:rsid w:val="00580DC9"/>
    <w:rsid w:val="00580FE6"/>
    <w:rsid w:val="00581375"/>
    <w:rsid w:val="005814A2"/>
    <w:rsid w:val="00581543"/>
    <w:rsid w:val="00581EB0"/>
    <w:rsid w:val="0058251E"/>
    <w:rsid w:val="005827B5"/>
    <w:rsid w:val="00582900"/>
    <w:rsid w:val="00582BE0"/>
    <w:rsid w:val="00582D89"/>
    <w:rsid w:val="00583089"/>
    <w:rsid w:val="005833BD"/>
    <w:rsid w:val="00583711"/>
    <w:rsid w:val="00583743"/>
    <w:rsid w:val="005838F5"/>
    <w:rsid w:val="00583977"/>
    <w:rsid w:val="00583B9F"/>
    <w:rsid w:val="0058400A"/>
    <w:rsid w:val="00584333"/>
    <w:rsid w:val="00584EF3"/>
    <w:rsid w:val="005852A1"/>
    <w:rsid w:val="0058548B"/>
    <w:rsid w:val="005854F6"/>
    <w:rsid w:val="00585CFA"/>
    <w:rsid w:val="00586581"/>
    <w:rsid w:val="00586722"/>
    <w:rsid w:val="00586A14"/>
    <w:rsid w:val="00587004"/>
    <w:rsid w:val="0058722B"/>
    <w:rsid w:val="00587405"/>
    <w:rsid w:val="0058743C"/>
    <w:rsid w:val="005877E9"/>
    <w:rsid w:val="005878A2"/>
    <w:rsid w:val="00587AB5"/>
    <w:rsid w:val="005901CB"/>
    <w:rsid w:val="005901D3"/>
    <w:rsid w:val="005905D0"/>
    <w:rsid w:val="00590993"/>
    <w:rsid w:val="00590AF6"/>
    <w:rsid w:val="00590CA9"/>
    <w:rsid w:val="00590D7C"/>
    <w:rsid w:val="005910BD"/>
    <w:rsid w:val="00591260"/>
    <w:rsid w:val="005914FD"/>
    <w:rsid w:val="00591860"/>
    <w:rsid w:val="00591D4F"/>
    <w:rsid w:val="00591E10"/>
    <w:rsid w:val="00591EC2"/>
    <w:rsid w:val="005920BE"/>
    <w:rsid w:val="00592588"/>
    <w:rsid w:val="00592B34"/>
    <w:rsid w:val="00592B97"/>
    <w:rsid w:val="00592F7D"/>
    <w:rsid w:val="00592F83"/>
    <w:rsid w:val="00593330"/>
    <w:rsid w:val="0059350B"/>
    <w:rsid w:val="00593CFD"/>
    <w:rsid w:val="00594047"/>
    <w:rsid w:val="005940C3"/>
    <w:rsid w:val="005940F3"/>
    <w:rsid w:val="005944BB"/>
    <w:rsid w:val="0059459F"/>
    <w:rsid w:val="00595366"/>
    <w:rsid w:val="00595622"/>
    <w:rsid w:val="00595A5F"/>
    <w:rsid w:val="00595C50"/>
    <w:rsid w:val="00595D2B"/>
    <w:rsid w:val="00595DAE"/>
    <w:rsid w:val="00595E3D"/>
    <w:rsid w:val="00596024"/>
    <w:rsid w:val="00596622"/>
    <w:rsid w:val="00596785"/>
    <w:rsid w:val="005967AD"/>
    <w:rsid w:val="0059680D"/>
    <w:rsid w:val="00596D9E"/>
    <w:rsid w:val="0059766C"/>
    <w:rsid w:val="00597882"/>
    <w:rsid w:val="00597C40"/>
    <w:rsid w:val="005A065E"/>
    <w:rsid w:val="005A07AF"/>
    <w:rsid w:val="005A0905"/>
    <w:rsid w:val="005A0917"/>
    <w:rsid w:val="005A097F"/>
    <w:rsid w:val="005A0DB5"/>
    <w:rsid w:val="005A14CF"/>
    <w:rsid w:val="005A16B9"/>
    <w:rsid w:val="005A19B9"/>
    <w:rsid w:val="005A19EC"/>
    <w:rsid w:val="005A1BFA"/>
    <w:rsid w:val="005A23F5"/>
    <w:rsid w:val="005A246C"/>
    <w:rsid w:val="005A25D7"/>
    <w:rsid w:val="005A285E"/>
    <w:rsid w:val="005A2A63"/>
    <w:rsid w:val="005A32B7"/>
    <w:rsid w:val="005A3599"/>
    <w:rsid w:val="005A363C"/>
    <w:rsid w:val="005A373F"/>
    <w:rsid w:val="005A381C"/>
    <w:rsid w:val="005A3CB8"/>
    <w:rsid w:val="005A3DC3"/>
    <w:rsid w:val="005A411D"/>
    <w:rsid w:val="005A422D"/>
    <w:rsid w:val="005A45BC"/>
    <w:rsid w:val="005A4605"/>
    <w:rsid w:val="005A4625"/>
    <w:rsid w:val="005A4D96"/>
    <w:rsid w:val="005A5737"/>
    <w:rsid w:val="005A59E1"/>
    <w:rsid w:val="005A5ACD"/>
    <w:rsid w:val="005A5AE9"/>
    <w:rsid w:val="005A5C8A"/>
    <w:rsid w:val="005A5DB9"/>
    <w:rsid w:val="005A6008"/>
    <w:rsid w:val="005A6251"/>
    <w:rsid w:val="005A6ACB"/>
    <w:rsid w:val="005A714C"/>
    <w:rsid w:val="005A71D2"/>
    <w:rsid w:val="005A735B"/>
    <w:rsid w:val="005A786B"/>
    <w:rsid w:val="005A7A16"/>
    <w:rsid w:val="005A7ACF"/>
    <w:rsid w:val="005A7AE4"/>
    <w:rsid w:val="005A7B50"/>
    <w:rsid w:val="005A7C12"/>
    <w:rsid w:val="005A7CFB"/>
    <w:rsid w:val="005B01B2"/>
    <w:rsid w:val="005B0532"/>
    <w:rsid w:val="005B084C"/>
    <w:rsid w:val="005B0A2D"/>
    <w:rsid w:val="005B0AA0"/>
    <w:rsid w:val="005B102F"/>
    <w:rsid w:val="005B10B7"/>
    <w:rsid w:val="005B129C"/>
    <w:rsid w:val="005B1302"/>
    <w:rsid w:val="005B132F"/>
    <w:rsid w:val="005B1617"/>
    <w:rsid w:val="005B177A"/>
    <w:rsid w:val="005B1D85"/>
    <w:rsid w:val="005B1DC1"/>
    <w:rsid w:val="005B1E54"/>
    <w:rsid w:val="005B1E7A"/>
    <w:rsid w:val="005B2073"/>
    <w:rsid w:val="005B21C6"/>
    <w:rsid w:val="005B2223"/>
    <w:rsid w:val="005B222C"/>
    <w:rsid w:val="005B287E"/>
    <w:rsid w:val="005B28FA"/>
    <w:rsid w:val="005B2939"/>
    <w:rsid w:val="005B2944"/>
    <w:rsid w:val="005B2C71"/>
    <w:rsid w:val="005B2E7C"/>
    <w:rsid w:val="005B3055"/>
    <w:rsid w:val="005B31BA"/>
    <w:rsid w:val="005B36BD"/>
    <w:rsid w:val="005B38B0"/>
    <w:rsid w:val="005B391F"/>
    <w:rsid w:val="005B45E4"/>
    <w:rsid w:val="005B5377"/>
    <w:rsid w:val="005B548F"/>
    <w:rsid w:val="005B5696"/>
    <w:rsid w:val="005B59DA"/>
    <w:rsid w:val="005B5CE0"/>
    <w:rsid w:val="005B6264"/>
    <w:rsid w:val="005B63AC"/>
    <w:rsid w:val="005B67D0"/>
    <w:rsid w:val="005B6D63"/>
    <w:rsid w:val="005B6D99"/>
    <w:rsid w:val="005B6F76"/>
    <w:rsid w:val="005B6FD8"/>
    <w:rsid w:val="005B7245"/>
    <w:rsid w:val="005B7B20"/>
    <w:rsid w:val="005B7C94"/>
    <w:rsid w:val="005B7D2B"/>
    <w:rsid w:val="005C078E"/>
    <w:rsid w:val="005C0914"/>
    <w:rsid w:val="005C098A"/>
    <w:rsid w:val="005C099C"/>
    <w:rsid w:val="005C0A61"/>
    <w:rsid w:val="005C118F"/>
    <w:rsid w:val="005C12BF"/>
    <w:rsid w:val="005C1556"/>
    <w:rsid w:val="005C162D"/>
    <w:rsid w:val="005C1673"/>
    <w:rsid w:val="005C17A3"/>
    <w:rsid w:val="005C17AE"/>
    <w:rsid w:val="005C1866"/>
    <w:rsid w:val="005C1BF9"/>
    <w:rsid w:val="005C1CA4"/>
    <w:rsid w:val="005C1D1B"/>
    <w:rsid w:val="005C1D4B"/>
    <w:rsid w:val="005C2216"/>
    <w:rsid w:val="005C2453"/>
    <w:rsid w:val="005C26C4"/>
    <w:rsid w:val="005C2B54"/>
    <w:rsid w:val="005C2B61"/>
    <w:rsid w:val="005C327B"/>
    <w:rsid w:val="005C342D"/>
    <w:rsid w:val="005C3AD2"/>
    <w:rsid w:val="005C3AEA"/>
    <w:rsid w:val="005C3AF6"/>
    <w:rsid w:val="005C3CC3"/>
    <w:rsid w:val="005C3E0E"/>
    <w:rsid w:val="005C44C9"/>
    <w:rsid w:val="005C487F"/>
    <w:rsid w:val="005C4CD9"/>
    <w:rsid w:val="005C4CF8"/>
    <w:rsid w:val="005C507A"/>
    <w:rsid w:val="005C54B9"/>
    <w:rsid w:val="005C5632"/>
    <w:rsid w:val="005C5CDE"/>
    <w:rsid w:val="005C65ED"/>
    <w:rsid w:val="005C6704"/>
    <w:rsid w:val="005C690D"/>
    <w:rsid w:val="005C70E0"/>
    <w:rsid w:val="005C7676"/>
    <w:rsid w:val="005C769B"/>
    <w:rsid w:val="005C7716"/>
    <w:rsid w:val="005C7E06"/>
    <w:rsid w:val="005C7F78"/>
    <w:rsid w:val="005D0050"/>
    <w:rsid w:val="005D009C"/>
    <w:rsid w:val="005D0883"/>
    <w:rsid w:val="005D0951"/>
    <w:rsid w:val="005D0E9E"/>
    <w:rsid w:val="005D103C"/>
    <w:rsid w:val="005D10BD"/>
    <w:rsid w:val="005D1134"/>
    <w:rsid w:val="005D128B"/>
    <w:rsid w:val="005D12F2"/>
    <w:rsid w:val="005D15C9"/>
    <w:rsid w:val="005D194B"/>
    <w:rsid w:val="005D1AC8"/>
    <w:rsid w:val="005D1BD2"/>
    <w:rsid w:val="005D1C0E"/>
    <w:rsid w:val="005D2181"/>
    <w:rsid w:val="005D2DCF"/>
    <w:rsid w:val="005D30CF"/>
    <w:rsid w:val="005D3193"/>
    <w:rsid w:val="005D3687"/>
    <w:rsid w:val="005D38E3"/>
    <w:rsid w:val="005D3D4D"/>
    <w:rsid w:val="005D3E5A"/>
    <w:rsid w:val="005D4041"/>
    <w:rsid w:val="005D40D0"/>
    <w:rsid w:val="005D4787"/>
    <w:rsid w:val="005D4D3D"/>
    <w:rsid w:val="005D500D"/>
    <w:rsid w:val="005D51B9"/>
    <w:rsid w:val="005D54E5"/>
    <w:rsid w:val="005D5796"/>
    <w:rsid w:val="005D597F"/>
    <w:rsid w:val="005D5AA7"/>
    <w:rsid w:val="005D5C44"/>
    <w:rsid w:val="005D5D45"/>
    <w:rsid w:val="005D6034"/>
    <w:rsid w:val="005D62AD"/>
    <w:rsid w:val="005D636E"/>
    <w:rsid w:val="005D63BB"/>
    <w:rsid w:val="005D6487"/>
    <w:rsid w:val="005D6643"/>
    <w:rsid w:val="005D6993"/>
    <w:rsid w:val="005D69AC"/>
    <w:rsid w:val="005D6AD0"/>
    <w:rsid w:val="005D7505"/>
    <w:rsid w:val="005D762C"/>
    <w:rsid w:val="005D7B2E"/>
    <w:rsid w:val="005D7C28"/>
    <w:rsid w:val="005E02CB"/>
    <w:rsid w:val="005E04F7"/>
    <w:rsid w:val="005E0BE1"/>
    <w:rsid w:val="005E11DE"/>
    <w:rsid w:val="005E1329"/>
    <w:rsid w:val="005E150A"/>
    <w:rsid w:val="005E1729"/>
    <w:rsid w:val="005E1770"/>
    <w:rsid w:val="005E1C18"/>
    <w:rsid w:val="005E260C"/>
    <w:rsid w:val="005E276A"/>
    <w:rsid w:val="005E2827"/>
    <w:rsid w:val="005E2E92"/>
    <w:rsid w:val="005E2F17"/>
    <w:rsid w:val="005E2FA1"/>
    <w:rsid w:val="005E30DE"/>
    <w:rsid w:val="005E31ED"/>
    <w:rsid w:val="005E33F3"/>
    <w:rsid w:val="005E3617"/>
    <w:rsid w:val="005E3A17"/>
    <w:rsid w:val="005E3A51"/>
    <w:rsid w:val="005E3DB1"/>
    <w:rsid w:val="005E3E6E"/>
    <w:rsid w:val="005E4188"/>
    <w:rsid w:val="005E4380"/>
    <w:rsid w:val="005E494D"/>
    <w:rsid w:val="005E4A6E"/>
    <w:rsid w:val="005E514E"/>
    <w:rsid w:val="005E55D1"/>
    <w:rsid w:val="005E56B5"/>
    <w:rsid w:val="005E5C4A"/>
    <w:rsid w:val="005E5DB2"/>
    <w:rsid w:val="005E6319"/>
    <w:rsid w:val="005E6B7C"/>
    <w:rsid w:val="005E6C7C"/>
    <w:rsid w:val="005E6C8F"/>
    <w:rsid w:val="005E6CD7"/>
    <w:rsid w:val="005E7036"/>
    <w:rsid w:val="005E7A51"/>
    <w:rsid w:val="005E7B21"/>
    <w:rsid w:val="005E7DEA"/>
    <w:rsid w:val="005F0109"/>
    <w:rsid w:val="005F0A20"/>
    <w:rsid w:val="005F0B4F"/>
    <w:rsid w:val="005F0BE1"/>
    <w:rsid w:val="005F0F4D"/>
    <w:rsid w:val="005F113E"/>
    <w:rsid w:val="005F1274"/>
    <w:rsid w:val="005F164F"/>
    <w:rsid w:val="005F1912"/>
    <w:rsid w:val="005F1B75"/>
    <w:rsid w:val="005F215C"/>
    <w:rsid w:val="005F217A"/>
    <w:rsid w:val="005F24BD"/>
    <w:rsid w:val="005F2AEE"/>
    <w:rsid w:val="005F2D15"/>
    <w:rsid w:val="005F30A8"/>
    <w:rsid w:val="005F3853"/>
    <w:rsid w:val="005F3858"/>
    <w:rsid w:val="005F3DE9"/>
    <w:rsid w:val="005F3F0A"/>
    <w:rsid w:val="005F42FE"/>
    <w:rsid w:val="005F4678"/>
    <w:rsid w:val="005F48B0"/>
    <w:rsid w:val="005F4A4A"/>
    <w:rsid w:val="005F4A99"/>
    <w:rsid w:val="005F50AE"/>
    <w:rsid w:val="005F54BC"/>
    <w:rsid w:val="005F5787"/>
    <w:rsid w:val="005F5C7C"/>
    <w:rsid w:val="005F5DDE"/>
    <w:rsid w:val="005F5FBA"/>
    <w:rsid w:val="005F6148"/>
    <w:rsid w:val="005F65F0"/>
    <w:rsid w:val="005F68AB"/>
    <w:rsid w:val="005F68BF"/>
    <w:rsid w:val="005F6953"/>
    <w:rsid w:val="005F6EB7"/>
    <w:rsid w:val="005F717B"/>
    <w:rsid w:val="005F720B"/>
    <w:rsid w:val="005F7642"/>
    <w:rsid w:val="005F7C63"/>
    <w:rsid w:val="005F7D51"/>
    <w:rsid w:val="006001E6"/>
    <w:rsid w:val="006004A8"/>
    <w:rsid w:val="006009D7"/>
    <w:rsid w:val="00600BB2"/>
    <w:rsid w:val="00600F2D"/>
    <w:rsid w:val="00601003"/>
    <w:rsid w:val="00601712"/>
    <w:rsid w:val="00601EBF"/>
    <w:rsid w:val="006020C2"/>
    <w:rsid w:val="00602200"/>
    <w:rsid w:val="00602372"/>
    <w:rsid w:val="006026BC"/>
    <w:rsid w:val="00602E94"/>
    <w:rsid w:val="00602F85"/>
    <w:rsid w:val="00603441"/>
    <w:rsid w:val="006034DD"/>
    <w:rsid w:val="00603642"/>
    <w:rsid w:val="006037D0"/>
    <w:rsid w:val="006037ED"/>
    <w:rsid w:val="00603AC7"/>
    <w:rsid w:val="0060427B"/>
    <w:rsid w:val="006043B4"/>
    <w:rsid w:val="006045E3"/>
    <w:rsid w:val="006048F0"/>
    <w:rsid w:val="00604948"/>
    <w:rsid w:val="006049F9"/>
    <w:rsid w:val="006050B5"/>
    <w:rsid w:val="006050CE"/>
    <w:rsid w:val="0060544F"/>
    <w:rsid w:val="006054A8"/>
    <w:rsid w:val="006054D4"/>
    <w:rsid w:val="0060551C"/>
    <w:rsid w:val="0060563F"/>
    <w:rsid w:val="00605B6E"/>
    <w:rsid w:val="00606085"/>
    <w:rsid w:val="006067C3"/>
    <w:rsid w:val="00606814"/>
    <w:rsid w:val="00606ABA"/>
    <w:rsid w:val="00606B12"/>
    <w:rsid w:val="00606D2E"/>
    <w:rsid w:val="006072BC"/>
    <w:rsid w:val="00607306"/>
    <w:rsid w:val="0060750A"/>
    <w:rsid w:val="006079D7"/>
    <w:rsid w:val="00607ABA"/>
    <w:rsid w:val="00607C9F"/>
    <w:rsid w:val="00607E3D"/>
    <w:rsid w:val="00607EA5"/>
    <w:rsid w:val="00607EDA"/>
    <w:rsid w:val="00607F07"/>
    <w:rsid w:val="00610086"/>
    <w:rsid w:val="0061032A"/>
    <w:rsid w:val="00610442"/>
    <w:rsid w:val="00610508"/>
    <w:rsid w:val="00610578"/>
    <w:rsid w:val="00610EC1"/>
    <w:rsid w:val="00611B15"/>
    <w:rsid w:val="00611DB6"/>
    <w:rsid w:val="00611E56"/>
    <w:rsid w:val="006125E5"/>
    <w:rsid w:val="006126E1"/>
    <w:rsid w:val="0061275B"/>
    <w:rsid w:val="00612A6D"/>
    <w:rsid w:val="006132FF"/>
    <w:rsid w:val="006134B7"/>
    <w:rsid w:val="006137C2"/>
    <w:rsid w:val="00613B68"/>
    <w:rsid w:val="00613CC4"/>
    <w:rsid w:val="00613D0C"/>
    <w:rsid w:val="00613F32"/>
    <w:rsid w:val="006143D2"/>
    <w:rsid w:val="006144A5"/>
    <w:rsid w:val="006148DA"/>
    <w:rsid w:val="00614A0E"/>
    <w:rsid w:val="00614D0C"/>
    <w:rsid w:val="00614E7D"/>
    <w:rsid w:val="00614EB6"/>
    <w:rsid w:val="00614F77"/>
    <w:rsid w:val="0061527D"/>
    <w:rsid w:val="00615613"/>
    <w:rsid w:val="006158E6"/>
    <w:rsid w:val="00615903"/>
    <w:rsid w:val="00615EF4"/>
    <w:rsid w:val="00616195"/>
    <w:rsid w:val="00616474"/>
    <w:rsid w:val="0061647F"/>
    <w:rsid w:val="0061670C"/>
    <w:rsid w:val="00616804"/>
    <w:rsid w:val="00616A0F"/>
    <w:rsid w:val="00616D68"/>
    <w:rsid w:val="00617336"/>
    <w:rsid w:val="006174A5"/>
    <w:rsid w:val="00617503"/>
    <w:rsid w:val="00617666"/>
    <w:rsid w:val="00617DAF"/>
    <w:rsid w:val="00620C68"/>
    <w:rsid w:val="00620D77"/>
    <w:rsid w:val="00620DDB"/>
    <w:rsid w:val="00620F08"/>
    <w:rsid w:val="00621D96"/>
    <w:rsid w:val="00621E06"/>
    <w:rsid w:val="00622165"/>
    <w:rsid w:val="0062230D"/>
    <w:rsid w:val="0062244E"/>
    <w:rsid w:val="00622469"/>
    <w:rsid w:val="00622511"/>
    <w:rsid w:val="00622607"/>
    <w:rsid w:val="006226A4"/>
    <w:rsid w:val="00622826"/>
    <w:rsid w:val="00622A20"/>
    <w:rsid w:val="00622B50"/>
    <w:rsid w:val="00622E2D"/>
    <w:rsid w:val="00622FD7"/>
    <w:rsid w:val="00623023"/>
    <w:rsid w:val="0062310D"/>
    <w:rsid w:val="00623548"/>
    <w:rsid w:val="0062381F"/>
    <w:rsid w:val="00623939"/>
    <w:rsid w:val="00624111"/>
    <w:rsid w:val="006241F3"/>
    <w:rsid w:val="00624946"/>
    <w:rsid w:val="00624C2F"/>
    <w:rsid w:val="00624CCF"/>
    <w:rsid w:val="00624EBF"/>
    <w:rsid w:val="00624F86"/>
    <w:rsid w:val="00624FDC"/>
    <w:rsid w:val="00625937"/>
    <w:rsid w:val="00625B12"/>
    <w:rsid w:val="00625C9B"/>
    <w:rsid w:val="00625E4E"/>
    <w:rsid w:val="006260EB"/>
    <w:rsid w:val="00626341"/>
    <w:rsid w:val="00626479"/>
    <w:rsid w:val="00626698"/>
    <w:rsid w:val="00626CD1"/>
    <w:rsid w:val="00626D8D"/>
    <w:rsid w:val="006271F6"/>
    <w:rsid w:val="00627632"/>
    <w:rsid w:val="00627A8A"/>
    <w:rsid w:val="00627D4C"/>
    <w:rsid w:val="00627E64"/>
    <w:rsid w:val="00627F1A"/>
    <w:rsid w:val="006301E6"/>
    <w:rsid w:val="006304DD"/>
    <w:rsid w:val="0063056A"/>
    <w:rsid w:val="006308F8"/>
    <w:rsid w:val="00630CC9"/>
    <w:rsid w:val="00630CEB"/>
    <w:rsid w:val="00630EA7"/>
    <w:rsid w:val="00630F38"/>
    <w:rsid w:val="0063104B"/>
    <w:rsid w:val="0063161B"/>
    <w:rsid w:val="006318CE"/>
    <w:rsid w:val="00631994"/>
    <w:rsid w:val="0063219F"/>
    <w:rsid w:val="006321BD"/>
    <w:rsid w:val="00632E5F"/>
    <w:rsid w:val="00633109"/>
    <w:rsid w:val="0063310B"/>
    <w:rsid w:val="0063361E"/>
    <w:rsid w:val="00633787"/>
    <w:rsid w:val="0063378C"/>
    <w:rsid w:val="0063387D"/>
    <w:rsid w:val="006339FE"/>
    <w:rsid w:val="006340AC"/>
    <w:rsid w:val="006343F5"/>
    <w:rsid w:val="006344CE"/>
    <w:rsid w:val="006349E6"/>
    <w:rsid w:val="00634A25"/>
    <w:rsid w:val="00634A2C"/>
    <w:rsid w:val="00634A42"/>
    <w:rsid w:val="00634B58"/>
    <w:rsid w:val="00634CDE"/>
    <w:rsid w:val="00634E37"/>
    <w:rsid w:val="00634E60"/>
    <w:rsid w:val="00634FAC"/>
    <w:rsid w:val="00635090"/>
    <w:rsid w:val="00635829"/>
    <w:rsid w:val="006358D9"/>
    <w:rsid w:val="0063630E"/>
    <w:rsid w:val="00636581"/>
    <w:rsid w:val="00636707"/>
    <w:rsid w:val="00636751"/>
    <w:rsid w:val="0063696F"/>
    <w:rsid w:val="00636B84"/>
    <w:rsid w:val="00636DFA"/>
    <w:rsid w:val="00637121"/>
    <w:rsid w:val="00637378"/>
    <w:rsid w:val="0063751E"/>
    <w:rsid w:val="00637BA6"/>
    <w:rsid w:val="00640369"/>
    <w:rsid w:val="006403C3"/>
    <w:rsid w:val="00640500"/>
    <w:rsid w:val="00640E87"/>
    <w:rsid w:val="00640F24"/>
    <w:rsid w:val="006410EC"/>
    <w:rsid w:val="006412C3"/>
    <w:rsid w:val="00641ABF"/>
    <w:rsid w:val="00641B0F"/>
    <w:rsid w:val="00641E04"/>
    <w:rsid w:val="00642394"/>
    <w:rsid w:val="00643003"/>
    <w:rsid w:val="006431DC"/>
    <w:rsid w:val="00643A9F"/>
    <w:rsid w:val="00643B0A"/>
    <w:rsid w:val="00643B98"/>
    <w:rsid w:val="00643D8F"/>
    <w:rsid w:val="00643E58"/>
    <w:rsid w:val="00643F8C"/>
    <w:rsid w:val="006441D6"/>
    <w:rsid w:val="00644208"/>
    <w:rsid w:val="006442C4"/>
    <w:rsid w:val="00644683"/>
    <w:rsid w:val="0064481D"/>
    <w:rsid w:val="00644821"/>
    <w:rsid w:val="0064524F"/>
    <w:rsid w:val="0064557B"/>
    <w:rsid w:val="00645788"/>
    <w:rsid w:val="006458D3"/>
    <w:rsid w:val="00645906"/>
    <w:rsid w:val="00645CAD"/>
    <w:rsid w:val="00645CCB"/>
    <w:rsid w:val="00645D09"/>
    <w:rsid w:val="00645DA2"/>
    <w:rsid w:val="00645DBD"/>
    <w:rsid w:val="00645F51"/>
    <w:rsid w:val="00645FFD"/>
    <w:rsid w:val="006465BF"/>
    <w:rsid w:val="0064692C"/>
    <w:rsid w:val="00646C94"/>
    <w:rsid w:val="00647005"/>
    <w:rsid w:val="0064740E"/>
    <w:rsid w:val="00647A5A"/>
    <w:rsid w:val="00647C08"/>
    <w:rsid w:val="00650160"/>
    <w:rsid w:val="0065029C"/>
    <w:rsid w:val="00650506"/>
    <w:rsid w:val="00650569"/>
    <w:rsid w:val="006509DA"/>
    <w:rsid w:val="00650CB3"/>
    <w:rsid w:val="00650CC2"/>
    <w:rsid w:val="0065110D"/>
    <w:rsid w:val="006511A3"/>
    <w:rsid w:val="00651744"/>
    <w:rsid w:val="0065189B"/>
    <w:rsid w:val="006520A9"/>
    <w:rsid w:val="00652147"/>
    <w:rsid w:val="0065338B"/>
    <w:rsid w:val="006535EF"/>
    <w:rsid w:val="0065360F"/>
    <w:rsid w:val="00653751"/>
    <w:rsid w:val="0065413C"/>
    <w:rsid w:val="006541F3"/>
    <w:rsid w:val="00654551"/>
    <w:rsid w:val="006548AC"/>
    <w:rsid w:val="00654AF0"/>
    <w:rsid w:val="00654C78"/>
    <w:rsid w:val="00654D9C"/>
    <w:rsid w:val="00654EFC"/>
    <w:rsid w:val="00655C27"/>
    <w:rsid w:val="00655E08"/>
    <w:rsid w:val="00656463"/>
    <w:rsid w:val="00656468"/>
    <w:rsid w:val="00656577"/>
    <w:rsid w:val="006566CF"/>
    <w:rsid w:val="00656A23"/>
    <w:rsid w:val="00656C3B"/>
    <w:rsid w:val="00656D7C"/>
    <w:rsid w:val="00656E5D"/>
    <w:rsid w:val="00657261"/>
    <w:rsid w:val="00660172"/>
    <w:rsid w:val="00660B34"/>
    <w:rsid w:val="00660CA7"/>
    <w:rsid w:val="00661138"/>
    <w:rsid w:val="006612A8"/>
    <w:rsid w:val="006617EA"/>
    <w:rsid w:val="00661CD7"/>
    <w:rsid w:val="00661F60"/>
    <w:rsid w:val="00662B44"/>
    <w:rsid w:val="00662F63"/>
    <w:rsid w:val="0066306E"/>
    <w:rsid w:val="00663489"/>
    <w:rsid w:val="00663499"/>
    <w:rsid w:val="00664062"/>
    <w:rsid w:val="006640BC"/>
    <w:rsid w:val="006640C9"/>
    <w:rsid w:val="006644F0"/>
    <w:rsid w:val="0066472E"/>
    <w:rsid w:val="0066479B"/>
    <w:rsid w:val="006648C5"/>
    <w:rsid w:val="00664B69"/>
    <w:rsid w:val="00664CFF"/>
    <w:rsid w:val="00665085"/>
    <w:rsid w:val="006650A9"/>
    <w:rsid w:val="006657B6"/>
    <w:rsid w:val="00665C22"/>
    <w:rsid w:val="00665E97"/>
    <w:rsid w:val="006664D6"/>
    <w:rsid w:val="00666728"/>
    <w:rsid w:val="00666770"/>
    <w:rsid w:val="006667AB"/>
    <w:rsid w:val="0066688B"/>
    <w:rsid w:val="00666A4D"/>
    <w:rsid w:val="00666BFD"/>
    <w:rsid w:val="00667048"/>
    <w:rsid w:val="006671C3"/>
    <w:rsid w:val="0066733D"/>
    <w:rsid w:val="006674A0"/>
    <w:rsid w:val="006678A6"/>
    <w:rsid w:val="00667965"/>
    <w:rsid w:val="006700A1"/>
    <w:rsid w:val="006700EB"/>
    <w:rsid w:val="0067016D"/>
    <w:rsid w:val="00670740"/>
    <w:rsid w:val="00670765"/>
    <w:rsid w:val="00670789"/>
    <w:rsid w:val="00670AD9"/>
    <w:rsid w:val="00670BF0"/>
    <w:rsid w:val="00670D75"/>
    <w:rsid w:val="006710E0"/>
    <w:rsid w:val="006713E2"/>
    <w:rsid w:val="0067151D"/>
    <w:rsid w:val="006715CE"/>
    <w:rsid w:val="006715DA"/>
    <w:rsid w:val="0067166C"/>
    <w:rsid w:val="00671972"/>
    <w:rsid w:val="00671FC0"/>
    <w:rsid w:val="00672017"/>
    <w:rsid w:val="00672144"/>
    <w:rsid w:val="006723DA"/>
    <w:rsid w:val="00672E5B"/>
    <w:rsid w:val="00672F2D"/>
    <w:rsid w:val="006735B5"/>
    <w:rsid w:val="006738BA"/>
    <w:rsid w:val="00673A09"/>
    <w:rsid w:val="00673FBA"/>
    <w:rsid w:val="0067401C"/>
    <w:rsid w:val="00674064"/>
    <w:rsid w:val="00674244"/>
    <w:rsid w:val="006745B3"/>
    <w:rsid w:val="0067476B"/>
    <w:rsid w:val="00674820"/>
    <w:rsid w:val="00675071"/>
    <w:rsid w:val="006751CA"/>
    <w:rsid w:val="00675274"/>
    <w:rsid w:val="00675448"/>
    <w:rsid w:val="006755DE"/>
    <w:rsid w:val="006757E9"/>
    <w:rsid w:val="00675A21"/>
    <w:rsid w:val="00675BDA"/>
    <w:rsid w:val="00675C61"/>
    <w:rsid w:val="00675E15"/>
    <w:rsid w:val="00675FE0"/>
    <w:rsid w:val="00676283"/>
    <w:rsid w:val="00676302"/>
    <w:rsid w:val="0067631B"/>
    <w:rsid w:val="00676345"/>
    <w:rsid w:val="0067638B"/>
    <w:rsid w:val="00676471"/>
    <w:rsid w:val="0067656A"/>
    <w:rsid w:val="006766D1"/>
    <w:rsid w:val="0067684E"/>
    <w:rsid w:val="0067688E"/>
    <w:rsid w:val="00677240"/>
    <w:rsid w:val="006772DD"/>
    <w:rsid w:val="00677340"/>
    <w:rsid w:val="00677540"/>
    <w:rsid w:val="00677928"/>
    <w:rsid w:val="006779F7"/>
    <w:rsid w:val="00677C49"/>
    <w:rsid w:val="00677D97"/>
    <w:rsid w:val="00677EB1"/>
    <w:rsid w:val="0068002F"/>
    <w:rsid w:val="0068079F"/>
    <w:rsid w:val="00680CC1"/>
    <w:rsid w:val="00680CFD"/>
    <w:rsid w:val="00680D1A"/>
    <w:rsid w:val="00681105"/>
    <w:rsid w:val="006813FD"/>
    <w:rsid w:val="00681410"/>
    <w:rsid w:val="00681620"/>
    <w:rsid w:val="00681639"/>
    <w:rsid w:val="00681714"/>
    <w:rsid w:val="00681BF1"/>
    <w:rsid w:val="00681C35"/>
    <w:rsid w:val="00681EBF"/>
    <w:rsid w:val="00682886"/>
    <w:rsid w:val="00682B81"/>
    <w:rsid w:val="00682B89"/>
    <w:rsid w:val="00682C89"/>
    <w:rsid w:val="00682D28"/>
    <w:rsid w:val="00682DBC"/>
    <w:rsid w:val="006830FF"/>
    <w:rsid w:val="00683111"/>
    <w:rsid w:val="00683204"/>
    <w:rsid w:val="006832A5"/>
    <w:rsid w:val="00683CBF"/>
    <w:rsid w:val="00683D62"/>
    <w:rsid w:val="00683EC2"/>
    <w:rsid w:val="006841D2"/>
    <w:rsid w:val="00684410"/>
    <w:rsid w:val="00684789"/>
    <w:rsid w:val="006847BB"/>
    <w:rsid w:val="00684D26"/>
    <w:rsid w:val="00684E94"/>
    <w:rsid w:val="00684FB7"/>
    <w:rsid w:val="0068503D"/>
    <w:rsid w:val="006855C7"/>
    <w:rsid w:val="00685600"/>
    <w:rsid w:val="00685838"/>
    <w:rsid w:val="00685AB9"/>
    <w:rsid w:val="006861E3"/>
    <w:rsid w:val="0068637F"/>
    <w:rsid w:val="0068643A"/>
    <w:rsid w:val="006865A8"/>
    <w:rsid w:val="006867C5"/>
    <w:rsid w:val="0068689A"/>
    <w:rsid w:val="006872CF"/>
    <w:rsid w:val="00687419"/>
    <w:rsid w:val="006874AB"/>
    <w:rsid w:val="00687921"/>
    <w:rsid w:val="00687C02"/>
    <w:rsid w:val="00687F75"/>
    <w:rsid w:val="00690198"/>
    <w:rsid w:val="006901B5"/>
    <w:rsid w:val="0069020F"/>
    <w:rsid w:val="0069033C"/>
    <w:rsid w:val="00690426"/>
    <w:rsid w:val="00690DA0"/>
    <w:rsid w:val="00691529"/>
    <w:rsid w:val="0069154C"/>
    <w:rsid w:val="006916AE"/>
    <w:rsid w:val="0069184A"/>
    <w:rsid w:val="006918C6"/>
    <w:rsid w:val="00691C5D"/>
    <w:rsid w:val="006924EF"/>
    <w:rsid w:val="006927F1"/>
    <w:rsid w:val="00692925"/>
    <w:rsid w:val="00692AAD"/>
    <w:rsid w:val="00692AEE"/>
    <w:rsid w:val="0069316E"/>
    <w:rsid w:val="00693451"/>
    <w:rsid w:val="00693760"/>
    <w:rsid w:val="0069381D"/>
    <w:rsid w:val="006938D9"/>
    <w:rsid w:val="0069399F"/>
    <w:rsid w:val="00693A48"/>
    <w:rsid w:val="00693A8F"/>
    <w:rsid w:val="00693F9D"/>
    <w:rsid w:val="00694218"/>
    <w:rsid w:val="00694551"/>
    <w:rsid w:val="006945D1"/>
    <w:rsid w:val="00694A36"/>
    <w:rsid w:val="00694CD4"/>
    <w:rsid w:val="00694CFA"/>
    <w:rsid w:val="00695CD6"/>
    <w:rsid w:val="00695E40"/>
    <w:rsid w:val="00695FF3"/>
    <w:rsid w:val="006961B8"/>
    <w:rsid w:val="00696382"/>
    <w:rsid w:val="00696A46"/>
    <w:rsid w:val="00696A58"/>
    <w:rsid w:val="00696BB4"/>
    <w:rsid w:val="00696CCF"/>
    <w:rsid w:val="00696D26"/>
    <w:rsid w:val="00696FE6"/>
    <w:rsid w:val="006971AB"/>
    <w:rsid w:val="006972C3"/>
    <w:rsid w:val="006976D2"/>
    <w:rsid w:val="006976F9"/>
    <w:rsid w:val="0069799B"/>
    <w:rsid w:val="006979A3"/>
    <w:rsid w:val="006A011E"/>
    <w:rsid w:val="006A04C8"/>
    <w:rsid w:val="006A06B0"/>
    <w:rsid w:val="006A0B47"/>
    <w:rsid w:val="006A142D"/>
    <w:rsid w:val="006A16C5"/>
    <w:rsid w:val="006A1867"/>
    <w:rsid w:val="006A243E"/>
    <w:rsid w:val="006A28F8"/>
    <w:rsid w:val="006A307C"/>
    <w:rsid w:val="006A31D1"/>
    <w:rsid w:val="006A3201"/>
    <w:rsid w:val="006A3C19"/>
    <w:rsid w:val="006A3C50"/>
    <w:rsid w:val="006A3E9E"/>
    <w:rsid w:val="006A41D4"/>
    <w:rsid w:val="006A42D2"/>
    <w:rsid w:val="006A43F5"/>
    <w:rsid w:val="006A4757"/>
    <w:rsid w:val="006A4784"/>
    <w:rsid w:val="006A4F73"/>
    <w:rsid w:val="006A581E"/>
    <w:rsid w:val="006A5A1D"/>
    <w:rsid w:val="006A5B01"/>
    <w:rsid w:val="006A5B25"/>
    <w:rsid w:val="006A5B6D"/>
    <w:rsid w:val="006A5F4E"/>
    <w:rsid w:val="006A608C"/>
    <w:rsid w:val="006A6255"/>
    <w:rsid w:val="006A63CC"/>
    <w:rsid w:val="006A69B2"/>
    <w:rsid w:val="006A70FE"/>
    <w:rsid w:val="006A75C2"/>
    <w:rsid w:val="006A79D9"/>
    <w:rsid w:val="006A7DB9"/>
    <w:rsid w:val="006A7F7B"/>
    <w:rsid w:val="006A7F7F"/>
    <w:rsid w:val="006B0072"/>
    <w:rsid w:val="006B017F"/>
    <w:rsid w:val="006B05EB"/>
    <w:rsid w:val="006B0890"/>
    <w:rsid w:val="006B094F"/>
    <w:rsid w:val="006B0D0C"/>
    <w:rsid w:val="006B0E9F"/>
    <w:rsid w:val="006B0EF8"/>
    <w:rsid w:val="006B1060"/>
    <w:rsid w:val="006B1235"/>
    <w:rsid w:val="006B13FB"/>
    <w:rsid w:val="006B18EF"/>
    <w:rsid w:val="006B1A08"/>
    <w:rsid w:val="006B1D0C"/>
    <w:rsid w:val="006B1D93"/>
    <w:rsid w:val="006B221F"/>
    <w:rsid w:val="006B228D"/>
    <w:rsid w:val="006B23E4"/>
    <w:rsid w:val="006B264B"/>
    <w:rsid w:val="006B264D"/>
    <w:rsid w:val="006B284F"/>
    <w:rsid w:val="006B28B4"/>
    <w:rsid w:val="006B2993"/>
    <w:rsid w:val="006B2B96"/>
    <w:rsid w:val="006B2C3B"/>
    <w:rsid w:val="006B3219"/>
    <w:rsid w:val="006B32E3"/>
    <w:rsid w:val="006B3547"/>
    <w:rsid w:val="006B39A0"/>
    <w:rsid w:val="006B4072"/>
    <w:rsid w:val="006B4560"/>
    <w:rsid w:val="006B46AE"/>
    <w:rsid w:val="006B4CFC"/>
    <w:rsid w:val="006B4E61"/>
    <w:rsid w:val="006B4E87"/>
    <w:rsid w:val="006B5172"/>
    <w:rsid w:val="006B5373"/>
    <w:rsid w:val="006B57AD"/>
    <w:rsid w:val="006B5ABE"/>
    <w:rsid w:val="006B5CFC"/>
    <w:rsid w:val="006B5F0B"/>
    <w:rsid w:val="006B6202"/>
    <w:rsid w:val="006B621B"/>
    <w:rsid w:val="006B641F"/>
    <w:rsid w:val="006B645A"/>
    <w:rsid w:val="006B669B"/>
    <w:rsid w:val="006B6704"/>
    <w:rsid w:val="006B68A0"/>
    <w:rsid w:val="006B699D"/>
    <w:rsid w:val="006B6BD5"/>
    <w:rsid w:val="006B6BDB"/>
    <w:rsid w:val="006B6D76"/>
    <w:rsid w:val="006B6EFC"/>
    <w:rsid w:val="006B7076"/>
    <w:rsid w:val="006B7409"/>
    <w:rsid w:val="006B7551"/>
    <w:rsid w:val="006B7BB4"/>
    <w:rsid w:val="006B7BB5"/>
    <w:rsid w:val="006B7C3F"/>
    <w:rsid w:val="006C0232"/>
    <w:rsid w:val="006C026F"/>
    <w:rsid w:val="006C0500"/>
    <w:rsid w:val="006C080D"/>
    <w:rsid w:val="006C0DBC"/>
    <w:rsid w:val="006C0F61"/>
    <w:rsid w:val="006C1065"/>
    <w:rsid w:val="006C1461"/>
    <w:rsid w:val="006C1525"/>
    <w:rsid w:val="006C1787"/>
    <w:rsid w:val="006C1BF1"/>
    <w:rsid w:val="006C1C08"/>
    <w:rsid w:val="006C1FAB"/>
    <w:rsid w:val="006C2066"/>
    <w:rsid w:val="006C20B7"/>
    <w:rsid w:val="006C2530"/>
    <w:rsid w:val="006C2B82"/>
    <w:rsid w:val="006C2BAB"/>
    <w:rsid w:val="006C2CB3"/>
    <w:rsid w:val="006C31BC"/>
    <w:rsid w:val="006C37CA"/>
    <w:rsid w:val="006C3BD7"/>
    <w:rsid w:val="006C3CDA"/>
    <w:rsid w:val="006C3CED"/>
    <w:rsid w:val="006C3E9E"/>
    <w:rsid w:val="006C3ED0"/>
    <w:rsid w:val="006C4AB2"/>
    <w:rsid w:val="006C50C8"/>
    <w:rsid w:val="006C5142"/>
    <w:rsid w:val="006C51E7"/>
    <w:rsid w:val="006C52BE"/>
    <w:rsid w:val="006C54B1"/>
    <w:rsid w:val="006C5582"/>
    <w:rsid w:val="006C5753"/>
    <w:rsid w:val="006C5B8E"/>
    <w:rsid w:val="006C5B96"/>
    <w:rsid w:val="006C61CE"/>
    <w:rsid w:val="006C67E7"/>
    <w:rsid w:val="006C6C79"/>
    <w:rsid w:val="006C6F00"/>
    <w:rsid w:val="006C70D9"/>
    <w:rsid w:val="006C7AFD"/>
    <w:rsid w:val="006C7B64"/>
    <w:rsid w:val="006C7B90"/>
    <w:rsid w:val="006D0006"/>
    <w:rsid w:val="006D00A1"/>
    <w:rsid w:val="006D0164"/>
    <w:rsid w:val="006D068A"/>
    <w:rsid w:val="006D0A96"/>
    <w:rsid w:val="006D0A9D"/>
    <w:rsid w:val="006D0B22"/>
    <w:rsid w:val="006D0B79"/>
    <w:rsid w:val="006D101A"/>
    <w:rsid w:val="006D10D5"/>
    <w:rsid w:val="006D1303"/>
    <w:rsid w:val="006D1371"/>
    <w:rsid w:val="006D1571"/>
    <w:rsid w:val="006D1718"/>
    <w:rsid w:val="006D1E89"/>
    <w:rsid w:val="006D1FCC"/>
    <w:rsid w:val="006D2187"/>
    <w:rsid w:val="006D23DF"/>
    <w:rsid w:val="006D290B"/>
    <w:rsid w:val="006D2ACD"/>
    <w:rsid w:val="006D2E40"/>
    <w:rsid w:val="006D2F1A"/>
    <w:rsid w:val="006D2F2F"/>
    <w:rsid w:val="006D2FCA"/>
    <w:rsid w:val="006D36D6"/>
    <w:rsid w:val="006D382C"/>
    <w:rsid w:val="006D3B8F"/>
    <w:rsid w:val="006D3F61"/>
    <w:rsid w:val="006D3F7D"/>
    <w:rsid w:val="006D41DD"/>
    <w:rsid w:val="006D4536"/>
    <w:rsid w:val="006D46C4"/>
    <w:rsid w:val="006D4908"/>
    <w:rsid w:val="006D4916"/>
    <w:rsid w:val="006D4BFC"/>
    <w:rsid w:val="006D4D88"/>
    <w:rsid w:val="006D5188"/>
    <w:rsid w:val="006D5591"/>
    <w:rsid w:val="006D57CE"/>
    <w:rsid w:val="006D57F3"/>
    <w:rsid w:val="006D5CBC"/>
    <w:rsid w:val="006D5F68"/>
    <w:rsid w:val="006D6276"/>
    <w:rsid w:val="006D6419"/>
    <w:rsid w:val="006D6599"/>
    <w:rsid w:val="006D66BF"/>
    <w:rsid w:val="006D66F0"/>
    <w:rsid w:val="006D6AA6"/>
    <w:rsid w:val="006D6CF3"/>
    <w:rsid w:val="006D71FA"/>
    <w:rsid w:val="006D7299"/>
    <w:rsid w:val="006D73DA"/>
    <w:rsid w:val="006D73DC"/>
    <w:rsid w:val="006D75D2"/>
    <w:rsid w:val="006D7945"/>
    <w:rsid w:val="006E04BC"/>
    <w:rsid w:val="006E0AA6"/>
    <w:rsid w:val="006E0C96"/>
    <w:rsid w:val="006E1C7F"/>
    <w:rsid w:val="006E1E58"/>
    <w:rsid w:val="006E1EE8"/>
    <w:rsid w:val="006E201B"/>
    <w:rsid w:val="006E22B0"/>
    <w:rsid w:val="006E23E8"/>
    <w:rsid w:val="006E24F4"/>
    <w:rsid w:val="006E24F6"/>
    <w:rsid w:val="006E2559"/>
    <w:rsid w:val="006E2DCE"/>
    <w:rsid w:val="006E2EC2"/>
    <w:rsid w:val="006E2F04"/>
    <w:rsid w:val="006E3141"/>
    <w:rsid w:val="006E31BC"/>
    <w:rsid w:val="006E3BF5"/>
    <w:rsid w:val="006E4045"/>
    <w:rsid w:val="006E4479"/>
    <w:rsid w:val="006E464E"/>
    <w:rsid w:val="006E47AB"/>
    <w:rsid w:val="006E48D5"/>
    <w:rsid w:val="006E495D"/>
    <w:rsid w:val="006E4C56"/>
    <w:rsid w:val="006E4C81"/>
    <w:rsid w:val="006E4D05"/>
    <w:rsid w:val="006E4D28"/>
    <w:rsid w:val="006E4E11"/>
    <w:rsid w:val="006E4E75"/>
    <w:rsid w:val="006E4EA6"/>
    <w:rsid w:val="006E4F56"/>
    <w:rsid w:val="006E4F85"/>
    <w:rsid w:val="006E52C7"/>
    <w:rsid w:val="006E537C"/>
    <w:rsid w:val="006E5667"/>
    <w:rsid w:val="006E5CD2"/>
    <w:rsid w:val="006E5F14"/>
    <w:rsid w:val="006E5FA4"/>
    <w:rsid w:val="006E6060"/>
    <w:rsid w:val="006E618A"/>
    <w:rsid w:val="006E64EF"/>
    <w:rsid w:val="006E6904"/>
    <w:rsid w:val="006E6A64"/>
    <w:rsid w:val="006E6A6A"/>
    <w:rsid w:val="006E70E3"/>
    <w:rsid w:val="006E732F"/>
    <w:rsid w:val="006E7418"/>
    <w:rsid w:val="006E744A"/>
    <w:rsid w:val="006E7950"/>
    <w:rsid w:val="006E7A11"/>
    <w:rsid w:val="006E7C6D"/>
    <w:rsid w:val="006E7EDB"/>
    <w:rsid w:val="006F00F7"/>
    <w:rsid w:val="006F01A3"/>
    <w:rsid w:val="006F080C"/>
    <w:rsid w:val="006F0B61"/>
    <w:rsid w:val="006F0CC9"/>
    <w:rsid w:val="006F0E6D"/>
    <w:rsid w:val="006F1559"/>
    <w:rsid w:val="006F166C"/>
    <w:rsid w:val="006F1D9B"/>
    <w:rsid w:val="006F1DCA"/>
    <w:rsid w:val="006F20D0"/>
    <w:rsid w:val="006F2159"/>
    <w:rsid w:val="006F23DB"/>
    <w:rsid w:val="006F247F"/>
    <w:rsid w:val="006F283D"/>
    <w:rsid w:val="006F295A"/>
    <w:rsid w:val="006F2B54"/>
    <w:rsid w:val="006F2B84"/>
    <w:rsid w:val="006F2CA1"/>
    <w:rsid w:val="006F3252"/>
    <w:rsid w:val="006F3308"/>
    <w:rsid w:val="006F358B"/>
    <w:rsid w:val="006F380D"/>
    <w:rsid w:val="006F38B3"/>
    <w:rsid w:val="006F3B06"/>
    <w:rsid w:val="006F3BE7"/>
    <w:rsid w:val="006F3EC5"/>
    <w:rsid w:val="006F3EFF"/>
    <w:rsid w:val="006F48AD"/>
    <w:rsid w:val="006F49CA"/>
    <w:rsid w:val="006F49D0"/>
    <w:rsid w:val="006F4B5D"/>
    <w:rsid w:val="006F4DFF"/>
    <w:rsid w:val="006F50FB"/>
    <w:rsid w:val="006F5119"/>
    <w:rsid w:val="006F531F"/>
    <w:rsid w:val="006F53C1"/>
    <w:rsid w:val="006F5434"/>
    <w:rsid w:val="006F55C7"/>
    <w:rsid w:val="006F6225"/>
    <w:rsid w:val="006F630B"/>
    <w:rsid w:val="006F63C4"/>
    <w:rsid w:val="006F63E2"/>
    <w:rsid w:val="006F65A0"/>
    <w:rsid w:val="006F65F1"/>
    <w:rsid w:val="006F6615"/>
    <w:rsid w:val="006F6AD0"/>
    <w:rsid w:val="006F7B59"/>
    <w:rsid w:val="006F7B7E"/>
    <w:rsid w:val="00700045"/>
    <w:rsid w:val="00700274"/>
    <w:rsid w:val="00700449"/>
    <w:rsid w:val="0070071C"/>
    <w:rsid w:val="00700E09"/>
    <w:rsid w:val="00700F9E"/>
    <w:rsid w:val="00700FD1"/>
    <w:rsid w:val="00701623"/>
    <w:rsid w:val="00701705"/>
    <w:rsid w:val="00701D85"/>
    <w:rsid w:val="00701E48"/>
    <w:rsid w:val="00701FD4"/>
    <w:rsid w:val="00702047"/>
    <w:rsid w:val="00702248"/>
    <w:rsid w:val="007024F4"/>
    <w:rsid w:val="00702872"/>
    <w:rsid w:val="007028A5"/>
    <w:rsid w:val="00702C48"/>
    <w:rsid w:val="00702C49"/>
    <w:rsid w:val="00702EBC"/>
    <w:rsid w:val="00702FA5"/>
    <w:rsid w:val="007032C0"/>
    <w:rsid w:val="007035AA"/>
    <w:rsid w:val="007036F9"/>
    <w:rsid w:val="00703891"/>
    <w:rsid w:val="007042BD"/>
    <w:rsid w:val="0070443F"/>
    <w:rsid w:val="007045CD"/>
    <w:rsid w:val="00704938"/>
    <w:rsid w:val="00704A3D"/>
    <w:rsid w:val="00704AD6"/>
    <w:rsid w:val="007054B1"/>
    <w:rsid w:val="00705576"/>
    <w:rsid w:val="00705676"/>
    <w:rsid w:val="007058B7"/>
    <w:rsid w:val="00705C0A"/>
    <w:rsid w:val="00705C95"/>
    <w:rsid w:val="00705ED7"/>
    <w:rsid w:val="007060E4"/>
    <w:rsid w:val="00706159"/>
    <w:rsid w:val="00706977"/>
    <w:rsid w:val="00706984"/>
    <w:rsid w:val="00706BA4"/>
    <w:rsid w:val="00706DC6"/>
    <w:rsid w:val="007073FC"/>
    <w:rsid w:val="00707511"/>
    <w:rsid w:val="007076E9"/>
    <w:rsid w:val="0070779B"/>
    <w:rsid w:val="00707826"/>
    <w:rsid w:val="007079F4"/>
    <w:rsid w:val="0071001A"/>
    <w:rsid w:val="00710104"/>
    <w:rsid w:val="0071026F"/>
    <w:rsid w:val="007102F9"/>
    <w:rsid w:val="0071031C"/>
    <w:rsid w:val="007106E3"/>
    <w:rsid w:val="00710719"/>
    <w:rsid w:val="00710BBE"/>
    <w:rsid w:val="00710E7F"/>
    <w:rsid w:val="007113D2"/>
    <w:rsid w:val="007114E5"/>
    <w:rsid w:val="00711873"/>
    <w:rsid w:val="00711C3A"/>
    <w:rsid w:val="00711DBE"/>
    <w:rsid w:val="007120E0"/>
    <w:rsid w:val="00712477"/>
    <w:rsid w:val="00712C17"/>
    <w:rsid w:val="00712D12"/>
    <w:rsid w:val="007132AA"/>
    <w:rsid w:val="007138FB"/>
    <w:rsid w:val="00713E02"/>
    <w:rsid w:val="007141D1"/>
    <w:rsid w:val="00714406"/>
    <w:rsid w:val="0071505E"/>
    <w:rsid w:val="00715286"/>
    <w:rsid w:val="00715363"/>
    <w:rsid w:val="00715507"/>
    <w:rsid w:val="007159BC"/>
    <w:rsid w:val="00715A0F"/>
    <w:rsid w:val="00715B02"/>
    <w:rsid w:val="00715C89"/>
    <w:rsid w:val="00716265"/>
    <w:rsid w:val="007169EB"/>
    <w:rsid w:val="00717406"/>
    <w:rsid w:val="0071764A"/>
    <w:rsid w:val="007176C8"/>
    <w:rsid w:val="00717B48"/>
    <w:rsid w:val="00717ECA"/>
    <w:rsid w:val="00717F19"/>
    <w:rsid w:val="007200FB"/>
    <w:rsid w:val="00720443"/>
    <w:rsid w:val="007204AE"/>
    <w:rsid w:val="00720D0C"/>
    <w:rsid w:val="00720D3A"/>
    <w:rsid w:val="00721188"/>
    <w:rsid w:val="0072147F"/>
    <w:rsid w:val="00721502"/>
    <w:rsid w:val="00721852"/>
    <w:rsid w:val="00721907"/>
    <w:rsid w:val="007221E3"/>
    <w:rsid w:val="00722280"/>
    <w:rsid w:val="007223A2"/>
    <w:rsid w:val="0072250E"/>
    <w:rsid w:val="007225B3"/>
    <w:rsid w:val="007227EA"/>
    <w:rsid w:val="007228D2"/>
    <w:rsid w:val="007228EB"/>
    <w:rsid w:val="007231E2"/>
    <w:rsid w:val="00723495"/>
    <w:rsid w:val="00723793"/>
    <w:rsid w:val="007237C4"/>
    <w:rsid w:val="007238EE"/>
    <w:rsid w:val="00723D24"/>
    <w:rsid w:val="00723EB0"/>
    <w:rsid w:val="007258EC"/>
    <w:rsid w:val="007259FF"/>
    <w:rsid w:val="00725AC8"/>
    <w:rsid w:val="00726172"/>
    <w:rsid w:val="007263AC"/>
    <w:rsid w:val="00726457"/>
    <w:rsid w:val="0072660A"/>
    <w:rsid w:val="0072669E"/>
    <w:rsid w:val="00726CED"/>
    <w:rsid w:val="00727155"/>
    <w:rsid w:val="007271BE"/>
    <w:rsid w:val="00727294"/>
    <w:rsid w:val="007272F1"/>
    <w:rsid w:val="00727313"/>
    <w:rsid w:val="007273B6"/>
    <w:rsid w:val="00727466"/>
    <w:rsid w:val="007275CD"/>
    <w:rsid w:val="00727664"/>
    <w:rsid w:val="00727A6E"/>
    <w:rsid w:val="00727A80"/>
    <w:rsid w:val="00730182"/>
    <w:rsid w:val="007301A8"/>
    <w:rsid w:val="007303E5"/>
    <w:rsid w:val="0073053C"/>
    <w:rsid w:val="00730878"/>
    <w:rsid w:val="00730977"/>
    <w:rsid w:val="00730C5C"/>
    <w:rsid w:val="007312CB"/>
    <w:rsid w:val="0073171D"/>
    <w:rsid w:val="00731FBE"/>
    <w:rsid w:val="0073255D"/>
    <w:rsid w:val="0073257F"/>
    <w:rsid w:val="00732B8E"/>
    <w:rsid w:val="00732E94"/>
    <w:rsid w:val="00733668"/>
    <w:rsid w:val="00733E96"/>
    <w:rsid w:val="00734380"/>
    <w:rsid w:val="007343FF"/>
    <w:rsid w:val="00734635"/>
    <w:rsid w:val="00734872"/>
    <w:rsid w:val="00734AFF"/>
    <w:rsid w:val="00734B36"/>
    <w:rsid w:val="00734D5F"/>
    <w:rsid w:val="00734DEE"/>
    <w:rsid w:val="00734E57"/>
    <w:rsid w:val="0073547E"/>
    <w:rsid w:val="007357D7"/>
    <w:rsid w:val="00736135"/>
    <w:rsid w:val="00736313"/>
    <w:rsid w:val="00736694"/>
    <w:rsid w:val="00736758"/>
    <w:rsid w:val="00736D90"/>
    <w:rsid w:val="00737020"/>
    <w:rsid w:val="00737463"/>
    <w:rsid w:val="007375AF"/>
    <w:rsid w:val="007375FF"/>
    <w:rsid w:val="0073774D"/>
    <w:rsid w:val="0073779A"/>
    <w:rsid w:val="007378C7"/>
    <w:rsid w:val="00737A62"/>
    <w:rsid w:val="00740461"/>
    <w:rsid w:val="007404D1"/>
    <w:rsid w:val="00740B03"/>
    <w:rsid w:val="00740C77"/>
    <w:rsid w:val="00740FA4"/>
    <w:rsid w:val="0074103E"/>
    <w:rsid w:val="0074130F"/>
    <w:rsid w:val="0074145B"/>
    <w:rsid w:val="007417C7"/>
    <w:rsid w:val="00741960"/>
    <w:rsid w:val="00741CBD"/>
    <w:rsid w:val="00741D35"/>
    <w:rsid w:val="00741F9A"/>
    <w:rsid w:val="00742555"/>
    <w:rsid w:val="00742558"/>
    <w:rsid w:val="00742BDB"/>
    <w:rsid w:val="00742BE1"/>
    <w:rsid w:val="00742F08"/>
    <w:rsid w:val="00742F32"/>
    <w:rsid w:val="00743473"/>
    <w:rsid w:val="007435CB"/>
    <w:rsid w:val="007437BC"/>
    <w:rsid w:val="007438FC"/>
    <w:rsid w:val="00743C2E"/>
    <w:rsid w:val="00743F4E"/>
    <w:rsid w:val="007441B6"/>
    <w:rsid w:val="007445E8"/>
    <w:rsid w:val="00744C0F"/>
    <w:rsid w:val="00744CEE"/>
    <w:rsid w:val="00744EAF"/>
    <w:rsid w:val="00744FD3"/>
    <w:rsid w:val="0074500A"/>
    <w:rsid w:val="00745279"/>
    <w:rsid w:val="0074534C"/>
    <w:rsid w:val="00745475"/>
    <w:rsid w:val="007457ED"/>
    <w:rsid w:val="00745BD5"/>
    <w:rsid w:val="00746331"/>
    <w:rsid w:val="007463DB"/>
    <w:rsid w:val="007468BD"/>
    <w:rsid w:val="0074708F"/>
    <w:rsid w:val="00747298"/>
    <w:rsid w:val="007475A4"/>
    <w:rsid w:val="007476B3"/>
    <w:rsid w:val="00747B11"/>
    <w:rsid w:val="00747F2E"/>
    <w:rsid w:val="0074816B"/>
    <w:rsid w:val="007506C7"/>
    <w:rsid w:val="007507A8"/>
    <w:rsid w:val="00750C15"/>
    <w:rsid w:val="0075113B"/>
    <w:rsid w:val="0075162C"/>
    <w:rsid w:val="00751792"/>
    <w:rsid w:val="007519A8"/>
    <w:rsid w:val="00751B4D"/>
    <w:rsid w:val="00751FD7"/>
    <w:rsid w:val="00752335"/>
    <w:rsid w:val="0075254B"/>
    <w:rsid w:val="007525FD"/>
    <w:rsid w:val="00752668"/>
    <w:rsid w:val="00752844"/>
    <w:rsid w:val="00752AF3"/>
    <w:rsid w:val="00752BC5"/>
    <w:rsid w:val="00752F9E"/>
    <w:rsid w:val="00753060"/>
    <w:rsid w:val="00753242"/>
    <w:rsid w:val="00753720"/>
    <w:rsid w:val="00753747"/>
    <w:rsid w:val="007538FE"/>
    <w:rsid w:val="00753BA0"/>
    <w:rsid w:val="00753EBA"/>
    <w:rsid w:val="00754221"/>
    <w:rsid w:val="007544C7"/>
    <w:rsid w:val="00754892"/>
    <w:rsid w:val="00754AAB"/>
    <w:rsid w:val="00754D2C"/>
    <w:rsid w:val="00754F0F"/>
    <w:rsid w:val="00755609"/>
    <w:rsid w:val="00755898"/>
    <w:rsid w:val="00755D77"/>
    <w:rsid w:val="00755F65"/>
    <w:rsid w:val="0075622C"/>
    <w:rsid w:val="00756B4D"/>
    <w:rsid w:val="00757B5A"/>
    <w:rsid w:val="00757DC8"/>
    <w:rsid w:val="00757E07"/>
    <w:rsid w:val="0076022D"/>
    <w:rsid w:val="0076028F"/>
    <w:rsid w:val="00760310"/>
    <w:rsid w:val="00760C05"/>
    <w:rsid w:val="00760E58"/>
    <w:rsid w:val="00760ED2"/>
    <w:rsid w:val="007613A3"/>
    <w:rsid w:val="0076150F"/>
    <w:rsid w:val="007618A4"/>
    <w:rsid w:val="00761A37"/>
    <w:rsid w:val="00761B6A"/>
    <w:rsid w:val="00761CFB"/>
    <w:rsid w:val="00761DDC"/>
    <w:rsid w:val="0076207A"/>
    <w:rsid w:val="00762236"/>
    <w:rsid w:val="00762541"/>
    <w:rsid w:val="00762821"/>
    <w:rsid w:val="00764013"/>
    <w:rsid w:val="007642BD"/>
    <w:rsid w:val="00764684"/>
    <w:rsid w:val="007646FA"/>
    <w:rsid w:val="00764911"/>
    <w:rsid w:val="00764BAB"/>
    <w:rsid w:val="00764C40"/>
    <w:rsid w:val="00764CE0"/>
    <w:rsid w:val="0076527E"/>
    <w:rsid w:val="007652C7"/>
    <w:rsid w:val="00765A95"/>
    <w:rsid w:val="00765FF8"/>
    <w:rsid w:val="00766040"/>
    <w:rsid w:val="00766797"/>
    <w:rsid w:val="00766DAC"/>
    <w:rsid w:val="00766FE6"/>
    <w:rsid w:val="00767282"/>
    <w:rsid w:val="007674AE"/>
    <w:rsid w:val="00767A2A"/>
    <w:rsid w:val="00767B37"/>
    <w:rsid w:val="00767DDB"/>
    <w:rsid w:val="00770106"/>
    <w:rsid w:val="00770178"/>
    <w:rsid w:val="0077045B"/>
    <w:rsid w:val="007705D8"/>
    <w:rsid w:val="00770669"/>
    <w:rsid w:val="00770AAC"/>
    <w:rsid w:val="00770C86"/>
    <w:rsid w:val="00770DA8"/>
    <w:rsid w:val="00770EB0"/>
    <w:rsid w:val="00771455"/>
    <w:rsid w:val="00771792"/>
    <w:rsid w:val="00771965"/>
    <w:rsid w:val="00772070"/>
    <w:rsid w:val="0077289D"/>
    <w:rsid w:val="00772A80"/>
    <w:rsid w:val="00772C33"/>
    <w:rsid w:val="00772E28"/>
    <w:rsid w:val="00773122"/>
    <w:rsid w:val="007733C7"/>
    <w:rsid w:val="0077347B"/>
    <w:rsid w:val="00773769"/>
    <w:rsid w:val="00773794"/>
    <w:rsid w:val="007737A0"/>
    <w:rsid w:val="007737DA"/>
    <w:rsid w:val="0077399E"/>
    <w:rsid w:val="00774033"/>
    <w:rsid w:val="007740BE"/>
    <w:rsid w:val="007741B7"/>
    <w:rsid w:val="00774427"/>
    <w:rsid w:val="0077442A"/>
    <w:rsid w:val="0077449D"/>
    <w:rsid w:val="00774688"/>
    <w:rsid w:val="00774A00"/>
    <w:rsid w:val="007755B1"/>
    <w:rsid w:val="007758E9"/>
    <w:rsid w:val="00775B36"/>
    <w:rsid w:val="00775B66"/>
    <w:rsid w:val="00775CC6"/>
    <w:rsid w:val="00775E3A"/>
    <w:rsid w:val="00775F10"/>
    <w:rsid w:val="00775F7F"/>
    <w:rsid w:val="00775FE2"/>
    <w:rsid w:val="007765E0"/>
    <w:rsid w:val="00776BC3"/>
    <w:rsid w:val="00776BF4"/>
    <w:rsid w:val="00776EA5"/>
    <w:rsid w:val="00777019"/>
    <w:rsid w:val="0077720B"/>
    <w:rsid w:val="007774D1"/>
    <w:rsid w:val="007775E2"/>
    <w:rsid w:val="007777C8"/>
    <w:rsid w:val="00777A7D"/>
    <w:rsid w:val="00777D65"/>
    <w:rsid w:val="00777EF5"/>
    <w:rsid w:val="0078000D"/>
    <w:rsid w:val="0078005C"/>
    <w:rsid w:val="007801B2"/>
    <w:rsid w:val="0078048B"/>
    <w:rsid w:val="00780492"/>
    <w:rsid w:val="007805AE"/>
    <w:rsid w:val="00780DDB"/>
    <w:rsid w:val="00780EE0"/>
    <w:rsid w:val="00780F67"/>
    <w:rsid w:val="00781788"/>
    <w:rsid w:val="00781801"/>
    <w:rsid w:val="00781A00"/>
    <w:rsid w:val="00781D79"/>
    <w:rsid w:val="00782111"/>
    <w:rsid w:val="00782429"/>
    <w:rsid w:val="007829E9"/>
    <w:rsid w:val="00782BB3"/>
    <w:rsid w:val="0078350B"/>
    <w:rsid w:val="007835F9"/>
    <w:rsid w:val="007836D9"/>
    <w:rsid w:val="00783769"/>
    <w:rsid w:val="00783FAE"/>
    <w:rsid w:val="00783FB5"/>
    <w:rsid w:val="007840B5"/>
    <w:rsid w:val="007847EE"/>
    <w:rsid w:val="00784868"/>
    <w:rsid w:val="00784944"/>
    <w:rsid w:val="00784B4D"/>
    <w:rsid w:val="00784C96"/>
    <w:rsid w:val="007851FB"/>
    <w:rsid w:val="007852D2"/>
    <w:rsid w:val="00785576"/>
    <w:rsid w:val="007855C8"/>
    <w:rsid w:val="00785C74"/>
    <w:rsid w:val="00785E5C"/>
    <w:rsid w:val="00786526"/>
    <w:rsid w:val="00786E54"/>
    <w:rsid w:val="00786EA4"/>
    <w:rsid w:val="00786EEA"/>
    <w:rsid w:val="007875B3"/>
    <w:rsid w:val="007877C8"/>
    <w:rsid w:val="0078788D"/>
    <w:rsid w:val="00787D00"/>
    <w:rsid w:val="007907AC"/>
    <w:rsid w:val="00790C97"/>
    <w:rsid w:val="00790E40"/>
    <w:rsid w:val="00790F91"/>
    <w:rsid w:val="00791417"/>
    <w:rsid w:val="0079268D"/>
    <w:rsid w:val="0079279E"/>
    <w:rsid w:val="007927BE"/>
    <w:rsid w:val="0079293D"/>
    <w:rsid w:val="00792A8D"/>
    <w:rsid w:val="00792B9B"/>
    <w:rsid w:val="00792EA4"/>
    <w:rsid w:val="00793A05"/>
    <w:rsid w:val="00793A98"/>
    <w:rsid w:val="0079404D"/>
    <w:rsid w:val="00794084"/>
    <w:rsid w:val="007940DE"/>
    <w:rsid w:val="007946A5"/>
    <w:rsid w:val="007948D1"/>
    <w:rsid w:val="00794E2C"/>
    <w:rsid w:val="007955E1"/>
    <w:rsid w:val="007958ED"/>
    <w:rsid w:val="00795925"/>
    <w:rsid w:val="00795A3D"/>
    <w:rsid w:val="00795DDF"/>
    <w:rsid w:val="00795E32"/>
    <w:rsid w:val="00795F02"/>
    <w:rsid w:val="00795F3D"/>
    <w:rsid w:val="0079693D"/>
    <w:rsid w:val="00796A81"/>
    <w:rsid w:val="00797354"/>
    <w:rsid w:val="00797728"/>
    <w:rsid w:val="00797980"/>
    <w:rsid w:val="00797C0E"/>
    <w:rsid w:val="007A0192"/>
    <w:rsid w:val="007A0425"/>
    <w:rsid w:val="007A0624"/>
    <w:rsid w:val="007A0847"/>
    <w:rsid w:val="007A0A56"/>
    <w:rsid w:val="007A0A5D"/>
    <w:rsid w:val="007A0A81"/>
    <w:rsid w:val="007A0B21"/>
    <w:rsid w:val="007A0CBD"/>
    <w:rsid w:val="007A0FDA"/>
    <w:rsid w:val="007A11E7"/>
    <w:rsid w:val="007A1493"/>
    <w:rsid w:val="007A16E7"/>
    <w:rsid w:val="007A185D"/>
    <w:rsid w:val="007A1B8E"/>
    <w:rsid w:val="007A1BBD"/>
    <w:rsid w:val="007A1CD7"/>
    <w:rsid w:val="007A23C1"/>
    <w:rsid w:val="007A31E1"/>
    <w:rsid w:val="007A361E"/>
    <w:rsid w:val="007A3A7A"/>
    <w:rsid w:val="007A3B40"/>
    <w:rsid w:val="007A3CA7"/>
    <w:rsid w:val="007A3D64"/>
    <w:rsid w:val="007A3E54"/>
    <w:rsid w:val="007A3F8C"/>
    <w:rsid w:val="007A400B"/>
    <w:rsid w:val="007A4092"/>
    <w:rsid w:val="007A4A6A"/>
    <w:rsid w:val="007A4B55"/>
    <w:rsid w:val="007A4D4B"/>
    <w:rsid w:val="007A4D5F"/>
    <w:rsid w:val="007A5252"/>
    <w:rsid w:val="007A57C6"/>
    <w:rsid w:val="007A5B7E"/>
    <w:rsid w:val="007A6439"/>
    <w:rsid w:val="007A649C"/>
    <w:rsid w:val="007A68A1"/>
    <w:rsid w:val="007A69D9"/>
    <w:rsid w:val="007A6DEB"/>
    <w:rsid w:val="007A7049"/>
    <w:rsid w:val="007A70A9"/>
    <w:rsid w:val="007A71BB"/>
    <w:rsid w:val="007A751F"/>
    <w:rsid w:val="007A7885"/>
    <w:rsid w:val="007A7FCE"/>
    <w:rsid w:val="007B0225"/>
    <w:rsid w:val="007B0361"/>
    <w:rsid w:val="007B039C"/>
    <w:rsid w:val="007B04E6"/>
    <w:rsid w:val="007B0AA9"/>
    <w:rsid w:val="007B0CA2"/>
    <w:rsid w:val="007B0E38"/>
    <w:rsid w:val="007B0E42"/>
    <w:rsid w:val="007B13EB"/>
    <w:rsid w:val="007B173A"/>
    <w:rsid w:val="007B1A15"/>
    <w:rsid w:val="007B2054"/>
    <w:rsid w:val="007B20FA"/>
    <w:rsid w:val="007B21D7"/>
    <w:rsid w:val="007B23AB"/>
    <w:rsid w:val="007B23BF"/>
    <w:rsid w:val="007B25F8"/>
    <w:rsid w:val="007B26C7"/>
    <w:rsid w:val="007B26EF"/>
    <w:rsid w:val="007B270E"/>
    <w:rsid w:val="007B2A20"/>
    <w:rsid w:val="007B2F7E"/>
    <w:rsid w:val="007B30B3"/>
    <w:rsid w:val="007B3304"/>
    <w:rsid w:val="007B3890"/>
    <w:rsid w:val="007B3A32"/>
    <w:rsid w:val="007B3CD9"/>
    <w:rsid w:val="007B424B"/>
    <w:rsid w:val="007B46B8"/>
    <w:rsid w:val="007B48B3"/>
    <w:rsid w:val="007B4F9A"/>
    <w:rsid w:val="007B5283"/>
    <w:rsid w:val="007B573B"/>
    <w:rsid w:val="007B5812"/>
    <w:rsid w:val="007B5DF1"/>
    <w:rsid w:val="007B5F0F"/>
    <w:rsid w:val="007B5FCF"/>
    <w:rsid w:val="007B6173"/>
    <w:rsid w:val="007B63BD"/>
    <w:rsid w:val="007B6405"/>
    <w:rsid w:val="007B6524"/>
    <w:rsid w:val="007B65DB"/>
    <w:rsid w:val="007B66D0"/>
    <w:rsid w:val="007B695D"/>
    <w:rsid w:val="007B6FAE"/>
    <w:rsid w:val="007B72D7"/>
    <w:rsid w:val="007B737E"/>
    <w:rsid w:val="007B78C7"/>
    <w:rsid w:val="007C00D2"/>
    <w:rsid w:val="007C033A"/>
    <w:rsid w:val="007C035D"/>
    <w:rsid w:val="007C05FD"/>
    <w:rsid w:val="007C06A4"/>
    <w:rsid w:val="007C09DF"/>
    <w:rsid w:val="007C0CBE"/>
    <w:rsid w:val="007C0F39"/>
    <w:rsid w:val="007C10B6"/>
    <w:rsid w:val="007C15E3"/>
    <w:rsid w:val="007C1A47"/>
    <w:rsid w:val="007C1B18"/>
    <w:rsid w:val="007C23C4"/>
    <w:rsid w:val="007C248E"/>
    <w:rsid w:val="007C25F1"/>
    <w:rsid w:val="007C2639"/>
    <w:rsid w:val="007C2A38"/>
    <w:rsid w:val="007C2D67"/>
    <w:rsid w:val="007C3198"/>
    <w:rsid w:val="007C3328"/>
    <w:rsid w:val="007C3377"/>
    <w:rsid w:val="007C3653"/>
    <w:rsid w:val="007C372B"/>
    <w:rsid w:val="007C3772"/>
    <w:rsid w:val="007C38C9"/>
    <w:rsid w:val="007C38FF"/>
    <w:rsid w:val="007C3C93"/>
    <w:rsid w:val="007C3E38"/>
    <w:rsid w:val="007C41D8"/>
    <w:rsid w:val="007C42CA"/>
    <w:rsid w:val="007C42CB"/>
    <w:rsid w:val="007C4774"/>
    <w:rsid w:val="007C49D9"/>
    <w:rsid w:val="007C4B4F"/>
    <w:rsid w:val="007C4E05"/>
    <w:rsid w:val="007C4FAC"/>
    <w:rsid w:val="007C51B2"/>
    <w:rsid w:val="007C54E3"/>
    <w:rsid w:val="007C5A18"/>
    <w:rsid w:val="007C5A4C"/>
    <w:rsid w:val="007C6439"/>
    <w:rsid w:val="007C6DE6"/>
    <w:rsid w:val="007C6F03"/>
    <w:rsid w:val="007C74A7"/>
    <w:rsid w:val="007C7968"/>
    <w:rsid w:val="007C79CC"/>
    <w:rsid w:val="007C7AB1"/>
    <w:rsid w:val="007C7CA4"/>
    <w:rsid w:val="007C7F43"/>
    <w:rsid w:val="007D0154"/>
    <w:rsid w:val="007D069C"/>
    <w:rsid w:val="007D07BA"/>
    <w:rsid w:val="007D08E6"/>
    <w:rsid w:val="007D097E"/>
    <w:rsid w:val="007D14CC"/>
    <w:rsid w:val="007D1522"/>
    <w:rsid w:val="007D1D81"/>
    <w:rsid w:val="007D1E4E"/>
    <w:rsid w:val="007D21CB"/>
    <w:rsid w:val="007D22B5"/>
    <w:rsid w:val="007D2344"/>
    <w:rsid w:val="007D2B41"/>
    <w:rsid w:val="007D2BE6"/>
    <w:rsid w:val="007D2EE4"/>
    <w:rsid w:val="007D30AE"/>
    <w:rsid w:val="007D3584"/>
    <w:rsid w:val="007D3EB6"/>
    <w:rsid w:val="007D415F"/>
    <w:rsid w:val="007D45A7"/>
    <w:rsid w:val="007D49FF"/>
    <w:rsid w:val="007D4B41"/>
    <w:rsid w:val="007D4FD6"/>
    <w:rsid w:val="007D5C81"/>
    <w:rsid w:val="007D6253"/>
    <w:rsid w:val="007D634B"/>
    <w:rsid w:val="007D636D"/>
    <w:rsid w:val="007D660E"/>
    <w:rsid w:val="007D6662"/>
    <w:rsid w:val="007D6AEE"/>
    <w:rsid w:val="007D6AF4"/>
    <w:rsid w:val="007D6CDB"/>
    <w:rsid w:val="007D71D0"/>
    <w:rsid w:val="007D7393"/>
    <w:rsid w:val="007D739E"/>
    <w:rsid w:val="007D74B8"/>
    <w:rsid w:val="007D75AE"/>
    <w:rsid w:val="007E0395"/>
    <w:rsid w:val="007E07A3"/>
    <w:rsid w:val="007E0B72"/>
    <w:rsid w:val="007E0CAA"/>
    <w:rsid w:val="007E0D36"/>
    <w:rsid w:val="007E1558"/>
    <w:rsid w:val="007E1820"/>
    <w:rsid w:val="007E1850"/>
    <w:rsid w:val="007E186E"/>
    <w:rsid w:val="007E18D5"/>
    <w:rsid w:val="007E1DA5"/>
    <w:rsid w:val="007E1DFA"/>
    <w:rsid w:val="007E201D"/>
    <w:rsid w:val="007E237A"/>
    <w:rsid w:val="007E25F5"/>
    <w:rsid w:val="007E2B18"/>
    <w:rsid w:val="007E2C48"/>
    <w:rsid w:val="007E315A"/>
    <w:rsid w:val="007E36C3"/>
    <w:rsid w:val="007E37F7"/>
    <w:rsid w:val="007E39BF"/>
    <w:rsid w:val="007E3B2A"/>
    <w:rsid w:val="007E3D29"/>
    <w:rsid w:val="007E3DC3"/>
    <w:rsid w:val="007E4053"/>
    <w:rsid w:val="007E4684"/>
    <w:rsid w:val="007E46BC"/>
    <w:rsid w:val="007E4836"/>
    <w:rsid w:val="007E51CE"/>
    <w:rsid w:val="007E52BB"/>
    <w:rsid w:val="007E52BE"/>
    <w:rsid w:val="007E534F"/>
    <w:rsid w:val="007E5510"/>
    <w:rsid w:val="007E5D22"/>
    <w:rsid w:val="007E5DC4"/>
    <w:rsid w:val="007E6094"/>
    <w:rsid w:val="007E61F9"/>
    <w:rsid w:val="007E622B"/>
    <w:rsid w:val="007E64AA"/>
    <w:rsid w:val="007E64AB"/>
    <w:rsid w:val="007E66D5"/>
    <w:rsid w:val="007E67B3"/>
    <w:rsid w:val="007E67F9"/>
    <w:rsid w:val="007E68C7"/>
    <w:rsid w:val="007E6A66"/>
    <w:rsid w:val="007E6BCD"/>
    <w:rsid w:val="007E6C0C"/>
    <w:rsid w:val="007E6F67"/>
    <w:rsid w:val="007E6FCF"/>
    <w:rsid w:val="007E6FDA"/>
    <w:rsid w:val="007E70D6"/>
    <w:rsid w:val="007E7105"/>
    <w:rsid w:val="007E7551"/>
    <w:rsid w:val="007E7786"/>
    <w:rsid w:val="007E7B29"/>
    <w:rsid w:val="007E7EEB"/>
    <w:rsid w:val="007F08FB"/>
    <w:rsid w:val="007F0E78"/>
    <w:rsid w:val="007F1301"/>
    <w:rsid w:val="007F140D"/>
    <w:rsid w:val="007F1587"/>
    <w:rsid w:val="007F1699"/>
    <w:rsid w:val="007F1710"/>
    <w:rsid w:val="007F20B5"/>
    <w:rsid w:val="007F21A3"/>
    <w:rsid w:val="007F22ED"/>
    <w:rsid w:val="007F26AF"/>
    <w:rsid w:val="007F2922"/>
    <w:rsid w:val="007F2C63"/>
    <w:rsid w:val="007F2C69"/>
    <w:rsid w:val="007F2CE1"/>
    <w:rsid w:val="007F3177"/>
    <w:rsid w:val="007F335C"/>
    <w:rsid w:val="007F3960"/>
    <w:rsid w:val="007F39FA"/>
    <w:rsid w:val="007F3B11"/>
    <w:rsid w:val="007F3F24"/>
    <w:rsid w:val="007F4320"/>
    <w:rsid w:val="007F43C5"/>
    <w:rsid w:val="007F449A"/>
    <w:rsid w:val="007F44DA"/>
    <w:rsid w:val="007F45D8"/>
    <w:rsid w:val="007F4C92"/>
    <w:rsid w:val="007F5102"/>
    <w:rsid w:val="007F51D5"/>
    <w:rsid w:val="007F5825"/>
    <w:rsid w:val="007F5AD5"/>
    <w:rsid w:val="007F6071"/>
    <w:rsid w:val="007F60DF"/>
    <w:rsid w:val="007F662D"/>
    <w:rsid w:val="007F6B3C"/>
    <w:rsid w:val="007F72A3"/>
    <w:rsid w:val="007F74C7"/>
    <w:rsid w:val="007F74F7"/>
    <w:rsid w:val="007F7504"/>
    <w:rsid w:val="007F7760"/>
    <w:rsid w:val="007F787C"/>
    <w:rsid w:val="007F79EF"/>
    <w:rsid w:val="007F7E8B"/>
    <w:rsid w:val="00800079"/>
    <w:rsid w:val="00800759"/>
    <w:rsid w:val="008007DC"/>
    <w:rsid w:val="008009E5"/>
    <w:rsid w:val="00800A6E"/>
    <w:rsid w:val="00800BD6"/>
    <w:rsid w:val="00800C70"/>
    <w:rsid w:val="00800E2A"/>
    <w:rsid w:val="00800FFC"/>
    <w:rsid w:val="00801129"/>
    <w:rsid w:val="0080122B"/>
    <w:rsid w:val="0080134B"/>
    <w:rsid w:val="0080142D"/>
    <w:rsid w:val="0080189B"/>
    <w:rsid w:val="00801E71"/>
    <w:rsid w:val="008024AE"/>
    <w:rsid w:val="008025CB"/>
    <w:rsid w:val="00802E8A"/>
    <w:rsid w:val="00803660"/>
    <w:rsid w:val="008037F0"/>
    <w:rsid w:val="00803AEA"/>
    <w:rsid w:val="00803B1A"/>
    <w:rsid w:val="00803B5B"/>
    <w:rsid w:val="00803C09"/>
    <w:rsid w:val="00803D5C"/>
    <w:rsid w:val="00803FED"/>
    <w:rsid w:val="00804535"/>
    <w:rsid w:val="0080467C"/>
    <w:rsid w:val="008048D3"/>
    <w:rsid w:val="00804963"/>
    <w:rsid w:val="00804C9C"/>
    <w:rsid w:val="00804D36"/>
    <w:rsid w:val="008057B9"/>
    <w:rsid w:val="00805954"/>
    <w:rsid w:val="00805BF8"/>
    <w:rsid w:val="00805F1E"/>
    <w:rsid w:val="0080625A"/>
    <w:rsid w:val="00806800"/>
    <w:rsid w:val="00806EE8"/>
    <w:rsid w:val="0080719D"/>
    <w:rsid w:val="00807960"/>
    <w:rsid w:val="00807A2A"/>
    <w:rsid w:val="00807BFB"/>
    <w:rsid w:val="00807D95"/>
    <w:rsid w:val="00807E35"/>
    <w:rsid w:val="0081021E"/>
    <w:rsid w:val="00810449"/>
    <w:rsid w:val="00810544"/>
    <w:rsid w:val="008112C4"/>
    <w:rsid w:val="0081155E"/>
    <w:rsid w:val="00811596"/>
    <w:rsid w:val="00811873"/>
    <w:rsid w:val="00811922"/>
    <w:rsid w:val="00811D28"/>
    <w:rsid w:val="00811F0F"/>
    <w:rsid w:val="0081216A"/>
    <w:rsid w:val="008122CF"/>
    <w:rsid w:val="0081252D"/>
    <w:rsid w:val="00812874"/>
    <w:rsid w:val="00812A39"/>
    <w:rsid w:val="00812F11"/>
    <w:rsid w:val="008134CC"/>
    <w:rsid w:val="008135AC"/>
    <w:rsid w:val="0081391B"/>
    <w:rsid w:val="00813DAC"/>
    <w:rsid w:val="00813E14"/>
    <w:rsid w:val="00814293"/>
    <w:rsid w:val="00814E78"/>
    <w:rsid w:val="0081515E"/>
    <w:rsid w:val="0081536C"/>
    <w:rsid w:val="008158B1"/>
    <w:rsid w:val="00815B46"/>
    <w:rsid w:val="00815D2F"/>
    <w:rsid w:val="00815F2D"/>
    <w:rsid w:val="00816259"/>
    <w:rsid w:val="00816749"/>
    <w:rsid w:val="00816809"/>
    <w:rsid w:val="00816F76"/>
    <w:rsid w:val="008170C7"/>
    <w:rsid w:val="0081716D"/>
    <w:rsid w:val="008174C4"/>
    <w:rsid w:val="00817D8A"/>
    <w:rsid w:val="00820155"/>
    <w:rsid w:val="008207E1"/>
    <w:rsid w:val="0082130D"/>
    <w:rsid w:val="00821591"/>
    <w:rsid w:val="008215E3"/>
    <w:rsid w:val="00821732"/>
    <w:rsid w:val="008221A0"/>
    <w:rsid w:val="008223A7"/>
    <w:rsid w:val="008229DA"/>
    <w:rsid w:val="0082301B"/>
    <w:rsid w:val="008232AF"/>
    <w:rsid w:val="00823406"/>
    <w:rsid w:val="008238BB"/>
    <w:rsid w:val="00823BF2"/>
    <w:rsid w:val="0082422D"/>
    <w:rsid w:val="00824725"/>
    <w:rsid w:val="00824E11"/>
    <w:rsid w:val="00824E3E"/>
    <w:rsid w:val="008254F6"/>
    <w:rsid w:val="008255E5"/>
    <w:rsid w:val="0082587A"/>
    <w:rsid w:val="00825F7A"/>
    <w:rsid w:val="0082603B"/>
    <w:rsid w:val="008260B5"/>
    <w:rsid w:val="008266A4"/>
    <w:rsid w:val="00826D6B"/>
    <w:rsid w:val="008272A6"/>
    <w:rsid w:val="008272B8"/>
    <w:rsid w:val="008272CA"/>
    <w:rsid w:val="00827363"/>
    <w:rsid w:val="00827386"/>
    <w:rsid w:val="00827F11"/>
    <w:rsid w:val="008300A1"/>
    <w:rsid w:val="0083010D"/>
    <w:rsid w:val="00830555"/>
    <w:rsid w:val="008308E3"/>
    <w:rsid w:val="00830AA1"/>
    <w:rsid w:val="00830F8A"/>
    <w:rsid w:val="00831163"/>
    <w:rsid w:val="008312CB"/>
    <w:rsid w:val="00831316"/>
    <w:rsid w:val="00831449"/>
    <w:rsid w:val="008315C3"/>
    <w:rsid w:val="00831E01"/>
    <w:rsid w:val="0083278E"/>
    <w:rsid w:val="008327CF"/>
    <w:rsid w:val="0083307F"/>
    <w:rsid w:val="008331BB"/>
    <w:rsid w:val="008331CD"/>
    <w:rsid w:val="00833467"/>
    <w:rsid w:val="00833522"/>
    <w:rsid w:val="00833C3B"/>
    <w:rsid w:val="00833E18"/>
    <w:rsid w:val="00834028"/>
    <w:rsid w:val="0083405D"/>
    <w:rsid w:val="008343A4"/>
    <w:rsid w:val="008343BF"/>
    <w:rsid w:val="00834438"/>
    <w:rsid w:val="00834693"/>
    <w:rsid w:val="008347EC"/>
    <w:rsid w:val="008348A2"/>
    <w:rsid w:val="00834A4E"/>
    <w:rsid w:val="0083506C"/>
    <w:rsid w:val="008358D3"/>
    <w:rsid w:val="008359F0"/>
    <w:rsid w:val="00835B12"/>
    <w:rsid w:val="00836515"/>
    <w:rsid w:val="008367D1"/>
    <w:rsid w:val="0083755A"/>
    <w:rsid w:val="008401B0"/>
    <w:rsid w:val="00840601"/>
    <w:rsid w:val="00840921"/>
    <w:rsid w:val="00840972"/>
    <w:rsid w:val="00840B93"/>
    <w:rsid w:val="00840C40"/>
    <w:rsid w:val="00840F18"/>
    <w:rsid w:val="008414BD"/>
    <w:rsid w:val="00841735"/>
    <w:rsid w:val="008418FE"/>
    <w:rsid w:val="00841A49"/>
    <w:rsid w:val="00841B89"/>
    <w:rsid w:val="0084237E"/>
    <w:rsid w:val="00842A33"/>
    <w:rsid w:val="00842D8C"/>
    <w:rsid w:val="0084337E"/>
    <w:rsid w:val="0084366A"/>
    <w:rsid w:val="00843670"/>
    <w:rsid w:val="0084399B"/>
    <w:rsid w:val="00843AAF"/>
    <w:rsid w:val="00843C36"/>
    <w:rsid w:val="00843DE4"/>
    <w:rsid w:val="00843F02"/>
    <w:rsid w:val="00844371"/>
    <w:rsid w:val="00844498"/>
    <w:rsid w:val="0084466C"/>
    <w:rsid w:val="0084468A"/>
    <w:rsid w:val="00844D42"/>
    <w:rsid w:val="0084541D"/>
    <w:rsid w:val="00845540"/>
    <w:rsid w:val="00845995"/>
    <w:rsid w:val="00845999"/>
    <w:rsid w:val="00846414"/>
    <w:rsid w:val="008465B9"/>
    <w:rsid w:val="00846697"/>
    <w:rsid w:val="008467B2"/>
    <w:rsid w:val="008467BA"/>
    <w:rsid w:val="0084689B"/>
    <w:rsid w:val="00846D80"/>
    <w:rsid w:val="00846E28"/>
    <w:rsid w:val="00846EBB"/>
    <w:rsid w:val="008472DB"/>
    <w:rsid w:val="008476A0"/>
    <w:rsid w:val="008476B3"/>
    <w:rsid w:val="00847B9A"/>
    <w:rsid w:val="00847C7E"/>
    <w:rsid w:val="008500A3"/>
    <w:rsid w:val="008501AC"/>
    <w:rsid w:val="00850586"/>
    <w:rsid w:val="008507C9"/>
    <w:rsid w:val="008517AB"/>
    <w:rsid w:val="0085190D"/>
    <w:rsid w:val="00851952"/>
    <w:rsid w:val="00851FFC"/>
    <w:rsid w:val="00852288"/>
    <w:rsid w:val="008523CC"/>
    <w:rsid w:val="0085291F"/>
    <w:rsid w:val="00852A63"/>
    <w:rsid w:val="00852FF8"/>
    <w:rsid w:val="008532B6"/>
    <w:rsid w:val="008532E4"/>
    <w:rsid w:val="00853652"/>
    <w:rsid w:val="00853B52"/>
    <w:rsid w:val="00853CD3"/>
    <w:rsid w:val="00853D8D"/>
    <w:rsid w:val="00853DEA"/>
    <w:rsid w:val="00854453"/>
    <w:rsid w:val="008544CC"/>
    <w:rsid w:val="008544CE"/>
    <w:rsid w:val="00854553"/>
    <w:rsid w:val="008546C3"/>
    <w:rsid w:val="00854E28"/>
    <w:rsid w:val="0085554F"/>
    <w:rsid w:val="00855571"/>
    <w:rsid w:val="00855611"/>
    <w:rsid w:val="00855834"/>
    <w:rsid w:val="008558E4"/>
    <w:rsid w:val="00855A02"/>
    <w:rsid w:val="00855A3D"/>
    <w:rsid w:val="00855C05"/>
    <w:rsid w:val="00855C24"/>
    <w:rsid w:val="00855F5C"/>
    <w:rsid w:val="00855FF9"/>
    <w:rsid w:val="0085603D"/>
    <w:rsid w:val="008561DE"/>
    <w:rsid w:val="008562A6"/>
    <w:rsid w:val="00856517"/>
    <w:rsid w:val="00856948"/>
    <w:rsid w:val="00856C52"/>
    <w:rsid w:val="00856D84"/>
    <w:rsid w:val="00857130"/>
    <w:rsid w:val="008571D9"/>
    <w:rsid w:val="00857577"/>
    <w:rsid w:val="00857B3D"/>
    <w:rsid w:val="00857D97"/>
    <w:rsid w:val="00857DE8"/>
    <w:rsid w:val="00857E29"/>
    <w:rsid w:val="00860091"/>
    <w:rsid w:val="008600C0"/>
    <w:rsid w:val="00860274"/>
    <w:rsid w:val="00860370"/>
    <w:rsid w:val="008604AC"/>
    <w:rsid w:val="00860DB9"/>
    <w:rsid w:val="00860FED"/>
    <w:rsid w:val="00861256"/>
    <w:rsid w:val="008612E3"/>
    <w:rsid w:val="00861C6B"/>
    <w:rsid w:val="00861CA5"/>
    <w:rsid w:val="0086220F"/>
    <w:rsid w:val="008622C5"/>
    <w:rsid w:val="008626DF"/>
    <w:rsid w:val="00862F76"/>
    <w:rsid w:val="0086340A"/>
    <w:rsid w:val="00863887"/>
    <w:rsid w:val="00863D54"/>
    <w:rsid w:val="00863F91"/>
    <w:rsid w:val="00864285"/>
    <w:rsid w:val="008647BA"/>
    <w:rsid w:val="008647FB"/>
    <w:rsid w:val="00864993"/>
    <w:rsid w:val="00865153"/>
    <w:rsid w:val="00865197"/>
    <w:rsid w:val="00865732"/>
    <w:rsid w:val="00865A11"/>
    <w:rsid w:val="00865A42"/>
    <w:rsid w:val="00865E95"/>
    <w:rsid w:val="008666A1"/>
    <w:rsid w:val="00867262"/>
    <w:rsid w:val="0086739B"/>
    <w:rsid w:val="00867500"/>
    <w:rsid w:val="00867674"/>
    <w:rsid w:val="00867F6A"/>
    <w:rsid w:val="00867FAA"/>
    <w:rsid w:val="008702FF"/>
    <w:rsid w:val="00870687"/>
    <w:rsid w:val="008709A1"/>
    <w:rsid w:val="00870CEC"/>
    <w:rsid w:val="00870E5E"/>
    <w:rsid w:val="00870E6D"/>
    <w:rsid w:val="00870FB7"/>
    <w:rsid w:val="0087231D"/>
    <w:rsid w:val="008728BD"/>
    <w:rsid w:val="008729F3"/>
    <w:rsid w:val="00872B2C"/>
    <w:rsid w:val="00872B32"/>
    <w:rsid w:val="00872C06"/>
    <w:rsid w:val="00872D89"/>
    <w:rsid w:val="00873111"/>
    <w:rsid w:val="00873522"/>
    <w:rsid w:val="0087378E"/>
    <w:rsid w:val="0087385E"/>
    <w:rsid w:val="00873C58"/>
    <w:rsid w:val="008742DB"/>
    <w:rsid w:val="0087432F"/>
    <w:rsid w:val="0087446A"/>
    <w:rsid w:val="0087463F"/>
    <w:rsid w:val="00874731"/>
    <w:rsid w:val="00874A58"/>
    <w:rsid w:val="00874E23"/>
    <w:rsid w:val="00874E41"/>
    <w:rsid w:val="00874E63"/>
    <w:rsid w:val="0087500A"/>
    <w:rsid w:val="00875033"/>
    <w:rsid w:val="008750BF"/>
    <w:rsid w:val="00875348"/>
    <w:rsid w:val="00875513"/>
    <w:rsid w:val="008758A4"/>
    <w:rsid w:val="008759BD"/>
    <w:rsid w:val="0087607F"/>
    <w:rsid w:val="00876479"/>
    <w:rsid w:val="00876530"/>
    <w:rsid w:val="0087680A"/>
    <w:rsid w:val="008769BA"/>
    <w:rsid w:val="008770B0"/>
    <w:rsid w:val="00877368"/>
    <w:rsid w:val="008775B0"/>
    <w:rsid w:val="00877611"/>
    <w:rsid w:val="0087777E"/>
    <w:rsid w:val="0087785C"/>
    <w:rsid w:val="00877B6F"/>
    <w:rsid w:val="00877E2C"/>
    <w:rsid w:val="00877EE1"/>
    <w:rsid w:val="0088022D"/>
    <w:rsid w:val="00880357"/>
    <w:rsid w:val="0088051B"/>
    <w:rsid w:val="00880623"/>
    <w:rsid w:val="0088069B"/>
    <w:rsid w:val="008806A6"/>
    <w:rsid w:val="008808DE"/>
    <w:rsid w:val="00880AD8"/>
    <w:rsid w:val="00881044"/>
    <w:rsid w:val="008812B8"/>
    <w:rsid w:val="008813DA"/>
    <w:rsid w:val="0088142D"/>
    <w:rsid w:val="00881435"/>
    <w:rsid w:val="00881440"/>
    <w:rsid w:val="00881B73"/>
    <w:rsid w:val="00881CD4"/>
    <w:rsid w:val="00882B44"/>
    <w:rsid w:val="00883307"/>
    <w:rsid w:val="008834A1"/>
    <w:rsid w:val="0088381A"/>
    <w:rsid w:val="0088388C"/>
    <w:rsid w:val="008839D4"/>
    <w:rsid w:val="00883DB1"/>
    <w:rsid w:val="008841E6"/>
    <w:rsid w:val="00884497"/>
    <w:rsid w:val="00884662"/>
    <w:rsid w:val="008848C5"/>
    <w:rsid w:val="00884B1B"/>
    <w:rsid w:val="008850BB"/>
    <w:rsid w:val="0088543F"/>
    <w:rsid w:val="008854D0"/>
    <w:rsid w:val="00885EF2"/>
    <w:rsid w:val="008860AD"/>
    <w:rsid w:val="008863A5"/>
    <w:rsid w:val="00886A9A"/>
    <w:rsid w:val="00886B5A"/>
    <w:rsid w:val="00886B79"/>
    <w:rsid w:val="00886FFD"/>
    <w:rsid w:val="008871EA"/>
    <w:rsid w:val="008876FA"/>
    <w:rsid w:val="00887707"/>
    <w:rsid w:val="00887779"/>
    <w:rsid w:val="00887820"/>
    <w:rsid w:val="00887985"/>
    <w:rsid w:val="00887C57"/>
    <w:rsid w:val="00887D5B"/>
    <w:rsid w:val="00887DA8"/>
    <w:rsid w:val="0089024F"/>
    <w:rsid w:val="00890466"/>
    <w:rsid w:val="00890637"/>
    <w:rsid w:val="008909B0"/>
    <w:rsid w:val="00890A25"/>
    <w:rsid w:val="0089107E"/>
    <w:rsid w:val="00891313"/>
    <w:rsid w:val="00891B42"/>
    <w:rsid w:val="00891E89"/>
    <w:rsid w:val="00891F17"/>
    <w:rsid w:val="008920C4"/>
    <w:rsid w:val="008923AF"/>
    <w:rsid w:val="008924EC"/>
    <w:rsid w:val="0089262D"/>
    <w:rsid w:val="00892B6E"/>
    <w:rsid w:val="00892EA8"/>
    <w:rsid w:val="008933A8"/>
    <w:rsid w:val="0089390A"/>
    <w:rsid w:val="00893974"/>
    <w:rsid w:val="008939B3"/>
    <w:rsid w:val="00893B5F"/>
    <w:rsid w:val="00893CF8"/>
    <w:rsid w:val="00893E5B"/>
    <w:rsid w:val="00893EA0"/>
    <w:rsid w:val="008943DB"/>
    <w:rsid w:val="00894720"/>
    <w:rsid w:val="00894764"/>
    <w:rsid w:val="00894882"/>
    <w:rsid w:val="00894B4C"/>
    <w:rsid w:val="00894E29"/>
    <w:rsid w:val="008953C1"/>
    <w:rsid w:val="0089663F"/>
    <w:rsid w:val="00896767"/>
    <w:rsid w:val="00896D82"/>
    <w:rsid w:val="00896DDB"/>
    <w:rsid w:val="00896FA0"/>
    <w:rsid w:val="0089715C"/>
    <w:rsid w:val="0089745D"/>
    <w:rsid w:val="008974C9"/>
    <w:rsid w:val="00897521"/>
    <w:rsid w:val="0089783C"/>
    <w:rsid w:val="00897A08"/>
    <w:rsid w:val="00897B95"/>
    <w:rsid w:val="00897D03"/>
    <w:rsid w:val="00897E10"/>
    <w:rsid w:val="008A007E"/>
    <w:rsid w:val="008A07EE"/>
    <w:rsid w:val="008A080A"/>
    <w:rsid w:val="008A0E27"/>
    <w:rsid w:val="008A1B72"/>
    <w:rsid w:val="008A1D09"/>
    <w:rsid w:val="008A1D40"/>
    <w:rsid w:val="008A1E79"/>
    <w:rsid w:val="008A28C9"/>
    <w:rsid w:val="008A2B98"/>
    <w:rsid w:val="008A2C0D"/>
    <w:rsid w:val="008A2E55"/>
    <w:rsid w:val="008A2F63"/>
    <w:rsid w:val="008A35EE"/>
    <w:rsid w:val="008A39BF"/>
    <w:rsid w:val="008A3A29"/>
    <w:rsid w:val="008A3DD2"/>
    <w:rsid w:val="008A3F93"/>
    <w:rsid w:val="008A40AC"/>
    <w:rsid w:val="008A50EF"/>
    <w:rsid w:val="008A5119"/>
    <w:rsid w:val="008A5371"/>
    <w:rsid w:val="008A547C"/>
    <w:rsid w:val="008A5716"/>
    <w:rsid w:val="008A57E4"/>
    <w:rsid w:val="008A67CE"/>
    <w:rsid w:val="008A6C09"/>
    <w:rsid w:val="008A6FC6"/>
    <w:rsid w:val="008A7005"/>
    <w:rsid w:val="008A7038"/>
    <w:rsid w:val="008A7054"/>
    <w:rsid w:val="008A72DB"/>
    <w:rsid w:val="008A73DC"/>
    <w:rsid w:val="008A779F"/>
    <w:rsid w:val="008A798B"/>
    <w:rsid w:val="008A7A1A"/>
    <w:rsid w:val="008A7D5D"/>
    <w:rsid w:val="008B0203"/>
    <w:rsid w:val="008B0229"/>
    <w:rsid w:val="008B0AE6"/>
    <w:rsid w:val="008B172C"/>
    <w:rsid w:val="008B1950"/>
    <w:rsid w:val="008B1B1B"/>
    <w:rsid w:val="008B1B68"/>
    <w:rsid w:val="008B1C9E"/>
    <w:rsid w:val="008B1E03"/>
    <w:rsid w:val="008B1F9A"/>
    <w:rsid w:val="008B2408"/>
    <w:rsid w:val="008B2760"/>
    <w:rsid w:val="008B2BD2"/>
    <w:rsid w:val="008B2E76"/>
    <w:rsid w:val="008B3042"/>
    <w:rsid w:val="008B345F"/>
    <w:rsid w:val="008B3516"/>
    <w:rsid w:val="008B353D"/>
    <w:rsid w:val="008B356E"/>
    <w:rsid w:val="008B3789"/>
    <w:rsid w:val="008B39D8"/>
    <w:rsid w:val="008B3AE4"/>
    <w:rsid w:val="008B3BAE"/>
    <w:rsid w:val="008B3D1D"/>
    <w:rsid w:val="008B3DC2"/>
    <w:rsid w:val="008B4114"/>
    <w:rsid w:val="008B4272"/>
    <w:rsid w:val="008B4301"/>
    <w:rsid w:val="008B43B5"/>
    <w:rsid w:val="008B455F"/>
    <w:rsid w:val="008B49D2"/>
    <w:rsid w:val="008B49D5"/>
    <w:rsid w:val="008B4AF5"/>
    <w:rsid w:val="008B4B1D"/>
    <w:rsid w:val="008B4B21"/>
    <w:rsid w:val="008B4BFD"/>
    <w:rsid w:val="008B4C4A"/>
    <w:rsid w:val="008B50C9"/>
    <w:rsid w:val="008B5365"/>
    <w:rsid w:val="008B5927"/>
    <w:rsid w:val="008B59C0"/>
    <w:rsid w:val="008B5B91"/>
    <w:rsid w:val="008B62F7"/>
    <w:rsid w:val="008B65FB"/>
    <w:rsid w:val="008B685A"/>
    <w:rsid w:val="008B69C0"/>
    <w:rsid w:val="008B6A60"/>
    <w:rsid w:val="008B6BDB"/>
    <w:rsid w:val="008B6C81"/>
    <w:rsid w:val="008B6EC4"/>
    <w:rsid w:val="008B700B"/>
    <w:rsid w:val="008B7298"/>
    <w:rsid w:val="008B7347"/>
    <w:rsid w:val="008B7418"/>
    <w:rsid w:val="008B777A"/>
    <w:rsid w:val="008B79B9"/>
    <w:rsid w:val="008B7E47"/>
    <w:rsid w:val="008B7F26"/>
    <w:rsid w:val="008B7FBC"/>
    <w:rsid w:val="008C02B5"/>
    <w:rsid w:val="008C0563"/>
    <w:rsid w:val="008C0665"/>
    <w:rsid w:val="008C1365"/>
    <w:rsid w:val="008C140F"/>
    <w:rsid w:val="008C1420"/>
    <w:rsid w:val="008C14BC"/>
    <w:rsid w:val="008C1670"/>
    <w:rsid w:val="008C1696"/>
    <w:rsid w:val="008C1707"/>
    <w:rsid w:val="008C18F1"/>
    <w:rsid w:val="008C28C4"/>
    <w:rsid w:val="008C29CB"/>
    <w:rsid w:val="008C3259"/>
    <w:rsid w:val="008C3383"/>
    <w:rsid w:val="008C360C"/>
    <w:rsid w:val="008C39D9"/>
    <w:rsid w:val="008C3A14"/>
    <w:rsid w:val="008C4724"/>
    <w:rsid w:val="008C4C9A"/>
    <w:rsid w:val="008C4CA5"/>
    <w:rsid w:val="008C4F08"/>
    <w:rsid w:val="008C53F1"/>
    <w:rsid w:val="008C57E4"/>
    <w:rsid w:val="008C59C9"/>
    <w:rsid w:val="008C5A33"/>
    <w:rsid w:val="008C5C82"/>
    <w:rsid w:val="008C640D"/>
    <w:rsid w:val="008C6691"/>
    <w:rsid w:val="008C6697"/>
    <w:rsid w:val="008C6782"/>
    <w:rsid w:val="008C68D5"/>
    <w:rsid w:val="008C6C72"/>
    <w:rsid w:val="008C6C8D"/>
    <w:rsid w:val="008C7392"/>
    <w:rsid w:val="008C7524"/>
    <w:rsid w:val="008C7605"/>
    <w:rsid w:val="008C77E1"/>
    <w:rsid w:val="008C7C6B"/>
    <w:rsid w:val="008D0076"/>
    <w:rsid w:val="008D03E2"/>
    <w:rsid w:val="008D0627"/>
    <w:rsid w:val="008D06E1"/>
    <w:rsid w:val="008D0763"/>
    <w:rsid w:val="008D0B87"/>
    <w:rsid w:val="008D0D9B"/>
    <w:rsid w:val="008D12FB"/>
    <w:rsid w:val="008D152F"/>
    <w:rsid w:val="008D15D1"/>
    <w:rsid w:val="008D1701"/>
    <w:rsid w:val="008D175E"/>
    <w:rsid w:val="008D1B66"/>
    <w:rsid w:val="008D1D17"/>
    <w:rsid w:val="008D201C"/>
    <w:rsid w:val="008D2B71"/>
    <w:rsid w:val="008D2BC9"/>
    <w:rsid w:val="008D2DF3"/>
    <w:rsid w:val="008D2EEB"/>
    <w:rsid w:val="008D2F28"/>
    <w:rsid w:val="008D313C"/>
    <w:rsid w:val="008D35C7"/>
    <w:rsid w:val="008D3978"/>
    <w:rsid w:val="008D397F"/>
    <w:rsid w:val="008D407C"/>
    <w:rsid w:val="008D430E"/>
    <w:rsid w:val="008D4814"/>
    <w:rsid w:val="008D4D83"/>
    <w:rsid w:val="008D50B5"/>
    <w:rsid w:val="008D51A8"/>
    <w:rsid w:val="008D534A"/>
    <w:rsid w:val="008D5375"/>
    <w:rsid w:val="008D58F3"/>
    <w:rsid w:val="008D5B54"/>
    <w:rsid w:val="008D5FD2"/>
    <w:rsid w:val="008D635F"/>
    <w:rsid w:val="008D63AE"/>
    <w:rsid w:val="008D6552"/>
    <w:rsid w:val="008D6754"/>
    <w:rsid w:val="008D6952"/>
    <w:rsid w:val="008D6AEE"/>
    <w:rsid w:val="008D6D01"/>
    <w:rsid w:val="008D6E88"/>
    <w:rsid w:val="008D7788"/>
    <w:rsid w:val="008D7DDA"/>
    <w:rsid w:val="008E0147"/>
    <w:rsid w:val="008E03ED"/>
    <w:rsid w:val="008E057F"/>
    <w:rsid w:val="008E07F3"/>
    <w:rsid w:val="008E0987"/>
    <w:rsid w:val="008E0B76"/>
    <w:rsid w:val="008E0E3E"/>
    <w:rsid w:val="008E12E2"/>
    <w:rsid w:val="008E14C8"/>
    <w:rsid w:val="008E16A7"/>
    <w:rsid w:val="008E1733"/>
    <w:rsid w:val="008E17AB"/>
    <w:rsid w:val="008E1A47"/>
    <w:rsid w:val="008E1FB2"/>
    <w:rsid w:val="008E20C2"/>
    <w:rsid w:val="008E26EB"/>
    <w:rsid w:val="008E2A39"/>
    <w:rsid w:val="008E2C87"/>
    <w:rsid w:val="008E2DE5"/>
    <w:rsid w:val="008E2F2A"/>
    <w:rsid w:val="008E3080"/>
    <w:rsid w:val="008E3098"/>
    <w:rsid w:val="008E3AC1"/>
    <w:rsid w:val="008E3FB6"/>
    <w:rsid w:val="008E4082"/>
    <w:rsid w:val="008E427C"/>
    <w:rsid w:val="008E4598"/>
    <w:rsid w:val="008E4622"/>
    <w:rsid w:val="008E463A"/>
    <w:rsid w:val="008E4FDA"/>
    <w:rsid w:val="008E4FE6"/>
    <w:rsid w:val="008E5007"/>
    <w:rsid w:val="008E56C1"/>
    <w:rsid w:val="008E5843"/>
    <w:rsid w:val="008E585F"/>
    <w:rsid w:val="008E58BF"/>
    <w:rsid w:val="008E60D0"/>
    <w:rsid w:val="008E6442"/>
    <w:rsid w:val="008E650F"/>
    <w:rsid w:val="008E66BE"/>
    <w:rsid w:val="008E6A44"/>
    <w:rsid w:val="008E6B7F"/>
    <w:rsid w:val="008E6FBC"/>
    <w:rsid w:val="008E7510"/>
    <w:rsid w:val="008E75D1"/>
    <w:rsid w:val="008E7651"/>
    <w:rsid w:val="008E7708"/>
    <w:rsid w:val="008E7889"/>
    <w:rsid w:val="008E7B8B"/>
    <w:rsid w:val="008E7E5C"/>
    <w:rsid w:val="008F0134"/>
    <w:rsid w:val="008F04D6"/>
    <w:rsid w:val="008F0946"/>
    <w:rsid w:val="008F0B83"/>
    <w:rsid w:val="008F0E18"/>
    <w:rsid w:val="008F0E30"/>
    <w:rsid w:val="008F10BC"/>
    <w:rsid w:val="008F1261"/>
    <w:rsid w:val="008F174F"/>
    <w:rsid w:val="008F1769"/>
    <w:rsid w:val="008F19E8"/>
    <w:rsid w:val="008F1AA7"/>
    <w:rsid w:val="008F1BC3"/>
    <w:rsid w:val="008F1DFC"/>
    <w:rsid w:val="008F1E54"/>
    <w:rsid w:val="008F1FBC"/>
    <w:rsid w:val="008F24E1"/>
    <w:rsid w:val="008F2520"/>
    <w:rsid w:val="008F2B1F"/>
    <w:rsid w:val="008F2E5B"/>
    <w:rsid w:val="008F3435"/>
    <w:rsid w:val="008F36F4"/>
    <w:rsid w:val="008F3B84"/>
    <w:rsid w:val="008F3CF9"/>
    <w:rsid w:val="008F3F09"/>
    <w:rsid w:val="008F4496"/>
    <w:rsid w:val="008F477E"/>
    <w:rsid w:val="008F4B1F"/>
    <w:rsid w:val="008F4F59"/>
    <w:rsid w:val="008F5E47"/>
    <w:rsid w:val="008F61D3"/>
    <w:rsid w:val="008F65C2"/>
    <w:rsid w:val="008F6C2E"/>
    <w:rsid w:val="008F6FF8"/>
    <w:rsid w:val="008F75EF"/>
    <w:rsid w:val="008F76C0"/>
    <w:rsid w:val="008F76CD"/>
    <w:rsid w:val="008F7713"/>
    <w:rsid w:val="008F77F2"/>
    <w:rsid w:val="008F7EA0"/>
    <w:rsid w:val="009002CE"/>
    <w:rsid w:val="00900852"/>
    <w:rsid w:val="0090122F"/>
    <w:rsid w:val="0090126B"/>
    <w:rsid w:val="00901333"/>
    <w:rsid w:val="00901807"/>
    <w:rsid w:val="00901960"/>
    <w:rsid w:val="00901BDA"/>
    <w:rsid w:val="00901C2E"/>
    <w:rsid w:val="00901DD2"/>
    <w:rsid w:val="00901E2E"/>
    <w:rsid w:val="00902031"/>
    <w:rsid w:val="0090211A"/>
    <w:rsid w:val="00902135"/>
    <w:rsid w:val="0090234B"/>
    <w:rsid w:val="0090239A"/>
    <w:rsid w:val="00902572"/>
    <w:rsid w:val="00902607"/>
    <w:rsid w:val="0090269E"/>
    <w:rsid w:val="009027CD"/>
    <w:rsid w:val="00902854"/>
    <w:rsid w:val="00902DF2"/>
    <w:rsid w:val="009030C1"/>
    <w:rsid w:val="00903C83"/>
    <w:rsid w:val="00904075"/>
    <w:rsid w:val="0090418E"/>
    <w:rsid w:val="00904191"/>
    <w:rsid w:val="00904220"/>
    <w:rsid w:val="00904503"/>
    <w:rsid w:val="0090471A"/>
    <w:rsid w:val="009047A4"/>
    <w:rsid w:val="00905878"/>
    <w:rsid w:val="00905ACF"/>
    <w:rsid w:val="00905F11"/>
    <w:rsid w:val="00906175"/>
    <w:rsid w:val="0090618E"/>
    <w:rsid w:val="00906733"/>
    <w:rsid w:val="00906D3C"/>
    <w:rsid w:val="00906EC6"/>
    <w:rsid w:val="00907615"/>
    <w:rsid w:val="00907F86"/>
    <w:rsid w:val="00910689"/>
    <w:rsid w:val="0091093B"/>
    <w:rsid w:val="009109DB"/>
    <w:rsid w:val="00910B0D"/>
    <w:rsid w:val="00910F28"/>
    <w:rsid w:val="0091112D"/>
    <w:rsid w:val="0091139D"/>
    <w:rsid w:val="0091173C"/>
    <w:rsid w:val="00911CFE"/>
    <w:rsid w:val="00911DA3"/>
    <w:rsid w:val="00911DCE"/>
    <w:rsid w:val="00911E41"/>
    <w:rsid w:val="00911E66"/>
    <w:rsid w:val="00912188"/>
    <w:rsid w:val="00912332"/>
    <w:rsid w:val="00912537"/>
    <w:rsid w:val="00912548"/>
    <w:rsid w:val="00912677"/>
    <w:rsid w:val="0091298B"/>
    <w:rsid w:val="00912BC1"/>
    <w:rsid w:val="00912DB4"/>
    <w:rsid w:val="009133A0"/>
    <w:rsid w:val="009133DA"/>
    <w:rsid w:val="009134D9"/>
    <w:rsid w:val="009135BB"/>
    <w:rsid w:val="009136B2"/>
    <w:rsid w:val="00913D46"/>
    <w:rsid w:val="00913F41"/>
    <w:rsid w:val="0091402E"/>
    <w:rsid w:val="0091410A"/>
    <w:rsid w:val="0091425A"/>
    <w:rsid w:val="009142A7"/>
    <w:rsid w:val="009144A7"/>
    <w:rsid w:val="00914674"/>
    <w:rsid w:val="0091485A"/>
    <w:rsid w:val="0091495F"/>
    <w:rsid w:val="00914CD7"/>
    <w:rsid w:val="009152EC"/>
    <w:rsid w:val="0091559A"/>
    <w:rsid w:val="0091567E"/>
    <w:rsid w:val="00915699"/>
    <w:rsid w:val="00915A04"/>
    <w:rsid w:val="00915C7E"/>
    <w:rsid w:val="009163B1"/>
    <w:rsid w:val="009165CF"/>
    <w:rsid w:val="009166EB"/>
    <w:rsid w:val="009168BB"/>
    <w:rsid w:val="00916DD4"/>
    <w:rsid w:val="00916FE6"/>
    <w:rsid w:val="00917812"/>
    <w:rsid w:val="009178EA"/>
    <w:rsid w:val="00917A21"/>
    <w:rsid w:val="00917DA1"/>
    <w:rsid w:val="00920420"/>
    <w:rsid w:val="00920732"/>
    <w:rsid w:val="00920934"/>
    <w:rsid w:val="0092093A"/>
    <w:rsid w:val="0092099B"/>
    <w:rsid w:val="00920A99"/>
    <w:rsid w:val="00920DAF"/>
    <w:rsid w:val="00921066"/>
    <w:rsid w:val="009210F8"/>
    <w:rsid w:val="009214C9"/>
    <w:rsid w:val="009215D1"/>
    <w:rsid w:val="009219A9"/>
    <w:rsid w:val="00921DF6"/>
    <w:rsid w:val="0092243F"/>
    <w:rsid w:val="00922784"/>
    <w:rsid w:val="00922AB2"/>
    <w:rsid w:val="00923146"/>
    <w:rsid w:val="0092343F"/>
    <w:rsid w:val="0092344C"/>
    <w:rsid w:val="0092370C"/>
    <w:rsid w:val="009238B9"/>
    <w:rsid w:val="009238D2"/>
    <w:rsid w:val="0092393B"/>
    <w:rsid w:val="00923A56"/>
    <w:rsid w:val="00923C74"/>
    <w:rsid w:val="00923E96"/>
    <w:rsid w:val="0092419B"/>
    <w:rsid w:val="0092449D"/>
    <w:rsid w:val="00924BEF"/>
    <w:rsid w:val="00924D41"/>
    <w:rsid w:val="00924D7C"/>
    <w:rsid w:val="00924F63"/>
    <w:rsid w:val="0092503E"/>
    <w:rsid w:val="00925467"/>
    <w:rsid w:val="00925699"/>
    <w:rsid w:val="00925960"/>
    <w:rsid w:val="009259E4"/>
    <w:rsid w:val="00925A76"/>
    <w:rsid w:val="00925D41"/>
    <w:rsid w:val="00925D80"/>
    <w:rsid w:val="00926618"/>
    <w:rsid w:val="00926624"/>
    <w:rsid w:val="00926E84"/>
    <w:rsid w:val="00926E96"/>
    <w:rsid w:val="00926EDF"/>
    <w:rsid w:val="00926F3C"/>
    <w:rsid w:val="009271B4"/>
    <w:rsid w:val="00927958"/>
    <w:rsid w:val="009279BD"/>
    <w:rsid w:val="0093020E"/>
    <w:rsid w:val="00930223"/>
    <w:rsid w:val="00930271"/>
    <w:rsid w:val="00930295"/>
    <w:rsid w:val="00930689"/>
    <w:rsid w:val="00930B96"/>
    <w:rsid w:val="00930C25"/>
    <w:rsid w:val="00930EFF"/>
    <w:rsid w:val="00930FF7"/>
    <w:rsid w:val="00931067"/>
    <w:rsid w:val="009311B4"/>
    <w:rsid w:val="009316C3"/>
    <w:rsid w:val="00931CF9"/>
    <w:rsid w:val="009321D5"/>
    <w:rsid w:val="009325D8"/>
    <w:rsid w:val="00932781"/>
    <w:rsid w:val="0093289D"/>
    <w:rsid w:val="0093308A"/>
    <w:rsid w:val="0093308B"/>
    <w:rsid w:val="009333F3"/>
    <w:rsid w:val="00933577"/>
    <w:rsid w:val="00933921"/>
    <w:rsid w:val="00933BE3"/>
    <w:rsid w:val="00933C9F"/>
    <w:rsid w:val="00933D84"/>
    <w:rsid w:val="00933EF9"/>
    <w:rsid w:val="009346C4"/>
    <w:rsid w:val="00934933"/>
    <w:rsid w:val="00934BA5"/>
    <w:rsid w:val="00934D32"/>
    <w:rsid w:val="009350C6"/>
    <w:rsid w:val="009351AC"/>
    <w:rsid w:val="009356B8"/>
    <w:rsid w:val="00935B32"/>
    <w:rsid w:val="00935B8D"/>
    <w:rsid w:val="0093611C"/>
    <w:rsid w:val="009361A8"/>
    <w:rsid w:val="009363D0"/>
    <w:rsid w:val="00936925"/>
    <w:rsid w:val="009371BD"/>
    <w:rsid w:val="009372D4"/>
    <w:rsid w:val="00937352"/>
    <w:rsid w:val="009376CF"/>
    <w:rsid w:val="00937711"/>
    <w:rsid w:val="009379A4"/>
    <w:rsid w:val="00937D56"/>
    <w:rsid w:val="00937E18"/>
    <w:rsid w:val="00937E2E"/>
    <w:rsid w:val="00937F93"/>
    <w:rsid w:val="00940619"/>
    <w:rsid w:val="00940749"/>
    <w:rsid w:val="00940E51"/>
    <w:rsid w:val="00940E83"/>
    <w:rsid w:val="00940EB2"/>
    <w:rsid w:val="00940FDA"/>
    <w:rsid w:val="00941099"/>
    <w:rsid w:val="00941214"/>
    <w:rsid w:val="009413FB"/>
    <w:rsid w:val="00941408"/>
    <w:rsid w:val="00941D1B"/>
    <w:rsid w:val="00941EE1"/>
    <w:rsid w:val="009420CD"/>
    <w:rsid w:val="00942183"/>
    <w:rsid w:val="00942270"/>
    <w:rsid w:val="009422D0"/>
    <w:rsid w:val="009427A2"/>
    <w:rsid w:val="00942B2A"/>
    <w:rsid w:val="00942D52"/>
    <w:rsid w:val="00943153"/>
    <w:rsid w:val="009431F5"/>
    <w:rsid w:val="009431FF"/>
    <w:rsid w:val="0094321D"/>
    <w:rsid w:val="00943483"/>
    <w:rsid w:val="009438A5"/>
    <w:rsid w:val="00943943"/>
    <w:rsid w:val="00943CEE"/>
    <w:rsid w:val="00943D3D"/>
    <w:rsid w:val="00943D6E"/>
    <w:rsid w:val="00943EBE"/>
    <w:rsid w:val="009442B0"/>
    <w:rsid w:val="009443DD"/>
    <w:rsid w:val="009446AA"/>
    <w:rsid w:val="00944844"/>
    <w:rsid w:val="00944D2C"/>
    <w:rsid w:val="00945076"/>
    <w:rsid w:val="00945169"/>
    <w:rsid w:val="00945436"/>
    <w:rsid w:val="0094557E"/>
    <w:rsid w:val="00945658"/>
    <w:rsid w:val="00945A89"/>
    <w:rsid w:val="00945BF7"/>
    <w:rsid w:val="00946063"/>
    <w:rsid w:val="0094628F"/>
    <w:rsid w:val="009462F0"/>
    <w:rsid w:val="009462FA"/>
    <w:rsid w:val="00946607"/>
    <w:rsid w:val="00946E6A"/>
    <w:rsid w:val="0094751C"/>
    <w:rsid w:val="0094756A"/>
    <w:rsid w:val="009476C1"/>
    <w:rsid w:val="009477D3"/>
    <w:rsid w:val="00947918"/>
    <w:rsid w:val="00947BCD"/>
    <w:rsid w:val="00947EC2"/>
    <w:rsid w:val="00947EC4"/>
    <w:rsid w:val="009500EF"/>
    <w:rsid w:val="0095016E"/>
    <w:rsid w:val="00950230"/>
    <w:rsid w:val="00950559"/>
    <w:rsid w:val="009506F2"/>
    <w:rsid w:val="0095077F"/>
    <w:rsid w:val="009507DD"/>
    <w:rsid w:val="00950886"/>
    <w:rsid w:val="0095093B"/>
    <w:rsid w:val="009519D3"/>
    <w:rsid w:val="009522D3"/>
    <w:rsid w:val="00952609"/>
    <w:rsid w:val="00952AAE"/>
    <w:rsid w:val="00952AB6"/>
    <w:rsid w:val="00952FAC"/>
    <w:rsid w:val="00953258"/>
    <w:rsid w:val="009535A9"/>
    <w:rsid w:val="00953AAD"/>
    <w:rsid w:val="00953CB9"/>
    <w:rsid w:val="00953DCD"/>
    <w:rsid w:val="009543B8"/>
    <w:rsid w:val="009546C5"/>
    <w:rsid w:val="00954776"/>
    <w:rsid w:val="00954E78"/>
    <w:rsid w:val="00954FE0"/>
    <w:rsid w:val="0095514F"/>
    <w:rsid w:val="0095530E"/>
    <w:rsid w:val="00955C52"/>
    <w:rsid w:val="00955C6A"/>
    <w:rsid w:val="00956323"/>
    <w:rsid w:val="00956AC7"/>
    <w:rsid w:val="00956D22"/>
    <w:rsid w:val="00956E01"/>
    <w:rsid w:val="00957035"/>
    <w:rsid w:val="009570EE"/>
    <w:rsid w:val="0095744A"/>
    <w:rsid w:val="00957497"/>
    <w:rsid w:val="009574E9"/>
    <w:rsid w:val="00957631"/>
    <w:rsid w:val="0095765A"/>
    <w:rsid w:val="00957722"/>
    <w:rsid w:val="0095774C"/>
    <w:rsid w:val="00957771"/>
    <w:rsid w:val="009577C5"/>
    <w:rsid w:val="0095783C"/>
    <w:rsid w:val="0095798F"/>
    <w:rsid w:val="00957EAC"/>
    <w:rsid w:val="009600A3"/>
    <w:rsid w:val="0096027B"/>
    <w:rsid w:val="00960413"/>
    <w:rsid w:val="00960886"/>
    <w:rsid w:val="009609D5"/>
    <w:rsid w:val="00960A54"/>
    <w:rsid w:val="00960CDC"/>
    <w:rsid w:val="00960EF3"/>
    <w:rsid w:val="00960F26"/>
    <w:rsid w:val="00961175"/>
    <w:rsid w:val="009613A9"/>
    <w:rsid w:val="009617AF"/>
    <w:rsid w:val="009617EE"/>
    <w:rsid w:val="0096190F"/>
    <w:rsid w:val="00961A8F"/>
    <w:rsid w:val="00961D70"/>
    <w:rsid w:val="00961E6C"/>
    <w:rsid w:val="00961F0A"/>
    <w:rsid w:val="0096204C"/>
    <w:rsid w:val="00962095"/>
    <w:rsid w:val="00962134"/>
    <w:rsid w:val="009626E7"/>
    <w:rsid w:val="00962FA1"/>
    <w:rsid w:val="00963102"/>
    <w:rsid w:val="00963851"/>
    <w:rsid w:val="009639F7"/>
    <w:rsid w:val="009645D0"/>
    <w:rsid w:val="0096473B"/>
    <w:rsid w:val="009648D3"/>
    <w:rsid w:val="00964B4D"/>
    <w:rsid w:val="00964B7C"/>
    <w:rsid w:val="00964BC2"/>
    <w:rsid w:val="0096501C"/>
    <w:rsid w:val="009651E6"/>
    <w:rsid w:val="009654E3"/>
    <w:rsid w:val="009656ED"/>
    <w:rsid w:val="00965A2B"/>
    <w:rsid w:val="00965B04"/>
    <w:rsid w:val="00965BAB"/>
    <w:rsid w:val="00965D6E"/>
    <w:rsid w:val="00965DE9"/>
    <w:rsid w:val="00965ECA"/>
    <w:rsid w:val="00965FEF"/>
    <w:rsid w:val="0096626E"/>
    <w:rsid w:val="00966389"/>
    <w:rsid w:val="0096645D"/>
    <w:rsid w:val="0096680A"/>
    <w:rsid w:val="009668A0"/>
    <w:rsid w:val="00966A6E"/>
    <w:rsid w:val="00966F90"/>
    <w:rsid w:val="009674B7"/>
    <w:rsid w:val="00967AFA"/>
    <w:rsid w:val="00967E5E"/>
    <w:rsid w:val="00967F42"/>
    <w:rsid w:val="00970257"/>
    <w:rsid w:val="009702C1"/>
    <w:rsid w:val="009702F3"/>
    <w:rsid w:val="009703E3"/>
    <w:rsid w:val="00970428"/>
    <w:rsid w:val="00970571"/>
    <w:rsid w:val="00970C7F"/>
    <w:rsid w:val="00970F7D"/>
    <w:rsid w:val="00971293"/>
    <w:rsid w:val="00971C14"/>
    <w:rsid w:val="00971CD8"/>
    <w:rsid w:val="00971D3A"/>
    <w:rsid w:val="0097203C"/>
    <w:rsid w:val="009725F4"/>
    <w:rsid w:val="009726E1"/>
    <w:rsid w:val="00973036"/>
    <w:rsid w:val="00973848"/>
    <w:rsid w:val="00973CCE"/>
    <w:rsid w:val="00973F13"/>
    <w:rsid w:val="00974062"/>
    <w:rsid w:val="0097434D"/>
    <w:rsid w:val="00974527"/>
    <w:rsid w:val="00974605"/>
    <w:rsid w:val="0097475E"/>
    <w:rsid w:val="0097480B"/>
    <w:rsid w:val="00974866"/>
    <w:rsid w:val="009748F1"/>
    <w:rsid w:val="00975166"/>
    <w:rsid w:val="00975345"/>
    <w:rsid w:val="00975E60"/>
    <w:rsid w:val="009763DC"/>
    <w:rsid w:val="009773BE"/>
    <w:rsid w:val="009774DE"/>
    <w:rsid w:val="009775AA"/>
    <w:rsid w:val="009776F3"/>
    <w:rsid w:val="009777AB"/>
    <w:rsid w:val="009777F6"/>
    <w:rsid w:val="00977952"/>
    <w:rsid w:val="00977FFA"/>
    <w:rsid w:val="009804ED"/>
    <w:rsid w:val="009806EA"/>
    <w:rsid w:val="0098086C"/>
    <w:rsid w:val="00980AAA"/>
    <w:rsid w:val="00980BB5"/>
    <w:rsid w:val="00980F3A"/>
    <w:rsid w:val="00980FC9"/>
    <w:rsid w:val="00981232"/>
    <w:rsid w:val="00981842"/>
    <w:rsid w:val="00981A04"/>
    <w:rsid w:val="00981D03"/>
    <w:rsid w:val="00981DA4"/>
    <w:rsid w:val="00981F80"/>
    <w:rsid w:val="009826D9"/>
    <w:rsid w:val="00983B85"/>
    <w:rsid w:val="00983DFC"/>
    <w:rsid w:val="00983E2A"/>
    <w:rsid w:val="00983F09"/>
    <w:rsid w:val="009841E5"/>
    <w:rsid w:val="0098427B"/>
    <w:rsid w:val="009842DD"/>
    <w:rsid w:val="0098444E"/>
    <w:rsid w:val="0098464F"/>
    <w:rsid w:val="00984A78"/>
    <w:rsid w:val="00984AA3"/>
    <w:rsid w:val="00984D7A"/>
    <w:rsid w:val="009851FD"/>
    <w:rsid w:val="00985325"/>
    <w:rsid w:val="00985368"/>
    <w:rsid w:val="00985380"/>
    <w:rsid w:val="0098575F"/>
    <w:rsid w:val="00985A55"/>
    <w:rsid w:val="00985AD9"/>
    <w:rsid w:val="00985DAA"/>
    <w:rsid w:val="009861C3"/>
    <w:rsid w:val="00986A77"/>
    <w:rsid w:val="00986AAA"/>
    <w:rsid w:val="00986DD9"/>
    <w:rsid w:val="009872C4"/>
    <w:rsid w:val="009873C9"/>
    <w:rsid w:val="00987EB1"/>
    <w:rsid w:val="009905F1"/>
    <w:rsid w:val="0099078F"/>
    <w:rsid w:val="00990C49"/>
    <w:rsid w:val="009916AA"/>
    <w:rsid w:val="00991765"/>
    <w:rsid w:val="00991EE3"/>
    <w:rsid w:val="00992442"/>
    <w:rsid w:val="00992750"/>
    <w:rsid w:val="00992B2B"/>
    <w:rsid w:val="00992E8C"/>
    <w:rsid w:val="00993041"/>
    <w:rsid w:val="00993463"/>
    <w:rsid w:val="009935AB"/>
    <w:rsid w:val="0099365E"/>
    <w:rsid w:val="0099379A"/>
    <w:rsid w:val="00993B02"/>
    <w:rsid w:val="00993F4B"/>
    <w:rsid w:val="0099412F"/>
    <w:rsid w:val="00994294"/>
    <w:rsid w:val="00994649"/>
    <w:rsid w:val="00994A5F"/>
    <w:rsid w:val="00994D41"/>
    <w:rsid w:val="00994F74"/>
    <w:rsid w:val="009950AD"/>
    <w:rsid w:val="0099510E"/>
    <w:rsid w:val="00995497"/>
    <w:rsid w:val="0099556C"/>
    <w:rsid w:val="00995A6B"/>
    <w:rsid w:val="00995A82"/>
    <w:rsid w:val="00995E55"/>
    <w:rsid w:val="00996324"/>
    <w:rsid w:val="0099668E"/>
    <w:rsid w:val="00996BED"/>
    <w:rsid w:val="00997188"/>
    <w:rsid w:val="009973A4"/>
    <w:rsid w:val="0099766E"/>
    <w:rsid w:val="0099775B"/>
    <w:rsid w:val="00997C26"/>
    <w:rsid w:val="00997C81"/>
    <w:rsid w:val="00997D1B"/>
    <w:rsid w:val="00997D78"/>
    <w:rsid w:val="00997F9F"/>
    <w:rsid w:val="009A0106"/>
    <w:rsid w:val="009A05E4"/>
    <w:rsid w:val="009A0624"/>
    <w:rsid w:val="009A073A"/>
    <w:rsid w:val="009A0A3B"/>
    <w:rsid w:val="009A0AB1"/>
    <w:rsid w:val="009A0CAE"/>
    <w:rsid w:val="009A0DB9"/>
    <w:rsid w:val="009A0E67"/>
    <w:rsid w:val="009A102B"/>
    <w:rsid w:val="009A104C"/>
    <w:rsid w:val="009A185B"/>
    <w:rsid w:val="009A1C58"/>
    <w:rsid w:val="009A2096"/>
    <w:rsid w:val="009A23B6"/>
    <w:rsid w:val="009A23E6"/>
    <w:rsid w:val="009A2841"/>
    <w:rsid w:val="009A2858"/>
    <w:rsid w:val="009A31FD"/>
    <w:rsid w:val="009A3398"/>
    <w:rsid w:val="009A37A6"/>
    <w:rsid w:val="009A3AE4"/>
    <w:rsid w:val="009A3D37"/>
    <w:rsid w:val="009A3FB2"/>
    <w:rsid w:val="009A40C5"/>
    <w:rsid w:val="009A4D82"/>
    <w:rsid w:val="009A4EEF"/>
    <w:rsid w:val="009A5038"/>
    <w:rsid w:val="009A56B9"/>
    <w:rsid w:val="009A5703"/>
    <w:rsid w:val="009A5BE5"/>
    <w:rsid w:val="009A5E9E"/>
    <w:rsid w:val="009A5F66"/>
    <w:rsid w:val="009A6019"/>
    <w:rsid w:val="009A636B"/>
    <w:rsid w:val="009A6A50"/>
    <w:rsid w:val="009A6BCF"/>
    <w:rsid w:val="009A6CE5"/>
    <w:rsid w:val="009A6DD4"/>
    <w:rsid w:val="009A6F7F"/>
    <w:rsid w:val="009A6FD5"/>
    <w:rsid w:val="009A77B9"/>
    <w:rsid w:val="009A7D90"/>
    <w:rsid w:val="009B035A"/>
    <w:rsid w:val="009B0810"/>
    <w:rsid w:val="009B0B47"/>
    <w:rsid w:val="009B1289"/>
    <w:rsid w:val="009B12EC"/>
    <w:rsid w:val="009B1391"/>
    <w:rsid w:val="009B1440"/>
    <w:rsid w:val="009B169A"/>
    <w:rsid w:val="009B17DE"/>
    <w:rsid w:val="009B2BD7"/>
    <w:rsid w:val="009B327E"/>
    <w:rsid w:val="009B347C"/>
    <w:rsid w:val="009B3609"/>
    <w:rsid w:val="009B360B"/>
    <w:rsid w:val="009B37F8"/>
    <w:rsid w:val="009B39F5"/>
    <w:rsid w:val="009B3DF8"/>
    <w:rsid w:val="009B451E"/>
    <w:rsid w:val="009B4B94"/>
    <w:rsid w:val="009B4D31"/>
    <w:rsid w:val="009B4F15"/>
    <w:rsid w:val="009B51EC"/>
    <w:rsid w:val="009B5788"/>
    <w:rsid w:val="009B5794"/>
    <w:rsid w:val="009B5CDC"/>
    <w:rsid w:val="009B5E7A"/>
    <w:rsid w:val="009B5EE2"/>
    <w:rsid w:val="009B64C4"/>
    <w:rsid w:val="009B6579"/>
    <w:rsid w:val="009B6E36"/>
    <w:rsid w:val="009B704F"/>
    <w:rsid w:val="009B7349"/>
    <w:rsid w:val="009B7372"/>
    <w:rsid w:val="009B73D0"/>
    <w:rsid w:val="009B771A"/>
    <w:rsid w:val="009B7B23"/>
    <w:rsid w:val="009B7B6F"/>
    <w:rsid w:val="009B7C05"/>
    <w:rsid w:val="009B7D4E"/>
    <w:rsid w:val="009B7DC5"/>
    <w:rsid w:val="009C012F"/>
    <w:rsid w:val="009C018A"/>
    <w:rsid w:val="009C03A2"/>
    <w:rsid w:val="009C042A"/>
    <w:rsid w:val="009C0D70"/>
    <w:rsid w:val="009C0F29"/>
    <w:rsid w:val="009C0FCE"/>
    <w:rsid w:val="009C1650"/>
    <w:rsid w:val="009C16A2"/>
    <w:rsid w:val="009C197B"/>
    <w:rsid w:val="009C1B03"/>
    <w:rsid w:val="009C1EC3"/>
    <w:rsid w:val="009C1FEF"/>
    <w:rsid w:val="009C20AF"/>
    <w:rsid w:val="009C210E"/>
    <w:rsid w:val="009C2189"/>
    <w:rsid w:val="009C21FE"/>
    <w:rsid w:val="009C2340"/>
    <w:rsid w:val="009C23A5"/>
    <w:rsid w:val="009C289E"/>
    <w:rsid w:val="009C2A26"/>
    <w:rsid w:val="009C2E69"/>
    <w:rsid w:val="009C2E74"/>
    <w:rsid w:val="009C368B"/>
    <w:rsid w:val="009C3A3A"/>
    <w:rsid w:val="009C3B8B"/>
    <w:rsid w:val="009C3C8F"/>
    <w:rsid w:val="009C40E9"/>
    <w:rsid w:val="009C411E"/>
    <w:rsid w:val="009C4257"/>
    <w:rsid w:val="009C45B6"/>
    <w:rsid w:val="009C46CD"/>
    <w:rsid w:val="009C48FB"/>
    <w:rsid w:val="009C4B57"/>
    <w:rsid w:val="009C4EDF"/>
    <w:rsid w:val="009C5081"/>
    <w:rsid w:val="009C518F"/>
    <w:rsid w:val="009C536E"/>
    <w:rsid w:val="009C54EB"/>
    <w:rsid w:val="009C55DC"/>
    <w:rsid w:val="009C5859"/>
    <w:rsid w:val="009C5B42"/>
    <w:rsid w:val="009C5E07"/>
    <w:rsid w:val="009C5E74"/>
    <w:rsid w:val="009C5EC5"/>
    <w:rsid w:val="009C6705"/>
    <w:rsid w:val="009C6C5C"/>
    <w:rsid w:val="009C6F3C"/>
    <w:rsid w:val="009C6FBE"/>
    <w:rsid w:val="009C700F"/>
    <w:rsid w:val="009C70BB"/>
    <w:rsid w:val="009C723C"/>
    <w:rsid w:val="009C77C1"/>
    <w:rsid w:val="009C7990"/>
    <w:rsid w:val="009D01F6"/>
    <w:rsid w:val="009D06DC"/>
    <w:rsid w:val="009D073C"/>
    <w:rsid w:val="009D0885"/>
    <w:rsid w:val="009D0B41"/>
    <w:rsid w:val="009D0EAE"/>
    <w:rsid w:val="009D0F5C"/>
    <w:rsid w:val="009D198E"/>
    <w:rsid w:val="009D1A14"/>
    <w:rsid w:val="009D1AEA"/>
    <w:rsid w:val="009D1EE1"/>
    <w:rsid w:val="009D1FB6"/>
    <w:rsid w:val="009D20DE"/>
    <w:rsid w:val="009D229C"/>
    <w:rsid w:val="009D2641"/>
    <w:rsid w:val="009D28C6"/>
    <w:rsid w:val="009D2CF9"/>
    <w:rsid w:val="009D2D97"/>
    <w:rsid w:val="009D2F80"/>
    <w:rsid w:val="009D3833"/>
    <w:rsid w:val="009D3CEC"/>
    <w:rsid w:val="009D3FE3"/>
    <w:rsid w:val="009D4414"/>
    <w:rsid w:val="009D4508"/>
    <w:rsid w:val="009D4811"/>
    <w:rsid w:val="009D4930"/>
    <w:rsid w:val="009D49AC"/>
    <w:rsid w:val="009D4A5A"/>
    <w:rsid w:val="009D4FD4"/>
    <w:rsid w:val="009D4FD7"/>
    <w:rsid w:val="009D50AA"/>
    <w:rsid w:val="009D50F0"/>
    <w:rsid w:val="009D5100"/>
    <w:rsid w:val="009D51C8"/>
    <w:rsid w:val="009D5B41"/>
    <w:rsid w:val="009D5B61"/>
    <w:rsid w:val="009D621D"/>
    <w:rsid w:val="009D66DB"/>
    <w:rsid w:val="009D69F2"/>
    <w:rsid w:val="009D6DD7"/>
    <w:rsid w:val="009D6DDB"/>
    <w:rsid w:val="009D6E08"/>
    <w:rsid w:val="009D6E46"/>
    <w:rsid w:val="009D767F"/>
    <w:rsid w:val="009D77BD"/>
    <w:rsid w:val="009D782E"/>
    <w:rsid w:val="009D7986"/>
    <w:rsid w:val="009D7AF0"/>
    <w:rsid w:val="009E04D5"/>
    <w:rsid w:val="009E0740"/>
    <w:rsid w:val="009E078B"/>
    <w:rsid w:val="009E0923"/>
    <w:rsid w:val="009E0947"/>
    <w:rsid w:val="009E0C26"/>
    <w:rsid w:val="009E0E50"/>
    <w:rsid w:val="009E124A"/>
    <w:rsid w:val="009E1261"/>
    <w:rsid w:val="009E1A18"/>
    <w:rsid w:val="009E1A7A"/>
    <w:rsid w:val="009E2188"/>
    <w:rsid w:val="009E21C0"/>
    <w:rsid w:val="009E238F"/>
    <w:rsid w:val="009E28FC"/>
    <w:rsid w:val="009E2AEE"/>
    <w:rsid w:val="009E2E03"/>
    <w:rsid w:val="009E300D"/>
    <w:rsid w:val="009E33C4"/>
    <w:rsid w:val="009E37A6"/>
    <w:rsid w:val="009E38E2"/>
    <w:rsid w:val="009E3BC1"/>
    <w:rsid w:val="009E3FF5"/>
    <w:rsid w:val="009E402B"/>
    <w:rsid w:val="009E40E9"/>
    <w:rsid w:val="009E4ABB"/>
    <w:rsid w:val="009E4DD9"/>
    <w:rsid w:val="009E51CE"/>
    <w:rsid w:val="009E524E"/>
    <w:rsid w:val="009E53E6"/>
    <w:rsid w:val="009E56F8"/>
    <w:rsid w:val="009E5DCB"/>
    <w:rsid w:val="009E5E3D"/>
    <w:rsid w:val="009E624F"/>
    <w:rsid w:val="009E64A0"/>
    <w:rsid w:val="009E671B"/>
    <w:rsid w:val="009E6737"/>
    <w:rsid w:val="009E6809"/>
    <w:rsid w:val="009E6A6E"/>
    <w:rsid w:val="009E6F0D"/>
    <w:rsid w:val="009E6F2B"/>
    <w:rsid w:val="009E702D"/>
    <w:rsid w:val="009E71D2"/>
    <w:rsid w:val="009E7454"/>
    <w:rsid w:val="009E7E31"/>
    <w:rsid w:val="009F0060"/>
    <w:rsid w:val="009F0175"/>
    <w:rsid w:val="009F02F2"/>
    <w:rsid w:val="009F03E4"/>
    <w:rsid w:val="009F0405"/>
    <w:rsid w:val="009F0410"/>
    <w:rsid w:val="009F0651"/>
    <w:rsid w:val="009F087B"/>
    <w:rsid w:val="009F0C4E"/>
    <w:rsid w:val="009F0FA9"/>
    <w:rsid w:val="009F1035"/>
    <w:rsid w:val="009F104F"/>
    <w:rsid w:val="009F1328"/>
    <w:rsid w:val="009F13DB"/>
    <w:rsid w:val="009F1899"/>
    <w:rsid w:val="009F1F3D"/>
    <w:rsid w:val="009F2381"/>
    <w:rsid w:val="009F254E"/>
    <w:rsid w:val="009F26C1"/>
    <w:rsid w:val="009F271B"/>
    <w:rsid w:val="009F278A"/>
    <w:rsid w:val="009F2BED"/>
    <w:rsid w:val="009F2D5A"/>
    <w:rsid w:val="009F2FB9"/>
    <w:rsid w:val="009F3211"/>
    <w:rsid w:val="009F37C3"/>
    <w:rsid w:val="009F3A6B"/>
    <w:rsid w:val="009F3BA9"/>
    <w:rsid w:val="009F3DDF"/>
    <w:rsid w:val="009F3DF9"/>
    <w:rsid w:val="009F3E2D"/>
    <w:rsid w:val="009F4163"/>
    <w:rsid w:val="009F4223"/>
    <w:rsid w:val="009F431F"/>
    <w:rsid w:val="009F4409"/>
    <w:rsid w:val="009F4D2F"/>
    <w:rsid w:val="009F4DAC"/>
    <w:rsid w:val="009F4DFF"/>
    <w:rsid w:val="009F4F74"/>
    <w:rsid w:val="009F5506"/>
    <w:rsid w:val="009F589C"/>
    <w:rsid w:val="009F59DE"/>
    <w:rsid w:val="009F5B0F"/>
    <w:rsid w:val="009F5DEB"/>
    <w:rsid w:val="009F5E37"/>
    <w:rsid w:val="009F65F8"/>
    <w:rsid w:val="009F6B52"/>
    <w:rsid w:val="009F6D43"/>
    <w:rsid w:val="009F6EFB"/>
    <w:rsid w:val="009F7037"/>
    <w:rsid w:val="009F7412"/>
    <w:rsid w:val="009F77B9"/>
    <w:rsid w:val="009F7881"/>
    <w:rsid w:val="009F7B28"/>
    <w:rsid w:val="009F7B62"/>
    <w:rsid w:val="00A00CC0"/>
    <w:rsid w:val="00A00F74"/>
    <w:rsid w:val="00A01249"/>
    <w:rsid w:val="00A0143D"/>
    <w:rsid w:val="00A01722"/>
    <w:rsid w:val="00A01B1A"/>
    <w:rsid w:val="00A01CDB"/>
    <w:rsid w:val="00A020E6"/>
    <w:rsid w:val="00A025E1"/>
    <w:rsid w:val="00A02986"/>
    <w:rsid w:val="00A02B66"/>
    <w:rsid w:val="00A02D80"/>
    <w:rsid w:val="00A02F6E"/>
    <w:rsid w:val="00A031CC"/>
    <w:rsid w:val="00A0326B"/>
    <w:rsid w:val="00A0335C"/>
    <w:rsid w:val="00A036BD"/>
    <w:rsid w:val="00A03ADE"/>
    <w:rsid w:val="00A03F8E"/>
    <w:rsid w:val="00A0426B"/>
    <w:rsid w:val="00A04C53"/>
    <w:rsid w:val="00A04D84"/>
    <w:rsid w:val="00A0519E"/>
    <w:rsid w:val="00A051B7"/>
    <w:rsid w:val="00A051FD"/>
    <w:rsid w:val="00A05286"/>
    <w:rsid w:val="00A0545B"/>
    <w:rsid w:val="00A0563B"/>
    <w:rsid w:val="00A05979"/>
    <w:rsid w:val="00A05A2F"/>
    <w:rsid w:val="00A05A85"/>
    <w:rsid w:val="00A05C4E"/>
    <w:rsid w:val="00A05C92"/>
    <w:rsid w:val="00A05F6F"/>
    <w:rsid w:val="00A0683D"/>
    <w:rsid w:val="00A06A12"/>
    <w:rsid w:val="00A07047"/>
    <w:rsid w:val="00A075CF"/>
    <w:rsid w:val="00A07730"/>
    <w:rsid w:val="00A1007A"/>
    <w:rsid w:val="00A10260"/>
    <w:rsid w:val="00A10349"/>
    <w:rsid w:val="00A10B95"/>
    <w:rsid w:val="00A10DA0"/>
    <w:rsid w:val="00A1107F"/>
    <w:rsid w:val="00A114EC"/>
    <w:rsid w:val="00A115CB"/>
    <w:rsid w:val="00A116D8"/>
    <w:rsid w:val="00A117FC"/>
    <w:rsid w:val="00A117FD"/>
    <w:rsid w:val="00A11C68"/>
    <w:rsid w:val="00A11DDA"/>
    <w:rsid w:val="00A12677"/>
    <w:rsid w:val="00A12746"/>
    <w:rsid w:val="00A12893"/>
    <w:rsid w:val="00A12B7F"/>
    <w:rsid w:val="00A13758"/>
    <w:rsid w:val="00A13A4E"/>
    <w:rsid w:val="00A13C06"/>
    <w:rsid w:val="00A13C3B"/>
    <w:rsid w:val="00A13DB7"/>
    <w:rsid w:val="00A13EA4"/>
    <w:rsid w:val="00A1420E"/>
    <w:rsid w:val="00A14465"/>
    <w:rsid w:val="00A146C3"/>
    <w:rsid w:val="00A14714"/>
    <w:rsid w:val="00A14B4B"/>
    <w:rsid w:val="00A14EAE"/>
    <w:rsid w:val="00A153CE"/>
    <w:rsid w:val="00A158AD"/>
    <w:rsid w:val="00A15CBE"/>
    <w:rsid w:val="00A15F88"/>
    <w:rsid w:val="00A16022"/>
    <w:rsid w:val="00A16446"/>
    <w:rsid w:val="00A1687D"/>
    <w:rsid w:val="00A16AEE"/>
    <w:rsid w:val="00A16B15"/>
    <w:rsid w:val="00A16C1E"/>
    <w:rsid w:val="00A16DD8"/>
    <w:rsid w:val="00A16EE0"/>
    <w:rsid w:val="00A16F53"/>
    <w:rsid w:val="00A170DC"/>
    <w:rsid w:val="00A17364"/>
    <w:rsid w:val="00A177FD"/>
    <w:rsid w:val="00A17830"/>
    <w:rsid w:val="00A17E97"/>
    <w:rsid w:val="00A17F09"/>
    <w:rsid w:val="00A2037C"/>
    <w:rsid w:val="00A20C06"/>
    <w:rsid w:val="00A21A6A"/>
    <w:rsid w:val="00A21D1D"/>
    <w:rsid w:val="00A21DE6"/>
    <w:rsid w:val="00A224B4"/>
    <w:rsid w:val="00A2250A"/>
    <w:rsid w:val="00A227DA"/>
    <w:rsid w:val="00A22902"/>
    <w:rsid w:val="00A22E07"/>
    <w:rsid w:val="00A2306E"/>
    <w:rsid w:val="00A236E2"/>
    <w:rsid w:val="00A23727"/>
    <w:rsid w:val="00A23CCA"/>
    <w:rsid w:val="00A23E9D"/>
    <w:rsid w:val="00A24BD0"/>
    <w:rsid w:val="00A2507F"/>
    <w:rsid w:val="00A254F7"/>
    <w:rsid w:val="00A25BA0"/>
    <w:rsid w:val="00A25EAE"/>
    <w:rsid w:val="00A25F3A"/>
    <w:rsid w:val="00A26175"/>
    <w:rsid w:val="00A2638C"/>
    <w:rsid w:val="00A264DA"/>
    <w:rsid w:val="00A2673C"/>
    <w:rsid w:val="00A26B9C"/>
    <w:rsid w:val="00A27117"/>
    <w:rsid w:val="00A27320"/>
    <w:rsid w:val="00A277B5"/>
    <w:rsid w:val="00A2795C"/>
    <w:rsid w:val="00A27A75"/>
    <w:rsid w:val="00A27BD4"/>
    <w:rsid w:val="00A27DF5"/>
    <w:rsid w:val="00A301FA"/>
    <w:rsid w:val="00A303DD"/>
    <w:rsid w:val="00A30DE5"/>
    <w:rsid w:val="00A30F0E"/>
    <w:rsid w:val="00A30F16"/>
    <w:rsid w:val="00A31026"/>
    <w:rsid w:val="00A311AE"/>
    <w:rsid w:val="00A31598"/>
    <w:rsid w:val="00A3162B"/>
    <w:rsid w:val="00A316E3"/>
    <w:rsid w:val="00A31EE2"/>
    <w:rsid w:val="00A321F4"/>
    <w:rsid w:val="00A32300"/>
    <w:rsid w:val="00A323C3"/>
    <w:rsid w:val="00A325C7"/>
    <w:rsid w:val="00A32B9B"/>
    <w:rsid w:val="00A32E56"/>
    <w:rsid w:val="00A33026"/>
    <w:rsid w:val="00A33173"/>
    <w:rsid w:val="00A3339D"/>
    <w:rsid w:val="00A33576"/>
    <w:rsid w:val="00A33BEE"/>
    <w:rsid w:val="00A341E0"/>
    <w:rsid w:val="00A343AD"/>
    <w:rsid w:val="00A343D6"/>
    <w:rsid w:val="00A34441"/>
    <w:rsid w:val="00A3463D"/>
    <w:rsid w:val="00A34851"/>
    <w:rsid w:val="00A3486F"/>
    <w:rsid w:val="00A348AF"/>
    <w:rsid w:val="00A34D78"/>
    <w:rsid w:val="00A34F49"/>
    <w:rsid w:val="00A351B9"/>
    <w:rsid w:val="00A355DD"/>
    <w:rsid w:val="00A35656"/>
    <w:rsid w:val="00A3585F"/>
    <w:rsid w:val="00A35CAF"/>
    <w:rsid w:val="00A35D5E"/>
    <w:rsid w:val="00A35F8F"/>
    <w:rsid w:val="00A36129"/>
    <w:rsid w:val="00A362BD"/>
    <w:rsid w:val="00A363E6"/>
    <w:rsid w:val="00A36484"/>
    <w:rsid w:val="00A36518"/>
    <w:rsid w:val="00A365DB"/>
    <w:rsid w:val="00A3689D"/>
    <w:rsid w:val="00A36E71"/>
    <w:rsid w:val="00A36FEC"/>
    <w:rsid w:val="00A37230"/>
    <w:rsid w:val="00A372BC"/>
    <w:rsid w:val="00A373CF"/>
    <w:rsid w:val="00A374A4"/>
    <w:rsid w:val="00A376DF"/>
    <w:rsid w:val="00A3777B"/>
    <w:rsid w:val="00A37862"/>
    <w:rsid w:val="00A37939"/>
    <w:rsid w:val="00A37C97"/>
    <w:rsid w:val="00A401A0"/>
    <w:rsid w:val="00A4027E"/>
    <w:rsid w:val="00A40496"/>
    <w:rsid w:val="00A40701"/>
    <w:rsid w:val="00A4092A"/>
    <w:rsid w:val="00A40E6E"/>
    <w:rsid w:val="00A41078"/>
    <w:rsid w:val="00A41137"/>
    <w:rsid w:val="00A41438"/>
    <w:rsid w:val="00A415D7"/>
    <w:rsid w:val="00A4162E"/>
    <w:rsid w:val="00A416AF"/>
    <w:rsid w:val="00A41C54"/>
    <w:rsid w:val="00A41E73"/>
    <w:rsid w:val="00A4218A"/>
    <w:rsid w:val="00A42308"/>
    <w:rsid w:val="00A43176"/>
    <w:rsid w:val="00A43516"/>
    <w:rsid w:val="00A43869"/>
    <w:rsid w:val="00A43F67"/>
    <w:rsid w:val="00A44495"/>
    <w:rsid w:val="00A445B2"/>
    <w:rsid w:val="00A44BEC"/>
    <w:rsid w:val="00A44D14"/>
    <w:rsid w:val="00A44D9B"/>
    <w:rsid w:val="00A45370"/>
    <w:rsid w:val="00A453C1"/>
    <w:rsid w:val="00A45696"/>
    <w:rsid w:val="00A45D2D"/>
    <w:rsid w:val="00A45E1E"/>
    <w:rsid w:val="00A46023"/>
    <w:rsid w:val="00A460EC"/>
    <w:rsid w:val="00A462A2"/>
    <w:rsid w:val="00A46405"/>
    <w:rsid w:val="00A4648D"/>
    <w:rsid w:val="00A46499"/>
    <w:rsid w:val="00A46550"/>
    <w:rsid w:val="00A465AD"/>
    <w:rsid w:val="00A46826"/>
    <w:rsid w:val="00A468DE"/>
    <w:rsid w:val="00A471B3"/>
    <w:rsid w:val="00A47557"/>
    <w:rsid w:val="00A4782C"/>
    <w:rsid w:val="00A47B5B"/>
    <w:rsid w:val="00A47EFC"/>
    <w:rsid w:val="00A50075"/>
    <w:rsid w:val="00A50541"/>
    <w:rsid w:val="00A50B15"/>
    <w:rsid w:val="00A50D04"/>
    <w:rsid w:val="00A50E6F"/>
    <w:rsid w:val="00A50ECC"/>
    <w:rsid w:val="00A50F16"/>
    <w:rsid w:val="00A50FB2"/>
    <w:rsid w:val="00A5123C"/>
    <w:rsid w:val="00A51502"/>
    <w:rsid w:val="00A51622"/>
    <w:rsid w:val="00A51C78"/>
    <w:rsid w:val="00A51D47"/>
    <w:rsid w:val="00A5210F"/>
    <w:rsid w:val="00A523DE"/>
    <w:rsid w:val="00A52C1B"/>
    <w:rsid w:val="00A52CD8"/>
    <w:rsid w:val="00A52D40"/>
    <w:rsid w:val="00A532D3"/>
    <w:rsid w:val="00A53D95"/>
    <w:rsid w:val="00A53E93"/>
    <w:rsid w:val="00A53F46"/>
    <w:rsid w:val="00A54106"/>
    <w:rsid w:val="00A54366"/>
    <w:rsid w:val="00A544DA"/>
    <w:rsid w:val="00A54667"/>
    <w:rsid w:val="00A546E0"/>
    <w:rsid w:val="00A54872"/>
    <w:rsid w:val="00A5492E"/>
    <w:rsid w:val="00A54B26"/>
    <w:rsid w:val="00A54BBA"/>
    <w:rsid w:val="00A5509B"/>
    <w:rsid w:val="00A55348"/>
    <w:rsid w:val="00A55911"/>
    <w:rsid w:val="00A55B83"/>
    <w:rsid w:val="00A55EA2"/>
    <w:rsid w:val="00A55F73"/>
    <w:rsid w:val="00A565EC"/>
    <w:rsid w:val="00A567A5"/>
    <w:rsid w:val="00A56A44"/>
    <w:rsid w:val="00A56F53"/>
    <w:rsid w:val="00A57115"/>
    <w:rsid w:val="00A575E1"/>
    <w:rsid w:val="00A57735"/>
    <w:rsid w:val="00A57AA7"/>
    <w:rsid w:val="00A57DF2"/>
    <w:rsid w:val="00A57E2D"/>
    <w:rsid w:val="00A6013F"/>
    <w:rsid w:val="00A6041E"/>
    <w:rsid w:val="00A604E1"/>
    <w:rsid w:val="00A604E7"/>
    <w:rsid w:val="00A60776"/>
    <w:rsid w:val="00A607A0"/>
    <w:rsid w:val="00A609B2"/>
    <w:rsid w:val="00A609F0"/>
    <w:rsid w:val="00A60BE8"/>
    <w:rsid w:val="00A60E10"/>
    <w:rsid w:val="00A60E9D"/>
    <w:rsid w:val="00A610FE"/>
    <w:rsid w:val="00A61493"/>
    <w:rsid w:val="00A61583"/>
    <w:rsid w:val="00A6166F"/>
    <w:rsid w:val="00A617C4"/>
    <w:rsid w:val="00A61BD5"/>
    <w:rsid w:val="00A61DF7"/>
    <w:rsid w:val="00A61EAD"/>
    <w:rsid w:val="00A61F94"/>
    <w:rsid w:val="00A622F9"/>
    <w:rsid w:val="00A624E9"/>
    <w:rsid w:val="00A624EB"/>
    <w:rsid w:val="00A626C9"/>
    <w:rsid w:val="00A62A6A"/>
    <w:rsid w:val="00A62F7C"/>
    <w:rsid w:val="00A63207"/>
    <w:rsid w:val="00A63742"/>
    <w:rsid w:val="00A6391B"/>
    <w:rsid w:val="00A63BFA"/>
    <w:rsid w:val="00A63D60"/>
    <w:rsid w:val="00A64365"/>
    <w:rsid w:val="00A6470D"/>
    <w:rsid w:val="00A64731"/>
    <w:rsid w:val="00A647C4"/>
    <w:rsid w:val="00A658E3"/>
    <w:rsid w:val="00A659A8"/>
    <w:rsid w:val="00A659F7"/>
    <w:rsid w:val="00A65AEE"/>
    <w:rsid w:val="00A65CC0"/>
    <w:rsid w:val="00A65DD6"/>
    <w:rsid w:val="00A662A5"/>
    <w:rsid w:val="00A663AA"/>
    <w:rsid w:val="00A66610"/>
    <w:rsid w:val="00A6697A"/>
    <w:rsid w:val="00A66A37"/>
    <w:rsid w:val="00A66D08"/>
    <w:rsid w:val="00A67036"/>
    <w:rsid w:val="00A6767A"/>
    <w:rsid w:val="00A67C37"/>
    <w:rsid w:val="00A67DD6"/>
    <w:rsid w:val="00A7014A"/>
    <w:rsid w:val="00A7038B"/>
    <w:rsid w:val="00A70578"/>
    <w:rsid w:val="00A709E4"/>
    <w:rsid w:val="00A70B53"/>
    <w:rsid w:val="00A70D64"/>
    <w:rsid w:val="00A70F26"/>
    <w:rsid w:val="00A71090"/>
    <w:rsid w:val="00A712C6"/>
    <w:rsid w:val="00A713F2"/>
    <w:rsid w:val="00A71473"/>
    <w:rsid w:val="00A7182B"/>
    <w:rsid w:val="00A71D8A"/>
    <w:rsid w:val="00A71FEC"/>
    <w:rsid w:val="00A722B2"/>
    <w:rsid w:val="00A722CE"/>
    <w:rsid w:val="00A723F4"/>
    <w:rsid w:val="00A724E5"/>
    <w:rsid w:val="00A728C8"/>
    <w:rsid w:val="00A729A7"/>
    <w:rsid w:val="00A72AF1"/>
    <w:rsid w:val="00A72C75"/>
    <w:rsid w:val="00A72D78"/>
    <w:rsid w:val="00A72DBF"/>
    <w:rsid w:val="00A72EAE"/>
    <w:rsid w:val="00A7306F"/>
    <w:rsid w:val="00A735F1"/>
    <w:rsid w:val="00A7367E"/>
    <w:rsid w:val="00A73708"/>
    <w:rsid w:val="00A73D58"/>
    <w:rsid w:val="00A73E1A"/>
    <w:rsid w:val="00A741D0"/>
    <w:rsid w:val="00A747AC"/>
    <w:rsid w:val="00A747C9"/>
    <w:rsid w:val="00A74AA6"/>
    <w:rsid w:val="00A74B49"/>
    <w:rsid w:val="00A74C68"/>
    <w:rsid w:val="00A74CF2"/>
    <w:rsid w:val="00A74D21"/>
    <w:rsid w:val="00A74E2B"/>
    <w:rsid w:val="00A74E99"/>
    <w:rsid w:val="00A74F9B"/>
    <w:rsid w:val="00A7577D"/>
    <w:rsid w:val="00A75BBE"/>
    <w:rsid w:val="00A75F19"/>
    <w:rsid w:val="00A76072"/>
    <w:rsid w:val="00A76379"/>
    <w:rsid w:val="00A763C1"/>
    <w:rsid w:val="00A76547"/>
    <w:rsid w:val="00A76795"/>
    <w:rsid w:val="00A76DFF"/>
    <w:rsid w:val="00A76E44"/>
    <w:rsid w:val="00A774C1"/>
    <w:rsid w:val="00A77563"/>
    <w:rsid w:val="00A779F3"/>
    <w:rsid w:val="00A77DF3"/>
    <w:rsid w:val="00A8005B"/>
    <w:rsid w:val="00A801CA"/>
    <w:rsid w:val="00A8028A"/>
    <w:rsid w:val="00A80569"/>
    <w:rsid w:val="00A80A18"/>
    <w:rsid w:val="00A80ABD"/>
    <w:rsid w:val="00A80B23"/>
    <w:rsid w:val="00A81710"/>
    <w:rsid w:val="00A81A35"/>
    <w:rsid w:val="00A81BEA"/>
    <w:rsid w:val="00A81C9E"/>
    <w:rsid w:val="00A81F39"/>
    <w:rsid w:val="00A82342"/>
    <w:rsid w:val="00A82668"/>
    <w:rsid w:val="00A8271D"/>
    <w:rsid w:val="00A82A56"/>
    <w:rsid w:val="00A82B73"/>
    <w:rsid w:val="00A82DB1"/>
    <w:rsid w:val="00A82DC9"/>
    <w:rsid w:val="00A82DD3"/>
    <w:rsid w:val="00A82FB3"/>
    <w:rsid w:val="00A83996"/>
    <w:rsid w:val="00A83A7D"/>
    <w:rsid w:val="00A84014"/>
    <w:rsid w:val="00A847DB"/>
    <w:rsid w:val="00A8494E"/>
    <w:rsid w:val="00A84A32"/>
    <w:rsid w:val="00A85C14"/>
    <w:rsid w:val="00A85E90"/>
    <w:rsid w:val="00A860B5"/>
    <w:rsid w:val="00A86A5A"/>
    <w:rsid w:val="00A86D14"/>
    <w:rsid w:val="00A86D86"/>
    <w:rsid w:val="00A87A44"/>
    <w:rsid w:val="00A87E4C"/>
    <w:rsid w:val="00A900B3"/>
    <w:rsid w:val="00A9010F"/>
    <w:rsid w:val="00A90266"/>
    <w:rsid w:val="00A9031A"/>
    <w:rsid w:val="00A906BF"/>
    <w:rsid w:val="00A90A9A"/>
    <w:rsid w:val="00A90F14"/>
    <w:rsid w:val="00A910AA"/>
    <w:rsid w:val="00A910E3"/>
    <w:rsid w:val="00A911F0"/>
    <w:rsid w:val="00A9136B"/>
    <w:rsid w:val="00A914BC"/>
    <w:rsid w:val="00A917BF"/>
    <w:rsid w:val="00A91B63"/>
    <w:rsid w:val="00A91D35"/>
    <w:rsid w:val="00A91E72"/>
    <w:rsid w:val="00A92361"/>
    <w:rsid w:val="00A92539"/>
    <w:rsid w:val="00A92682"/>
    <w:rsid w:val="00A92AC7"/>
    <w:rsid w:val="00A92B93"/>
    <w:rsid w:val="00A92F1C"/>
    <w:rsid w:val="00A92FA6"/>
    <w:rsid w:val="00A9319A"/>
    <w:rsid w:val="00A936D9"/>
    <w:rsid w:val="00A93786"/>
    <w:rsid w:val="00A937B1"/>
    <w:rsid w:val="00A938E3"/>
    <w:rsid w:val="00A9407C"/>
    <w:rsid w:val="00A941B5"/>
    <w:rsid w:val="00A947E5"/>
    <w:rsid w:val="00A94821"/>
    <w:rsid w:val="00A9487B"/>
    <w:rsid w:val="00A94A9B"/>
    <w:rsid w:val="00A94AEB"/>
    <w:rsid w:val="00A9504A"/>
    <w:rsid w:val="00A952E3"/>
    <w:rsid w:val="00A954B7"/>
    <w:rsid w:val="00A95625"/>
    <w:rsid w:val="00A956E0"/>
    <w:rsid w:val="00A95C88"/>
    <w:rsid w:val="00A95D11"/>
    <w:rsid w:val="00A95FD7"/>
    <w:rsid w:val="00A966A6"/>
    <w:rsid w:val="00A96804"/>
    <w:rsid w:val="00A96998"/>
    <w:rsid w:val="00A96A63"/>
    <w:rsid w:val="00A96C04"/>
    <w:rsid w:val="00A96C8E"/>
    <w:rsid w:val="00A96DDD"/>
    <w:rsid w:val="00A97216"/>
    <w:rsid w:val="00A9739B"/>
    <w:rsid w:val="00A976CA"/>
    <w:rsid w:val="00A977A4"/>
    <w:rsid w:val="00A979E4"/>
    <w:rsid w:val="00A97CE8"/>
    <w:rsid w:val="00AA0509"/>
    <w:rsid w:val="00AA0665"/>
    <w:rsid w:val="00AA10EF"/>
    <w:rsid w:val="00AA1215"/>
    <w:rsid w:val="00AA1412"/>
    <w:rsid w:val="00AA1866"/>
    <w:rsid w:val="00AA192E"/>
    <w:rsid w:val="00AA1D75"/>
    <w:rsid w:val="00AA1E4B"/>
    <w:rsid w:val="00AA211E"/>
    <w:rsid w:val="00AA21F5"/>
    <w:rsid w:val="00AA2ECC"/>
    <w:rsid w:val="00AA3869"/>
    <w:rsid w:val="00AA38AC"/>
    <w:rsid w:val="00AA3AC3"/>
    <w:rsid w:val="00AA3EFD"/>
    <w:rsid w:val="00AA43DA"/>
    <w:rsid w:val="00AA4621"/>
    <w:rsid w:val="00AA4680"/>
    <w:rsid w:val="00AA50CA"/>
    <w:rsid w:val="00AA538D"/>
    <w:rsid w:val="00AA56BD"/>
    <w:rsid w:val="00AA591B"/>
    <w:rsid w:val="00AA59F0"/>
    <w:rsid w:val="00AA5C69"/>
    <w:rsid w:val="00AA63C4"/>
    <w:rsid w:val="00AA6757"/>
    <w:rsid w:val="00AA6B1D"/>
    <w:rsid w:val="00AA7550"/>
    <w:rsid w:val="00AA787E"/>
    <w:rsid w:val="00AA798B"/>
    <w:rsid w:val="00AA79F3"/>
    <w:rsid w:val="00AB0155"/>
    <w:rsid w:val="00AB0394"/>
    <w:rsid w:val="00AB06BD"/>
    <w:rsid w:val="00AB0834"/>
    <w:rsid w:val="00AB0921"/>
    <w:rsid w:val="00AB0AFA"/>
    <w:rsid w:val="00AB0B96"/>
    <w:rsid w:val="00AB0C23"/>
    <w:rsid w:val="00AB0D99"/>
    <w:rsid w:val="00AB0E78"/>
    <w:rsid w:val="00AB12AF"/>
    <w:rsid w:val="00AB12D8"/>
    <w:rsid w:val="00AB1B2E"/>
    <w:rsid w:val="00AB1BEB"/>
    <w:rsid w:val="00AB1D9E"/>
    <w:rsid w:val="00AB1DF7"/>
    <w:rsid w:val="00AB2081"/>
    <w:rsid w:val="00AB20A8"/>
    <w:rsid w:val="00AB2217"/>
    <w:rsid w:val="00AB23D3"/>
    <w:rsid w:val="00AB25A4"/>
    <w:rsid w:val="00AB27B0"/>
    <w:rsid w:val="00AB2952"/>
    <w:rsid w:val="00AB2986"/>
    <w:rsid w:val="00AB2C61"/>
    <w:rsid w:val="00AB2C66"/>
    <w:rsid w:val="00AB2DF0"/>
    <w:rsid w:val="00AB3B71"/>
    <w:rsid w:val="00AB43CD"/>
    <w:rsid w:val="00AB45F1"/>
    <w:rsid w:val="00AB4B71"/>
    <w:rsid w:val="00AB4BFC"/>
    <w:rsid w:val="00AB4E1F"/>
    <w:rsid w:val="00AB4E3B"/>
    <w:rsid w:val="00AB4E4E"/>
    <w:rsid w:val="00AB4F85"/>
    <w:rsid w:val="00AB5581"/>
    <w:rsid w:val="00AB55D3"/>
    <w:rsid w:val="00AB567E"/>
    <w:rsid w:val="00AB57E7"/>
    <w:rsid w:val="00AB5852"/>
    <w:rsid w:val="00AB586E"/>
    <w:rsid w:val="00AB5B3A"/>
    <w:rsid w:val="00AB5C1D"/>
    <w:rsid w:val="00AB5E8A"/>
    <w:rsid w:val="00AB5FA6"/>
    <w:rsid w:val="00AB6169"/>
    <w:rsid w:val="00AB6322"/>
    <w:rsid w:val="00AB65BD"/>
    <w:rsid w:val="00AB6733"/>
    <w:rsid w:val="00AB67D5"/>
    <w:rsid w:val="00AB6A27"/>
    <w:rsid w:val="00AB6CB9"/>
    <w:rsid w:val="00AB6F6D"/>
    <w:rsid w:val="00AB7033"/>
    <w:rsid w:val="00AB798D"/>
    <w:rsid w:val="00AB7B70"/>
    <w:rsid w:val="00AB7FCB"/>
    <w:rsid w:val="00AC063E"/>
    <w:rsid w:val="00AC09DF"/>
    <w:rsid w:val="00AC0EC0"/>
    <w:rsid w:val="00AC10C4"/>
    <w:rsid w:val="00AC1208"/>
    <w:rsid w:val="00AC172C"/>
    <w:rsid w:val="00AC17DD"/>
    <w:rsid w:val="00AC182D"/>
    <w:rsid w:val="00AC196A"/>
    <w:rsid w:val="00AC1A40"/>
    <w:rsid w:val="00AC23D4"/>
    <w:rsid w:val="00AC26E0"/>
    <w:rsid w:val="00AC290B"/>
    <w:rsid w:val="00AC2A13"/>
    <w:rsid w:val="00AC2AFE"/>
    <w:rsid w:val="00AC3474"/>
    <w:rsid w:val="00AC3626"/>
    <w:rsid w:val="00AC39E3"/>
    <w:rsid w:val="00AC3B30"/>
    <w:rsid w:val="00AC4194"/>
    <w:rsid w:val="00AC4508"/>
    <w:rsid w:val="00AC4595"/>
    <w:rsid w:val="00AC4758"/>
    <w:rsid w:val="00AC47B0"/>
    <w:rsid w:val="00AC47D6"/>
    <w:rsid w:val="00AC4E34"/>
    <w:rsid w:val="00AC4F8C"/>
    <w:rsid w:val="00AC50DB"/>
    <w:rsid w:val="00AC5267"/>
    <w:rsid w:val="00AC5ABB"/>
    <w:rsid w:val="00AC61C4"/>
    <w:rsid w:val="00AC63C2"/>
    <w:rsid w:val="00AC73AD"/>
    <w:rsid w:val="00AC7A03"/>
    <w:rsid w:val="00AC7B72"/>
    <w:rsid w:val="00AC7B9E"/>
    <w:rsid w:val="00AC7CCF"/>
    <w:rsid w:val="00AD02A5"/>
    <w:rsid w:val="00AD053C"/>
    <w:rsid w:val="00AD05CE"/>
    <w:rsid w:val="00AD068A"/>
    <w:rsid w:val="00AD0925"/>
    <w:rsid w:val="00AD0D6C"/>
    <w:rsid w:val="00AD0E4C"/>
    <w:rsid w:val="00AD0FB5"/>
    <w:rsid w:val="00AD115E"/>
    <w:rsid w:val="00AD1285"/>
    <w:rsid w:val="00AD1308"/>
    <w:rsid w:val="00AD15AC"/>
    <w:rsid w:val="00AD185B"/>
    <w:rsid w:val="00AD185F"/>
    <w:rsid w:val="00AD18DA"/>
    <w:rsid w:val="00AD1A10"/>
    <w:rsid w:val="00AD21B7"/>
    <w:rsid w:val="00AD21D0"/>
    <w:rsid w:val="00AD2CB2"/>
    <w:rsid w:val="00AD2F8E"/>
    <w:rsid w:val="00AD3228"/>
    <w:rsid w:val="00AD322B"/>
    <w:rsid w:val="00AD32D2"/>
    <w:rsid w:val="00AD36CB"/>
    <w:rsid w:val="00AD3AC0"/>
    <w:rsid w:val="00AD4124"/>
    <w:rsid w:val="00AD412C"/>
    <w:rsid w:val="00AD4215"/>
    <w:rsid w:val="00AD4824"/>
    <w:rsid w:val="00AD490E"/>
    <w:rsid w:val="00AD4FC1"/>
    <w:rsid w:val="00AD5158"/>
    <w:rsid w:val="00AD5BED"/>
    <w:rsid w:val="00AD5F57"/>
    <w:rsid w:val="00AD6676"/>
    <w:rsid w:val="00AD6698"/>
    <w:rsid w:val="00AD66A7"/>
    <w:rsid w:val="00AD682D"/>
    <w:rsid w:val="00AD68C5"/>
    <w:rsid w:val="00AD6ED8"/>
    <w:rsid w:val="00AD708D"/>
    <w:rsid w:val="00AD7378"/>
    <w:rsid w:val="00AD7914"/>
    <w:rsid w:val="00AD7967"/>
    <w:rsid w:val="00AD79DA"/>
    <w:rsid w:val="00AD7CEE"/>
    <w:rsid w:val="00AE012E"/>
    <w:rsid w:val="00AE023E"/>
    <w:rsid w:val="00AE024D"/>
    <w:rsid w:val="00AE029A"/>
    <w:rsid w:val="00AE0368"/>
    <w:rsid w:val="00AE053F"/>
    <w:rsid w:val="00AE068D"/>
    <w:rsid w:val="00AE084C"/>
    <w:rsid w:val="00AE08EA"/>
    <w:rsid w:val="00AE0B79"/>
    <w:rsid w:val="00AE0F81"/>
    <w:rsid w:val="00AE14D4"/>
    <w:rsid w:val="00AE2164"/>
    <w:rsid w:val="00AE231F"/>
    <w:rsid w:val="00AE23C3"/>
    <w:rsid w:val="00AE2737"/>
    <w:rsid w:val="00AE2AA5"/>
    <w:rsid w:val="00AE2DCE"/>
    <w:rsid w:val="00AE2EA6"/>
    <w:rsid w:val="00AE3040"/>
    <w:rsid w:val="00AE3549"/>
    <w:rsid w:val="00AE35E5"/>
    <w:rsid w:val="00AE3E9C"/>
    <w:rsid w:val="00AE3FBA"/>
    <w:rsid w:val="00AE3FD3"/>
    <w:rsid w:val="00AE4054"/>
    <w:rsid w:val="00AE4117"/>
    <w:rsid w:val="00AE4326"/>
    <w:rsid w:val="00AE435C"/>
    <w:rsid w:val="00AE4CC4"/>
    <w:rsid w:val="00AE61AB"/>
    <w:rsid w:val="00AE65D3"/>
    <w:rsid w:val="00AE6702"/>
    <w:rsid w:val="00AE6764"/>
    <w:rsid w:val="00AE6D02"/>
    <w:rsid w:val="00AE6F2F"/>
    <w:rsid w:val="00AE7408"/>
    <w:rsid w:val="00AE7733"/>
    <w:rsid w:val="00AE77DC"/>
    <w:rsid w:val="00AE79E4"/>
    <w:rsid w:val="00AE7F13"/>
    <w:rsid w:val="00AF015F"/>
    <w:rsid w:val="00AF01C1"/>
    <w:rsid w:val="00AF046F"/>
    <w:rsid w:val="00AF0720"/>
    <w:rsid w:val="00AF075F"/>
    <w:rsid w:val="00AF09F9"/>
    <w:rsid w:val="00AF0AB0"/>
    <w:rsid w:val="00AF0DAE"/>
    <w:rsid w:val="00AF0E02"/>
    <w:rsid w:val="00AF0EE7"/>
    <w:rsid w:val="00AF1363"/>
    <w:rsid w:val="00AF14E4"/>
    <w:rsid w:val="00AF1925"/>
    <w:rsid w:val="00AF196D"/>
    <w:rsid w:val="00AF19F2"/>
    <w:rsid w:val="00AF19F4"/>
    <w:rsid w:val="00AF1BFF"/>
    <w:rsid w:val="00AF1D9D"/>
    <w:rsid w:val="00AF2902"/>
    <w:rsid w:val="00AF2AA8"/>
    <w:rsid w:val="00AF2D44"/>
    <w:rsid w:val="00AF2D5B"/>
    <w:rsid w:val="00AF2E79"/>
    <w:rsid w:val="00AF2E91"/>
    <w:rsid w:val="00AF2FDD"/>
    <w:rsid w:val="00AF349A"/>
    <w:rsid w:val="00AF3507"/>
    <w:rsid w:val="00AF38D9"/>
    <w:rsid w:val="00AF3C7E"/>
    <w:rsid w:val="00AF3CE8"/>
    <w:rsid w:val="00AF48F1"/>
    <w:rsid w:val="00AF49DB"/>
    <w:rsid w:val="00AF4D01"/>
    <w:rsid w:val="00AF4E04"/>
    <w:rsid w:val="00AF4E20"/>
    <w:rsid w:val="00AF5367"/>
    <w:rsid w:val="00AF552F"/>
    <w:rsid w:val="00AF555E"/>
    <w:rsid w:val="00AF5843"/>
    <w:rsid w:val="00AF5979"/>
    <w:rsid w:val="00AF5A0E"/>
    <w:rsid w:val="00AF5AE8"/>
    <w:rsid w:val="00AF5B29"/>
    <w:rsid w:val="00AF5B3B"/>
    <w:rsid w:val="00AF5CA3"/>
    <w:rsid w:val="00AF5CFF"/>
    <w:rsid w:val="00AF60BF"/>
    <w:rsid w:val="00AF63A1"/>
    <w:rsid w:val="00AF65A2"/>
    <w:rsid w:val="00AF68C1"/>
    <w:rsid w:val="00AF6AC8"/>
    <w:rsid w:val="00AF6B6D"/>
    <w:rsid w:val="00AF6CB0"/>
    <w:rsid w:val="00AF6D2D"/>
    <w:rsid w:val="00AF7771"/>
    <w:rsid w:val="00AF78C2"/>
    <w:rsid w:val="00AF78D2"/>
    <w:rsid w:val="00AF7E91"/>
    <w:rsid w:val="00AF7F5B"/>
    <w:rsid w:val="00B002A1"/>
    <w:rsid w:val="00B00543"/>
    <w:rsid w:val="00B00659"/>
    <w:rsid w:val="00B00B26"/>
    <w:rsid w:val="00B00C43"/>
    <w:rsid w:val="00B010C2"/>
    <w:rsid w:val="00B01756"/>
    <w:rsid w:val="00B01765"/>
    <w:rsid w:val="00B017FA"/>
    <w:rsid w:val="00B0191A"/>
    <w:rsid w:val="00B019FC"/>
    <w:rsid w:val="00B01C02"/>
    <w:rsid w:val="00B01CC8"/>
    <w:rsid w:val="00B02F96"/>
    <w:rsid w:val="00B03206"/>
    <w:rsid w:val="00B03313"/>
    <w:rsid w:val="00B03471"/>
    <w:rsid w:val="00B03ACA"/>
    <w:rsid w:val="00B03B03"/>
    <w:rsid w:val="00B03D93"/>
    <w:rsid w:val="00B0405E"/>
    <w:rsid w:val="00B04339"/>
    <w:rsid w:val="00B04364"/>
    <w:rsid w:val="00B044B6"/>
    <w:rsid w:val="00B047C7"/>
    <w:rsid w:val="00B049C5"/>
    <w:rsid w:val="00B0501E"/>
    <w:rsid w:val="00B05096"/>
    <w:rsid w:val="00B050FB"/>
    <w:rsid w:val="00B051EF"/>
    <w:rsid w:val="00B05A14"/>
    <w:rsid w:val="00B06189"/>
    <w:rsid w:val="00B0624D"/>
    <w:rsid w:val="00B06403"/>
    <w:rsid w:val="00B06430"/>
    <w:rsid w:val="00B066A7"/>
    <w:rsid w:val="00B06D90"/>
    <w:rsid w:val="00B06E0F"/>
    <w:rsid w:val="00B06FB3"/>
    <w:rsid w:val="00B0709E"/>
    <w:rsid w:val="00B07211"/>
    <w:rsid w:val="00B07283"/>
    <w:rsid w:val="00B07900"/>
    <w:rsid w:val="00B07941"/>
    <w:rsid w:val="00B07B19"/>
    <w:rsid w:val="00B10440"/>
    <w:rsid w:val="00B1066E"/>
    <w:rsid w:val="00B10826"/>
    <w:rsid w:val="00B10C4D"/>
    <w:rsid w:val="00B11025"/>
    <w:rsid w:val="00B1186F"/>
    <w:rsid w:val="00B11BC5"/>
    <w:rsid w:val="00B1202A"/>
    <w:rsid w:val="00B1253E"/>
    <w:rsid w:val="00B12591"/>
    <w:rsid w:val="00B12AD9"/>
    <w:rsid w:val="00B12FE2"/>
    <w:rsid w:val="00B13937"/>
    <w:rsid w:val="00B13BCD"/>
    <w:rsid w:val="00B13E8F"/>
    <w:rsid w:val="00B14500"/>
    <w:rsid w:val="00B145C0"/>
    <w:rsid w:val="00B146F7"/>
    <w:rsid w:val="00B14766"/>
    <w:rsid w:val="00B1482E"/>
    <w:rsid w:val="00B1499E"/>
    <w:rsid w:val="00B14E35"/>
    <w:rsid w:val="00B15117"/>
    <w:rsid w:val="00B15725"/>
    <w:rsid w:val="00B15B35"/>
    <w:rsid w:val="00B16142"/>
    <w:rsid w:val="00B168F7"/>
    <w:rsid w:val="00B16B32"/>
    <w:rsid w:val="00B16B5F"/>
    <w:rsid w:val="00B16DB1"/>
    <w:rsid w:val="00B16F17"/>
    <w:rsid w:val="00B1732C"/>
    <w:rsid w:val="00B17A0A"/>
    <w:rsid w:val="00B17B45"/>
    <w:rsid w:val="00B17BD1"/>
    <w:rsid w:val="00B17BF1"/>
    <w:rsid w:val="00B17FA1"/>
    <w:rsid w:val="00B202D3"/>
    <w:rsid w:val="00B202EE"/>
    <w:rsid w:val="00B2054B"/>
    <w:rsid w:val="00B2058E"/>
    <w:rsid w:val="00B207EB"/>
    <w:rsid w:val="00B207F5"/>
    <w:rsid w:val="00B209DB"/>
    <w:rsid w:val="00B20C3A"/>
    <w:rsid w:val="00B2156D"/>
    <w:rsid w:val="00B21685"/>
    <w:rsid w:val="00B217F8"/>
    <w:rsid w:val="00B21B13"/>
    <w:rsid w:val="00B21B29"/>
    <w:rsid w:val="00B21DF8"/>
    <w:rsid w:val="00B21E66"/>
    <w:rsid w:val="00B21F2B"/>
    <w:rsid w:val="00B21FE2"/>
    <w:rsid w:val="00B22383"/>
    <w:rsid w:val="00B227B0"/>
    <w:rsid w:val="00B22A27"/>
    <w:rsid w:val="00B22AAD"/>
    <w:rsid w:val="00B2310B"/>
    <w:rsid w:val="00B2317E"/>
    <w:rsid w:val="00B23488"/>
    <w:rsid w:val="00B23644"/>
    <w:rsid w:val="00B236A7"/>
    <w:rsid w:val="00B23816"/>
    <w:rsid w:val="00B2390D"/>
    <w:rsid w:val="00B23BE8"/>
    <w:rsid w:val="00B23BF9"/>
    <w:rsid w:val="00B24013"/>
    <w:rsid w:val="00B24207"/>
    <w:rsid w:val="00B24341"/>
    <w:rsid w:val="00B24817"/>
    <w:rsid w:val="00B2484D"/>
    <w:rsid w:val="00B24949"/>
    <w:rsid w:val="00B24A2A"/>
    <w:rsid w:val="00B24C5A"/>
    <w:rsid w:val="00B24DD7"/>
    <w:rsid w:val="00B25286"/>
    <w:rsid w:val="00B252FE"/>
    <w:rsid w:val="00B2539E"/>
    <w:rsid w:val="00B254FB"/>
    <w:rsid w:val="00B25816"/>
    <w:rsid w:val="00B25B82"/>
    <w:rsid w:val="00B26079"/>
    <w:rsid w:val="00B263BC"/>
    <w:rsid w:val="00B2667B"/>
    <w:rsid w:val="00B26D79"/>
    <w:rsid w:val="00B272B1"/>
    <w:rsid w:val="00B274D5"/>
    <w:rsid w:val="00B2754D"/>
    <w:rsid w:val="00B27DEB"/>
    <w:rsid w:val="00B30364"/>
    <w:rsid w:val="00B30606"/>
    <w:rsid w:val="00B30899"/>
    <w:rsid w:val="00B30C97"/>
    <w:rsid w:val="00B30D26"/>
    <w:rsid w:val="00B30D46"/>
    <w:rsid w:val="00B30DB6"/>
    <w:rsid w:val="00B30ED8"/>
    <w:rsid w:val="00B3135D"/>
    <w:rsid w:val="00B314CD"/>
    <w:rsid w:val="00B319DB"/>
    <w:rsid w:val="00B31A3B"/>
    <w:rsid w:val="00B31C8B"/>
    <w:rsid w:val="00B32127"/>
    <w:rsid w:val="00B32198"/>
    <w:rsid w:val="00B32282"/>
    <w:rsid w:val="00B323E3"/>
    <w:rsid w:val="00B3252D"/>
    <w:rsid w:val="00B32534"/>
    <w:rsid w:val="00B328F5"/>
    <w:rsid w:val="00B32BC2"/>
    <w:rsid w:val="00B32DC4"/>
    <w:rsid w:val="00B32DC8"/>
    <w:rsid w:val="00B32EB7"/>
    <w:rsid w:val="00B33329"/>
    <w:rsid w:val="00B33801"/>
    <w:rsid w:val="00B33F48"/>
    <w:rsid w:val="00B34385"/>
    <w:rsid w:val="00B3439B"/>
    <w:rsid w:val="00B345DD"/>
    <w:rsid w:val="00B34951"/>
    <w:rsid w:val="00B34E7D"/>
    <w:rsid w:val="00B34FD3"/>
    <w:rsid w:val="00B359F4"/>
    <w:rsid w:val="00B35A38"/>
    <w:rsid w:val="00B36277"/>
    <w:rsid w:val="00B364A8"/>
    <w:rsid w:val="00B36F40"/>
    <w:rsid w:val="00B3700E"/>
    <w:rsid w:val="00B37073"/>
    <w:rsid w:val="00B3769D"/>
    <w:rsid w:val="00B37A43"/>
    <w:rsid w:val="00B37E37"/>
    <w:rsid w:val="00B37E67"/>
    <w:rsid w:val="00B401D7"/>
    <w:rsid w:val="00B4029F"/>
    <w:rsid w:val="00B4064C"/>
    <w:rsid w:val="00B40BCB"/>
    <w:rsid w:val="00B40DDC"/>
    <w:rsid w:val="00B40DEE"/>
    <w:rsid w:val="00B40E85"/>
    <w:rsid w:val="00B416E8"/>
    <w:rsid w:val="00B41726"/>
    <w:rsid w:val="00B418DA"/>
    <w:rsid w:val="00B41C99"/>
    <w:rsid w:val="00B41EAE"/>
    <w:rsid w:val="00B41F5E"/>
    <w:rsid w:val="00B41F89"/>
    <w:rsid w:val="00B41FAF"/>
    <w:rsid w:val="00B41FC7"/>
    <w:rsid w:val="00B41FF4"/>
    <w:rsid w:val="00B42447"/>
    <w:rsid w:val="00B42C20"/>
    <w:rsid w:val="00B438FC"/>
    <w:rsid w:val="00B43915"/>
    <w:rsid w:val="00B43B4B"/>
    <w:rsid w:val="00B44380"/>
    <w:rsid w:val="00B4447F"/>
    <w:rsid w:val="00B445DD"/>
    <w:rsid w:val="00B446A2"/>
    <w:rsid w:val="00B447C9"/>
    <w:rsid w:val="00B451CD"/>
    <w:rsid w:val="00B453DA"/>
    <w:rsid w:val="00B454EE"/>
    <w:rsid w:val="00B4580C"/>
    <w:rsid w:val="00B45C69"/>
    <w:rsid w:val="00B4613F"/>
    <w:rsid w:val="00B46750"/>
    <w:rsid w:val="00B4685B"/>
    <w:rsid w:val="00B46A92"/>
    <w:rsid w:val="00B46AB3"/>
    <w:rsid w:val="00B477FA"/>
    <w:rsid w:val="00B47A33"/>
    <w:rsid w:val="00B47BB3"/>
    <w:rsid w:val="00B47E89"/>
    <w:rsid w:val="00B47FEF"/>
    <w:rsid w:val="00B5013E"/>
    <w:rsid w:val="00B50299"/>
    <w:rsid w:val="00B50597"/>
    <w:rsid w:val="00B50D35"/>
    <w:rsid w:val="00B50E4F"/>
    <w:rsid w:val="00B50F99"/>
    <w:rsid w:val="00B511C8"/>
    <w:rsid w:val="00B511C9"/>
    <w:rsid w:val="00B51511"/>
    <w:rsid w:val="00B516B9"/>
    <w:rsid w:val="00B517E2"/>
    <w:rsid w:val="00B51BC0"/>
    <w:rsid w:val="00B51C26"/>
    <w:rsid w:val="00B5236A"/>
    <w:rsid w:val="00B52519"/>
    <w:rsid w:val="00B525CD"/>
    <w:rsid w:val="00B528E5"/>
    <w:rsid w:val="00B528F0"/>
    <w:rsid w:val="00B52C36"/>
    <w:rsid w:val="00B52FC5"/>
    <w:rsid w:val="00B53176"/>
    <w:rsid w:val="00B5326B"/>
    <w:rsid w:val="00B533AF"/>
    <w:rsid w:val="00B53660"/>
    <w:rsid w:val="00B53ABD"/>
    <w:rsid w:val="00B53CCB"/>
    <w:rsid w:val="00B54204"/>
    <w:rsid w:val="00B543D9"/>
    <w:rsid w:val="00B546B2"/>
    <w:rsid w:val="00B54996"/>
    <w:rsid w:val="00B54A5A"/>
    <w:rsid w:val="00B54F98"/>
    <w:rsid w:val="00B55233"/>
    <w:rsid w:val="00B55410"/>
    <w:rsid w:val="00B55B11"/>
    <w:rsid w:val="00B55D8E"/>
    <w:rsid w:val="00B56043"/>
    <w:rsid w:val="00B5640F"/>
    <w:rsid w:val="00B5647E"/>
    <w:rsid w:val="00B56C05"/>
    <w:rsid w:val="00B572F4"/>
    <w:rsid w:val="00B57934"/>
    <w:rsid w:val="00B57C80"/>
    <w:rsid w:val="00B57CBB"/>
    <w:rsid w:val="00B57ECE"/>
    <w:rsid w:val="00B60005"/>
    <w:rsid w:val="00B6001B"/>
    <w:rsid w:val="00B600E5"/>
    <w:rsid w:val="00B60217"/>
    <w:rsid w:val="00B6037A"/>
    <w:rsid w:val="00B606F5"/>
    <w:rsid w:val="00B60A20"/>
    <w:rsid w:val="00B60A5C"/>
    <w:rsid w:val="00B60C82"/>
    <w:rsid w:val="00B60C9A"/>
    <w:rsid w:val="00B60DD3"/>
    <w:rsid w:val="00B61927"/>
    <w:rsid w:val="00B61B64"/>
    <w:rsid w:val="00B61C86"/>
    <w:rsid w:val="00B61D34"/>
    <w:rsid w:val="00B61E0F"/>
    <w:rsid w:val="00B61EAC"/>
    <w:rsid w:val="00B62246"/>
    <w:rsid w:val="00B62837"/>
    <w:rsid w:val="00B63042"/>
    <w:rsid w:val="00B63AC9"/>
    <w:rsid w:val="00B63B38"/>
    <w:rsid w:val="00B63D71"/>
    <w:rsid w:val="00B64145"/>
    <w:rsid w:val="00B6438F"/>
    <w:rsid w:val="00B647BB"/>
    <w:rsid w:val="00B64E2C"/>
    <w:rsid w:val="00B64EF0"/>
    <w:rsid w:val="00B64F22"/>
    <w:rsid w:val="00B64F91"/>
    <w:rsid w:val="00B650F4"/>
    <w:rsid w:val="00B65413"/>
    <w:rsid w:val="00B654A9"/>
    <w:rsid w:val="00B65708"/>
    <w:rsid w:val="00B657B5"/>
    <w:rsid w:val="00B65D56"/>
    <w:rsid w:val="00B661C7"/>
    <w:rsid w:val="00B6623D"/>
    <w:rsid w:val="00B66318"/>
    <w:rsid w:val="00B66645"/>
    <w:rsid w:val="00B66665"/>
    <w:rsid w:val="00B66847"/>
    <w:rsid w:val="00B66A62"/>
    <w:rsid w:val="00B66B7C"/>
    <w:rsid w:val="00B66DEA"/>
    <w:rsid w:val="00B66E32"/>
    <w:rsid w:val="00B66F6A"/>
    <w:rsid w:val="00B66FB9"/>
    <w:rsid w:val="00B6719E"/>
    <w:rsid w:val="00B6731B"/>
    <w:rsid w:val="00B67485"/>
    <w:rsid w:val="00B678AD"/>
    <w:rsid w:val="00B678C3"/>
    <w:rsid w:val="00B67BE4"/>
    <w:rsid w:val="00B67C21"/>
    <w:rsid w:val="00B67C8E"/>
    <w:rsid w:val="00B701BC"/>
    <w:rsid w:val="00B704FF"/>
    <w:rsid w:val="00B70848"/>
    <w:rsid w:val="00B708AF"/>
    <w:rsid w:val="00B70A1D"/>
    <w:rsid w:val="00B70A70"/>
    <w:rsid w:val="00B70CDF"/>
    <w:rsid w:val="00B71046"/>
    <w:rsid w:val="00B71320"/>
    <w:rsid w:val="00B714D5"/>
    <w:rsid w:val="00B714F9"/>
    <w:rsid w:val="00B71684"/>
    <w:rsid w:val="00B718D3"/>
    <w:rsid w:val="00B71A2F"/>
    <w:rsid w:val="00B71D5F"/>
    <w:rsid w:val="00B71D9D"/>
    <w:rsid w:val="00B71F08"/>
    <w:rsid w:val="00B71F65"/>
    <w:rsid w:val="00B71FF7"/>
    <w:rsid w:val="00B7214B"/>
    <w:rsid w:val="00B72253"/>
    <w:rsid w:val="00B7230B"/>
    <w:rsid w:val="00B723CE"/>
    <w:rsid w:val="00B72439"/>
    <w:rsid w:val="00B72543"/>
    <w:rsid w:val="00B7274F"/>
    <w:rsid w:val="00B72FA8"/>
    <w:rsid w:val="00B72FCC"/>
    <w:rsid w:val="00B734AB"/>
    <w:rsid w:val="00B734FA"/>
    <w:rsid w:val="00B736CB"/>
    <w:rsid w:val="00B739D4"/>
    <w:rsid w:val="00B73EEA"/>
    <w:rsid w:val="00B7481A"/>
    <w:rsid w:val="00B748CE"/>
    <w:rsid w:val="00B749FA"/>
    <w:rsid w:val="00B74E4C"/>
    <w:rsid w:val="00B74EC0"/>
    <w:rsid w:val="00B7532E"/>
    <w:rsid w:val="00B7569D"/>
    <w:rsid w:val="00B758D7"/>
    <w:rsid w:val="00B75F89"/>
    <w:rsid w:val="00B767B2"/>
    <w:rsid w:val="00B7683A"/>
    <w:rsid w:val="00B768B3"/>
    <w:rsid w:val="00B76A13"/>
    <w:rsid w:val="00B76E23"/>
    <w:rsid w:val="00B76E31"/>
    <w:rsid w:val="00B77206"/>
    <w:rsid w:val="00B7733E"/>
    <w:rsid w:val="00B77428"/>
    <w:rsid w:val="00B7752C"/>
    <w:rsid w:val="00B776AD"/>
    <w:rsid w:val="00B77B6A"/>
    <w:rsid w:val="00B77BCB"/>
    <w:rsid w:val="00B80186"/>
    <w:rsid w:val="00B80271"/>
    <w:rsid w:val="00B80283"/>
    <w:rsid w:val="00B8066B"/>
    <w:rsid w:val="00B806C5"/>
    <w:rsid w:val="00B80D8C"/>
    <w:rsid w:val="00B811F2"/>
    <w:rsid w:val="00B816F1"/>
    <w:rsid w:val="00B8179B"/>
    <w:rsid w:val="00B81AE1"/>
    <w:rsid w:val="00B81E18"/>
    <w:rsid w:val="00B8236F"/>
    <w:rsid w:val="00B82446"/>
    <w:rsid w:val="00B8253E"/>
    <w:rsid w:val="00B82673"/>
    <w:rsid w:val="00B82AF0"/>
    <w:rsid w:val="00B83121"/>
    <w:rsid w:val="00B83592"/>
    <w:rsid w:val="00B83ABA"/>
    <w:rsid w:val="00B83C3F"/>
    <w:rsid w:val="00B83C9B"/>
    <w:rsid w:val="00B83E2F"/>
    <w:rsid w:val="00B84477"/>
    <w:rsid w:val="00B84598"/>
    <w:rsid w:val="00B845F0"/>
    <w:rsid w:val="00B84786"/>
    <w:rsid w:val="00B847BB"/>
    <w:rsid w:val="00B847D2"/>
    <w:rsid w:val="00B84A7B"/>
    <w:rsid w:val="00B850CF"/>
    <w:rsid w:val="00B8531A"/>
    <w:rsid w:val="00B8533A"/>
    <w:rsid w:val="00B8533C"/>
    <w:rsid w:val="00B854FE"/>
    <w:rsid w:val="00B859F9"/>
    <w:rsid w:val="00B85F39"/>
    <w:rsid w:val="00B86213"/>
    <w:rsid w:val="00B86517"/>
    <w:rsid w:val="00B865C4"/>
    <w:rsid w:val="00B86CF4"/>
    <w:rsid w:val="00B86F32"/>
    <w:rsid w:val="00B87035"/>
    <w:rsid w:val="00B87291"/>
    <w:rsid w:val="00B876ED"/>
    <w:rsid w:val="00B87E27"/>
    <w:rsid w:val="00B9063D"/>
    <w:rsid w:val="00B90707"/>
    <w:rsid w:val="00B9074C"/>
    <w:rsid w:val="00B907C0"/>
    <w:rsid w:val="00B90AE7"/>
    <w:rsid w:val="00B90C59"/>
    <w:rsid w:val="00B91071"/>
    <w:rsid w:val="00B91189"/>
    <w:rsid w:val="00B9131E"/>
    <w:rsid w:val="00B9149D"/>
    <w:rsid w:val="00B918B9"/>
    <w:rsid w:val="00B9191D"/>
    <w:rsid w:val="00B91955"/>
    <w:rsid w:val="00B91971"/>
    <w:rsid w:val="00B919DE"/>
    <w:rsid w:val="00B91BF2"/>
    <w:rsid w:val="00B92093"/>
    <w:rsid w:val="00B927AA"/>
    <w:rsid w:val="00B928A4"/>
    <w:rsid w:val="00B92D7E"/>
    <w:rsid w:val="00B92E25"/>
    <w:rsid w:val="00B93050"/>
    <w:rsid w:val="00B93287"/>
    <w:rsid w:val="00B933E0"/>
    <w:rsid w:val="00B93477"/>
    <w:rsid w:val="00B938B9"/>
    <w:rsid w:val="00B938E8"/>
    <w:rsid w:val="00B93B28"/>
    <w:rsid w:val="00B93DFE"/>
    <w:rsid w:val="00B94067"/>
    <w:rsid w:val="00B940E8"/>
    <w:rsid w:val="00B94433"/>
    <w:rsid w:val="00B94500"/>
    <w:rsid w:val="00B946AE"/>
    <w:rsid w:val="00B947E0"/>
    <w:rsid w:val="00B948C5"/>
    <w:rsid w:val="00B949E3"/>
    <w:rsid w:val="00B94A1E"/>
    <w:rsid w:val="00B95052"/>
    <w:rsid w:val="00B953C2"/>
    <w:rsid w:val="00B953DB"/>
    <w:rsid w:val="00B955BA"/>
    <w:rsid w:val="00B957A3"/>
    <w:rsid w:val="00B95800"/>
    <w:rsid w:val="00B9588F"/>
    <w:rsid w:val="00B958FF"/>
    <w:rsid w:val="00B959A1"/>
    <w:rsid w:val="00B959E3"/>
    <w:rsid w:val="00B95A76"/>
    <w:rsid w:val="00B960E8"/>
    <w:rsid w:val="00B96214"/>
    <w:rsid w:val="00B96382"/>
    <w:rsid w:val="00B96594"/>
    <w:rsid w:val="00B9694E"/>
    <w:rsid w:val="00B96C73"/>
    <w:rsid w:val="00B96C91"/>
    <w:rsid w:val="00B9771B"/>
    <w:rsid w:val="00B9784D"/>
    <w:rsid w:val="00BA01F2"/>
    <w:rsid w:val="00BA050E"/>
    <w:rsid w:val="00BA086B"/>
    <w:rsid w:val="00BA0B0A"/>
    <w:rsid w:val="00BA0B46"/>
    <w:rsid w:val="00BA0CEA"/>
    <w:rsid w:val="00BA0D10"/>
    <w:rsid w:val="00BA0D99"/>
    <w:rsid w:val="00BA0E37"/>
    <w:rsid w:val="00BA0FC8"/>
    <w:rsid w:val="00BA1010"/>
    <w:rsid w:val="00BA109A"/>
    <w:rsid w:val="00BA10B7"/>
    <w:rsid w:val="00BA10F6"/>
    <w:rsid w:val="00BA1549"/>
    <w:rsid w:val="00BA17E0"/>
    <w:rsid w:val="00BA1B70"/>
    <w:rsid w:val="00BA1BB5"/>
    <w:rsid w:val="00BA2163"/>
    <w:rsid w:val="00BA2240"/>
    <w:rsid w:val="00BA2633"/>
    <w:rsid w:val="00BA27C2"/>
    <w:rsid w:val="00BA2DBC"/>
    <w:rsid w:val="00BA3030"/>
    <w:rsid w:val="00BA358F"/>
    <w:rsid w:val="00BA35E1"/>
    <w:rsid w:val="00BA3AD6"/>
    <w:rsid w:val="00BA42D1"/>
    <w:rsid w:val="00BA4BBF"/>
    <w:rsid w:val="00BA4E47"/>
    <w:rsid w:val="00BA4E95"/>
    <w:rsid w:val="00BA5002"/>
    <w:rsid w:val="00BA50A7"/>
    <w:rsid w:val="00BA5F1E"/>
    <w:rsid w:val="00BA601F"/>
    <w:rsid w:val="00BA64BB"/>
    <w:rsid w:val="00BA65D9"/>
    <w:rsid w:val="00BA6701"/>
    <w:rsid w:val="00BA67EF"/>
    <w:rsid w:val="00BA6E6F"/>
    <w:rsid w:val="00BA6E8A"/>
    <w:rsid w:val="00BA6F97"/>
    <w:rsid w:val="00BA7466"/>
    <w:rsid w:val="00BA783A"/>
    <w:rsid w:val="00BB0370"/>
    <w:rsid w:val="00BB0D6E"/>
    <w:rsid w:val="00BB0D94"/>
    <w:rsid w:val="00BB0E0E"/>
    <w:rsid w:val="00BB133D"/>
    <w:rsid w:val="00BB176B"/>
    <w:rsid w:val="00BB184B"/>
    <w:rsid w:val="00BB1B8E"/>
    <w:rsid w:val="00BB1C5B"/>
    <w:rsid w:val="00BB1DF6"/>
    <w:rsid w:val="00BB2433"/>
    <w:rsid w:val="00BB276A"/>
    <w:rsid w:val="00BB28A5"/>
    <w:rsid w:val="00BB2E9E"/>
    <w:rsid w:val="00BB3210"/>
    <w:rsid w:val="00BB32EE"/>
    <w:rsid w:val="00BB3829"/>
    <w:rsid w:val="00BB392F"/>
    <w:rsid w:val="00BB3AB9"/>
    <w:rsid w:val="00BB3BBF"/>
    <w:rsid w:val="00BB4204"/>
    <w:rsid w:val="00BB454B"/>
    <w:rsid w:val="00BB4685"/>
    <w:rsid w:val="00BB4B72"/>
    <w:rsid w:val="00BB520B"/>
    <w:rsid w:val="00BB5977"/>
    <w:rsid w:val="00BB5A4D"/>
    <w:rsid w:val="00BB5B30"/>
    <w:rsid w:val="00BB5BF7"/>
    <w:rsid w:val="00BB5E9D"/>
    <w:rsid w:val="00BB638B"/>
    <w:rsid w:val="00BB6B14"/>
    <w:rsid w:val="00BB7187"/>
    <w:rsid w:val="00BB72D4"/>
    <w:rsid w:val="00BB7451"/>
    <w:rsid w:val="00BB74C4"/>
    <w:rsid w:val="00BB7993"/>
    <w:rsid w:val="00BB7ED5"/>
    <w:rsid w:val="00BB7F20"/>
    <w:rsid w:val="00BC01FE"/>
    <w:rsid w:val="00BC039A"/>
    <w:rsid w:val="00BC109B"/>
    <w:rsid w:val="00BC1372"/>
    <w:rsid w:val="00BC16B3"/>
    <w:rsid w:val="00BC1A65"/>
    <w:rsid w:val="00BC1B42"/>
    <w:rsid w:val="00BC1F6E"/>
    <w:rsid w:val="00BC2135"/>
    <w:rsid w:val="00BC2226"/>
    <w:rsid w:val="00BC256D"/>
    <w:rsid w:val="00BC303D"/>
    <w:rsid w:val="00BC3198"/>
    <w:rsid w:val="00BC3259"/>
    <w:rsid w:val="00BC3751"/>
    <w:rsid w:val="00BC37C6"/>
    <w:rsid w:val="00BC38B0"/>
    <w:rsid w:val="00BC3B50"/>
    <w:rsid w:val="00BC3C0D"/>
    <w:rsid w:val="00BC3FB3"/>
    <w:rsid w:val="00BC412E"/>
    <w:rsid w:val="00BC4904"/>
    <w:rsid w:val="00BC4B98"/>
    <w:rsid w:val="00BC4C6D"/>
    <w:rsid w:val="00BC5052"/>
    <w:rsid w:val="00BC5597"/>
    <w:rsid w:val="00BC5E11"/>
    <w:rsid w:val="00BC5FBC"/>
    <w:rsid w:val="00BC61CF"/>
    <w:rsid w:val="00BC636C"/>
    <w:rsid w:val="00BC65EA"/>
    <w:rsid w:val="00BC689B"/>
    <w:rsid w:val="00BC6926"/>
    <w:rsid w:val="00BC6977"/>
    <w:rsid w:val="00BC6E8D"/>
    <w:rsid w:val="00BC706C"/>
    <w:rsid w:val="00BC720F"/>
    <w:rsid w:val="00BC7245"/>
    <w:rsid w:val="00BC74BE"/>
    <w:rsid w:val="00BC7762"/>
    <w:rsid w:val="00BC7952"/>
    <w:rsid w:val="00BC7B5F"/>
    <w:rsid w:val="00BC7E73"/>
    <w:rsid w:val="00BC7FA9"/>
    <w:rsid w:val="00BD052A"/>
    <w:rsid w:val="00BD052C"/>
    <w:rsid w:val="00BD0590"/>
    <w:rsid w:val="00BD083E"/>
    <w:rsid w:val="00BD0AFF"/>
    <w:rsid w:val="00BD1423"/>
    <w:rsid w:val="00BD15AD"/>
    <w:rsid w:val="00BD175D"/>
    <w:rsid w:val="00BD1786"/>
    <w:rsid w:val="00BD18B2"/>
    <w:rsid w:val="00BD1A0F"/>
    <w:rsid w:val="00BD1C8F"/>
    <w:rsid w:val="00BD1E7B"/>
    <w:rsid w:val="00BD2189"/>
    <w:rsid w:val="00BD2597"/>
    <w:rsid w:val="00BD283B"/>
    <w:rsid w:val="00BD29D6"/>
    <w:rsid w:val="00BD2AC6"/>
    <w:rsid w:val="00BD2B57"/>
    <w:rsid w:val="00BD2C2D"/>
    <w:rsid w:val="00BD2E06"/>
    <w:rsid w:val="00BD306E"/>
    <w:rsid w:val="00BD367D"/>
    <w:rsid w:val="00BD379F"/>
    <w:rsid w:val="00BD3A4E"/>
    <w:rsid w:val="00BD3C81"/>
    <w:rsid w:val="00BD3FD1"/>
    <w:rsid w:val="00BD43CE"/>
    <w:rsid w:val="00BD44FA"/>
    <w:rsid w:val="00BD4E76"/>
    <w:rsid w:val="00BD52A9"/>
    <w:rsid w:val="00BD5395"/>
    <w:rsid w:val="00BD57C4"/>
    <w:rsid w:val="00BD5AA7"/>
    <w:rsid w:val="00BD5C3D"/>
    <w:rsid w:val="00BD5E4B"/>
    <w:rsid w:val="00BD5E8F"/>
    <w:rsid w:val="00BD5FEB"/>
    <w:rsid w:val="00BD61DE"/>
    <w:rsid w:val="00BD69A2"/>
    <w:rsid w:val="00BD6D73"/>
    <w:rsid w:val="00BD6E4E"/>
    <w:rsid w:val="00BD6F60"/>
    <w:rsid w:val="00BD6FEE"/>
    <w:rsid w:val="00BD7387"/>
    <w:rsid w:val="00BD7AE8"/>
    <w:rsid w:val="00BD7B88"/>
    <w:rsid w:val="00BD7BBD"/>
    <w:rsid w:val="00BD7C55"/>
    <w:rsid w:val="00BD7F1E"/>
    <w:rsid w:val="00BE002A"/>
    <w:rsid w:val="00BE006B"/>
    <w:rsid w:val="00BE0A0E"/>
    <w:rsid w:val="00BE0B68"/>
    <w:rsid w:val="00BE112D"/>
    <w:rsid w:val="00BE1817"/>
    <w:rsid w:val="00BE1A33"/>
    <w:rsid w:val="00BE1BD6"/>
    <w:rsid w:val="00BE2003"/>
    <w:rsid w:val="00BE220D"/>
    <w:rsid w:val="00BE2212"/>
    <w:rsid w:val="00BE238C"/>
    <w:rsid w:val="00BE23BF"/>
    <w:rsid w:val="00BE2516"/>
    <w:rsid w:val="00BE2768"/>
    <w:rsid w:val="00BE2E31"/>
    <w:rsid w:val="00BE2F54"/>
    <w:rsid w:val="00BE3112"/>
    <w:rsid w:val="00BE32B4"/>
    <w:rsid w:val="00BE3319"/>
    <w:rsid w:val="00BE3421"/>
    <w:rsid w:val="00BE3ED5"/>
    <w:rsid w:val="00BE4217"/>
    <w:rsid w:val="00BE48BF"/>
    <w:rsid w:val="00BE4AC9"/>
    <w:rsid w:val="00BE4B14"/>
    <w:rsid w:val="00BE5031"/>
    <w:rsid w:val="00BE5042"/>
    <w:rsid w:val="00BE5313"/>
    <w:rsid w:val="00BE5351"/>
    <w:rsid w:val="00BE552D"/>
    <w:rsid w:val="00BE560F"/>
    <w:rsid w:val="00BE57D9"/>
    <w:rsid w:val="00BE58E5"/>
    <w:rsid w:val="00BE5A12"/>
    <w:rsid w:val="00BE5BDB"/>
    <w:rsid w:val="00BE5DA5"/>
    <w:rsid w:val="00BE684B"/>
    <w:rsid w:val="00BE693A"/>
    <w:rsid w:val="00BE6C43"/>
    <w:rsid w:val="00BE6C79"/>
    <w:rsid w:val="00BE7127"/>
    <w:rsid w:val="00BE72BC"/>
    <w:rsid w:val="00BE72D3"/>
    <w:rsid w:val="00BE77FF"/>
    <w:rsid w:val="00BE7A74"/>
    <w:rsid w:val="00BE7B0A"/>
    <w:rsid w:val="00BE7C2E"/>
    <w:rsid w:val="00BF09DC"/>
    <w:rsid w:val="00BF0D95"/>
    <w:rsid w:val="00BF0F94"/>
    <w:rsid w:val="00BF105F"/>
    <w:rsid w:val="00BF12AB"/>
    <w:rsid w:val="00BF136A"/>
    <w:rsid w:val="00BF140C"/>
    <w:rsid w:val="00BF151F"/>
    <w:rsid w:val="00BF18EE"/>
    <w:rsid w:val="00BF19A2"/>
    <w:rsid w:val="00BF1C8B"/>
    <w:rsid w:val="00BF1EEE"/>
    <w:rsid w:val="00BF2055"/>
    <w:rsid w:val="00BF22A4"/>
    <w:rsid w:val="00BF2A58"/>
    <w:rsid w:val="00BF2D38"/>
    <w:rsid w:val="00BF3147"/>
    <w:rsid w:val="00BF33F2"/>
    <w:rsid w:val="00BF3441"/>
    <w:rsid w:val="00BF3752"/>
    <w:rsid w:val="00BF3D5C"/>
    <w:rsid w:val="00BF420B"/>
    <w:rsid w:val="00BF4233"/>
    <w:rsid w:val="00BF4763"/>
    <w:rsid w:val="00BF4A0F"/>
    <w:rsid w:val="00BF4A1A"/>
    <w:rsid w:val="00BF4ABC"/>
    <w:rsid w:val="00BF4C0B"/>
    <w:rsid w:val="00BF4F1F"/>
    <w:rsid w:val="00BF5199"/>
    <w:rsid w:val="00BF55B5"/>
    <w:rsid w:val="00BF57AA"/>
    <w:rsid w:val="00BF59D1"/>
    <w:rsid w:val="00BF5B66"/>
    <w:rsid w:val="00BF6334"/>
    <w:rsid w:val="00BF63C6"/>
    <w:rsid w:val="00BF6621"/>
    <w:rsid w:val="00BF6682"/>
    <w:rsid w:val="00BF690F"/>
    <w:rsid w:val="00BF6A53"/>
    <w:rsid w:val="00BF6AD3"/>
    <w:rsid w:val="00BF6BA2"/>
    <w:rsid w:val="00BF73A7"/>
    <w:rsid w:val="00BF7CB1"/>
    <w:rsid w:val="00BF7D0D"/>
    <w:rsid w:val="00C0067F"/>
    <w:rsid w:val="00C00870"/>
    <w:rsid w:val="00C009BB"/>
    <w:rsid w:val="00C00A1C"/>
    <w:rsid w:val="00C0107E"/>
    <w:rsid w:val="00C0159E"/>
    <w:rsid w:val="00C0162B"/>
    <w:rsid w:val="00C02088"/>
    <w:rsid w:val="00C0236D"/>
    <w:rsid w:val="00C02436"/>
    <w:rsid w:val="00C026C7"/>
    <w:rsid w:val="00C0276A"/>
    <w:rsid w:val="00C027CB"/>
    <w:rsid w:val="00C02FF1"/>
    <w:rsid w:val="00C03258"/>
    <w:rsid w:val="00C03592"/>
    <w:rsid w:val="00C035B2"/>
    <w:rsid w:val="00C036D0"/>
    <w:rsid w:val="00C03A04"/>
    <w:rsid w:val="00C03A24"/>
    <w:rsid w:val="00C03D47"/>
    <w:rsid w:val="00C04198"/>
    <w:rsid w:val="00C04676"/>
    <w:rsid w:val="00C04752"/>
    <w:rsid w:val="00C04FF6"/>
    <w:rsid w:val="00C0518C"/>
    <w:rsid w:val="00C05230"/>
    <w:rsid w:val="00C05934"/>
    <w:rsid w:val="00C05F55"/>
    <w:rsid w:val="00C06030"/>
    <w:rsid w:val="00C061DC"/>
    <w:rsid w:val="00C062E6"/>
    <w:rsid w:val="00C06416"/>
    <w:rsid w:val="00C068F6"/>
    <w:rsid w:val="00C06A57"/>
    <w:rsid w:val="00C06B7E"/>
    <w:rsid w:val="00C06D5F"/>
    <w:rsid w:val="00C06E78"/>
    <w:rsid w:val="00C07538"/>
    <w:rsid w:val="00C07CCC"/>
    <w:rsid w:val="00C07EA4"/>
    <w:rsid w:val="00C101DA"/>
    <w:rsid w:val="00C1040C"/>
    <w:rsid w:val="00C10502"/>
    <w:rsid w:val="00C1052F"/>
    <w:rsid w:val="00C10567"/>
    <w:rsid w:val="00C10835"/>
    <w:rsid w:val="00C10C6E"/>
    <w:rsid w:val="00C11101"/>
    <w:rsid w:val="00C111A5"/>
    <w:rsid w:val="00C11293"/>
    <w:rsid w:val="00C119F4"/>
    <w:rsid w:val="00C11C34"/>
    <w:rsid w:val="00C11F06"/>
    <w:rsid w:val="00C11F90"/>
    <w:rsid w:val="00C11F97"/>
    <w:rsid w:val="00C1248D"/>
    <w:rsid w:val="00C1288F"/>
    <w:rsid w:val="00C129B0"/>
    <w:rsid w:val="00C12AAF"/>
    <w:rsid w:val="00C12D03"/>
    <w:rsid w:val="00C12E2C"/>
    <w:rsid w:val="00C12E63"/>
    <w:rsid w:val="00C1397E"/>
    <w:rsid w:val="00C139B3"/>
    <w:rsid w:val="00C14175"/>
    <w:rsid w:val="00C1468D"/>
    <w:rsid w:val="00C14714"/>
    <w:rsid w:val="00C14CEF"/>
    <w:rsid w:val="00C14DD9"/>
    <w:rsid w:val="00C14E3A"/>
    <w:rsid w:val="00C150E4"/>
    <w:rsid w:val="00C15542"/>
    <w:rsid w:val="00C157DF"/>
    <w:rsid w:val="00C1585A"/>
    <w:rsid w:val="00C15BC4"/>
    <w:rsid w:val="00C15C7A"/>
    <w:rsid w:val="00C15CA0"/>
    <w:rsid w:val="00C161A2"/>
    <w:rsid w:val="00C16564"/>
    <w:rsid w:val="00C16620"/>
    <w:rsid w:val="00C16994"/>
    <w:rsid w:val="00C16DE3"/>
    <w:rsid w:val="00C1704D"/>
    <w:rsid w:val="00C171E2"/>
    <w:rsid w:val="00C17414"/>
    <w:rsid w:val="00C178BC"/>
    <w:rsid w:val="00C17967"/>
    <w:rsid w:val="00C17AF8"/>
    <w:rsid w:val="00C2006D"/>
    <w:rsid w:val="00C2015F"/>
    <w:rsid w:val="00C20494"/>
    <w:rsid w:val="00C20555"/>
    <w:rsid w:val="00C20689"/>
    <w:rsid w:val="00C206BA"/>
    <w:rsid w:val="00C20728"/>
    <w:rsid w:val="00C207D9"/>
    <w:rsid w:val="00C2092B"/>
    <w:rsid w:val="00C2095E"/>
    <w:rsid w:val="00C209E2"/>
    <w:rsid w:val="00C20A60"/>
    <w:rsid w:val="00C20BB4"/>
    <w:rsid w:val="00C20C37"/>
    <w:rsid w:val="00C20D96"/>
    <w:rsid w:val="00C20ECE"/>
    <w:rsid w:val="00C20F1E"/>
    <w:rsid w:val="00C2128E"/>
    <w:rsid w:val="00C21512"/>
    <w:rsid w:val="00C2195F"/>
    <w:rsid w:val="00C21CB3"/>
    <w:rsid w:val="00C21D7E"/>
    <w:rsid w:val="00C21E21"/>
    <w:rsid w:val="00C22149"/>
    <w:rsid w:val="00C222DD"/>
    <w:rsid w:val="00C225E7"/>
    <w:rsid w:val="00C22667"/>
    <w:rsid w:val="00C228DF"/>
    <w:rsid w:val="00C22E43"/>
    <w:rsid w:val="00C22F38"/>
    <w:rsid w:val="00C2316E"/>
    <w:rsid w:val="00C23230"/>
    <w:rsid w:val="00C23741"/>
    <w:rsid w:val="00C23D9C"/>
    <w:rsid w:val="00C24397"/>
    <w:rsid w:val="00C244D8"/>
    <w:rsid w:val="00C2458C"/>
    <w:rsid w:val="00C24638"/>
    <w:rsid w:val="00C247BF"/>
    <w:rsid w:val="00C24803"/>
    <w:rsid w:val="00C24A23"/>
    <w:rsid w:val="00C25034"/>
    <w:rsid w:val="00C253EA"/>
    <w:rsid w:val="00C25492"/>
    <w:rsid w:val="00C257E5"/>
    <w:rsid w:val="00C25943"/>
    <w:rsid w:val="00C25CE0"/>
    <w:rsid w:val="00C25CF0"/>
    <w:rsid w:val="00C25D1D"/>
    <w:rsid w:val="00C260EF"/>
    <w:rsid w:val="00C26412"/>
    <w:rsid w:val="00C265ED"/>
    <w:rsid w:val="00C2663C"/>
    <w:rsid w:val="00C2670E"/>
    <w:rsid w:val="00C26779"/>
    <w:rsid w:val="00C268C7"/>
    <w:rsid w:val="00C26954"/>
    <w:rsid w:val="00C26F74"/>
    <w:rsid w:val="00C273E9"/>
    <w:rsid w:val="00C27848"/>
    <w:rsid w:val="00C27D1C"/>
    <w:rsid w:val="00C27D91"/>
    <w:rsid w:val="00C27E9F"/>
    <w:rsid w:val="00C3011A"/>
    <w:rsid w:val="00C30192"/>
    <w:rsid w:val="00C304EF"/>
    <w:rsid w:val="00C306D8"/>
    <w:rsid w:val="00C30A36"/>
    <w:rsid w:val="00C30AA6"/>
    <w:rsid w:val="00C30AD9"/>
    <w:rsid w:val="00C3100F"/>
    <w:rsid w:val="00C31232"/>
    <w:rsid w:val="00C31256"/>
    <w:rsid w:val="00C3145C"/>
    <w:rsid w:val="00C314D0"/>
    <w:rsid w:val="00C315B6"/>
    <w:rsid w:val="00C31753"/>
    <w:rsid w:val="00C31913"/>
    <w:rsid w:val="00C319C1"/>
    <w:rsid w:val="00C31C33"/>
    <w:rsid w:val="00C31F0A"/>
    <w:rsid w:val="00C3204D"/>
    <w:rsid w:val="00C3213F"/>
    <w:rsid w:val="00C32259"/>
    <w:rsid w:val="00C323AE"/>
    <w:rsid w:val="00C3247A"/>
    <w:rsid w:val="00C32830"/>
    <w:rsid w:val="00C32839"/>
    <w:rsid w:val="00C328A3"/>
    <w:rsid w:val="00C328A5"/>
    <w:rsid w:val="00C3299C"/>
    <w:rsid w:val="00C32D73"/>
    <w:rsid w:val="00C33B0C"/>
    <w:rsid w:val="00C33CE3"/>
    <w:rsid w:val="00C33F1F"/>
    <w:rsid w:val="00C33F54"/>
    <w:rsid w:val="00C3404E"/>
    <w:rsid w:val="00C342CD"/>
    <w:rsid w:val="00C345B8"/>
    <w:rsid w:val="00C34825"/>
    <w:rsid w:val="00C34910"/>
    <w:rsid w:val="00C34B04"/>
    <w:rsid w:val="00C34B63"/>
    <w:rsid w:val="00C34D60"/>
    <w:rsid w:val="00C354A2"/>
    <w:rsid w:val="00C358FE"/>
    <w:rsid w:val="00C35975"/>
    <w:rsid w:val="00C35B95"/>
    <w:rsid w:val="00C35CDA"/>
    <w:rsid w:val="00C36201"/>
    <w:rsid w:val="00C36C30"/>
    <w:rsid w:val="00C36D0B"/>
    <w:rsid w:val="00C36E11"/>
    <w:rsid w:val="00C37102"/>
    <w:rsid w:val="00C374A4"/>
    <w:rsid w:val="00C3769F"/>
    <w:rsid w:val="00C37774"/>
    <w:rsid w:val="00C37CAF"/>
    <w:rsid w:val="00C37FAF"/>
    <w:rsid w:val="00C40242"/>
    <w:rsid w:val="00C4024D"/>
    <w:rsid w:val="00C405F5"/>
    <w:rsid w:val="00C40B36"/>
    <w:rsid w:val="00C410A1"/>
    <w:rsid w:val="00C41393"/>
    <w:rsid w:val="00C41647"/>
    <w:rsid w:val="00C41D4E"/>
    <w:rsid w:val="00C424EA"/>
    <w:rsid w:val="00C42914"/>
    <w:rsid w:val="00C42E28"/>
    <w:rsid w:val="00C4351D"/>
    <w:rsid w:val="00C43629"/>
    <w:rsid w:val="00C439B7"/>
    <w:rsid w:val="00C43F13"/>
    <w:rsid w:val="00C44265"/>
    <w:rsid w:val="00C444C0"/>
    <w:rsid w:val="00C44968"/>
    <w:rsid w:val="00C44A7A"/>
    <w:rsid w:val="00C44D43"/>
    <w:rsid w:val="00C454AC"/>
    <w:rsid w:val="00C4574C"/>
    <w:rsid w:val="00C459B4"/>
    <w:rsid w:val="00C45C4D"/>
    <w:rsid w:val="00C45C50"/>
    <w:rsid w:val="00C45F37"/>
    <w:rsid w:val="00C45FBA"/>
    <w:rsid w:val="00C46115"/>
    <w:rsid w:val="00C4612C"/>
    <w:rsid w:val="00C46446"/>
    <w:rsid w:val="00C4649F"/>
    <w:rsid w:val="00C4671A"/>
    <w:rsid w:val="00C46AA6"/>
    <w:rsid w:val="00C46BEE"/>
    <w:rsid w:val="00C4709C"/>
    <w:rsid w:val="00C47218"/>
    <w:rsid w:val="00C4781A"/>
    <w:rsid w:val="00C4789D"/>
    <w:rsid w:val="00C479DB"/>
    <w:rsid w:val="00C47DDC"/>
    <w:rsid w:val="00C47E2E"/>
    <w:rsid w:val="00C501DA"/>
    <w:rsid w:val="00C50353"/>
    <w:rsid w:val="00C506CD"/>
    <w:rsid w:val="00C50A08"/>
    <w:rsid w:val="00C50A87"/>
    <w:rsid w:val="00C50DFC"/>
    <w:rsid w:val="00C50F4D"/>
    <w:rsid w:val="00C51E5E"/>
    <w:rsid w:val="00C522C2"/>
    <w:rsid w:val="00C523E0"/>
    <w:rsid w:val="00C5272A"/>
    <w:rsid w:val="00C52A65"/>
    <w:rsid w:val="00C52BCF"/>
    <w:rsid w:val="00C52DF1"/>
    <w:rsid w:val="00C534A7"/>
    <w:rsid w:val="00C53AC7"/>
    <w:rsid w:val="00C53CD6"/>
    <w:rsid w:val="00C540D3"/>
    <w:rsid w:val="00C5462C"/>
    <w:rsid w:val="00C549E0"/>
    <w:rsid w:val="00C54A84"/>
    <w:rsid w:val="00C54BDB"/>
    <w:rsid w:val="00C54EBC"/>
    <w:rsid w:val="00C551E8"/>
    <w:rsid w:val="00C5547A"/>
    <w:rsid w:val="00C558C3"/>
    <w:rsid w:val="00C55AAB"/>
    <w:rsid w:val="00C56462"/>
    <w:rsid w:val="00C5649C"/>
    <w:rsid w:val="00C565EE"/>
    <w:rsid w:val="00C567FE"/>
    <w:rsid w:val="00C569D5"/>
    <w:rsid w:val="00C56C54"/>
    <w:rsid w:val="00C570F9"/>
    <w:rsid w:val="00C571B2"/>
    <w:rsid w:val="00C57257"/>
    <w:rsid w:val="00C573CF"/>
    <w:rsid w:val="00C57C77"/>
    <w:rsid w:val="00C57FC3"/>
    <w:rsid w:val="00C6000B"/>
    <w:rsid w:val="00C600B3"/>
    <w:rsid w:val="00C603AE"/>
    <w:rsid w:val="00C606A8"/>
    <w:rsid w:val="00C609AA"/>
    <w:rsid w:val="00C60CE4"/>
    <w:rsid w:val="00C60ECE"/>
    <w:rsid w:val="00C61366"/>
    <w:rsid w:val="00C61581"/>
    <w:rsid w:val="00C618FD"/>
    <w:rsid w:val="00C61B7C"/>
    <w:rsid w:val="00C61DC9"/>
    <w:rsid w:val="00C61E97"/>
    <w:rsid w:val="00C62078"/>
    <w:rsid w:val="00C6214D"/>
    <w:rsid w:val="00C62587"/>
    <w:rsid w:val="00C6268B"/>
    <w:rsid w:val="00C630CF"/>
    <w:rsid w:val="00C63116"/>
    <w:rsid w:val="00C63201"/>
    <w:rsid w:val="00C63C9F"/>
    <w:rsid w:val="00C63CAD"/>
    <w:rsid w:val="00C64133"/>
    <w:rsid w:val="00C641E7"/>
    <w:rsid w:val="00C64397"/>
    <w:rsid w:val="00C645F1"/>
    <w:rsid w:val="00C64907"/>
    <w:rsid w:val="00C64B92"/>
    <w:rsid w:val="00C64D5B"/>
    <w:rsid w:val="00C64EC1"/>
    <w:rsid w:val="00C64F55"/>
    <w:rsid w:val="00C652C8"/>
    <w:rsid w:val="00C653E6"/>
    <w:rsid w:val="00C6554D"/>
    <w:rsid w:val="00C65670"/>
    <w:rsid w:val="00C65C90"/>
    <w:rsid w:val="00C65C9E"/>
    <w:rsid w:val="00C65D6E"/>
    <w:rsid w:val="00C65DD7"/>
    <w:rsid w:val="00C65E9C"/>
    <w:rsid w:val="00C66025"/>
    <w:rsid w:val="00C660C0"/>
    <w:rsid w:val="00C667B7"/>
    <w:rsid w:val="00C6697D"/>
    <w:rsid w:val="00C669C2"/>
    <w:rsid w:val="00C66C0A"/>
    <w:rsid w:val="00C66D3E"/>
    <w:rsid w:val="00C67180"/>
    <w:rsid w:val="00C67228"/>
    <w:rsid w:val="00C67332"/>
    <w:rsid w:val="00C676B4"/>
    <w:rsid w:val="00C67925"/>
    <w:rsid w:val="00C67A04"/>
    <w:rsid w:val="00C67E1F"/>
    <w:rsid w:val="00C67F1E"/>
    <w:rsid w:val="00C70280"/>
    <w:rsid w:val="00C70973"/>
    <w:rsid w:val="00C710D6"/>
    <w:rsid w:val="00C71146"/>
    <w:rsid w:val="00C7137A"/>
    <w:rsid w:val="00C71713"/>
    <w:rsid w:val="00C71996"/>
    <w:rsid w:val="00C72496"/>
    <w:rsid w:val="00C7303E"/>
    <w:rsid w:val="00C732A9"/>
    <w:rsid w:val="00C7393F"/>
    <w:rsid w:val="00C739E8"/>
    <w:rsid w:val="00C73D0E"/>
    <w:rsid w:val="00C73D6F"/>
    <w:rsid w:val="00C73E9D"/>
    <w:rsid w:val="00C743EC"/>
    <w:rsid w:val="00C74462"/>
    <w:rsid w:val="00C744F2"/>
    <w:rsid w:val="00C746DD"/>
    <w:rsid w:val="00C747FF"/>
    <w:rsid w:val="00C74F14"/>
    <w:rsid w:val="00C750FA"/>
    <w:rsid w:val="00C753D5"/>
    <w:rsid w:val="00C758D6"/>
    <w:rsid w:val="00C76793"/>
    <w:rsid w:val="00C768C3"/>
    <w:rsid w:val="00C7696C"/>
    <w:rsid w:val="00C76BDA"/>
    <w:rsid w:val="00C771F0"/>
    <w:rsid w:val="00C773BA"/>
    <w:rsid w:val="00C77BF4"/>
    <w:rsid w:val="00C77C59"/>
    <w:rsid w:val="00C77F24"/>
    <w:rsid w:val="00C801B7"/>
    <w:rsid w:val="00C80828"/>
    <w:rsid w:val="00C80EBE"/>
    <w:rsid w:val="00C810D6"/>
    <w:rsid w:val="00C81644"/>
    <w:rsid w:val="00C81B2E"/>
    <w:rsid w:val="00C8235F"/>
    <w:rsid w:val="00C82E15"/>
    <w:rsid w:val="00C82F13"/>
    <w:rsid w:val="00C82FC7"/>
    <w:rsid w:val="00C832D7"/>
    <w:rsid w:val="00C83342"/>
    <w:rsid w:val="00C83466"/>
    <w:rsid w:val="00C8362E"/>
    <w:rsid w:val="00C8380D"/>
    <w:rsid w:val="00C838D6"/>
    <w:rsid w:val="00C83A0B"/>
    <w:rsid w:val="00C83B85"/>
    <w:rsid w:val="00C8429A"/>
    <w:rsid w:val="00C843F6"/>
    <w:rsid w:val="00C845B7"/>
    <w:rsid w:val="00C84639"/>
    <w:rsid w:val="00C84791"/>
    <w:rsid w:val="00C84818"/>
    <w:rsid w:val="00C84C59"/>
    <w:rsid w:val="00C84C69"/>
    <w:rsid w:val="00C84DB1"/>
    <w:rsid w:val="00C854A9"/>
    <w:rsid w:val="00C85604"/>
    <w:rsid w:val="00C857E1"/>
    <w:rsid w:val="00C85D8B"/>
    <w:rsid w:val="00C85DF8"/>
    <w:rsid w:val="00C8611D"/>
    <w:rsid w:val="00C865AB"/>
    <w:rsid w:val="00C86784"/>
    <w:rsid w:val="00C86B98"/>
    <w:rsid w:val="00C86BB8"/>
    <w:rsid w:val="00C87041"/>
    <w:rsid w:val="00C8730B"/>
    <w:rsid w:val="00C875C8"/>
    <w:rsid w:val="00C876A2"/>
    <w:rsid w:val="00C87773"/>
    <w:rsid w:val="00C87915"/>
    <w:rsid w:val="00C87EEB"/>
    <w:rsid w:val="00C900FB"/>
    <w:rsid w:val="00C9023B"/>
    <w:rsid w:val="00C902F3"/>
    <w:rsid w:val="00C905AA"/>
    <w:rsid w:val="00C90932"/>
    <w:rsid w:val="00C90993"/>
    <w:rsid w:val="00C909FE"/>
    <w:rsid w:val="00C90D1E"/>
    <w:rsid w:val="00C9117E"/>
    <w:rsid w:val="00C91184"/>
    <w:rsid w:val="00C911C2"/>
    <w:rsid w:val="00C9129F"/>
    <w:rsid w:val="00C91392"/>
    <w:rsid w:val="00C914F5"/>
    <w:rsid w:val="00C91930"/>
    <w:rsid w:val="00C91A7C"/>
    <w:rsid w:val="00C91AFD"/>
    <w:rsid w:val="00C91B95"/>
    <w:rsid w:val="00C91CA4"/>
    <w:rsid w:val="00C91F80"/>
    <w:rsid w:val="00C920EB"/>
    <w:rsid w:val="00C923A2"/>
    <w:rsid w:val="00C9302A"/>
    <w:rsid w:val="00C93BD7"/>
    <w:rsid w:val="00C93F7B"/>
    <w:rsid w:val="00C9401D"/>
    <w:rsid w:val="00C942D3"/>
    <w:rsid w:val="00C94555"/>
    <w:rsid w:val="00C948CC"/>
    <w:rsid w:val="00C94913"/>
    <w:rsid w:val="00C94931"/>
    <w:rsid w:val="00C94B0F"/>
    <w:rsid w:val="00C94B15"/>
    <w:rsid w:val="00C9503B"/>
    <w:rsid w:val="00C9506E"/>
    <w:rsid w:val="00C9522C"/>
    <w:rsid w:val="00C95436"/>
    <w:rsid w:val="00C95831"/>
    <w:rsid w:val="00C95B43"/>
    <w:rsid w:val="00C95CCD"/>
    <w:rsid w:val="00C961C6"/>
    <w:rsid w:val="00C963DC"/>
    <w:rsid w:val="00C9686C"/>
    <w:rsid w:val="00C96AA0"/>
    <w:rsid w:val="00C96B67"/>
    <w:rsid w:val="00C96BBE"/>
    <w:rsid w:val="00C96BCA"/>
    <w:rsid w:val="00C96F5A"/>
    <w:rsid w:val="00C97421"/>
    <w:rsid w:val="00C97502"/>
    <w:rsid w:val="00C97C89"/>
    <w:rsid w:val="00CA0B72"/>
    <w:rsid w:val="00CA0D6E"/>
    <w:rsid w:val="00CA1434"/>
    <w:rsid w:val="00CA15F9"/>
    <w:rsid w:val="00CA162A"/>
    <w:rsid w:val="00CA1971"/>
    <w:rsid w:val="00CA215B"/>
    <w:rsid w:val="00CA22F5"/>
    <w:rsid w:val="00CA23AB"/>
    <w:rsid w:val="00CA29A0"/>
    <w:rsid w:val="00CA2D45"/>
    <w:rsid w:val="00CA2EBD"/>
    <w:rsid w:val="00CA3984"/>
    <w:rsid w:val="00CA39FD"/>
    <w:rsid w:val="00CA3AF3"/>
    <w:rsid w:val="00CA3B08"/>
    <w:rsid w:val="00CA3BC2"/>
    <w:rsid w:val="00CA3D1F"/>
    <w:rsid w:val="00CA4803"/>
    <w:rsid w:val="00CA48C7"/>
    <w:rsid w:val="00CA516E"/>
    <w:rsid w:val="00CA5171"/>
    <w:rsid w:val="00CA52BE"/>
    <w:rsid w:val="00CA52F9"/>
    <w:rsid w:val="00CA53B5"/>
    <w:rsid w:val="00CA583A"/>
    <w:rsid w:val="00CA58DA"/>
    <w:rsid w:val="00CA5E30"/>
    <w:rsid w:val="00CA5E9C"/>
    <w:rsid w:val="00CA677C"/>
    <w:rsid w:val="00CA68A4"/>
    <w:rsid w:val="00CA6AE6"/>
    <w:rsid w:val="00CA6BF0"/>
    <w:rsid w:val="00CA72B2"/>
    <w:rsid w:val="00CA7A07"/>
    <w:rsid w:val="00CA7C2E"/>
    <w:rsid w:val="00CB00E1"/>
    <w:rsid w:val="00CB0267"/>
    <w:rsid w:val="00CB0651"/>
    <w:rsid w:val="00CB0953"/>
    <w:rsid w:val="00CB0A64"/>
    <w:rsid w:val="00CB0B5B"/>
    <w:rsid w:val="00CB0F5B"/>
    <w:rsid w:val="00CB11C4"/>
    <w:rsid w:val="00CB1888"/>
    <w:rsid w:val="00CB1916"/>
    <w:rsid w:val="00CB1C2E"/>
    <w:rsid w:val="00CB22DF"/>
    <w:rsid w:val="00CB256E"/>
    <w:rsid w:val="00CB291D"/>
    <w:rsid w:val="00CB312F"/>
    <w:rsid w:val="00CB348F"/>
    <w:rsid w:val="00CB3E37"/>
    <w:rsid w:val="00CB4001"/>
    <w:rsid w:val="00CB41C8"/>
    <w:rsid w:val="00CB423F"/>
    <w:rsid w:val="00CB45CF"/>
    <w:rsid w:val="00CB4899"/>
    <w:rsid w:val="00CB48DD"/>
    <w:rsid w:val="00CB49E1"/>
    <w:rsid w:val="00CB4CE4"/>
    <w:rsid w:val="00CB4DC8"/>
    <w:rsid w:val="00CB4FE8"/>
    <w:rsid w:val="00CB538D"/>
    <w:rsid w:val="00CB568A"/>
    <w:rsid w:val="00CB587C"/>
    <w:rsid w:val="00CB5961"/>
    <w:rsid w:val="00CB5DA9"/>
    <w:rsid w:val="00CB6071"/>
    <w:rsid w:val="00CB6087"/>
    <w:rsid w:val="00CB6349"/>
    <w:rsid w:val="00CB6849"/>
    <w:rsid w:val="00CB6950"/>
    <w:rsid w:val="00CB7064"/>
    <w:rsid w:val="00CB70DA"/>
    <w:rsid w:val="00CB71B3"/>
    <w:rsid w:val="00CB72E3"/>
    <w:rsid w:val="00CB744B"/>
    <w:rsid w:val="00CB7A39"/>
    <w:rsid w:val="00CB7A3B"/>
    <w:rsid w:val="00CB7ABC"/>
    <w:rsid w:val="00CB7DD2"/>
    <w:rsid w:val="00CC0016"/>
    <w:rsid w:val="00CC004C"/>
    <w:rsid w:val="00CC0141"/>
    <w:rsid w:val="00CC0173"/>
    <w:rsid w:val="00CC065C"/>
    <w:rsid w:val="00CC07DA"/>
    <w:rsid w:val="00CC0C0E"/>
    <w:rsid w:val="00CC0FE5"/>
    <w:rsid w:val="00CC11E0"/>
    <w:rsid w:val="00CC1316"/>
    <w:rsid w:val="00CC1539"/>
    <w:rsid w:val="00CC1825"/>
    <w:rsid w:val="00CC1C42"/>
    <w:rsid w:val="00CC22BB"/>
    <w:rsid w:val="00CC234A"/>
    <w:rsid w:val="00CC2704"/>
    <w:rsid w:val="00CC33DA"/>
    <w:rsid w:val="00CC3472"/>
    <w:rsid w:val="00CC36B8"/>
    <w:rsid w:val="00CC3843"/>
    <w:rsid w:val="00CC39B2"/>
    <w:rsid w:val="00CC3B22"/>
    <w:rsid w:val="00CC4068"/>
    <w:rsid w:val="00CC4348"/>
    <w:rsid w:val="00CC446A"/>
    <w:rsid w:val="00CC4756"/>
    <w:rsid w:val="00CC4820"/>
    <w:rsid w:val="00CC5102"/>
    <w:rsid w:val="00CC5A85"/>
    <w:rsid w:val="00CC5BC0"/>
    <w:rsid w:val="00CC60E8"/>
    <w:rsid w:val="00CC6339"/>
    <w:rsid w:val="00CC63E1"/>
    <w:rsid w:val="00CC63EA"/>
    <w:rsid w:val="00CC658B"/>
    <w:rsid w:val="00CC663D"/>
    <w:rsid w:val="00CC68B5"/>
    <w:rsid w:val="00CC6C00"/>
    <w:rsid w:val="00CC6C63"/>
    <w:rsid w:val="00CC6DC1"/>
    <w:rsid w:val="00CC719D"/>
    <w:rsid w:val="00CC727A"/>
    <w:rsid w:val="00CC73DB"/>
    <w:rsid w:val="00CC7546"/>
    <w:rsid w:val="00CC7B77"/>
    <w:rsid w:val="00CC7E81"/>
    <w:rsid w:val="00CC7FB2"/>
    <w:rsid w:val="00CD060C"/>
    <w:rsid w:val="00CD06C1"/>
    <w:rsid w:val="00CD097B"/>
    <w:rsid w:val="00CD19E3"/>
    <w:rsid w:val="00CD1A71"/>
    <w:rsid w:val="00CD1A7E"/>
    <w:rsid w:val="00CD1AC8"/>
    <w:rsid w:val="00CD1DCA"/>
    <w:rsid w:val="00CD23E6"/>
    <w:rsid w:val="00CD2600"/>
    <w:rsid w:val="00CD2636"/>
    <w:rsid w:val="00CD26F1"/>
    <w:rsid w:val="00CD2764"/>
    <w:rsid w:val="00CD27A5"/>
    <w:rsid w:val="00CD2816"/>
    <w:rsid w:val="00CD294D"/>
    <w:rsid w:val="00CD2AF2"/>
    <w:rsid w:val="00CD3ADB"/>
    <w:rsid w:val="00CD3C9D"/>
    <w:rsid w:val="00CD406D"/>
    <w:rsid w:val="00CD45FA"/>
    <w:rsid w:val="00CD47F1"/>
    <w:rsid w:val="00CD4A7C"/>
    <w:rsid w:val="00CD5489"/>
    <w:rsid w:val="00CD5699"/>
    <w:rsid w:val="00CD596E"/>
    <w:rsid w:val="00CD5BE3"/>
    <w:rsid w:val="00CD5CD0"/>
    <w:rsid w:val="00CD6DCB"/>
    <w:rsid w:val="00CD6EB3"/>
    <w:rsid w:val="00CD7089"/>
    <w:rsid w:val="00CD7229"/>
    <w:rsid w:val="00CD74A3"/>
    <w:rsid w:val="00CD754E"/>
    <w:rsid w:val="00CD77E2"/>
    <w:rsid w:val="00CD7A28"/>
    <w:rsid w:val="00CD7B5E"/>
    <w:rsid w:val="00CD7EA4"/>
    <w:rsid w:val="00CE0198"/>
    <w:rsid w:val="00CE01DA"/>
    <w:rsid w:val="00CE0913"/>
    <w:rsid w:val="00CE09F4"/>
    <w:rsid w:val="00CE0A0E"/>
    <w:rsid w:val="00CE0F9B"/>
    <w:rsid w:val="00CE11BE"/>
    <w:rsid w:val="00CE145B"/>
    <w:rsid w:val="00CE1516"/>
    <w:rsid w:val="00CE1655"/>
    <w:rsid w:val="00CE2013"/>
    <w:rsid w:val="00CE210E"/>
    <w:rsid w:val="00CE2711"/>
    <w:rsid w:val="00CE2921"/>
    <w:rsid w:val="00CE2C85"/>
    <w:rsid w:val="00CE2CE1"/>
    <w:rsid w:val="00CE2DB3"/>
    <w:rsid w:val="00CE32BF"/>
    <w:rsid w:val="00CE33E8"/>
    <w:rsid w:val="00CE3673"/>
    <w:rsid w:val="00CE3ADB"/>
    <w:rsid w:val="00CE3B0B"/>
    <w:rsid w:val="00CE3D01"/>
    <w:rsid w:val="00CE3FD8"/>
    <w:rsid w:val="00CE4574"/>
    <w:rsid w:val="00CE4C86"/>
    <w:rsid w:val="00CE5169"/>
    <w:rsid w:val="00CE55EA"/>
    <w:rsid w:val="00CE5706"/>
    <w:rsid w:val="00CE5A56"/>
    <w:rsid w:val="00CE5C47"/>
    <w:rsid w:val="00CE5EBF"/>
    <w:rsid w:val="00CE6396"/>
    <w:rsid w:val="00CE67F9"/>
    <w:rsid w:val="00CE6BBB"/>
    <w:rsid w:val="00CE6CE7"/>
    <w:rsid w:val="00CE6D68"/>
    <w:rsid w:val="00CE7DB1"/>
    <w:rsid w:val="00CE7F5A"/>
    <w:rsid w:val="00CF00E5"/>
    <w:rsid w:val="00CF020B"/>
    <w:rsid w:val="00CF03D0"/>
    <w:rsid w:val="00CF05CB"/>
    <w:rsid w:val="00CF08AD"/>
    <w:rsid w:val="00CF0B15"/>
    <w:rsid w:val="00CF0F81"/>
    <w:rsid w:val="00CF1151"/>
    <w:rsid w:val="00CF12BE"/>
    <w:rsid w:val="00CF1601"/>
    <w:rsid w:val="00CF169B"/>
    <w:rsid w:val="00CF1C61"/>
    <w:rsid w:val="00CF1F91"/>
    <w:rsid w:val="00CF20C3"/>
    <w:rsid w:val="00CF226E"/>
    <w:rsid w:val="00CF2568"/>
    <w:rsid w:val="00CF284F"/>
    <w:rsid w:val="00CF29BF"/>
    <w:rsid w:val="00CF2A73"/>
    <w:rsid w:val="00CF2B64"/>
    <w:rsid w:val="00CF2C49"/>
    <w:rsid w:val="00CF318E"/>
    <w:rsid w:val="00CF3198"/>
    <w:rsid w:val="00CF32A8"/>
    <w:rsid w:val="00CF3409"/>
    <w:rsid w:val="00CF3486"/>
    <w:rsid w:val="00CF3700"/>
    <w:rsid w:val="00CF39A8"/>
    <w:rsid w:val="00CF403E"/>
    <w:rsid w:val="00CF44D1"/>
    <w:rsid w:val="00CF469B"/>
    <w:rsid w:val="00CF46B9"/>
    <w:rsid w:val="00CF47A8"/>
    <w:rsid w:val="00CF4928"/>
    <w:rsid w:val="00CF4EF5"/>
    <w:rsid w:val="00CF50ED"/>
    <w:rsid w:val="00CF5683"/>
    <w:rsid w:val="00CF5689"/>
    <w:rsid w:val="00CF5A46"/>
    <w:rsid w:val="00CF6268"/>
    <w:rsid w:val="00CF6444"/>
    <w:rsid w:val="00CF648B"/>
    <w:rsid w:val="00CF67DE"/>
    <w:rsid w:val="00CF695F"/>
    <w:rsid w:val="00CF6A2F"/>
    <w:rsid w:val="00CF6AEA"/>
    <w:rsid w:val="00CF6EE7"/>
    <w:rsid w:val="00CF6F0E"/>
    <w:rsid w:val="00CF71F6"/>
    <w:rsid w:val="00CF7593"/>
    <w:rsid w:val="00CF794C"/>
    <w:rsid w:val="00CF7C5D"/>
    <w:rsid w:val="00D00314"/>
    <w:rsid w:val="00D003B1"/>
    <w:rsid w:val="00D00A5C"/>
    <w:rsid w:val="00D00A89"/>
    <w:rsid w:val="00D00B2F"/>
    <w:rsid w:val="00D00B8D"/>
    <w:rsid w:val="00D0117D"/>
    <w:rsid w:val="00D0168C"/>
    <w:rsid w:val="00D01DA1"/>
    <w:rsid w:val="00D01EF7"/>
    <w:rsid w:val="00D02A5B"/>
    <w:rsid w:val="00D02BB7"/>
    <w:rsid w:val="00D033F6"/>
    <w:rsid w:val="00D0348D"/>
    <w:rsid w:val="00D034BA"/>
    <w:rsid w:val="00D03AA5"/>
    <w:rsid w:val="00D03C02"/>
    <w:rsid w:val="00D03C30"/>
    <w:rsid w:val="00D04115"/>
    <w:rsid w:val="00D04763"/>
    <w:rsid w:val="00D04A26"/>
    <w:rsid w:val="00D04A81"/>
    <w:rsid w:val="00D04C34"/>
    <w:rsid w:val="00D04C69"/>
    <w:rsid w:val="00D04CFA"/>
    <w:rsid w:val="00D04DDB"/>
    <w:rsid w:val="00D04EE4"/>
    <w:rsid w:val="00D055B9"/>
    <w:rsid w:val="00D05B8B"/>
    <w:rsid w:val="00D05D14"/>
    <w:rsid w:val="00D06038"/>
    <w:rsid w:val="00D060D4"/>
    <w:rsid w:val="00D06458"/>
    <w:rsid w:val="00D064CE"/>
    <w:rsid w:val="00D06E40"/>
    <w:rsid w:val="00D06F5F"/>
    <w:rsid w:val="00D0701E"/>
    <w:rsid w:val="00D0746E"/>
    <w:rsid w:val="00D074CA"/>
    <w:rsid w:val="00D0772D"/>
    <w:rsid w:val="00D078D9"/>
    <w:rsid w:val="00D07D81"/>
    <w:rsid w:val="00D1001A"/>
    <w:rsid w:val="00D101AD"/>
    <w:rsid w:val="00D10340"/>
    <w:rsid w:val="00D10407"/>
    <w:rsid w:val="00D1093B"/>
    <w:rsid w:val="00D10952"/>
    <w:rsid w:val="00D10AC5"/>
    <w:rsid w:val="00D10BE7"/>
    <w:rsid w:val="00D10CD2"/>
    <w:rsid w:val="00D10D32"/>
    <w:rsid w:val="00D10F4A"/>
    <w:rsid w:val="00D1154D"/>
    <w:rsid w:val="00D11737"/>
    <w:rsid w:val="00D11772"/>
    <w:rsid w:val="00D11A2D"/>
    <w:rsid w:val="00D120EC"/>
    <w:rsid w:val="00D12268"/>
    <w:rsid w:val="00D12280"/>
    <w:rsid w:val="00D1245D"/>
    <w:rsid w:val="00D12504"/>
    <w:rsid w:val="00D12828"/>
    <w:rsid w:val="00D12B05"/>
    <w:rsid w:val="00D12B85"/>
    <w:rsid w:val="00D1339E"/>
    <w:rsid w:val="00D13CB1"/>
    <w:rsid w:val="00D13FE1"/>
    <w:rsid w:val="00D14138"/>
    <w:rsid w:val="00D14557"/>
    <w:rsid w:val="00D1464F"/>
    <w:rsid w:val="00D14B4E"/>
    <w:rsid w:val="00D14C25"/>
    <w:rsid w:val="00D14D1C"/>
    <w:rsid w:val="00D14DC9"/>
    <w:rsid w:val="00D14E42"/>
    <w:rsid w:val="00D14F95"/>
    <w:rsid w:val="00D1500F"/>
    <w:rsid w:val="00D15477"/>
    <w:rsid w:val="00D156F8"/>
    <w:rsid w:val="00D157AB"/>
    <w:rsid w:val="00D160D7"/>
    <w:rsid w:val="00D160F9"/>
    <w:rsid w:val="00D16455"/>
    <w:rsid w:val="00D166AB"/>
    <w:rsid w:val="00D168D4"/>
    <w:rsid w:val="00D16ADA"/>
    <w:rsid w:val="00D16CD3"/>
    <w:rsid w:val="00D16D58"/>
    <w:rsid w:val="00D16E90"/>
    <w:rsid w:val="00D170EF"/>
    <w:rsid w:val="00D17339"/>
    <w:rsid w:val="00D179F1"/>
    <w:rsid w:val="00D17F2D"/>
    <w:rsid w:val="00D20109"/>
    <w:rsid w:val="00D2013A"/>
    <w:rsid w:val="00D2015C"/>
    <w:rsid w:val="00D20253"/>
    <w:rsid w:val="00D206A3"/>
    <w:rsid w:val="00D20744"/>
    <w:rsid w:val="00D20A19"/>
    <w:rsid w:val="00D20CD9"/>
    <w:rsid w:val="00D213F1"/>
    <w:rsid w:val="00D21B9B"/>
    <w:rsid w:val="00D21CDA"/>
    <w:rsid w:val="00D21F2E"/>
    <w:rsid w:val="00D22260"/>
    <w:rsid w:val="00D22266"/>
    <w:rsid w:val="00D22378"/>
    <w:rsid w:val="00D22672"/>
    <w:rsid w:val="00D22A26"/>
    <w:rsid w:val="00D22D35"/>
    <w:rsid w:val="00D22E4A"/>
    <w:rsid w:val="00D234FE"/>
    <w:rsid w:val="00D238FF"/>
    <w:rsid w:val="00D23DEF"/>
    <w:rsid w:val="00D23F97"/>
    <w:rsid w:val="00D243EB"/>
    <w:rsid w:val="00D2495F"/>
    <w:rsid w:val="00D249A6"/>
    <w:rsid w:val="00D249C6"/>
    <w:rsid w:val="00D24B1A"/>
    <w:rsid w:val="00D24E2B"/>
    <w:rsid w:val="00D25353"/>
    <w:rsid w:val="00D256EE"/>
    <w:rsid w:val="00D258A6"/>
    <w:rsid w:val="00D25F43"/>
    <w:rsid w:val="00D26272"/>
    <w:rsid w:val="00D26588"/>
    <w:rsid w:val="00D266F7"/>
    <w:rsid w:val="00D269AC"/>
    <w:rsid w:val="00D26BB9"/>
    <w:rsid w:val="00D26DF5"/>
    <w:rsid w:val="00D26E5C"/>
    <w:rsid w:val="00D27373"/>
    <w:rsid w:val="00D273DC"/>
    <w:rsid w:val="00D27567"/>
    <w:rsid w:val="00D276A0"/>
    <w:rsid w:val="00D27B5D"/>
    <w:rsid w:val="00D27F74"/>
    <w:rsid w:val="00D30381"/>
    <w:rsid w:val="00D306F9"/>
    <w:rsid w:val="00D307D3"/>
    <w:rsid w:val="00D309D0"/>
    <w:rsid w:val="00D30E47"/>
    <w:rsid w:val="00D310AB"/>
    <w:rsid w:val="00D3114B"/>
    <w:rsid w:val="00D31339"/>
    <w:rsid w:val="00D31446"/>
    <w:rsid w:val="00D314C8"/>
    <w:rsid w:val="00D315CF"/>
    <w:rsid w:val="00D318DE"/>
    <w:rsid w:val="00D31FCB"/>
    <w:rsid w:val="00D3203A"/>
    <w:rsid w:val="00D32089"/>
    <w:rsid w:val="00D32518"/>
    <w:rsid w:val="00D3294A"/>
    <w:rsid w:val="00D32AE4"/>
    <w:rsid w:val="00D32BF2"/>
    <w:rsid w:val="00D32F93"/>
    <w:rsid w:val="00D3320C"/>
    <w:rsid w:val="00D339FF"/>
    <w:rsid w:val="00D33AB0"/>
    <w:rsid w:val="00D345DC"/>
    <w:rsid w:val="00D34646"/>
    <w:rsid w:val="00D34A04"/>
    <w:rsid w:val="00D34B47"/>
    <w:rsid w:val="00D34C4C"/>
    <w:rsid w:val="00D34D6B"/>
    <w:rsid w:val="00D34E09"/>
    <w:rsid w:val="00D35264"/>
    <w:rsid w:val="00D35284"/>
    <w:rsid w:val="00D3559D"/>
    <w:rsid w:val="00D35784"/>
    <w:rsid w:val="00D3583A"/>
    <w:rsid w:val="00D35B76"/>
    <w:rsid w:val="00D35D7F"/>
    <w:rsid w:val="00D36049"/>
    <w:rsid w:val="00D3629F"/>
    <w:rsid w:val="00D365B4"/>
    <w:rsid w:val="00D367E3"/>
    <w:rsid w:val="00D36E0F"/>
    <w:rsid w:val="00D37282"/>
    <w:rsid w:val="00D377E0"/>
    <w:rsid w:val="00D379BF"/>
    <w:rsid w:val="00D379CD"/>
    <w:rsid w:val="00D40B83"/>
    <w:rsid w:val="00D40F0B"/>
    <w:rsid w:val="00D41039"/>
    <w:rsid w:val="00D4162C"/>
    <w:rsid w:val="00D41C12"/>
    <w:rsid w:val="00D41E38"/>
    <w:rsid w:val="00D41F6C"/>
    <w:rsid w:val="00D41FB4"/>
    <w:rsid w:val="00D42103"/>
    <w:rsid w:val="00D42846"/>
    <w:rsid w:val="00D42CD1"/>
    <w:rsid w:val="00D42FBD"/>
    <w:rsid w:val="00D430D1"/>
    <w:rsid w:val="00D432CD"/>
    <w:rsid w:val="00D434A4"/>
    <w:rsid w:val="00D43678"/>
    <w:rsid w:val="00D43B70"/>
    <w:rsid w:val="00D43DCE"/>
    <w:rsid w:val="00D43E54"/>
    <w:rsid w:val="00D443C0"/>
    <w:rsid w:val="00D443C7"/>
    <w:rsid w:val="00D4469A"/>
    <w:rsid w:val="00D4492C"/>
    <w:rsid w:val="00D449ED"/>
    <w:rsid w:val="00D44A9F"/>
    <w:rsid w:val="00D44CBB"/>
    <w:rsid w:val="00D44D18"/>
    <w:rsid w:val="00D44E5E"/>
    <w:rsid w:val="00D44E6E"/>
    <w:rsid w:val="00D44ED2"/>
    <w:rsid w:val="00D452E4"/>
    <w:rsid w:val="00D45671"/>
    <w:rsid w:val="00D45A5C"/>
    <w:rsid w:val="00D45CCF"/>
    <w:rsid w:val="00D45FE3"/>
    <w:rsid w:val="00D46179"/>
    <w:rsid w:val="00D46182"/>
    <w:rsid w:val="00D46836"/>
    <w:rsid w:val="00D469DE"/>
    <w:rsid w:val="00D46C84"/>
    <w:rsid w:val="00D46F51"/>
    <w:rsid w:val="00D4704D"/>
    <w:rsid w:val="00D47139"/>
    <w:rsid w:val="00D47240"/>
    <w:rsid w:val="00D4726A"/>
    <w:rsid w:val="00D472D1"/>
    <w:rsid w:val="00D47444"/>
    <w:rsid w:val="00D4796A"/>
    <w:rsid w:val="00D479DB"/>
    <w:rsid w:val="00D47B54"/>
    <w:rsid w:val="00D47B95"/>
    <w:rsid w:val="00D501F9"/>
    <w:rsid w:val="00D50215"/>
    <w:rsid w:val="00D503C6"/>
    <w:rsid w:val="00D505F6"/>
    <w:rsid w:val="00D50989"/>
    <w:rsid w:val="00D50A70"/>
    <w:rsid w:val="00D50AE0"/>
    <w:rsid w:val="00D510EE"/>
    <w:rsid w:val="00D5126E"/>
    <w:rsid w:val="00D51379"/>
    <w:rsid w:val="00D5147E"/>
    <w:rsid w:val="00D5156F"/>
    <w:rsid w:val="00D5188E"/>
    <w:rsid w:val="00D518A5"/>
    <w:rsid w:val="00D518BB"/>
    <w:rsid w:val="00D519D7"/>
    <w:rsid w:val="00D51A44"/>
    <w:rsid w:val="00D51B0E"/>
    <w:rsid w:val="00D525F2"/>
    <w:rsid w:val="00D52833"/>
    <w:rsid w:val="00D529E4"/>
    <w:rsid w:val="00D52A69"/>
    <w:rsid w:val="00D52E8D"/>
    <w:rsid w:val="00D52FFC"/>
    <w:rsid w:val="00D5341A"/>
    <w:rsid w:val="00D537F2"/>
    <w:rsid w:val="00D53A02"/>
    <w:rsid w:val="00D53A3D"/>
    <w:rsid w:val="00D53F11"/>
    <w:rsid w:val="00D54216"/>
    <w:rsid w:val="00D54618"/>
    <w:rsid w:val="00D54648"/>
    <w:rsid w:val="00D54958"/>
    <w:rsid w:val="00D549BB"/>
    <w:rsid w:val="00D54B28"/>
    <w:rsid w:val="00D55452"/>
    <w:rsid w:val="00D5574D"/>
    <w:rsid w:val="00D55DB4"/>
    <w:rsid w:val="00D560C3"/>
    <w:rsid w:val="00D56536"/>
    <w:rsid w:val="00D565A4"/>
    <w:rsid w:val="00D566C5"/>
    <w:rsid w:val="00D567E5"/>
    <w:rsid w:val="00D569B1"/>
    <w:rsid w:val="00D56C08"/>
    <w:rsid w:val="00D56C11"/>
    <w:rsid w:val="00D56C4C"/>
    <w:rsid w:val="00D56DF8"/>
    <w:rsid w:val="00D56E78"/>
    <w:rsid w:val="00D57592"/>
    <w:rsid w:val="00D57B44"/>
    <w:rsid w:val="00D57C15"/>
    <w:rsid w:val="00D57DE3"/>
    <w:rsid w:val="00D57F95"/>
    <w:rsid w:val="00D60128"/>
    <w:rsid w:val="00D601E4"/>
    <w:rsid w:val="00D60343"/>
    <w:rsid w:val="00D60353"/>
    <w:rsid w:val="00D6046A"/>
    <w:rsid w:val="00D6047E"/>
    <w:rsid w:val="00D6126F"/>
    <w:rsid w:val="00D61B8E"/>
    <w:rsid w:val="00D61C01"/>
    <w:rsid w:val="00D61C02"/>
    <w:rsid w:val="00D61EBD"/>
    <w:rsid w:val="00D620F0"/>
    <w:rsid w:val="00D621AF"/>
    <w:rsid w:val="00D6233B"/>
    <w:rsid w:val="00D6234B"/>
    <w:rsid w:val="00D62626"/>
    <w:rsid w:val="00D6271E"/>
    <w:rsid w:val="00D62888"/>
    <w:rsid w:val="00D62956"/>
    <w:rsid w:val="00D62CD4"/>
    <w:rsid w:val="00D62CF0"/>
    <w:rsid w:val="00D62ED6"/>
    <w:rsid w:val="00D63117"/>
    <w:rsid w:val="00D63831"/>
    <w:rsid w:val="00D639E4"/>
    <w:rsid w:val="00D63A6F"/>
    <w:rsid w:val="00D63AC2"/>
    <w:rsid w:val="00D63C4C"/>
    <w:rsid w:val="00D63C50"/>
    <w:rsid w:val="00D63D08"/>
    <w:rsid w:val="00D6440C"/>
    <w:rsid w:val="00D644C8"/>
    <w:rsid w:val="00D645C7"/>
    <w:rsid w:val="00D647BC"/>
    <w:rsid w:val="00D649F7"/>
    <w:rsid w:val="00D64A6A"/>
    <w:rsid w:val="00D64B1A"/>
    <w:rsid w:val="00D64C54"/>
    <w:rsid w:val="00D6502E"/>
    <w:rsid w:val="00D65289"/>
    <w:rsid w:val="00D65661"/>
    <w:rsid w:val="00D657F3"/>
    <w:rsid w:val="00D65B7E"/>
    <w:rsid w:val="00D65B87"/>
    <w:rsid w:val="00D65E28"/>
    <w:rsid w:val="00D65FD6"/>
    <w:rsid w:val="00D66147"/>
    <w:rsid w:val="00D66253"/>
    <w:rsid w:val="00D66BBA"/>
    <w:rsid w:val="00D66D77"/>
    <w:rsid w:val="00D671D4"/>
    <w:rsid w:val="00D671EA"/>
    <w:rsid w:val="00D673F5"/>
    <w:rsid w:val="00D6774F"/>
    <w:rsid w:val="00D67A22"/>
    <w:rsid w:val="00D67BBF"/>
    <w:rsid w:val="00D67D97"/>
    <w:rsid w:val="00D67E7C"/>
    <w:rsid w:val="00D70426"/>
    <w:rsid w:val="00D70CE5"/>
    <w:rsid w:val="00D711F2"/>
    <w:rsid w:val="00D71761"/>
    <w:rsid w:val="00D719E9"/>
    <w:rsid w:val="00D71A6E"/>
    <w:rsid w:val="00D71B2A"/>
    <w:rsid w:val="00D72AD4"/>
    <w:rsid w:val="00D72E7C"/>
    <w:rsid w:val="00D735C4"/>
    <w:rsid w:val="00D738FE"/>
    <w:rsid w:val="00D73B2E"/>
    <w:rsid w:val="00D73B90"/>
    <w:rsid w:val="00D73D25"/>
    <w:rsid w:val="00D73FB4"/>
    <w:rsid w:val="00D74193"/>
    <w:rsid w:val="00D74515"/>
    <w:rsid w:val="00D74F7E"/>
    <w:rsid w:val="00D74FE7"/>
    <w:rsid w:val="00D757DD"/>
    <w:rsid w:val="00D75974"/>
    <w:rsid w:val="00D75EE3"/>
    <w:rsid w:val="00D760D9"/>
    <w:rsid w:val="00D7618C"/>
    <w:rsid w:val="00D7622D"/>
    <w:rsid w:val="00D7634F"/>
    <w:rsid w:val="00D76575"/>
    <w:rsid w:val="00D769F7"/>
    <w:rsid w:val="00D76C1F"/>
    <w:rsid w:val="00D77200"/>
    <w:rsid w:val="00D77462"/>
    <w:rsid w:val="00D77475"/>
    <w:rsid w:val="00D774B8"/>
    <w:rsid w:val="00D7751B"/>
    <w:rsid w:val="00D7798A"/>
    <w:rsid w:val="00D77B1D"/>
    <w:rsid w:val="00D77B63"/>
    <w:rsid w:val="00D77C27"/>
    <w:rsid w:val="00D77CAA"/>
    <w:rsid w:val="00D804DB"/>
    <w:rsid w:val="00D81629"/>
    <w:rsid w:val="00D81997"/>
    <w:rsid w:val="00D81AD0"/>
    <w:rsid w:val="00D81AE1"/>
    <w:rsid w:val="00D81C62"/>
    <w:rsid w:val="00D81FAA"/>
    <w:rsid w:val="00D82637"/>
    <w:rsid w:val="00D826C3"/>
    <w:rsid w:val="00D82E05"/>
    <w:rsid w:val="00D82E5C"/>
    <w:rsid w:val="00D836C5"/>
    <w:rsid w:val="00D83D47"/>
    <w:rsid w:val="00D83DAF"/>
    <w:rsid w:val="00D83DEA"/>
    <w:rsid w:val="00D84717"/>
    <w:rsid w:val="00D847F7"/>
    <w:rsid w:val="00D848E3"/>
    <w:rsid w:val="00D84AB7"/>
    <w:rsid w:val="00D84CBA"/>
    <w:rsid w:val="00D84D38"/>
    <w:rsid w:val="00D850C4"/>
    <w:rsid w:val="00D8513C"/>
    <w:rsid w:val="00D85946"/>
    <w:rsid w:val="00D85AE8"/>
    <w:rsid w:val="00D85AFE"/>
    <w:rsid w:val="00D85DBC"/>
    <w:rsid w:val="00D85DC2"/>
    <w:rsid w:val="00D860A3"/>
    <w:rsid w:val="00D861DE"/>
    <w:rsid w:val="00D864BC"/>
    <w:rsid w:val="00D86FFD"/>
    <w:rsid w:val="00D87114"/>
    <w:rsid w:val="00D8769A"/>
    <w:rsid w:val="00D876A3"/>
    <w:rsid w:val="00D877DD"/>
    <w:rsid w:val="00D8799B"/>
    <w:rsid w:val="00D87BFF"/>
    <w:rsid w:val="00D87C95"/>
    <w:rsid w:val="00D87EA3"/>
    <w:rsid w:val="00D9076E"/>
    <w:rsid w:val="00D90C2C"/>
    <w:rsid w:val="00D90D82"/>
    <w:rsid w:val="00D90D91"/>
    <w:rsid w:val="00D90DCC"/>
    <w:rsid w:val="00D90E4D"/>
    <w:rsid w:val="00D91034"/>
    <w:rsid w:val="00D9108A"/>
    <w:rsid w:val="00D915DD"/>
    <w:rsid w:val="00D916B3"/>
    <w:rsid w:val="00D9196F"/>
    <w:rsid w:val="00D91B13"/>
    <w:rsid w:val="00D91C77"/>
    <w:rsid w:val="00D91CB6"/>
    <w:rsid w:val="00D91CEB"/>
    <w:rsid w:val="00D92542"/>
    <w:rsid w:val="00D9268A"/>
    <w:rsid w:val="00D927A2"/>
    <w:rsid w:val="00D92849"/>
    <w:rsid w:val="00D929EB"/>
    <w:rsid w:val="00D92A87"/>
    <w:rsid w:val="00D92E07"/>
    <w:rsid w:val="00D92E7F"/>
    <w:rsid w:val="00D93224"/>
    <w:rsid w:val="00D93575"/>
    <w:rsid w:val="00D9362A"/>
    <w:rsid w:val="00D93639"/>
    <w:rsid w:val="00D9382E"/>
    <w:rsid w:val="00D93B7B"/>
    <w:rsid w:val="00D93C47"/>
    <w:rsid w:val="00D93DBE"/>
    <w:rsid w:val="00D93DEC"/>
    <w:rsid w:val="00D93E36"/>
    <w:rsid w:val="00D93EC4"/>
    <w:rsid w:val="00D94462"/>
    <w:rsid w:val="00D944CE"/>
    <w:rsid w:val="00D94782"/>
    <w:rsid w:val="00D94B34"/>
    <w:rsid w:val="00D94CF1"/>
    <w:rsid w:val="00D94F6F"/>
    <w:rsid w:val="00D95A3D"/>
    <w:rsid w:val="00D96A61"/>
    <w:rsid w:val="00D96C78"/>
    <w:rsid w:val="00D97505"/>
    <w:rsid w:val="00D97C63"/>
    <w:rsid w:val="00DA0440"/>
    <w:rsid w:val="00DA0865"/>
    <w:rsid w:val="00DA0ED5"/>
    <w:rsid w:val="00DA1229"/>
    <w:rsid w:val="00DA155A"/>
    <w:rsid w:val="00DA23E3"/>
    <w:rsid w:val="00DA2458"/>
    <w:rsid w:val="00DA254B"/>
    <w:rsid w:val="00DA2A80"/>
    <w:rsid w:val="00DA2C9D"/>
    <w:rsid w:val="00DA2E25"/>
    <w:rsid w:val="00DA2FD7"/>
    <w:rsid w:val="00DA3250"/>
    <w:rsid w:val="00DA3300"/>
    <w:rsid w:val="00DA35EA"/>
    <w:rsid w:val="00DA4216"/>
    <w:rsid w:val="00DA45F7"/>
    <w:rsid w:val="00DA4809"/>
    <w:rsid w:val="00DA4A71"/>
    <w:rsid w:val="00DA4AF7"/>
    <w:rsid w:val="00DA4D99"/>
    <w:rsid w:val="00DA4EDF"/>
    <w:rsid w:val="00DA4FC9"/>
    <w:rsid w:val="00DA544B"/>
    <w:rsid w:val="00DA571F"/>
    <w:rsid w:val="00DA58C8"/>
    <w:rsid w:val="00DA5A5C"/>
    <w:rsid w:val="00DA5B3D"/>
    <w:rsid w:val="00DA6096"/>
    <w:rsid w:val="00DA6515"/>
    <w:rsid w:val="00DA65B8"/>
    <w:rsid w:val="00DA6787"/>
    <w:rsid w:val="00DA6A0C"/>
    <w:rsid w:val="00DA6A11"/>
    <w:rsid w:val="00DA6A58"/>
    <w:rsid w:val="00DA6A68"/>
    <w:rsid w:val="00DA6D35"/>
    <w:rsid w:val="00DA6FD8"/>
    <w:rsid w:val="00DA7012"/>
    <w:rsid w:val="00DA75B7"/>
    <w:rsid w:val="00DA7D27"/>
    <w:rsid w:val="00DB0462"/>
    <w:rsid w:val="00DB0EA6"/>
    <w:rsid w:val="00DB11CB"/>
    <w:rsid w:val="00DB15D0"/>
    <w:rsid w:val="00DB19C0"/>
    <w:rsid w:val="00DB1A7E"/>
    <w:rsid w:val="00DB1A96"/>
    <w:rsid w:val="00DB1B75"/>
    <w:rsid w:val="00DB1F6E"/>
    <w:rsid w:val="00DB2337"/>
    <w:rsid w:val="00DB251A"/>
    <w:rsid w:val="00DB26AA"/>
    <w:rsid w:val="00DB2AD8"/>
    <w:rsid w:val="00DB2B03"/>
    <w:rsid w:val="00DB2D1B"/>
    <w:rsid w:val="00DB2E6B"/>
    <w:rsid w:val="00DB2F06"/>
    <w:rsid w:val="00DB314F"/>
    <w:rsid w:val="00DB3268"/>
    <w:rsid w:val="00DB3385"/>
    <w:rsid w:val="00DB33A0"/>
    <w:rsid w:val="00DB393A"/>
    <w:rsid w:val="00DB3A80"/>
    <w:rsid w:val="00DB3CDC"/>
    <w:rsid w:val="00DB4219"/>
    <w:rsid w:val="00DB4464"/>
    <w:rsid w:val="00DB453E"/>
    <w:rsid w:val="00DB4544"/>
    <w:rsid w:val="00DB476C"/>
    <w:rsid w:val="00DB479B"/>
    <w:rsid w:val="00DB4DF4"/>
    <w:rsid w:val="00DB4F2B"/>
    <w:rsid w:val="00DB52AB"/>
    <w:rsid w:val="00DB557D"/>
    <w:rsid w:val="00DB5A5E"/>
    <w:rsid w:val="00DB5AEF"/>
    <w:rsid w:val="00DB5F3C"/>
    <w:rsid w:val="00DB6303"/>
    <w:rsid w:val="00DB6711"/>
    <w:rsid w:val="00DB67F2"/>
    <w:rsid w:val="00DB6BA0"/>
    <w:rsid w:val="00DB6D34"/>
    <w:rsid w:val="00DB7008"/>
    <w:rsid w:val="00DB7263"/>
    <w:rsid w:val="00DB7550"/>
    <w:rsid w:val="00DB7867"/>
    <w:rsid w:val="00DB7E0B"/>
    <w:rsid w:val="00DB7EC4"/>
    <w:rsid w:val="00DC023A"/>
    <w:rsid w:val="00DC04D6"/>
    <w:rsid w:val="00DC0874"/>
    <w:rsid w:val="00DC097F"/>
    <w:rsid w:val="00DC09C4"/>
    <w:rsid w:val="00DC0B2F"/>
    <w:rsid w:val="00DC0E11"/>
    <w:rsid w:val="00DC0FA5"/>
    <w:rsid w:val="00DC10CB"/>
    <w:rsid w:val="00DC141A"/>
    <w:rsid w:val="00DC1647"/>
    <w:rsid w:val="00DC169E"/>
    <w:rsid w:val="00DC1760"/>
    <w:rsid w:val="00DC1A91"/>
    <w:rsid w:val="00DC1CFB"/>
    <w:rsid w:val="00DC1D70"/>
    <w:rsid w:val="00DC1FB7"/>
    <w:rsid w:val="00DC22A4"/>
    <w:rsid w:val="00DC2317"/>
    <w:rsid w:val="00DC237F"/>
    <w:rsid w:val="00DC259C"/>
    <w:rsid w:val="00DC25FF"/>
    <w:rsid w:val="00DC292A"/>
    <w:rsid w:val="00DC2C11"/>
    <w:rsid w:val="00DC2FE4"/>
    <w:rsid w:val="00DC30A3"/>
    <w:rsid w:val="00DC33D2"/>
    <w:rsid w:val="00DC33D3"/>
    <w:rsid w:val="00DC34BC"/>
    <w:rsid w:val="00DC3715"/>
    <w:rsid w:val="00DC37D5"/>
    <w:rsid w:val="00DC3D21"/>
    <w:rsid w:val="00DC3FA4"/>
    <w:rsid w:val="00DC42CF"/>
    <w:rsid w:val="00DC4D10"/>
    <w:rsid w:val="00DC5037"/>
    <w:rsid w:val="00DC5171"/>
    <w:rsid w:val="00DC531E"/>
    <w:rsid w:val="00DC54E6"/>
    <w:rsid w:val="00DC57D4"/>
    <w:rsid w:val="00DC603B"/>
    <w:rsid w:val="00DC6331"/>
    <w:rsid w:val="00DC6379"/>
    <w:rsid w:val="00DC6754"/>
    <w:rsid w:val="00DC6772"/>
    <w:rsid w:val="00DC6BB6"/>
    <w:rsid w:val="00DC6D91"/>
    <w:rsid w:val="00DC6D97"/>
    <w:rsid w:val="00DC6F3C"/>
    <w:rsid w:val="00DC6F5E"/>
    <w:rsid w:val="00DC7003"/>
    <w:rsid w:val="00DC7060"/>
    <w:rsid w:val="00DC747D"/>
    <w:rsid w:val="00DC7499"/>
    <w:rsid w:val="00DC765F"/>
    <w:rsid w:val="00DC77FC"/>
    <w:rsid w:val="00DC7801"/>
    <w:rsid w:val="00DC7C3A"/>
    <w:rsid w:val="00DC7EC2"/>
    <w:rsid w:val="00DD05CE"/>
    <w:rsid w:val="00DD061E"/>
    <w:rsid w:val="00DD08F9"/>
    <w:rsid w:val="00DD0C6B"/>
    <w:rsid w:val="00DD0CA1"/>
    <w:rsid w:val="00DD0CE3"/>
    <w:rsid w:val="00DD0DE8"/>
    <w:rsid w:val="00DD13DE"/>
    <w:rsid w:val="00DD14B5"/>
    <w:rsid w:val="00DD1729"/>
    <w:rsid w:val="00DD1806"/>
    <w:rsid w:val="00DD210B"/>
    <w:rsid w:val="00DD2351"/>
    <w:rsid w:val="00DD2C0E"/>
    <w:rsid w:val="00DD2D13"/>
    <w:rsid w:val="00DD2D74"/>
    <w:rsid w:val="00DD2F4A"/>
    <w:rsid w:val="00DD3557"/>
    <w:rsid w:val="00DD3589"/>
    <w:rsid w:val="00DD3A12"/>
    <w:rsid w:val="00DD3C87"/>
    <w:rsid w:val="00DD3D3B"/>
    <w:rsid w:val="00DD3DC8"/>
    <w:rsid w:val="00DD4133"/>
    <w:rsid w:val="00DD4320"/>
    <w:rsid w:val="00DD44BD"/>
    <w:rsid w:val="00DD473B"/>
    <w:rsid w:val="00DD47C8"/>
    <w:rsid w:val="00DD47F2"/>
    <w:rsid w:val="00DD4AE4"/>
    <w:rsid w:val="00DD521C"/>
    <w:rsid w:val="00DD53FB"/>
    <w:rsid w:val="00DD54B5"/>
    <w:rsid w:val="00DD574A"/>
    <w:rsid w:val="00DD5DAD"/>
    <w:rsid w:val="00DD5E0E"/>
    <w:rsid w:val="00DD648B"/>
    <w:rsid w:val="00DD65C4"/>
    <w:rsid w:val="00DD692D"/>
    <w:rsid w:val="00DD698A"/>
    <w:rsid w:val="00DD6DAC"/>
    <w:rsid w:val="00DD6E53"/>
    <w:rsid w:val="00DD7095"/>
    <w:rsid w:val="00DD751A"/>
    <w:rsid w:val="00DD7578"/>
    <w:rsid w:val="00DD77FE"/>
    <w:rsid w:val="00DD7815"/>
    <w:rsid w:val="00DD7937"/>
    <w:rsid w:val="00DD7A4B"/>
    <w:rsid w:val="00DD7B6A"/>
    <w:rsid w:val="00DE0447"/>
    <w:rsid w:val="00DE0723"/>
    <w:rsid w:val="00DE0A3D"/>
    <w:rsid w:val="00DE0AAF"/>
    <w:rsid w:val="00DE0BA9"/>
    <w:rsid w:val="00DE0CCC"/>
    <w:rsid w:val="00DE14B4"/>
    <w:rsid w:val="00DE1B61"/>
    <w:rsid w:val="00DE1F0B"/>
    <w:rsid w:val="00DE1FA8"/>
    <w:rsid w:val="00DE1FDC"/>
    <w:rsid w:val="00DE213B"/>
    <w:rsid w:val="00DE2B60"/>
    <w:rsid w:val="00DE2CE0"/>
    <w:rsid w:val="00DE30BE"/>
    <w:rsid w:val="00DE324C"/>
    <w:rsid w:val="00DE32CF"/>
    <w:rsid w:val="00DE3487"/>
    <w:rsid w:val="00DE369B"/>
    <w:rsid w:val="00DE37E8"/>
    <w:rsid w:val="00DE3B48"/>
    <w:rsid w:val="00DE41F5"/>
    <w:rsid w:val="00DE4562"/>
    <w:rsid w:val="00DE47B1"/>
    <w:rsid w:val="00DE481E"/>
    <w:rsid w:val="00DE4883"/>
    <w:rsid w:val="00DE4A73"/>
    <w:rsid w:val="00DE4CDE"/>
    <w:rsid w:val="00DE4D55"/>
    <w:rsid w:val="00DE4D72"/>
    <w:rsid w:val="00DE4FC6"/>
    <w:rsid w:val="00DE52D4"/>
    <w:rsid w:val="00DE5370"/>
    <w:rsid w:val="00DE55C4"/>
    <w:rsid w:val="00DE5623"/>
    <w:rsid w:val="00DE5675"/>
    <w:rsid w:val="00DE5C3D"/>
    <w:rsid w:val="00DE5D3C"/>
    <w:rsid w:val="00DE5EF8"/>
    <w:rsid w:val="00DE5FAD"/>
    <w:rsid w:val="00DE5FB2"/>
    <w:rsid w:val="00DE6616"/>
    <w:rsid w:val="00DE6B41"/>
    <w:rsid w:val="00DE7010"/>
    <w:rsid w:val="00DE7613"/>
    <w:rsid w:val="00DE7671"/>
    <w:rsid w:val="00DE7850"/>
    <w:rsid w:val="00DE7874"/>
    <w:rsid w:val="00DE7930"/>
    <w:rsid w:val="00DE7E0E"/>
    <w:rsid w:val="00DF000D"/>
    <w:rsid w:val="00DF0516"/>
    <w:rsid w:val="00DF07BC"/>
    <w:rsid w:val="00DF082E"/>
    <w:rsid w:val="00DF08CA"/>
    <w:rsid w:val="00DF0976"/>
    <w:rsid w:val="00DF0FC0"/>
    <w:rsid w:val="00DF1621"/>
    <w:rsid w:val="00DF18A3"/>
    <w:rsid w:val="00DF1B48"/>
    <w:rsid w:val="00DF2109"/>
    <w:rsid w:val="00DF27C4"/>
    <w:rsid w:val="00DF2867"/>
    <w:rsid w:val="00DF2988"/>
    <w:rsid w:val="00DF2B85"/>
    <w:rsid w:val="00DF366A"/>
    <w:rsid w:val="00DF37A3"/>
    <w:rsid w:val="00DF3DA3"/>
    <w:rsid w:val="00DF3DA8"/>
    <w:rsid w:val="00DF4265"/>
    <w:rsid w:val="00DF4274"/>
    <w:rsid w:val="00DF44BA"/>
    <w:rsid w:val="00DF45F5"/>
    <w:rsid w:val="00DF4701"/>
    <w:rsid w:val="00DF4803"/>
    <w:rsid w:val="00DF4B34"/>
    <w:rsid w:val="00DF4B60"/>
    <w:rsid w:val="00DF534D"/>
    <w:rsid w:val="00DF6672"/>
    <w:rsid w:val="00DF66D4"/>
    <w:rsid w:val="00DF68F2"/>
    <w:rsid w:val="00DF6F9A"/>
    <w:rsid w:val="00DF7048"/>
    <w:rsid w:val="00DF7193"/>
    <w:rsid w:val="00DF7323"/>
    <w:rsid w:val="00DF73D0"/>
    <w:rsid w:val="00DF7459"/>
    <w:rsid w:val="00DF773C"/>
    <w:rsid w:val="00DF7A07"/>
    <w:rsid w:val="00DF7C41"/>
    <w:rsid w:val="00DF7D54"/>
    <w:rsid w:val="00DF7E77"/>
    <w:rsid w:val="00DF7F3D"/>
    <w:rsid w:val="00E000C0"/>
    <w:rsid w:val="00E00561"/>
    <w:rsid w:val="00E005B3"/>
    <w:rsid w:val="00E007EF"/>
    <w:rsid w:val="00E009C7"/>
    <w:rsid w:val="00E01085"/>
    <w:rsid w:val="00E011CC"/>
    <w:rsid w:val="00E01296"/>
    <w:rsid w:val="00E01594"/>
    <w:rsid w:val="00E0191C"/>
    <w:rsid w:val="00E01935"/>
    <w:rsid w:val="00E019DF"/>
    <w:rsid w:val="00E01A48"/>
    <w:rsid w:val="00E01D26"/>
    <w:rsid w:val="00E01D48"/>
    <w:rsid w:val="00E01FF3"/>
    <w:rsid w:val="00E020C2"/>
    <w:rsid w:val="00E02325"/>
    <w:rsid w:val="00E024CE"/>
    <w:rsid w:val="00E027C2"/>
    <w:rsid w:val="00E028B5"/>
    <w:rsid w:val="00E02CE7"/>
    <w:rsid w:val="00E0304E"/>
    <w:rsid w:val="00E0308C"/>
    <w:rsid w:val="00E03210"/>
    <w:rsid w:val="00E0357F"/>
    <w:rsid w:val="00E03D80"/>
    <w:rsid w:val="00E03EED"/>
    <w:rsid w:val="00E049D2"/>
    <w:rsid w:val="00E04A0D"/>
    <w:rsid w:val="00E04E8F"/>
    <w:rsid w:val="00E04F1E"/>
    <w:rsid w:val="00E04F95"/>
    <w:rsid w:val="00E04FB5"/>
    <w:rsid w:val="00E05616"/>
    <w:rsid w:val="00E057C3"/>
    <w:rsid w:val="00E0599A"/>
    <w:rsid w:val="00E05E01"/>
    <w:rsid w:val="00E06070"/>
    <w:rsid w:val="00E060C5"/>
    <w:rsid w:val="00E0645C"/>
    <w:rsid w:val="00E0652F"/>
    <w:rsid w:val="00E066EE"/>
    <w:rsid w:val="00E067D2"/>
    <w:rsid w:val="00E0700D"/>
    <w:rsid w:val="00E07122"/>
    <w:rsid w:val="00E101CD"/>
    <w:rsid w:val="00E105C8"/>
    <w:rsid w:val="00E106B3"/>
    <w:rsid w:val="00E1084F"/>
    <w:rsid w:val="00E109DA"/>
    <w:rsid w:val="00E10B12"/>
    <w:rsid w:val="00E10C64"/>
    <w:rsid w:val="00E10D5C"/>
    <w:rsid w:val="00E10E7E"/>
    <w:rsid w:val="00E10F4F"/>
    <w:rsid w:val="00E11139"/>
    <w:rsid w:val="00E111FD"/>
    <w:rsid w:val="00E11886"/>
    <w:rsid w:val="00E1198D"/>
    <w:rsid w:val="00E119AB"/>
    <w:rsid w:val="00E11C2C"/>
    <w:rsid w:val="00E11F29"/>
    <w:rsid w:val="00E11F2B"/>
    <w:rsid w:val="00E11F4F"/>
    <w:rsid w:val="00E12396"/>
    <w:rsid w:val="00E123A0"/>
    <w:rsid w:val="00E12469"/>
    <w:rsid w:val="00E124F8"/>
    <w:rsid w:val="00E1254E"/>
    <w:rsid w:val="00E1260D"/>
    <w:rsid w:val="00E128B6"/>
    <w:rsid w:val="00E12929"/>
    <w:rsid w:val="00E12B46"/>
    <w:rsid w:val="00E12D11"/>
    <w:rsid w:val="00E12F10"/>
    <w:rsid w:val="00E13801"/>
    <w:rsid w:val="00E13C8F"/>
    <w:rsid w:val="00E13DF5"/>
    <w:rsid w:val="00E13E5A"/>
    <w:rsid w:val="00E1495B"/>
    <w:rsid w:val="00E14DBF"/>
    <w:rsid w:val="00E1523F"/>
    <w:rsid w:val="00E15249"/>
    <w:rsid w:val="00E1533F"/>
    <w:rsid w:val="00E15447"/>
    <w:rsid w:val="00E1560E"/>
    <w:rsid w:val="00E1562E"/>
    <w:rsid w:val="00E15945"/>
    <w:rsid w:val="00E15AA0"/>
    <w:rsid w:val="00E15B52"/>
    <w:rsid w:val="00E15C64"/>
    <w:rsid w:val="00E15E24"/>
    <w:rsid w:val="00E164DD"/>
    <w:rsid w:val="00E16585"/>
    <w:rsid w:val="00E165AD"/>
    <w:rsid w:val="00E16685"/>
    <w:rsid w:val="00E16729"/>
    <w:rsid w:val="00E167BF"/>
    <w:rsid w:val="00E16CE2"/>
    <w:rsid w:val="00E17007"/>
    <w:rsid w:val="00E1710E"/>
    <w:rsid w:val="00E17236"/>
    <w:rsid w:val="00E174CC"/>
    <w:rsid w:val="00E175B5"/>
    <w:rsid w:val="00E177A5"/>
    <w:rsid w:val="00E17907"/>
    <w:rsid w:val="00E2037A"/>
    <w:rsid w:val="00E203E7"/>
    <w:rsid w:val="00E20630"/>
    <w:rsid w:val="00E20710"/>
    <w:rsid w:val="00E20C8D"/>
    <w:rsid w:val="00E21763"/>
    <w:rsid w:val="00E21975"/>
    <w:rsid w:val="00E21988"/>
    <w:rsid w:val="00E21B75"/>
    <w:rsid w:val="00E21C26"/>
    <w:rsid w:val="00E21CF3"/>
    <w:rsid w:val="00E21E8A"/>
    <w:rsid w:val="00E21F0E"/>
    <w:rsid w:val="00E2229D"/>
    <w:rsid w:val="00E225C1"/>
    <w:rsid w:val="00E226A0"/>
    <w:rsid w:val="00E22E18"/>
    <w:rsid w:val="00E22E26"/>
    <w:rsid w:val="00E2347A"/>
    <w:rsid w:val="00E237B6"/>
    <w:rsid w:val="00E2383F"/>
    <w:rsid w:val="00E239BA"/>
    <w:rsid w:val="00E239CE"/>
    <w:rsid w:val="00E23A0D"/>
    <w:rsid w:val="00E23A42"/>
    <w:rsid w:val="00E242F7"/>
    <w:rsid w:val="00E24942"/>
    <w:rsid w:val="00E25673"/>
    <w:rsid w:val="00E257F1"/>
    <w:rsid w:val="00E25F86"/>
    <w:rsid w:val="00E25FBC"/>
    <w:rsid w:val="00E25FF3"/>
    <w:rsid w:val="00E26134"/>
    <w:rsid w:val="00E26292"/>
    <w:rsid w:val="00E262E4"/>
    <w:rsid w:val="00E26502"/>
    <w:rsid w:val="00E265D2"/>
    <w:rsid w:val="00E2666D"/>
    <w:rsid w:val="00E26812"/>
    <w:rsid w:val="00E26933"/>
    <w:rsid w:val="00E26A16"/>
    <w:rsid w:val="00E26BA3"/>
    <w:rsid w:val="00E26E80"/>
    <w:rsid w:val="00E27120"/>
    <w:rsid w:val="00E2762C"/>
    <w:rsid w:val="00E27B7A"/>
    <w:rsid w:val="00E27BCF"/>
    <w:rsid w:val="00E27C62"/>
    <w:rsid w:val="00E27FFB"/>
    <w:rsid w:val="00E30610"/>
    <w:rsid w:val="00E3098E"/>
    <w:rsid w:val="00E311FB"/>
    <w:rsid w:val="00E31222"/>
    <w:rsid w:val="00E314B0"/>
    <w:rsid w:val="00E3166B"/>
    <w:rsid w:val="00E31AEC"/>
    <w:rsid w:val="00E31C0A"/>
    <w:rsid w:val="00E3204D"/>
    <w:rsid w:val="00E3208A"/>
    <w:rsid w:val="00E3214D"/>
    <w:rsid w:val="00E321F2"/>
    <w:rsid w:val="00E326E4"/>
    <w:rsid w:val="00E32B23"/>
    <w:rsid w:val="00E32D8D"/>
    <w:rsid w:val="00E33351"/>
    <w:rsid w:val="00E33520"/>
    <w:rsid w:val="00E335B7"/>
    <w:rsid w:val="00E33690"/>
    <w:rsid w:val="00E33A0E"/>
    <w:rsid w:val="00E33A30"/>
    <w:rsid w:val="00E34158"/>
    <w:rsid w:val="00E34166"/>
    <w:rsid w:val="00E34730"/>
    <w:rsid w:val="00E34AEB"/>
    <w:rsid w:val="00E34D8E"/>
    <w:rsid w:val="00E34E02"/>
    <w:rsid w:val="00E3503C"/>
    <w:rsid w:val="00E3523A"/>
    <w:rsid w:val="00E354EB"/>
    <w:rsid w:val="00E35533"/>
    <w:rsid w:val="00E359C3"/>
    <w:rsid w:val="00E35A9A"/>
    <w:rsid w:val="00E35BD8"/>
    <w:rsid w:val="00E35CAF"/>
    <w:rsid w:val="00E35D51"/>
    <w:rsid w:val="00E35D52"/>
    <w:rsid w:val="00E35F72"/>
    <w:rsid w:val="00E361A1"/>
    <w:rsid w:val="00E363AF"/>
    <w:rsid w:val="00E36783"/>
    <w:rsid w:val="00E369F2"/>
    <w:rsid w:val="00E36A11"/>
    <w:rsid w:val="00E3713B"/>
    <w:rsid w:val="00E373B6"/>
    <w:rsid w:val="00E37618"/>
    <w:rsid w:val="00E377F1"/>
    <w:rsid w:val="00E378C7"/>
    <w:rsid w:val="00E37C95"/>
    <w:rsid w:val="00E37DE5"/>
    <w:rsid w:val="00E4029A"/>
    <w:rsid w:val="00E40331"/>
    <w:rsid w:val="00E40376"/>
    <w:rsid w:val="00E4079D"/>
    <w:rsid w:val="00E409EC"/>
    <w:rsid w:val="00E40AF4"/>
    <w:rsid w:val="00E40B50"/>
    <w:rsid w:val="00E40C07"/>
    <w:rsid w:val="00E4138A"/>
    <w:rsid w:val="00E416E8"/>
    <w:rsid w:val="00E4276A"/>
    <w:rsid w:val="00E427AD"/>
    <w:rsid w:val="00E42D6F"/>
    <w:rsid w:val="00E4315F"/>
    <w:rsid w:val="00E431D3"/>
    <w:rsid w:val="00E441D8"/>
    <w:rsid w:val="00E4448A"/>
    <w:rsid w:val="00E444A2"/>
    <w:rsid w:val="00E444C2"/>
    <w:rsid w:val="00E446B0"/>
    <w:rsid w:val="00E447C7"/>
    <w:rsid w:val="00E44CB3"/>
    <w:rsid w:val="00E44CD2"/>
    <w:rsid w:val="00E44F6A"/>
    <w:rsid w:val="00E451FF"/>
    <w:rsid w:val="00E453BA"/>
    <w:rsid w:val="00E454F0"/>
    <w:rsid w:val="00E454FF"/>
    <w:rsid w:val="00E4561A"/>
    <w:rsid w:val="00E45929"/>
    <w:rsid w:val="00E45C95"/>
    <w:rsid w:val="00E45EFB"/>
    <w:rsid w:val="00E46099"/>
    <w:rsid w:val="00E4684F"/>
    <w:rsid w:val="00E46D19"/>
    <w:rsid w:val="00E47409"/>
    <w:rsid w:val="00E474DB"/>
    <w:rsid w:val="00E4784A"/>
    <w:rsid w:val="00E47AD7"/>
    <w:rsid w:val="00E47CAB"/>
    <w:rsid w:val="00E47F3A"/>
    <w:rsid w:val="00E50789"/>
    <w:rsid w:val="00E507EB"/>
    <w:rsid w:val="00E50A48"/>
    <w:rsid w:val="00E50AEB"/>
    <w:rsid w:val="00E50D04"/>
    <w:rsid w:val="00E50DDF"/>
    <w:rsid w:val="00E50EAD"/>
    <w:rsid w:val="00E50FC0"/>
    <w:rsid w:val="00E511AB"/>
    <w:rsid w:val="00E512F7"/>
    <w:rsid w:val="00E51510"/>
    <w:rsid w:val="00E515B0"/>
    <w:rsid w:val="00E515E8"/>
    <w:rsid w:val="00E51689"/>
    <w:rsid w:val="00E5180B"/>
    <w:rsid w:val="00E51BF8"/>
    <w:rsid w:val="00E51D6B"/>
    <w:rsid w:val="00E51DAC"/>
    <w:rsid w:val="00E51DFE"/>
    <w:rsid w:val="00E51EB6"/>
    <w:rsid w:val="00E52019"/>
    <w:rsid w:val="00E52204"/>
    <w:rsid w:val="00E53557"/>
    <w:rsid w:val="00E53775"/>
    <w:rsid w:val="00E537BE"/>
    <w:rsid w:val="00E53DB0"/>
    <w:rsid w:val="00E53EBD"/>
    <w:rsid w:val="00E5405D"/>
    <w:rsid w:val="00E540A0"/>
    <w:rsid w:val="00E5428A"/>
    <w:rsid w:val="00E543BB"/>
    <w:rsid w:val="00E54789"/>
    <w:rsid w:val="00E55018"/>
    <w:rsid w:val="00E55229"/>
    <w:rsid w:val="00E554C7"/>
    <w:rsid w:val="00E556AF"/>
    <w:rsid w:val="00E55812"/>
    <w:rsid w:val="00E558F1"/>
    <w:rsid w:val="00E5602A"/>
    <w:rsid w:val="00E56061"/>
    <w:rsid w:val="00E56165"/>
    <w:rsid w:val="00E5625A"/>
    <w:rsid w:val="00E56484"/>
    <w:rsid w:val="00E56B25"/>
    <w:rsid w:val="00E56CD9"/>
    <w:rsid w:val="00E57183"/>
    <w:rsid w:val="00E573EB"/>
    <w:rsid w:val="00E60026"/>
    <w:rsid w:val="00E60228"/>
    <w:rsid w:val="00E60440"/>
    <w:rsid w:val="00E60454"/>
    <w:rsid w:val="00E607CF"/>
    <w:rsid w:val="00E60C9F"/>
    <w:rsid w:val="00E60DDA"/>
    <w:rsid w:val="00E60E55"/>
    <w:rsid w:val="00E60F6E"/>
    <w:rsid w:val="00E61B8E"/>
    <w:rsid w:val="00E61CE2"/>
    <w:rsid w:val="00E620C9"/>
    <w:rsid w:val="00E623F2"/>
    <w:rsid w:val="00E62545"/>
    <w:rsid w:val="00E626F9"/>
    <w:rsid w:val="00E62733"/>
    <w:rsid w:val="00E6275A"/>
    <w:rsid w:val="00E6287C"/>
    <w:rsid w:val="00E628C2"/>
    <w:rsid w:val="00E631BA"/>
    <w:rsid w:val="00E6326C"/>
    <w:rsid w:val="00E6335F"/>
    <w:rsid w:val="00E6336C"/>
    <w:rsid w:val="00E63821"/>
    <w:rsid w:val="00E63858"/>
    <w:rsid w:val="00E63E44"/>
    <w:rsid w:val="00E640CC"/>
    <w:rsid w:val="00E644FF"/>
    <w:rsid w:val="00E6463E"/>
    <w:rsid w:val="00E64D11"/>
    <w:rsid w:val="00E64F4C"/>
    <w:rsid w:val="00E64F50"/>
    <w:rsid w:val="00E64FCA"/>
    <w:rsid w:val="00E651CA"/>
    <w:rsid w:val="00E6539B"/>
    <w:rsid w:val="00E65A02"/>
    <w:rsid w:val="00E65A3B"/>
    <w:rsid w:val="00E65D0A"/>
    <w:rsid w:val="00E65D43"/>
    <w:rsid w:val="00E65F62"/>
    <w:rsid w:val="00E66B39"/>
    <w:rsid w:val="00E66C6E"/>
    <w:rsid w:val="00E67135"/>
    <w:rsid w:val="00E6752A"/>
    <w:rsid w:val="00E6767C"/>
    <w:rsid w:val="00E677CF"/>
    <w:rsid w:val="00E67881"/>
    <w:rsid w:val="00E67A91"/>
    <w:rsid w:val="00E67B19"/>
    <w:rsid w:val="00E67BE0"/>
    <w:rsid w:val="00E67CDC"/>
    <w:rsid w:val="00E67DCD"/>
    <w:rsid w:val="00E67ED6"/>
    <w:rsid w:val="00E702D2"/>
    <w:rsid w:val="00E7036E"/>
    <w:rsid w:val="00E7072B"/>
    <w:rsid w:val="00E7099E"/>
    <w:rsid w:val="00E70A0A"/>
    <w:rsid w:val="00E71500"/>
    <w:rsid w:val="00E7154F"/>
    <w:rsid w:val="00E715B7"/>
    <w:rsid w:val="00E7168F"/>
    <w:rsid w:val="00E71A0B"/>
    <w:rsid w:val="00E71A52"/>
    <w:rsid w:val="00E71BAD"/>
    <w:rsid w:val="00E72021"/>
    <w:rsid w:val="00E720EC"/>
    <w:rsid w:val="00E72399"/>
    <w:rsid w:val="00E7293F"/>
    <w:rsid w:val="00E734FA"/>
    <w:rsid w:val="00E73762"/>
    <w:rsid w:val="00E739A2"/>
    <w:rsid w:val="00E739E5"/>
    <w:rsid w:val="00E73B76"/>
    <w:rsid w:val="00E73BD8"/>
    <w:rsid w:val="00E73D65"/>
    <w:rsid w:val="00E745B6"/>
    <w:rsid w:val="00E748CE"/>
    <w:rsid w:val="00E74928"/>
    <w:rsid w:val="00E74A5C"/>
    <w:rsid w:val="00E74B90"/>
    <w:rsid w:val="00E74BDE"/>
    <w:rsid w:val="00E74C97"/>
    <w:rsid w:val="00E74CE3"/>
    <w:rsid w:val="00E74D8E"/>
    <w:rsid w:val="00E74EFF"/>
    <w:rsid w:val="00E7517D"/>
    <w:rsid w:val="00E754F9"/>
    <w:rsid w:val="00E7554B"/>
    <w:rsid w:val="00E75619"/>
    <w:rsid w:val="00E75A7A"/>
    <w:rsid w:val="00E75B9B"/>
    <w:rsid w:val="00E75BD1"/>
    <w:rsid w:val="00E75E84"/>
    <w:rsid w:val="00E760DB"/>
    <w:rsid w:val="00E76165"/>
    <w:rsid w:val="00E7637E"/>
    <w:rsid w:val="00E764B8"/>
    <w:rsid w:val="00E7654F"/>
    <w:rsid w:val="00E76959"/>
    <w:rsid w:val="00E76B1C"/>
    <w:rsid w:val="00E76C8B"/>
    <w:rsid w:val="00E76D6E"/>
    <w:rsid w:val="00E76E07"/>
    <w:rsid w:val="00E76F61"/>
    <w:rsid w:val="00E76F8D"/>
    <w:rsid w:val="00E76FDF"/>
    <w:rsid w:val="00E774DF"/>
    <w:rsid w:val="00E77BD9"/>
    <w:rsid w:val="00E77D82"/>
    <w:rsid w:val="00E80ACD"/>
    <w:rsid w:val="00E80B23"/>
    <w:rsid w:val="00E80BBE"/>
    <w:rsid w:val="00E80E4D"/>
    <w:rsid w:val="00E80F7C"/>
    <w:rsid w:val="00E811B3"/>
    <w:rsid w:val="00E8131F"/>
    <w:rsid w:val="00E814CF"/>
    <w:rsid w:val="00E81A8E"/>
    <w:rsid w:val="00E81EB1"/>
    <w:rsid w:val="00E81F1B"/>
    <w:rsid w:val="00E82010"/>
    <w:rsid w:val="00E8205F"/>
    <w:rsid w:val="00E82130"/>
    <w:rsid w:val="00E8216E"/>
    <w:rsid w:val="00E82399"/>
    <w:rsid w:val="00E829A1"/>
    <w:rsid w:val="00E83090"/>
    <w:rsid w:val="00E8318F"/>
    <w:rsid w:val="00E831DF"/>
    <w:rsid w:val="00E83554"/>
    <w:rsid w:val="00E83560"/>
    <w:rsid w:val="00E83657"/>
    <w:rsid w:val="00E8376F"/>
    <w:rsid w:val="00E84164"/>
    <w:rsid w:val="00E844EB"/>
    <w:rsid w:val="00E84A78"/>
    <w:rsid w:val="00E84C46"/>
    <w:rsid w:val="00E84FFF"/>
    <w:rsid w:val="00E8575F"/>
    <w:rsid w:val="00E85BAD"/>
    <w:rsid w:val="00E85C79"/>
    <w:rsid w:val="00E85E5E"/>
    <w:rsid w:val="00E86023"/>
    <w:rsid w:val="00E860F6"/>
    <w:rsid w:val="00E86523"/>
    <w:rsid w:val="00E867AC"/>
    <w:rsid w:val="00E871DA"/>
    <w:rsid w:val="00E877F4"/>
    <w:rsid w:val="00E87A14"/>
    <w:rsid w:val="00E87A1B"/>
    <w:rsid w:val="00E87B4F"/>
    <w:rsid w:val="00E87B5F"/>
    <w:rsid w:val="00E87BA0"/>
    <w:rsid w:val="00E90053"/>
    <w:rsid w:val="00E901C4"/>
    <w:rsid w:val="00E90945"/>
    <w:rsid w:val="00E90B03"/>
    <w:rsid w:val="00E90D60"/>
    <w:rsid w:val="00E90F91"/>
    <w:rsid w:val="00E91033"/>
    <w:rsid w:val="00E9128F"/>
    <w:rsid w:val="00E912A6"/>
    <w:rsid w:val="00E91AF1"/>
    <w:rsid w:val="00E9297F"/>
    <w:rsid w:val="00E9335C"/>
    <w:rsid w:val="00E93433"/>
    <w:rsid w:val="00E93D35"/>
    <w:rsid w:val="00E93EB7"/>
    <w:rsid w:val="00E9466B"/>
    <w:rsid w:val="00E9470D"/>
    <w:rsid w:val="00E947F8"/>
    <w:rsid w:val="00E949D0"/>
    <w:rsid w:val="00E94A70"/>
    <w:rsid w:val="00E94B43"/>
    <w:rsid w:val="00E9519F"/>
    <w:rsid w:val="00E953E0"/>
    <w:rsid w:val="00E953F2"/>
    <w:rsid w:val="00E9562A"/>
    <w:rsid w:val="00E95C3B"/>
    <w:rsid w:val="00E95FB4"/>
    <w:rsid w:val="00E960E4"/>
    <w:rsid w:val="00E964AA"/>
    <w:rsid w:val="00E96938"/>
    <w:rsid w:val="00E96B17"/>
    <w:rsid w:val="00E96FDE"/>
    <w:rsid w:val="00E9749D"/>
    <w:rsid w:val="00E97CC2"/>
    <w:rsid w:val="00E97E83"/>
    <w:rsid w:val="00EA054E"/>
    <w:rsid w:val="00EA077E"/>
    <w:rsid w:val="00EA0E14"/>
    <w:rsid w:val="00EA0E84"/>
    <w:rsid w:val="00EA1BE0"/>
    <w:rsid w:val="00EA1D0C"/>
    <w:rsid w:val="00EA213B"/>
    <w:rsid w:val="00EA22EC"/>
    <w:rsid w:val="00EA266A"/>
    <w:rsid w:val="00EA2A78"/>
    <w:rsid w:val="00EA2C9B"/>
    <w:rsid w:val="00EA2D74"/>
    <w:rsid w:val="00EA3077"/>
    <w:rsid w:val="00EA30EE"/>
    <w:rsid w:val="00EA3174"/>
    <w:rsid w:val="00EA346B"/>
    <w:rsid w:val="00EA3604"/>
    <w:rsid w:val="00EA365F"/>
    <w:rsid w:val="00EA3AF1"/>
    <w:rsid w:val="00EA3DBD"/>
    <w:rsid w:val="00EA4672"/>
    <w:rsid w:val="00EA4693"/>
    <w:rsid w:val="00EA476A"/>
    <w:rsid w:val="00EA4961"/>
    <w:rsid w:val="00EA4A98"/>
    <w:rsid w:val="00EA4BF0"/>
    <w:rsid w:val="00EA543C"/>
    <w:rsid w:val="00EA547A"/>
    <w:rsid w:val="00EA5868"/>
    <w:rsid w:val="00EA5C4A"/>
    <w:rsid w:val="00EA5DD6"/>
    <w:rsid w:val="00EA5F99"/>
    <w:rsid w:val="00EA66A7"/>
    <w:rsid w:val="00EA6B30"/>
    <w:rsid w:val="00EA6DBA"/>
    <w:rsid w:val="00EA70B2"/>
    <w:rsid w:val="00EA720F"/>
    <w:rsid w:val="00EA74A9"/>
    <w:rsid w:val="00EA7BE4"/>
    <w:rsid w:val="00EA7C77"/>
    <w:rsid w:val="00EA7C99"/>
    <w:rsid w:val="00EA7D2D"/>
    <w:rsid w:val="00EA7E5D"/>
    <w:rsid w:val="00EA7EFF"/>
    <w:rsid w:val="00EB00F3"/>
    <w:rsid w:val="00EB0122"/>
    <w:rsid w:val="00EB046B"/>
    <w:rsid w:val="00EB060F"/>
    <w:rsid w:val="00EB096B"/>
    <w:rsid w:val="00EB0B0B"/>
    <w:rsid w:val="00EB0C38"/>
    <w:rsid w:val="00EB12CE"/>
    <w:rsid w:val="00EB17A3"/>
    <w:rsid w:val="00EB1F32"/>
    <w:rsid w:val="00EB1FB4"/>
    <w:rsid w:val="00EB244A"/>
    <w:rsid w:val="00EB2A8F"/>
    <w:rsid w:val="00EB2ADF"/>
    <w:rsid w:val="00EB2B83"/>
    <w:rsid w:val="00EB2E1C"/>
    <w:rsid w:val="00EB2EA9"/>
    <w:rsid w:val="00EB2ED2"/>
    <w:rsid w:val="00EB2F4B"/>
    <w:rsid w:val="00EB3CCC"/>
    <w:rsid w:val="00EB4363"/>
    <w:rsid w:val="00EB4370"/>
    <w:rsid w:val="00EB4802"/>
    <w:rsid w:val="00EB4AE0"/>
    <w:rsid w:val="00EB4B44"/>
    <w:rsid w:val="00EB4C67"/>
    <w:rsid w:val="00EB4C80"/>
    <w:rsid w:val="00EB4DA2"/>
    <w:rsid w:val="00EB4E5A"/>
    <w:rsid w:val="00EB4F15"/>
    <w:rsid w:val="00EB5082"/>
    <w:rsid w:val="00EB532D"/>
    <w:rsid w:val="00EB53BF"/>
    <w:rsid w:val="00EB598A"/>
    <w:rsid w:val="00EB5BBC"/>
    <w:rsid w:val="00EB5CD6"/>
    <w:rsid w:val="00EB5DE2"/>
    <w:rsid w:val="00EB6002"/>
    <w:rsid w:val="00EB606B"/>
    <w:rsid w:val="00EB6ACA"/>
    <w:rsid w:val="00EB6FB7"/>
    <w:rsid w:val="00EB7338"/>
    <w:rsid w:val="00EB7454"/>
    <w:rsid w:val="00EB7494"/>
    <w:rsid w:val="00EB7521"/>
    <w:rsid w:val="00EB75B0"/>
    <w:rsid w:val="00EB7666"/>
    <w:rsid w:val="00EC0066"/>
    <w:rsid w:val="00EC0266"/>
    <w:rsid w:val="00EC09C8"/>
    <w:rsid w:val="00EC0B1E"/>
    <w:rsid w:val="00EC0B61"/>
    <w:rsid w:val="00EC0CCD"/>
    <w:rsid w:val="00EC0F93"/>
    <w:rsid w:val="00EC0F99"/>
    <w:rsid w:val="00EC129E"/>
    <w:rsid w:val="00EC1A8E"/>
    <w:rsid w:val="00EC2682"/>
    <w:rsid w:val="00EC28C5"/>
    <w:rsid w:val="00EC296A"/>
    <w:rsid w:val="00EC2995"/>
    <w:rsid w:val="00EC2B3B"/>
    <w:rsid w:val="00EC2BF0"/>
    <w:rsid w:val="00EC2C95"/>
    <w:rsid w:val="00EC31BE"/>
    <w:rsid w:val="00EC34EF"/>
    <w:rsid w:val="00EC35CC"/>
    <w:rsid w:val="00EC35EA"/>
    <w:rsid w:val="00EC4100"/>
    <w:rsid w:val="00EC434F"/>
    <w:rsid w:val="00EC4527"/>
    <w:rsid w:val="00EC4924"/>
    <w:rsid w:val="00EC4928"/>
    <w:rsid w:val="00EC4ABF"/>
    <w:rsid w:val="00EC4AC6"/>
    <w:rsid w:val="00EC4C77"/>
    <w:rsid w:val="00EC4EF1"/>
    <w:rsid w:val="00EC5282"/>
    <w:rsid w:val="00EC5C51"/>
    <w:rsid w:val="00EC5D2F"/>
    <w:rsid w:val="00EC6558"/>
    <w:rsid w:val="00EC6609"/>
    <w:rsid w:val="00EC6AA7"/>
    <w:rsid w:val="00EC6B15"/>
    <w:rsid w:val="00EC6C5F"/>
    <w:rsid w:val="00EC6C7A"/>
    <w:rsid w:val="00EC6E58"/>
    <w:rsid w:val="00EC6E76"/>
    <w:rsid w:val="00EC7043"/>
    <w:rsid w:val="00EC70BE"/>
    <w:rsid w:val="00EC75BA"/>
    <w:rsid w:val="00EC76B8"/>
    <w:rsid w:val="00EC7716"/>
    <w:rsid w:val="00EC7748"/>
    <w:rsid w:val="00EC7846"/>
    <w:rsid w:val="00EC792B"/>
    <w:rsid w:val="00EC796E"/>
    <w:rsid w:val="00EC7AC5"/>
    <w:rsid w:val="00EC7CE0"/>
    <w:rsid w:val="00EC7DB2"/>
    <w:rsid w:val="00EC7EA6"/>
    <w:rsid w:val="00EC7FC6"/>
    <w:rsid w:val="00ED0013"/>
    <w:rsid w:val="00ED020C"/>
    <w:rsid w:val="00ED079A"/>
    <w:rsid w:val="00ED0E23"/>
    <w:rsid w:val="00ED0FB6"/>
    <w:rsid w:val="00ED1007"/>
    <w:rsid w:val="00ED12A8"/>
    <w:rsid w:val="00ED1491"/>
    <w:rsid w:val="00ED14B7"/>
    <w:rsid w:val="00ED18B9"/>
    <w:rsid w:val="00ED19F9"/>
    <w:rsid w:val="00ED2382"/>
    <w:rsid w:val="00ED25C7"/>
    <w:rsid w:val="00ED27C6"/>
    <w:rsid w:val="00ED2C7E"/>
    <w:rsid w:val="00ED32BB"/>
    <w:rsid w:val="00ED34B8"/>
    <w:rsid w:val="00ED37E5"/>
    <w:rsid w:val="00ED3B00"/>
    <w:rsid w:val="00ED3BBD"/>
    <w:rsid w:val="00ED4194"/>
    <w:rsid w:val="00ED456B"/>
    <w:rsid w:val="00ED48E3"/>
    <w:rsid w:val="00ED48E7"/>
    <w:rsid w:val="00ED4A97"/>
    <w:rsid w:val="00ED4D04"/>
    <w:rsid w:val="00ED4F37"/>
    <w:rsid w:val="00ED4FA5"/>
    <w:rsid w:val="00ED5209"/>
    <w:rsid w:val="00ED57D9"/>
    <w:rsid w:val="00ED60C2"/>
    <w:rsid w:val="00ED61F8"/>
    <w:rsid w:val="00ED6276"/>
    <w:rsid w:val="00ED62B2"/>
    <w:rsid w:val="00ED65D9"/>
    <w:rsid w:val="00ED6929"/>
    <w:rsid w:val="00ED6B87"/>
    <w:rsid w:val="00ED6D93"/>
    <w:rsid w:val="00ED731F"/>
    <w:rsid w:val="00ED73DB"/>
    <w:rsid w:val="00ED746D"/>
    <w:rsid w:val="00ED749E"/>
    <w:rsid w:val="00ED78ED"/>
    <w:rsid w:val="00ED7917"/>
    <w:rsid w:val="00ED7A61"/>
    <w:rsid w:val="00ED7BD9"/>
    <w:rsid w:val="00EE07FA"/>
    <w:rsid w:val="00EE0E35"/>
    <w:rsid w:val="00EE116E"/>
    <w:rsid w:val="00EE11E7"/>
    <w:rsid w:val="00EE17AD"/>
    <w:rsid w:val="00EE1969"/>
    <w:rsid w:val="00EE1BCD"/>
    <w:rsid w:val="00EE2613"/>
    <w:rsid w:val="00EE28D7"/>
    <w:rsid w:val="00EE2978"/>
    <w:rsid w:val="00EE2ABC"/>
    <w:rsid w:val="00EE2AC8"/>
    <w:rsid w:val="00EE2B52"/>
    <w:rsid w:val="00EE3165"/>
    <w:rsid w:val="00EE320E"/>
    <w:rsid w:val="00EE3DCE"/>
    <w:rsid w:val="00EE4487"/>
    <w:rsid w:val="00EE44E9"/>
    <w:rsid w:val="00EE510D"/>
    <w:rsid w:val="00EE528F"/>
    <w:rsid w:val="00EE53FA"/>
    <w:rsid w:val="00EE5472"/>
    <w:rsid w:val="00EE56A5"/>
    <w:rsid w:val="00EE56D2"/>
    <w:rsid w:val="00EE572E"/>
    <w:rsid w:val="00EE585C"/>
    <w:rsid w:val="00EE5866"/>
    <w:rsid w:val="00EE5B33"/>
    <w:rsid w:val="00EE5B63"/>
    <w:rsid w:val="00EE5D9C"/>
    <w:rsid w:val="00EE5F23"/>
    <w:rsid w:val="00EE6111"/>
    <w:rsid w:val="00EE615B"/>
    <w:rsid w:val="00EE6492"/>
    <w:rsid w:val="00EE66C2"/>
    <w:rsid w:val="00EE69C1"/>
    <w:rsid w:val="00EE780E"/>
    <w:rsid w:val="00EE7E8D"/>
    <w:rsid w:val="00EF0213"/>
    <w:rsid w:val="00EF0953"/>
    <w:rsid w:val="00EF0988"/>
    <w:rsid w:val="00EF0D9B"/>
    <w:rsid w:val="00EF13BC"/>
    <w:rsid w:val="00EF14D3"/>
    <w:rsid w:val="00EF1520"/>
    <w:rsid w:val="00EF1829"/>
    <w:rsid w:val="00EF1922"/>
    <w:rsid w:val="00EF1A7F"/>
    <w:rsid w:val="00EF1FCA"/>
    <w:rsid w:val="00EF2021"/>
    <w:rsid w:val="00EF21FA"/>
    <w:rsid w:val="00EF30E0"/>
    <w:rsid w:val="00EF3249"/>
    <w:rsid w:val="00EF35AC"/>
    <w:rsid w:val="00EF35E0"/>
    <w:rsid w:val="00EF3790"/>
    <w:rsid w:val="00EF3A15"/>
    <w:rsid w:val="00EF3DF5"/>
    <w:rsid w:val="00EF3EB2"/>
    <w:rsid w:val="00EF4292"/>
    <w:rsid w:val="00EF43DB"/>
    <w:rsid w:val="00EF44A6"/>
    <w:rsid w:val="00EF451E"/>
    <w:rsid w:val="00EF472C"/>
    <w:rsid w:val="00EF501E"/>
    <w:rsid w:val="00EF551D"/>
    <w:rsid w:val="00EF56E6"/>
    <w:rsid w:val="00EF5745"/>
    <w:rsid w:val="00EF58ED"/>
    <w:rsid w:val="00EF5B50"/>
    <w:rsid w:val="00EF5D85"/>
    <w:rsid w:val="00EF60D0"/>
    <w:rsid w:val="00EF6527"/>
    <w:rsid w:val="00EF6A12"/>
    <w:rsid w:val="00EF6C41"/>
    <w:rsid w:val="00EF7590"/>
    <w:rsid w:val="00EF760A"/>
    <w:rsid w:val="00EF7A48"/>
    <w:rsid w:val="00F00007"/>
    <w:rsid w:val="00F001E8"/>
    <w:rsid w:val="00F00217"/>
    <w:rsid w:val="00F007F2"/>
    <w:rsid w:val="00F00893"/>
    <w:rsid w:val="00F008FD"/>
    <w:rsid w:val="00F00C68"/>
    <w:rsid w:val="00F010B9"/>
    <w:rsid w:val="00F0156E"/>
    <w:rsid w:val="00F017C9"/>
    <w:rsid w:val="00F0189E"/>
    <w:rsid w:val="00F01929"/>
    <w:rsid w:val="00F01B8C"/>
    <w:rsid w:val="00F01D89"/>
    <w:rsid w:val="00F0208E"/>
    <w:rsid w:val="00F02516"/>
    <w:rsid w:val="00F0262E"/>
    <w:rsid w:val="00F02697"/>
    <w:rsid w:val="00F02A95"/>
    <w:rsid w:val="00F02C0A"/>
    <w:rsid w:val="00F02E46"/>
    <w:rsid w:val="00F02E92"/>
    <w:rsid w:val="00F03028"/>
    <w:rsid w:val="00F034DC"/>
    <w:rsid w:val="00F0361D"/>
    <w:rsid w:val="00F03707"/>
    <w:rsid w:val="00F03AB6"/>
    <w:rsid w:val="00F03DE2"/>
    <w:rsid w:val="00F04854"/>
    <w:rsid w:val="00F04C05"/>
    <w:rsid w:val="00F04FDE"/>
    <w:rsid w:val="00F05CE4"/>
    <w:rsid w:val="00F06090"/>
    <w:rsid w:val="00F061D2"/>
    <w:rsid w:val="00F0634B"/>
    <w:rsid w:val="00F0644B"/>
    <w:rsid w:val="00F064AD"/>
    <w:rsid w:val="00F065FA"/>
    <w:rsid w:val="00F0660F"/>
    <w:rsid w:val="00F06643"/>
    <w:rsid w:val="00F0672F"/>
    <w:rsid w:val="00F068F1"/>
    <w:rsid w:val="00F071D7"/>
    <w:rsid w:val="00F072FC"/>
    <w:rsid w:val="00F07983"/>
    <w:rsid w:val="00F07B32"/>
    <w:rsid w:val="00F07C70"/>
    <w:rsid w:val="00F07EAF"/>
    <w:rsid w:val="00F07F0D"/>
    <w:rsid w:val="00F102AB"/>
    <w:rsid w:val="00F10BAA"/>
    <w:rsid w:val="00F10C40"/>
    <w:rsid w:val="00F10E6C"/>
    <w:rsid w:val="00F110F9"/>
    <w:rsid w:val="00F1140E"/>
    <w:rsid w:val="00F11427"/>
    <w:rsid w:val="00F11894"/>
    <w:rsid w:val="00F11B49"/>
    <w:rsid w:val="00F11DC8"/>
    <w:rsid w:val="00F11E00"/>
    <w:rsid w:val="00F11E75"/>
    <w:rsid w:val="00F11E89"/>
    <w:rsid w:val="00F12457"/>
    <w:rsid w:val="00F125F7"/>
    <w:rsid w:val="00F127C6"/>
    <w:rsid w:val="00F12818"/>
    <w:rsid w:val="00F12861"/>
    <w:rsid w:val="00F12C6D"/>
    <w:rsid w:val="00F130B2"/>
    <w:rsid w:val="00F13EBF"/>
    <w:rsid w:val="00F14397"/>
    <w:rsid w:val="00F14670"/>
    <w:rsid w:val="00F14ADD"/>
    <w:rsid w:val="00F14E62"/>
    <w:rsid w:val="00F14F0F"/>
    <w:rsid w:val="00F1510B"/>
    <w:rsid w:val="00F1549E"/>
    <w:rsid w:val="00F15565"/>
    <w:rsid w:val="00F157A3"/>
    <w:rsid w:val="00F157D7"/>
    <w:rsid w:val="00F15A83"/>
    <w:rsid w:val="00F15CBF"/>
    <w:rsid w:val="00F15F22"/>
    <w:rsid w:val="00F16548"/>
    <w:rsid w:val="00F1691F"/>
    <w:rsid w:val="00F16AA3"/>
    <w:rsid w:val="00F16B03"/>
    <w:rsid w:val="00F16BE5"/>
    <w:rsid w:val="00F16E45"/>
    <w:rsid w:val="00F17153"/>
    <w:rsid w:val="00F1726F"/>
    <w:rsid w:val="00F17399"/>
    <w:rsid w:val="00F17539"/>
    <w:rsid w:val="00F17743"/>
    <w:rsid w:val="00F17799"/>
    <w:rsid w:val="00F1795F"/>
    <w:rsid w:val="00F17B77"/>
    <w:rsid w:val="00F20082"/>
    <w:rsid w:val="00F2026A"/>
    <w:rsid w:val="00F202CE"/>
    <w:rsid w:val="00F20654"/>
    <w:rsid w:val="00F207D1"/>
    <w:rsid w:val="00F20954"/>
    <w:rsid w:val="00F20B1A"/>
    <w:rsid w:val="00F212A6"/>
    <w:rsid w:val="00F21857"/>
    <w:rsid w:val="00F21C9C"/>
    <w:rsid w:val="00F2273F"/>
    <w:rsid w:val="00F228FA"/>
    <w:rsid w:val="00F22948"/>
    <w:rsid w:val="00F22BE4"/>
    <w:rsid w:val="00F230E9"/>
    <w:rsid w:val="00F2315A"/>
    <w:rsid w:val="00F2363F"/>
    <w:rsid w:val="00F23E06"/>
    <w:rsid w:val="00F243C6"/>
    <w:rsid w:val="00F247E9"/>
    <w:rsid w:val="00F24A82"/>
    <w:rsid w:val="00F25493"/>
    <w:rsid w:val="00F2551F"/>
    <w:rsid w:val="00F258AC"/>
    <w:rsid w:val="00F2598E"/>
    <w:rsid w:val="00F259B9"/>
    <w:rsid w:val="00F26053"/>
    <w:rsid w:val="00F26094"/>
    <w:rsid w:val="00F2618B"/>
    <w:rsid w:val="00F26223"/>
    <w:rsid w:val="00F26318"/>
    <w:rsid w:val="00F26507"/>
    <w:rsid w:val="00F2721A"/>
    <w:rsid w:val="00F27282"/>
    <w:rsid w:val="00F2740A"/>
    <w:rsid w:val="00F2746B"/>
    <w:rsid w:val="00F27F4C"/>
    <w:rsid w:val="00F27FF2"/>
    <w:rsid w:val="00F302C2"/>
    <w:rsid w:val="00F30643"/>
    <w:rsid w:val="00F30A63"/>
    <w:rsid w:val="00F30C75"/>
    <w:rsid w:val="00F312C8"/>
    <w:rsid w:val="00F314CD"/>
    <w:rsid w:val="00F3171B"/>
    <w:rsid w:val="00F31A0A"/>
    <w:rsid w:val="00F32330"/>
    <w:rsid w:val="00F32347"/>
    <w:rsid w:val="00F326A1"/>
    <w:rsid w:val="00F32836"/>
    <w:rsid w:val="00F32AB8"/>
    <w:rsid w:val="00F3305C"/>
    <w:rsid w:val="00F33723"/>
    <w:rsid w:val="00F33CF1"/>
    <w:rsid w:val="00F34129"/>
    <w:rsid w:val="00F3448C"/>
    <w:rsid w:val="00F3475A"/>
    <w:rsid w:val="00F349FE"/>
    <w:rsid w:val="00F34C57"/>
    <w:rsid w:val="00F34E76"/>
    <w:rsid w:val="00F35057"/>
    <w:rsid w:val="00F3506B"/>
    <w:rsid w:val="00F35259"/>
    <w:rsid w:val="00F352BD"/>
    <w:rsid w:val="00F357B3"/>
    <w:rsid w:val="00F3640B"/>
    <w:rsid w:val="00F36419"/>
    <w:rsid w:val="00F367C1"/>
    <w:rsid w:val="00F37253"/>
    <w:rsid w:val="00F37ABF"/>
    <w:rsid w:val="00F401B0"/>
    <w:rsid w:val="00F402C4"/>
    <w:rsid w:val="00F40383"/>
    <w:rsid w:val="00F40388"/>
    <w:rsid w:val="00F40792"/>
    <w:rsid w:val="00F407D5"/>
    <w:rsid w:val="00F40C2E"/>
    <w:rsid w:val="00F412A6"/>
    <w:rsid w:val="00F413F2"/>
    <w:rsid w:val="00F41794"/>
    <w:rsid w:val="00F42269"/>
    <w:rsid w:val="00F4277C"/>
    <w:rsid w:val="00F429F9"/>
    <w:rsid w:val="00F42AE4"/>
    <w:rsid w:val="00F42B8D"/>
    <w:rsid w:val="00F42BB4"/>
    <w:rsid w:val="00F42D4A"/>
    <w:rsid w:val="00F432C9"/>
    <w:rsid w:val="00F43334"/>
    <w:rsid w:val="00F4336A"/>
    <w:rsid w:val="00F433C1"/>
    <w:rsid w:val="00F435A1"/>
    <w:rsid w:val="00F439CE"/>
    <w:rsid w:val="00F43EDF"/>
    <w:rsid w:val="00F44026"/>
    <w:rsid w:val="00F442FC"/>
    <w:rsid w:val="00F44725"/>
    <w:rsid w:val="00F448E1"/>
    <w:rsid w:val="00F449F1"/>
    <w:rsid w:val="00F44EEE"/>
    <w:rsid w:val="00F4502E"/>
    <w:rsid w:val="00F45182"/>
    <w:rsid w:val="00F45415"/>
    <w:rsid w:val="00F45532"/>
    <w:rsid w:val="00F45827"/>
    <w:rsid w:val="00F45AE0"/>
    <w:rsid w:val="00F45DCA"/>
    <w:rsid w:val="00F464A2"/>
    <w:rsid w:val="00F4659F"/>
    <w:rsid w:val="00F46733"/>
    <w:rsid w:val="00F467D8"/>
    <w:rsid w:val="00F469C8"/>
    <w:rsid w:val="00F46A0A"/>
    <w:rsid w:val="00F47096"/>
    <w:rsid w:val="00F472D2"/>
    <w:rsid w:val="00F47DF1"/>
    <w:rsid w:val="00F47F89"/>
    <w:rsid w:val="00F50404"/>
    <w:rsid w:val="00F50589"/>
    <w:rsid w:val="00F5070A"/>
    <w:rsid w:val="00F50BB1"/>
    <w:rsid w:val="00F50C89"/>
    <w:rsid w:val="00F50CE1"/>
    <w:rsid w:val="00F51000"/>
    <w:rsid w:val="00F518BD"/>
    <w:rsid w:val="00F5222D"/>
    <w:rsid w:val="00F5227F"/>
    <w:rsid w:val="00F52313"/>
    <w:rsid w:val="00F5281F"/>
    <w:rsid w:val="00F52BA8"/>
    <w:rsid w:val="00F52D09"/>
    <w:rsid w:val="00F52D15"/>
    <w:rsid w:val="00F530AB"/>
    <w:rsid w:val="00F533B4"/>
    <w:rsid w:val="00F537B0"/>
    <w:rsid w:val="00F53873"/>
    <w:rsid w:val="00F5399D"/>
    <w:rsid w:val="00F54078"/>
    <w:rsid w:val="00F54164"/>
    <w:rsid w:val="00F541B7"/>
    <w:rsid w:val="00F543C2"/>
    <w:rsid w:val="00F54410"/>
    <w:rsid w:val="00F5490D"/>
    <w:rsid w:val="00F54C6B"/>
    <w:rsid w:val="00F54CC3"/>
    <w:rsid w:val="00F54CEA"/>
    <w:rsid w:val="00F54F82"/>
    <w:rsid w:val="00F55096"/>
    <w:rsid w:val="00F552EC"/>
    <w:rsid w:val="00F554F5"/>
    <w:rsid w:val="00F55E3C"/>
    <w:rsid w:val="00F55E97"/>
    <w:rsid w:val="00F55F35"/>
    <w:rsid w:val="00F56307"/>
    <w:rsid w:val="00F56426"/>
    <w:rsid w:val="00F56812"/>
    <w:rsid w:val="00F56A71"/>
    <w:rsid w:val="00F56BAE"/>
    <w:rsid w:val="00F575C6"/>
    <w:rsid w:val="00F5762B"/>
    <w:rsid w:val="00F57F0B"/>
    <w:rsid w:val="00F607FA"/>
    <w:rsid w:val="00F60807"/>
    <w:rsid w:val="00F60989"/>
    <w:rsid w:val="00F60B1C"/>
    <w:rsid w:val="00F60CDA"/>
    <w:rsid w:val="00F60EC1"/>
    <w:rsid w:val="00F60FC8"/>
    <w:rsid w:val="00F610CB"/>
    <w:rsid w:val="00F619B0"/>
    <w:rsid w:val="00F62052"/>
    <w:rsid w:val="00F62102"/>
    <w:rsid w:val="00F621A3"/>
    <w:rsid w:val="00F62320"/>
    <w:rsid w:val="00F62543"/>
    <w:rsid w:val="00F625EE"/>
    <w:rsid w:val="00F627C7"/>
    <w:rsid w:val="00F62985"/>
    <w:rsid w:val="00F62A1D"/>
    <w:rsid w:val="00F62C86"/>
    <w:rsid w:val="00F630A3"/>
    <w:rsid w:val="00F634BE"/>
    <w:rsid w:val="00F6362E"/>
    <w:rsid w:val="00F63BCF"/>
    <w:rsid w:val="00F63F9A"/>
    <w:rsid w:val="00F644AC"/>
    <w:rsid w:val="00F651C4"/>
    <w:rsid w:val="00F651E3"/>
    <w:rsid w:val="00F655CE"/>
    <w:rsid w:val="00F65A0E"/>
    <w:rsid w:val="00F66047"/>
    <w:rsid w:val="00F66161"/>
    <w:rsid w:val="00F66233"/>
    <w:rsid w:val="00F6636C"/>
    <w:rsid w:val="00F663A7"/>
    <w:rsid w:val="00F666D2"/>
    <w:rsid w:val="00F6670E"/>
    <w:rsid w:val="00F66D2E"/>
    <w:rsid w:val="00F66D3C"/>
    <w:rsid w:val="00F670E4"/>
    <w:rsid w:val="00F677DB"/>
    <w:rsid w:val="00F67BDE"/>
    <w:rsid w:val="00F67D6E"/>
    <w:rsid w:val="00F67DBC"/>
    <w:rsid w:val="00F67EFE"/>
    <w:rsid w:val="00F70152"/>
    <w:rsid w:val="00F7015C"/>
    <w:rsid w:val="00F70204"/>
    <w:rsid w:val="00F702AA"/>
    <w:rsid w:val="00F703FA"/>
    <w:rsid w:val="00F70650"/>
    <w:rsid w:val="00F706F5"/>
    <w:rsid w:val="00F70B11"/>
    <w:rsid w:val="00F70D4A"/>
    <w:rsid w:val="00F71365"/>
    <w:rsid w:val="00F713CA"/>
    <w:rsid w:val="00F714CC"/>
    <w:rsid w:val="00F719E3"/>
    <w:rsid w:val="00F71E3E"/>
    <w:rsid w:val="00F71EC0"/>
    <w:rsid w:val="00F720C2"/>
    <w:rsid w:val="00F725CD"/>
    <w:rsid w:val="00F726A3"/>
    <w:rsid w:val="00F72A33"/>
    <w:rsid w:val="00F72D93"/>
    <w:rsid w:val="00F72E31"/>
    <w:rsid w:val="00F72E90"/>
    <w:rsid w:val="00F72F06"/>
    <w:rsid w:val="00F72F12"/>
    <w:rsid w:val="00F72FB4"/>
    <w:rsid w:val="00F735C6"/>
    <w:rsid w:val="00F73672"/>
    <w:rsid w:val="00F738B7"/>
    <w:rsid w:val="00F73A85"/>
    <w:rsid w:val="00F742F9"/>
    <w:rsid w:val="00F74735"/>
    <w:rsid w:val="00F749CA"/>
    <w:rsid w:val="00F74E19"/>
    <w:rsid w:val="00F74E6B"/>
    <w:rsid w:val="00F75062"/>
    <w:rsid w:val="00F75113"/>
    <w:rsid w:val="00F7526D"/>
    <w:rsid w:val="00F7538D"/>
    <w:rsid w:val="00F753FB"/>
    <w:rsid w:val="00F75624"/>
    <w:rsid w:val="00F759E3"/>
    <w:rsid w:val="00F759F2"/>
    <w:rsid w:val="00F75F61"/>
    <w:rsid w:val="00F763DF"/>
    <w:rsid w:val="00F76783"/>
    <w:rsid w:val="00F76BAF"/>
    <w:rsid w:val="00F76C9B"/>
    <w:rsid w:val="00F76CCF"/>
    <w:rsid w:val="00F7763E"/>
    <w:rsid w:val="00F77795"/>
    <w:rsid w:val="00F77965"/>
    <w:rsid w:val="00F77BD6"/>
    <w:rsid w:val="00F77DB0"/>
    <w:rsid w:val="00F77E7B"/>
    <w:rsid w:val="00F77F81"/>
    <w:rsid w:val="00F77FBD"/>
    <w:rsid w:val="00F803E9"/>
    <w:rsid w:val="00F80486"/>
    <w:rsid w:val="00F804BB"/>
    <w:rsid w:val="00F80C0D"/>
    <w:rsid w:val="00F80EB0"/>
    <w:rsid w:val="00F810B2"/>
    <w:rsid w:val="00F817BC"/>
    <w:rsid w:val="00F818AC"/>
    <w:rsid w:val="00F81BE2"/>
    <w:rsid w:val="00F82599"/>
    <w:rsid w:val="00F82688"/>
    <w:rsid w:val="00F82884"/>
    <w:rsid w:val="00F829BC"/>
    <w:rsid w:val="00F82DCC"/>
    <w:rsid w:val="00F8321D"/>
    <w:rsid w:val="00F8351D"/>
    <w:rsid w:val="00F839F4"/>
    <w:rsid w:val="00F83CBD"/>
    <w:rsid w:val="00F83FBF"/>
    <w:rsid w:val="00F84024"/>
    <w:rsid w:val="00F84041"/>
    <w:rsid w:val="00F84185"/>
    <w:rsid w:val="00F84432"/>
    <w:rsid w:val="00F84754"/>
    <w:rsid w:val="00F84758"/>
    <w:rsid w:val="00F84AD3"/>
    <w:rsid w:val="00F84E0A"/>
    <w:rsid w:val="00F84EF6"/>
    <w:rsid w:val="00F851C8"/>
    <w:rsid w:val="00F854D5"/>
    <w:rsid w:val="00F854D8"/>
    <w:rsid w:val="00F85561"/>
    <w:rsid w:val="00F8557C"/>
    <w:rsid w:val="00F85684"/>
    <w:rsid w:val="00F858AC"/>
    <w:rsid w:val="00F85DB7"/>
    <w:rsid w:val="00F862BB"/>
    <w:rsid w:val="00F862FF"/>
    <w:rsid w:val="00F863C6"/>
    <w:rsid w:val="00F86591"/>
    <w:rsid w:val="00F86733"/>
    <w:rsid w:val="00F86807"/>
    <w:rsid w:val="00F86BEE"/>
    <w:rsid w:val="00F86D44"/>
    <w:rsid w:val="00F86DC1"/>
    <w:rsid w:val="00F87B7D"/>
    <w:rsid w:val="00F907B5"/>
    <w:rsid w:val="00F90DF1"/>
    <w:rsid w:val="00F90E60"/>
    <w:rsid w:val="00F90EBA"/>
    <w:rsid w:val="00F90FAA"/>
    <w:rsid w:val="00F912F2"/>
    <w:rsid w:val="00F914CA"/>
    <w:rsid w:val="00F9155C"/>
    <w:rsid w:val="00F915E8"/>
    <w:rsid w:val="00F91F50"/>
    <w:rsid w:val="00F9206E"/>
    <w:rsid w:val="00F92327"/>
    <w:rsid w:val="00F923C3"/>
    <w:rsid w:val="00F92499"/>
    <w:rsid w:val="00F924C8"/>
    <w:rsid w:val="00F928A1"/>
    <w:rsid w:val="00F92E57"/>
    <w:rsid w:val="00F92E74"/>
    <w:rsid w:val="00F92F11"/>
    <w:rsid w:val="00F9316E"/>
    <w:rsid w:val="00F93349"/>
    <w:rsid w:val="00F93789"/>
    <w:rsid w:val="00F93AAE"/>
    <w:rsid w:val="00F93CAA"/>
    <w:rsid w:val="00F94221"/>
    <w:rsid w:val="00F94395"/>
    <w:rsid w:val="00F94485"/>
    <w:rsid w:val="00F94493"/>
    <w:rsid w:val="00F94539"/>
    <w:rsid w:val="00F945D1"/>
    <w:rsid w:val="00F94BFE"/>
    <w:rsid w:val="00F94CEF"/>
    <w:rsid w:val="00F94FBA"/>
    <w:rsid w:val="00F951E0"/>
    <w:rsid w:val="00F9556C"/>
    <w:rsid w:val="00F95873"/>
    <w:rsid w:val="00F9598A"/>
    <w:rsid w:val="00F970DE"/>
    <w:rsid w:val="00F970EC"/>
    <w:rsid w:val="00F97125"/>
    <w:rsid w:val="00F97615"/>
    <w:rsid w:val="00F97B11"/>
    <w:rsid w:val="00FA0085"/>
    <w:rsid w:val="00FA02F7"/>
    <w:rsid w:val="00FA066B"/>
    <w:rsid w:val="00FA0864"/>
    <w:rsid w:val="00FA0868"/>
    <w:rsid w:val="00FA0A47"/>
    <w:rsid w:val="00FA0BA5"/>
    <w:rsid w:val="00FA0C27"/>
    <w:rsid w:val="00FA0F07"/>
    <w:rsid w:val="00FA0FA8"/>
    <w:rsid w:val="00FA1125"/>
    <w:rsid w:val="00FA16DE"/>
    <w:rsid w:val="00FA16F2"/>
    <w:rsid w:val="00FA1937"/>
    <w:rsid w:val="00FA2934"/>
    <w:rsid w:val="00FA2A41"/>
    <w:rsid w:val="00FA2A58"/>
    <w:rsid w:val="00FA2C3F"/>
    <w:rsid w:val="00FA2E59"/>
    <w:rsid w:val="00FA321C"/>
    <w:rsid w:val="00FA362F"/>
    <w:rsid w:val="00FA3648"/>
    <w:rsid w:val="00FA3711"/>
    <w:rsid w:val="00FA41F9"/>
    <w:rsid w:val="00FA467A"/>
    <w:rsid w:val="00FA4713"/>
    <w:rsid w:val="00FA4A48"/>
    <w:rsid w:val="00FA4E89"/>
    <w:rsid w:val="00FA5017"/>
    <w:rsid w:val="00FA50CB"/>
    <w:rsid w:val="00FA571A"/>
    <w:rsid w:val="00FA5F3D"/>
    <w:rsid w:val="00FA6729"/>
    <w:rsid w:val="00FA682A"/>
    <w:rsid w:val="00FA6851"/>
    <w:rsid w:val="00FA6A25"/>
    <w:rsid w:val="00FA6A3D"/>
    <w:rsid w:val="00FA6F54"/>
    <w:rsid w:val="00FA70F5"/>
    <w:rsid w:val="00FA71A4"/>
    <w:rsid w:val="00FA75A3"/>
    <w:rsid w:val="00FA75B7"/>
    <w:rsid w:val="00FA7AFF"/>
    <w:rsid w:val="00FA7ED0"/>
    <w:rsid w:val="00FB00E8"/>
    <w:rsid w:val="00FB0366"/>
    <w:rsid w:val="00FB0D56"/>
    <w:rsid w:val="00FB0F2A"/>
    <w:rsid w:val="00FB17A5"/>
    <w:rsid w:val="00FB17EE"/>
    <w:rsid w:val="00FB1862"/>
    <w:rsid w:val="00FB18A4"/>
    <w:rsid w:val="00FB2012"/>
    <w:rsid w:val="00FB2106"/>
    <w:rsid w:val="00FB2672"/>
    <w:rsid w:val="00FB273A"/>
    <w:rsid w:val="00FB31A0"/>
    <w:rsid w:val="00FB3310"/>
    <w:rsid w:val="00FB39B6"/>
    <w:rsid w:val="00FB3AD2"/>
    <w:rsid w:val="00FB3DA3"/>
    <w:rsid w:val="00FB405A"/>
    <w:rsid w:val="00FB43A2"/>
    <w:rsid w:val="00FB4435"/>
    <w:rsid w:val="00FB473B"/>
    <w:rsid w:val="00FB4881"/>
    <w:rsid w:val="00FB4922"/>
    <w:rsid w:val="00FB4C75"/>
    <w:rsid w:val="00FB4D63"/>
    <w:rsid w:val="00FB4FED"/>
    <w:rsid w:val="00FB504B"/>
    <w:rsid w:val="00FB5233"/>
    <w:rsid w:val="00FB52F2"/>
    <w:rsid w:val="00FB59C7"/>
    <w:rsid w:val="00FB6086"/>
    <w:rsid w:val="00FB608D"/>
    <w:rsid w:val="00FB680E"/>
    <w:rsid w:val="00FB69B5"/>
    <w:rsid w:val="00FB6BC1"/>
    <w:rsid w:val="00FB6BC7"/>
    <w:rsid w:val="00FB6CF2"/>
    <w:rsid w:val="00FB6D20"/>
    <w:rsid w:val="00FB6FD0"/>
    <w:rsid w:val="00FB7040"/>
    <w:rsid w:val="00FC029D"/>
    <w:rsid w:val="00FC04C0"/>
    <w:rsid w:val="00FC08BC"/>
    <w:rsid w:val="00FC0E00"/>
    <w:rsid w:val="00FC0E38"/>
    <w:rsid w:val="00FC0EBF"/>
    <w:rsid w:val="00FC0FF1"/>
    <w:rsid w:val="00FC0FF9"/>
    <w:rsid w:val="00FC1180"/>
    <w:rsid w:val="00FC1251"/>
    <w:rsid w:val="00FC12AE"/>
    <w:rsid w:val="00FC1383"/>
    <w:rsid w:val="00FC145C"/>
    <w:rsid w:val="00FC152F"/>
    <w:rsid w:val="00FC1563"/>
    <w:rsid w:val="00FC1D9A"/>
    <w:rsid w:val="00FC2073"/>
    <w:rsid w:val="00FC293A"/>
    <w:rsid w:val="00FC2EE1"/>
    <w:rsid w:val="00FC3124"/>
    <w:rsid w:val="00FC3217"/>
    <w:rsid w:val="00FC34CC"/>
    <w:rsid w:val="00FC34F4"/>
    <w:rsid w:val="00FC3742"/>
    <w:rsid w:val="00FC3AED"/>
    <w:rsid w:val="00FC3B7A"/>
    <w:rsid w:val="00FC409C"/>
    <w:rsid w:val="00FC41EA"/>
    <w:rsid w:val="00FC4355"/>
    <w:rsid w:val="00FC450F"/>
    <w:rsid w:val="00FC495C"/>
    <w:rsid w:val="00FC49B7"/>
    <w:rsid w:val="00FC4EBB"/>
    <w:rsid w:val="00FC5005"/>
    <w:rsid w:val="00FC550D"/>
    <w:rsid w:val="00FC5BD9"/>
    <w:rsid w:val="00FC5CD1"/>
    <w:rsid w:val="00FC5E56"/>
    <w:rsid w:val="00FC60C9"/>
    <w:rsid w:val="00FC610A"/>
    <w:rsid w:val="00FC6323"/>
    <w:rsid w:val="00FC645C"/>
    <w:rsid w:val="00FC6A21"/>
    <w:rsid w:val="00FC6B1C"/>
    <w:rsid w:val="00FC6DFD"/>
    <w:rsid w:val="00FC71A3"/>
    <w:rsid w:val="00FC7356"/>
    <w:rsid w:val="00FC780F"/>
    <w:rsid w:val="00FC797F"/>
    <w:rsid w:val="00FC7BB6"/>
    <w:rsid w:val="00FD0145"/>
    <w:rsid w:val="00FD045A"/>
    <w:rsid w:val="00FD0742"/>
    <w:rsid w:val="00FD076A"/>
    <w:rsid w:val="00FD07ED"/>
    <w:rsid w:val="00FD0962"/>
    <w:rsid w:val="00FD1042"/>
    <w:rsid w:val="00FD10B6"/>
    <w:rsid w:val="00FD1206"/>
    <w:rsid w:val="00FD13B8"/>
    <w:rsid w:val="00FD1601"/>
    <w:rsid w:val="00FD1CF4"/>
    <w:rsid w:val="00FD1D01"/>
    <w:rsid w:val="00FD1F06"/>
    <w:rsid w:val="00FD23B4"/>
    <w:rsid w:val="00FD2E5B"/>
    <w:rsid w:val="00FD3172"/>
    <w:rsid w:val="00FD3264"/>
    <w:rsid w:val="00FD3671"/>
    <w:rsid w:val="00FD3995"/>
    <w:rsid w:val="00FD3B01"/>
    <w:rsid w:val="00FD3C7A"/>
    <w:rsid w:val="00FD3F0F"/>
    <w:rsid w:val="00FD4C0D"/>
    <w:rsid w:val="00FD4C23"/>
    <w:rsid w:val="00FD4D36"/>
    <w:rsid w:val="00FD5097"/>
    <w:rsid w:val="00FD51B5"/>
    <w:rsid w:val="00FD58AF"/>
    <w:rsid w:val="00FD58B4"/>
    <w:rsid w:val="00FD58B8"/>
    <w:rsid w:val="00FD5B68"/>
    <w:rsid w:val="00FD6045"/>
    <w:rsid w:val="00FD6222"/>
    <w:rsid w:val="00FD6A4E"/>
    <w:rsid w:val="00FD6F3C"/>
    <w:rsid w:val="00FD71E9"/>
    <w:rsid w:val="00FD73B9"/>
    <w:rsid w:val="00FD776D"/>
    <w:rsid w:val="00FD77EB"/>
    <w:rsid w:val="00FD7958"/>
    <w:rsid w:val="00FD79CC"/>
    <w:rsid w:val="00FE02AA"/>
    <w:rsid w:val="00FE03C2"/>
    <w:rsid w:val="00FE05CB"/>
    <w:rsid w:val="00FE0853"/>
    <w:rsid w:val="00FE1235"/>
    <w:rsid w:val="00FE155A"/>
    <w:rsid w:val="00FE1780"/>
    <w:rsid w:val="00FE1A7C"/>
    <w:rsid w:val="00FE1B9D"/>
    <w:rsid w:val="00FE1BA5"/>
    <w:rsid w:val="00FE1E6B"/>
    <w:rsid w:val="00FE268C"/>
    <w:rsid w:val="00FE287B"/>
    <w:rsid w:val="00FE28EE"/>
    <w:rsid w:val="00FE31BA"/>
    <w:rsid w:val="00FE322A"/>
    <w:rsid w:val="00FE352D"/>
    <w:rsid w:val="00FE3AFB"/>
    <w:rsid w:val="00FE4396"/>
    <w:rsid w:val="00FE4896"/>
    <w:rsid w:val="00FE4CBC"/>
    <w:rsid w:val="00FE4DD1"/>
    <w:rsid w:val="00FE558D"/>
    <w:rsid w:val="00FE55EA"/>
    <w:rsid w:val="00FE5F0C"/>
    <w:rsid w:val="00FE645D"/>
    <w:rsid w:val="00FE6A3B"/>
    <w:rsid w:val="00FE6E93"/>
    <w:rsid w:val="00FE7002"/>
    <w:rsid w:val="00FE70D9"/>
    <w:rsid w:val="00FE74C4"/>
    <w:rsid w:val="00FE7649"/>
    <w:rsid w:val="00FE7726"/>
    <w:rsid w:val="00FE7861"/>
    <w:rsid w:val="00FE79B6"/>
    <w:rsid w:val="00FE7A31"/>
    <w:rsid w:val="00FE7B20"/>
    <w:rsid w:val="00FE7E76"/>
    <w:rsid w:val="00FE7F79"/>
    <w:rsid w:val="00FF03AB"/>
    <w:rsid w:val="00FF0562"/>
    <w:rsid w:val="00FF059A"/>
    <w:rsid w:val="00FF097D"/>
    <w:rsid w:val="00FF0A02"/>
    <w:rsid w:val="00FF0ADB"/>
    <w:rsid w:val="00FF0BBC"/>
    <w:rsid w:val="00FF0BBF"/>
    <w:rsid w:val="00FF0DE2"/>
    <w:rsid w:val="00FF0DE4"/>
    <w:rsid w:val="00FF0F96"/>
    <w:rsid w:val="00FF11EE"/>
    <w:rsid w:val="00FF1204"/>
    <w:rsid w:val="00FF17B1"/>
    <w:rsid w:val="00FF1BA2"/>
    <w:rsid w:val="00FF1F0F"/>
    <w:rsid w:val="00FF1FD9"/>
    <w:rsid w:val="00FF20A3"/>
    <w:rsid w:val="00FF2259"/>
    <w:rsid w:val="00FF286F"/>
    <w:rsid w:val="00FF2BF8"/>
    <w:rsid w:val="00FF2D00"/>
    <w:rsid w:val="00FF2DB9"/>
    <w:rsid w:val="00FF2F20"/>
    <w:rsid w:val="00FF2F44"/>
    <w:rsid w:val="00FF304C"/>
    <w:rsid w:val="00FF31FC"/>
    <w:rsid w:val="00FF33DA"/>
    <w:rsid w:val="00FF34A8"/>
    <w:rsid w:val="00FF3B2F"/>
    <w:rsid w:val="00FF3BBC"/>
    <w:rsid w:val="00FF3E74"/>
    <w:rsid w:val="00FF3EA9"/>
    <w:rsid w:val="00FF4123"/>
    <w:rsid w:val="00FF438C"/>
    <w:rsid w:val="00FF4462"/>
    <w:rsid w:val="00FF4599"/>
    <w:rsid w:val="00FF4709"/>
    <w:rsid w:val="00FF4756"/>
    <w:rsid w:val="00FF47D8"/>
    <w:rsid w:val="00FF487C"/>
    <w:rsid w:val="00FF4C6A"/>
    <w:rsid w:val="00FF4F99"/>
    <w:rsid w:val="00FF5136"/>
    <w:rsid w:val="00FF53D2"/>
    <w:rsid w:val="00FF55BE"/>
    <w:rsid w:val="00FF5622"/>
    <w:rsid w:val="00FF57F0"/>
    <w:rsid w:val="00FF588B"/>
    <w:rsid w:val="00FF5B18"/>
    <w:rsid w:val="00FF5CC3"/>
    <w:rsid w:val="00FF66CC"/>
    <w:rsid w:val="00FF67A3"/>
    <w:rsid w:val="00FF6A42"/>
    <w:rsid w:val="00FF6AA6"/>
    <w:rsid w:val="00FF6EF9"/>
    <w:rsid w:val="00FF71EF"/>
    <w:rsid w:val="00FF759E"/>
    <w:rsid w:val="00FF772E"/>
    <w:rsid w:val="00FF7893"/>
    <w:rsid w:val="00FF7925"/>
    <w:rsid w:val="011A34EE"/>
    <w:rsid w:val="02EABD2A"/>
    <w:rsid w:val="043DA164"/>
    <w:rsid w:val="0447F760"/>
    <w:rsid w:val="06EF7EAF"/>
    <w:rsid w:val="0B050413"/>
    <w:rsid w:val="0B7D5CF2"/>
    <w:rsid w:val="0C8DFE39"/>
    <w:rsid w:val="0E6233AC"/>
    <w:rsid w:val="0FA51D6E"/>
    <w:rsid w:val="0FAE74A7"/>
    <w:rsid w:val="106663F0"/>
    <w:rsid w:val="13B4B41E"/>
    <w:rsid w:val="14D51207"/>
    <w:rsid w:val="163AB8B2"/>
    <w:rsid w:val="19E61E9F"/>
    <w:rsid w:val="1B3F4A74"/>
    <w:rsid w:val="1BD88CB1"/>
    <w:rsid w:val="1CC825AF"/>
    <w:rsid w:val="1EA63FAE"/>
    <w:rsid w:val="1EE0BFEF"/>
    <w:rsid w:val="2004363B"/>
    <w:rsid w:val="203BDF62"/>
    <w:rsid w:val="207D897D"/>
    <w:rsid w:val="2093804C"/>
    <w:rsid w:val="21EC51D2"/>
    <w:rsid w:val="21FBDE87"/>
    <w:rsid w:val="2291142B"/>
    <w:rsid w:val="2307FA22"/>
    <w:rsid w:val="232765E4"/>
    <w:rsid w:val="23D31135"/>
    <w:rsid w:val="24F6FC56"/>
    <w:rsid w:val="25C6AC1F"/>
    <w:rsid w:val="27083F14"/>
    <w:rsid w:val="27109747"/>
    <w:rsid w:val="276FCA16"/>
    <w:rsid w:val="27830DBD"/>
    <w:rsid w:val="285035AB"/>
    <w:rsid w:val="28C51222"/>
    <w:rsid w:val="28E2CF99"/>
    <w:rsid w:val="29ACA0CB"/>
    <w:rsid w:val="29F45AC7"/>
    <w:rsid w:val="2B4CB00D"/>
    <w:rsid w:val="2BB5EFDE"/>
    <w:rsid w:val="2C502078"/>
    <w:rsid w:val="2CC431B0"/>
    <w:rsid w:val="2D47A11B"/>
    <w:rsid w:val="2D6E29F9"/>
    <w:rsid w:val="2DD06CBC"/>
    <w:rsid w:val="2E052DB3"/>
    <w:rsid w:val="2F5FA022"/>
    <w:rsid w:val="32EE9822"/>
    <w:rsid w:val="35D8DB1E"/>
    <w:rsid w:val="3887197A"/>
    <w:rsid w:val="3A6DDD3D"/>
    <w:rsid w:val="3A7D7B64"/>
    <w:rsid w:val="3AA2B3C6"/>
    <w:rsid w:val="3B07A64F"/>
    <w:rsid w:val="3E91BEA7"/>
    <w:rsid w:val="40B79F3E"/>
    <w:rsid w:val="437F55DB"/>
    <w:rsid w:val="443F750D"/>
    <w:rsid w:val="47EA88FE"/>
    <w:rsid w:val="4AC3BDA3"/>
    <w:rsid w:val="4B6958F7"/>
    <w:rsid w:val="4B7089C9"/>
    <w:rsid w:val="4CFBB62C"/>
    <w:rsid w:val="511CC280"/>
    <w:rsid w:val="51CD5D50"/>
    <w:rsid w:val="527482AF"/>
    <w:rsid w:val="54D13037"/>
    <w:rsid w:val="56A3D1FA"/>
    <w:rsid w:val="57E2F007"/>
    <w:rsid w:val="5997181A"/>
    <w:rsid w:val="5CC23ACC"/>
    <w:rsid w:val="5E7D8D04"/>
    <w:rsid w:val="5F7F647D"/>
    <w:rsid w:val="5FC8A01B"/>
    <w:rsid w:val="5FE12695"/>
    <w:rsid w:val="61588ECA"/>
    <w:rsid w:val="61864E6F"/>
    <w:rsid w:val="63863FBB"/>
    <w:rsid w:val="63D845F8"/>
    <w:rsid w:val="64175A06"/>
    <w:rsid w:val="69871672"/>
    <w:rsid w:val="69C58D13"/>
    <w:rsid w:val="69FB4936"/>
    <w:rsid w:val="6DBA39D8"/>
    <w:rsid w:val="6F5672FD"/>
    <w:rsid w:val="70707AEA"/>
    <w:rsid w:val="70B3E25F"/>
    <w:rsid w:val="715DB526"/>
    <w:rsid w:val="726AB4DD"/>
    <w:rsid w:val="73C091AA"/>
    <w:rsid w:val="7444D947"/>
    <w:rsid w:val="74AE9E69"/>
    <w:rsid w:val="74DCBFA4"/>
    <w:rsid w:val="75AA98BE"/>
    <w:rsid w:val="76E87342"/>
    <w:rsid w:val="780234ED"/>
    <w:rsid w:val="7823C623"/>
    <w:rsid w:val="787940FD"/>
    <w:rsid w:val="7A6705D2"/>
    <w:rsid w:val="7F7E3D1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41"/>
    <o:shapelayout v:ext="edit">
      <o:idmap v:ext="edit" data="1"/>
    </o:shapelayout>
  </w:shapeDefaults>
  <w:decimalSymbol w:val=","/>
  <w:listSeparator w:val=";"/>
  <w14:docId w14:val="5D4F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20494"/>
    <w:pPr>
      <w:spacing w:after="120"/>
      <w:jc w:val="both"/>
    </w:pPr>
    <w:rPr>
      <w:sz w:val="26"/>
    </w:rPr>
  </w:style>
  <w:style w:type="paragraph" w:styleId="Cmsor1">
    <w:name w:val="heading 1"/>
    <w:basedOn w:val="Norml"/>
    <w:next w:val="Norml"/>
    <w:qFormat/>
    <w:pPr>
      <w:keepNext/>
      <w:spacing w:before="240" w:after="60"/>
      <w:outlineLvl w:val="0"/>
    </w:pPr>
    <w:rPr>
      <w:b/>
      <w:kern w:val="28"/>
      <w:sz w:val="30"/>
    </w:rPr>
  </w:style>
  <w:style w:type="paragraph" w:styleId="Cmsor2">
    <w:name w:val="heading 2"/>
    <w:basedOn w:val="Norml"/>
    <w:next w:val="Norml"/>
    <w:link w:val="Cmsor2Char"/>
    <w:qFormat/>
    <w:rsid w:val="000961B9"/>
    <w:pPr>
      <w:keepNext/>
      <w:spacing w:before="240" w:after="60"/>
      <w:jc w:val="center"/>
      <w:outlineLvl w:val="1"/>
    </w:pPr>
    <w:rPr>
      <w:b/>
      <w:iCs/>
      <w:caps/>
    </w:rPr>
  </w:style>
  <w:style w:type="paragraph" w:styleId="Cmsor3">
    <w:name w:val="heading 3"/>
    <w:basedOn w:val="Norml"/>
    <w:next w:val="Norml"/>
    <w:qFormat/>
    <w:pPr>
      <w:keepNext/>
      <w:spacing w:before="240" w:after="60"/>
      <w:jc w:val="center"/>
      <w:outlineLvl w:val="2"/>
    </w:pPr>
    <w:rPr>
      <w:b/>
      <w:bCs/>
      <w:smallCaps/>
      <w:sz w:val="28"/>
    </w:rPr>
  </w:style>
  <w:style w:type="paragraph" w:styleId="Cmsor4">
    <w:name w:val="heading 4"/>
    <w:basedOn w:val="Norml"/>
    <w:next w:val="Norml"/>
    <w:link w:val="Cmsor4Char"/>
    <w:qFormat/>
    <w:pPr>
      <w:keepNext/>
      <w:ind w:left="425" w:hanging="425"/>
      <w:outlineLvl w:val="3"/>
    </w:pPr>
    <w:rPr>
      <w:b/>
    </w:rPr>
  </w:style>
  <w:style w:type="paragraph" w:styleId="Cmsor5">
    <w:name w:val="heading 5"/>
    <w:basedOn w:val="Norml"/>
    <w:next w:val="Norml"/>
    <w:qFormat/>
    <w:pPr>
      <w:keepNext/>
      <w:jc w:val="left"/>
      <w:outlineLvl w:val="4"/>
    </w:pPr>
    <w:rPr>
      <w:b/>
    </w:rPr>
  </w:style>
  <w:style w:type="paragraph" w:styleId="Cmsor6">
    <w:name w:val="heading 6"/>
    <w:basedOn w:val="Norml"/>
    <w:next w:val="Norml"/>
    <w:qFormat/>
    <w:pPr>
      <w:keepNext/>
      <w:ind w:left="567" w:right="-1" w:hanging="567"/>
      <w:outlineLvl w:val="5"/>
    </w:pPr>
    <w:rPr>
      <w:b/>
    </w:rPr>
  </w:style>
  <w:style w:type="paragraph" w:styleId="Cmsor7">
    <w:name w:val="heading 7"/>
    <w:basedOn w:val="Norml"/>
    <w:next w:val="Norml"/>
    <w:qFormat/>
    <w:pPr>
      <w:keepNext/>
      <w:ind w:left="567"/>
      <w:outlineLvl w:val="6"/>
    </w:pPr>
    <w:rPr>
      <w:b/>
    </w:rPr>
  </w:style>
  <w:style w:type="paragraph" w:styleId="Cmsor8">
    <w:name w:val="heading 8"/>
    <w:basedOn w:val="Norml"/>
    <w:next w:val="Norml"/>
    <w:qFormat/>
    <w:pPr>
      <w:keepNext/>
      <w:outlineLvl w:val="7"/>
    </w:pPr>
    <w:rPr>
      <w:b/>
      <w:color w:val="000000"/>
    </w:rPr>
  </w:style>
  <w:style w:type="paragraph" w:styleId="Cmsor9">
    <w:name w:val="heading 9"/>
    <w:basedOn w:val="Norml"/>
    <w:next w:val="Norml"/>
    <w:qFormat/>
    <w:pPr>
      <w:keepNext/>
      <w:tabs>
        <w:tab w:val="left" w:pos="4253"/>
      </w:tabs>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m1">
    <w:name w:val="cim 1"/>
    <w:basedOn w:val="Cmsor1"/>
    <w:pPr>
      <w:outlineLvl w:val="9"/>
    </w:pPr>
  </w:style>
  <w:style w:type="paragraph" w:styleId="lfej">
    <w:name w:val="header"/>
    <w:basedOn w:val="Norml"/>
    <w:link w:val="lfejChar"/>
    <w:uiPriority w:val="99"/>
    <w:pPr>
      <w:tabs>
        <w:tab w:val="center" w:pos="4153"/>
        <w:tab w:val="right" w:pos="8306"/>
      </w:tabs>
    </w:pPr>
  </w:style>
  <w:style w:type="paragraph" w:styleId="llb">
    <w:name w:val="footer"/>
    <w:basedOn w:val="Norml"/>
    <w:link w:val="llbChar"/>
    <w:uiPriority w:val="99"/>
    <w:pPr>
      <w:tabs>
        <w:tab w:val="center" w:pos="4153"/>
        <w:tab w:val="right" w:pos="8306"/>
      </w:tabs>
    </w:pPr>
  </w:style>
  <w:style w:type="paragraph" w:styleId="Alrs">
    <w:name w:val="Signature"/>
    <w:basedOn w:val="Norml"/>
    <w:next w:val="Norml"/>
    <w:pPr>
      <w:ind w:left="3402"/>
      <w:jc w:val="center"/>
    </w:pPr>
    <w:rPr>
      <w:sz w:val="24"/>
    </w:rPr>
  </w:style>
  <w:style w:type="paragraph" w:customStyle="1" w:styleId="felsorols">
    <w:name w:val="felsorolás"/>
    <w:basedOn w:val="Norml"/>
    <w:pPr>
      <w:tabs>
        <w:tab w:val="left" w:pos="360"/>
      </w:tabs>
      <w:ind w:left="284" w:hanging="284"/>
    </w:pPr>
    <w:rPr>
      <w:sz w:val="16"/>
    </w:rPr>
  </w:style>
  <w:style w:type="character" w:styleId="Lbjegyzet-hivatkozs">
    <w:name w:val="footnote reference"/>
    <w:semiHidden/>
    <w:rPr>
      <w:vertAlign w:val="superscript"/>
    </w:rPr>
  </w:style>
  <w:style w:type="paragraph" w:styleId="Lbjegyzetszveg">
    <w:name w:val="footnote text"/>
    <w:basedOn w:val="Norml"/>
    <w:semiHidden/>
    <w:pPr>
      <w:widowControl w:val="0"/>
      <w:jc w:val="left"/>
    </w:pPr>
    <w:rPr>
      <w:sz w:val="20"/>
    </w:rPr>
  </w:style>
  <w:style w:type="paragraph" w:styleId="Szvegtrzs">
    <w:name w:val="Body Text"/>
    <w:basedOn w:val="Norml"/>
    <w:pPr>
      <w:widowControl w:val="0"/>
    </w:pPr>
    <w:rPr>
      <w:color w:val="FF0000"/>
    </w:rPr>
  </w:style>
  <w:style w:type="paragraph" w:styleId="Cm">
    <w:name w:val="Title"/>
    <w:basedOn w:val="Norml"/>
    <w:qFormat/>
    <w:pPr>
      <w:keepNext/>
      <w:widowControl w:val="0"/>
      <w:ind w:right="-1"/>
      <w:jc w:val="center"/>
    </w:pPr>
    <w:rPr>
      <w:b/>
      <w:caps/>
      <w:spacing w:val="60"/>
      <w:sz w:val="32"/>
    </w:rPr>
  </w:style>
  <w:style w:type="paragraph" w:customStyle="1" w:styleId="Szvegtrzs21">
    <w:name w:val="Szövegtörzs 21"/>
    <w:basedOn w:val="Norml"/>
    <w:pPr>
      <w:widowControl w:val="0"/>
      <w:ind w:left="570"/>
    </w:pPr>
  </w:style>
  <w:style w:type="character" w:styleId="Oldalszm">
    <w:name w:val="page number"/>
    <w:basedOn w:val="Bekezdsalapbettpusa"/>
  </w:style>
  <w:style w:type="paragraph" w:customStyle="1" w:styleId="BodyText211">
    <w:name w:val="Body Text 211"/>
    <w:basedOn w:val="Norml"/>
    <w:pPr>
      <w:ind w:left="567"/>
    </w:pPr>
  </w:style>
  <w:style w:type="paragraph" w:customStyle="1" w:styleId="Szvegblokk1">
    <w:name w:val="Szövegblokk1"/>
    <w:basedOn w:val="Norml"/>
    <w:pPr>
      <w:keepNext/>
      <w:ind w:left="360" w:right="-1"/>
    </w:pPr>
  </w:style>
  <w:style w:type="paragraph" w:customStyle="1" w:styleId="BodyText210">
    <w:name w:val="Body Text 210"/>
    <w:basedOn w:val="Norml"/>
    <w:pPr>
      <w:ind w:left="426"/>
    </w:pPr>
  </w:style>
  <w:style w:type="paragraph" w:customStyle="1" w:styleId="Szvegtrzsbehzssal21">
    <w:name w:val="Szövegtörzs behúzással 21"/>
    <w:basedOn w:val="Norml"/>
    <w:pPr>
      <w:ind w:left="567" w:hanging="567"/>
    </w:pPr>
  </w:style>
  <w:style w:type="paragraph" w:customStyle="1" w:styleId="Szvegtrzsbehzssal31">
    <w:name w:val="Szövegtörzs behúzással 31"/>
    <w:basedOn w:val="Norml"/>
    <w:pPr>
      <w:ind w:left="851"/>
    </w:pPr>
  </w:style>
  <w:style w:type="paragraph" w:customStyle="1" w:styleId="BodyText29">
    <w:name w:val="Body Text 29"/>
    <w:basedOn w:val="Norml"/>
    <w:pPr>
      <w:ind w:left="851" w:hanging="284"/>
    </w:pPr>
  </w:style>
  <w:style w:type="paragraph" w:customStyle="1" w:styleId="BodyTextIndent26">
    <w:name w:val="Body Text Indent 26"/>
    <w:basedOn w:val="Norml"/>
    <w:pPr>
      <w:ind w:left="513"/>
    </w:pPr>
  </w:style>
  <w:style w:type="paragraph" w:customStyle="1" w:styleId="BodyTextIndent25">
    <w:name w:val="Body Text Indent 25"/>
    <w:basedOn w:val="Norml"/>
    <w:pPr>
      <w:ind w:left="567" w:hanging="567"/>
    </w:pPr>
  </w:style>
  <w:style w:type="paragraph" w:customStyle="1" w:styleId="BodyText28">
    <w:name w:val="Body Text 28"/>
    <w:basedOn w:val="Norml"/>
    <w:pPr>
      <w:spacing w:after="0"/>
    </w:pPr>
  </w:style>
  <w:style w:type="paragraph" w:customStyle="1" w:styleId="BodyText27">
    <w:name w:val="Body Text 27"/>
    <w:basedOn w:val="Norml"/>
    <w:pPr>
      <w:suppressAutoHyphens/>
      <w:ind w:left="1560"/>
    </w:pPr>
    <w:rPr>
      <w:sz w:val="22"/>
    </w:rPr>
  </w:style>
  <w:style w:type="paragraph" w:customStyle="1" w:styleId="BodyText26">
    <w:name w:val="Body Text 26"/>
    <w:basedOn w:val="Norml"/>
    <w:pPr>
      <w:ind w:left="992" w:hanging="425"/>
    </w:pPr>
  </w:style>
  <w:style w:type="paragraph" w:customStyle="1" w:styleId="BodyTextIndent24">
    <w:name w:val="Body Text Indent 24"/>
    <w:basedOn w:val="Norml"/>
    <w:pPr>
      <w:ind w:left="567"/>
    </w:pPr>
    <w:rPr>
      <w:b/>
    </w:rPr>
  </w:style>
  <w:style w:type="paragraph" w:customStyle="1" w:styleId="BodyText25">
    <w:name w:val="Body Text 25"/>
    <w:basedOn w:val="Norml"/>
    <w:pPr>
      <w:ind w:left="567"/>
    </w:pPr>
  </w:style>
  <w:style w:type="paragraph" w:customStyle="1" w:styleId="BodyText24">
    <w:name w:val="Body Text 24"/>
    <w:basedOn w:val="Norml"/>
    <w:pPr>
      <w:ind w:left="567"/>
    </w:pPr>
  </w:style>
  <w:style w:type="paragraph" w:customStyle="1" w:styleId="BodyText23">
    <w:name w:val="Body Text 23"/>
    <w:basedOn w:val="Norml"/>
    <w:pPr>
      <w:ind w:left="540"/>
    </w:pPr>
  </w:style>
  <w:style w:type="paragraph" w:customStyle="1" w:styleId="BodyTextIndent23">
    <w:name w:val="Body Text Indent 23"/>
    <w:basedOn w:val="Norml"/>
    <w:pPr>
      <w:ind w:left="426" w:hanging="426"/>
    </w:pPr>
  </w:style>
  <w:style w:type="character" w:styleId="Vgjegyzet-hivatkozs">
    <w:name w:val="endnote reference"/>
    <w:semiHidden/>
    <w:rPr>
      <w:vertAlign w:val="superscript"/>
    </w:rPr>
  </w:style>
  <w:style w:type="paragraph" w:customStyle="1" w:styleId="BlockText1">
    <w:name w:val="Block Text1"/>
    <w:basedOn w:val="Norml"/>
    <w:pPr>
      <w:ind w:left="425" w:right="284"/>
    </w:pPr>
    <w:rPr>
      <w:sz w:val="22"/>
    </w:rPr>
  </w:style>
  <w:style w:type="paragraph" w:customStyle="1" w:styleId="BodyText21">
    <w:name w:val="Body Text 21"/>
    <w:basedOn w:val="Norml"/>
    <w:pPr>
      <w:tabs>
        <w:tab w:val="left" w:pos="2694"/>
      </w:tabs>
      <w:ind w:left="360"/>
    </w:pPr>
  </w:style>
  <w:style w:type="paragraph" w:customStyle="1" w:styleId="BodyTextIndent22">
    <w:name w:val="Body Text Indent 22"/>
    <w:basedOn w:val="Norml"/>
    <w:pPr>
      <w:tabs>
        <w:tab w:val="left" w:pos="2694"/>
      </w:tabs>
      <w:ind w:left="709"/>
    </w:pPr>
  </w:style>
  <w:style w:type="paragraph" w:customStyle="1" w:styleId="BodyTextIndent21">
    <w:name w:val="Body Text Indent 21"/>
    <w:basedOn w:val="Norml"/>
    <w:pPr>
      <w:spacing w:after="0"/>
      <w:ind w:left="567"/>
    </w:pPr>
    <w:rPr>
      <w:sz w:val="24"/>
    </w:rPr>
  </w:style>
  <w:style w:type="paragraph" w:styleId="Szvegtrzs2">
    <w:name w:val="Body Text 2"/>
    <w:basedOn w:val="Norml"/>
    <w:pPr>
      <w:keepNext/>
      <w:tabs>
        <w:tab w:val="left" w:pos="2694"/>
      </w:tabs>
      <w:jc w:val="center"/>
    </w:pPr>
    <w:rPr>
      <w:b/>
      <w:caps/>
    </w:rPr>
  </w:style>
  <w:style w:type="paragraph" w:styleId="Szvegtrzsbehzssal2">
    <w:name w:val="Body Text Indent 2"/>
    <w:basedOn w:val="Norml"/>
    <w:pPr>
      <w:ind w:left="1134"/>
    </w:pPr>
    <w:rPr>
      <w:sz w:val="22"/>
    </w:rPr>
  </w:style>
  <w:style w:type="paragraph" w:styleId="Szvegtrzsbehzssal">
    <w:name w:val="Body Text Indent"/>
    <w:basedOn w:val="Norml"/>
    <w:pPr>
      <w:spacing w:after="0"/>
      <w:ind w:left="709"/>
    </w:pPr>
    <w:rPr>
      <w:i/>
      <w:iCs/>
      <w:sz w:val="28"/>
    </w:rPr>
  </w:style>
  <w:style w:type="paragraph" w:styleId="Szvegtrzsbehzssal3">
    <w:name w:val="Body Text Indent 3"/>
    <w:basedOn w:val="Norml"/>
    <w:pPr>
      <w:ind w:left="1134"/>
    </w:pPr>
    <w:rPr>
      <w:sz w:val="24"/>
    </w:rPr>
  </w:style>
  <w:style w:type="paragraph" w:styleId="Szvegblokk">
    <w:name w:val="Block Text"/>
    <w:basedOn w:val="Norml"/>
    <w:pPr>
      <w:ind w:left="-180" w:right="-108"/>
    </w:pPr>
  </w:style>
  <w:style w:type="paragraph" w:styleId="Kpalrs">
    <w:name w:val="caption"/>
    <w:basedOn w:val="Norml"/>
    <w:next w:val="Norml"/>
    <w:qFormat/>
    <w:pPr>
      <w:numPr>
        <w:numId w:val="1"/>
      </w:numPr>
      <w:spacing w:after="0"/>
      <w:ind w:right="282"/>
    </w:pPr>
    <w:rPr>
      <w:b/>
      <w:bCs/>
      <w:sz w:val="28"/>
      <w:u w:val="single"/>
    </w:rPr>
  </w:style>
  <w:style w:type="paragraph" w:styleId="Szvegtrzs3">
    <w:name w:val="Body Text 3"/>
    <w:basedOn w:val="Norml"/>
    <w:link w:val="Szvegtrzs3Char"/>
    <w:pPr>
      <w:ind w:right="-57"/>
    </w:pPr>
  </w:style>
  <w:style w:type="paragraph" w:customStyle="1" w:styleId="Szvegtrzs1">
    <w:name w:val="Szövegtörzs1"/>
    <w:basedOn w:val="Norml"/>
    <w:pPr>
      <w:spacing w:after="0"/>
    </w:pPr>
    <w:rPr>
      <w:i/>
      <w:sz w:val="28"/>
    </w:rPr>
  </w:style>
  <w:style w:type="paragraph" w:styleId="Alcm">
    <w:name w:val="Subtitle"/>
    <w:basedOn w:val="Norml"/>
    <w:qFormat/>
    <w:pPr>
      <w:spacing w:after="0"/>
      <w:jc w:val="left"/>
    </w:pPr>
    <w:rPr>
      <w:rFonts w:ascii="Arial" w:hAnsi="Arial"/>
      <w:i/>
      <w:sz w:val="24"/>
    </w:rPr>
  </w:style>
  <w:style w:type="paragraph" w:customStyle="1" w:styleId="BodyText22">
    <w:name w:val="Body Text 22"/>
    <w:basedOn w:val="Norml"/>
    <w:rPr>
      <w:sz w:val="24"/>
    </w:rPr>
  </w:style>
  <w:style w:type="character" w:styleId="Hiperhivatkozs">
    <w:name w:val="Hyperlink"/>
    <w:rsid w:val="00C743EC"/>
    <w:rPr>
      <w:color w:val="000000"/>
      <w:u w:val="single"/>
    </w:rPr>
  </w:style>
  <w:style w:type="paragraph" w:customStyle="1" w:styleId="StlusCmsor3Utna12pt">
    <w:name w:val="Stílus Címsor 3 + Utána:  12 pt"/>
    <w:basedOn w:val="Cmsor3"/>
    <w:rsid w:val="00F630A3"/>
    <w:pPr>
      <w:spacing w:after="240"/>
    </w:pPr>
  </w:style>
  <w:style w:type="paragraph" w:styleId="Buborkszveg">
    <w:name w:val="Balloon Text"/>
    <w:basedOn w:val="Norml"/>
    <w:semiHidden/>
    <w:rsid w:val="00187693"/>
    <w:pPr>
      <w:suppressAutoHyphens/>
    </w:pPr>
    <w:rPr>
      <w:rFonts w:ascii="Tahoma" w:hAnsi="Tahoma" w:cs="Tahoma"/>
      <w:sz w:val="16"/>
      <w:szCs w:val="16"/>
    </w:rPr>
  </w:style>
  <w:style w:type="paragraph" w:customStyle="1" w:styleId="bodytext2">
    <w:name w:val="bodytext2"/>
    <w:basedOn w:val="Norml"/>
    <w:rsid w:val="00FD0145"/>
    <w:pPr>
      <w:overflowPunct w:val="0"/>
      <w:autoSpaceDE w:val="0"/>
      <w:autoSpaceDN w:val="0"/>
      <w:ind w:left="360"/>
    </w:pPr>
    <w:rPr>
      <w:szCs w:val="26"/>
    </w:rPr>
  </w:style>
  <w:style w:type="character" w:customStyle="1" w:styleId="pm">
    <w:name w:val="pm"/>
    <w:semiHidden/>
    <w:rsid w:val="003F2FB9"/>
    <w:rPr>
      <w:rFonts w:ascii="Arial" w:hAnsi="Arial" w:cs="Arial"/>
      <w:color w:val="auto"/>
      <w:sz w:val="20"/>
      <w:szCs w:val="20"/>
    </w:rPr>
  </w:style>
  <w:style w:type="table" w:styleId="Rcsostblzat">
    <w:name w:val="Table Grid"/>
    <w:basedOn w:val="Normltblzat"/>
    <w:uiPriority w:val="59"/>
    <w:rsid w:val="0028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Char">
    <w:name w:val="Szövegtörzs 3 Char"/>
    <w:link w:val="Szvegtrzs3"/>
    <w:rsid w:val="003149E2"/>
    <w:rPr>
      <w:sz w:val="26"/>
    </w:rPr>
  </w:style>
  <w:style w:type="paragraph" w:styleId="Listaszerbekezds">
    <w:name w:val="List Paragraph"/>
    <w:basedOn w:val="Norml"/>
    <w:uiPriority w:val="34"/>
    <w:qFormat/>
    <w:rsid w:val="00947BCD"/>
    <w:pPr>
      <w:spacing w:after="200" w:line="276" w:lineRule="auto"/>
      <w:ind w:left="720"/>
      <w:contextualSpacing/>
      <w:jc w:val="left"/>
    </w:pPr>
    <w:rPr>
      <w:rFonts w:ascii="Calibri" w:eastAsia="Calibri" w:hAnsi="Calibri"/>
      <w:sz w:val="22"/>
      <w:szCs w:val="22"/>
      <w:lang w:eastAsia="en-US"/>
    </w:rPr>
  </w:style>
  <w:style w:type="paragraph" w:customStyle="1" w:styleId="Szvegtrzs210">
    <w:name w:val="Szövegtörzs 210"/>
    <w:basedOn w:val="Norml"/>
    <w:rsid w:val="009271B4"/>
    <w:pPr>
      <w:widowControl w:val="0"/>
      <w:ind w:left="570"/>
    </w:pPr>
    <w:rPr>
      <w:rFonts w:ascii="Times" w:hAnsi="Times"/>
    </w:rPr>
  </w:style>
  <w:style w:type="character" w:customStyle="1" w:styleId="Cmsor4Char">
    <w:name w:val="Címsor 4 Char"/>
    <w:link w:val="Cmsor4"/>
    <w:rsid w:val="000C18B6"/>
    <w:rPr>
      <w:b/>
      <w:sz w:val="26"/>
    </w:rPr>
  </w:style>
  <w:style w:type="character" w:customStyle="1" w:styleId="llbChar">
    <w:name w:val="Élőláb Char"/>
    <w:link w:val="llb"/>
    <w:uiPriority w:val="99"/>
    <w:rsid w:val="00700449"/>
    <w:rPr>
      <w:sz w:val="26"/>
    </w:rPr>
  </w:style>
  <w:style w:type="character" w:styleId="Kiemels">
    <w:name w:val="Emphasis"/>
    <w:uiPriority w:val="20"/>
    <w:qFormat/>
    <w:rsid w:val="006D4536"/>
    <w:rPr>
      <w:b/>
      <w:bCs/>
      <w:i w:val="0"/>
      <w:iCs w:val="0"/>
    </w:rPr>
  </w:style>
  <w:style w:type="character" w:customStyle="1" w:styleId="st">
    <w:name w:val="st"/>
    <w:rsid w:val="006D4536"/>
  </w:style>
  <w:style w:type="character" w:styleId="Jegyzethivatkozs">
    <w:name w:val="annotation reference"/>
    <w:uiPriority w:val="99"/>
    <w:rsid w:val="003908B8"/>
    <w:rPr>
      <w:sz w:val="16"/>
      <w:szCs w:val="16"/>
    </w:rPr>
  </w:style>
  <w:style w:type="paragraph" w:styleId="Jegyzetszveg">
    <w:name w:val="annotation text"/>
    <w:basedOn w:val="Norml"/>
    <w:link w:val="JegyzetszvegChar"/>
    <w:rsid w:val="003908B8"/>
    <w:rPr>
      <w:sz w:val="20"/>
    </w:rPr>
  </w:style>
  <w:style w:type="character" w:customStyle="1" w:styleId="JegyzetszvegChar">
    <w:name w:val="Jegyzetszöveg Char"/>
    <w:basedOn w:val="Bekezdsalapbettpusa"/>
    <w:link w:val="Jegyzetszveg"/>
    <w:rsid w:val="003908B8"/>
  </w:style>
  <w:style w:type="paragraph" w:styleId="Megjegyzstrgya">
    <w:name w:val="annotation subject"/>
    <w:basedOn w:val="Jegyzetszveg"/>
    <w:next w:val="Jegyzetszveg"/>
    <w:link w:val="MegjegyzstrgyaChar"/>
    <w:rsid w:val="003908B8"/>
    <w:rPr>
      <w:b/>
      <w:bCs/>
    </w:rPr>
  </w:style>
  <w:style w:type="character" w:customStyle="1" w:styleId="MegjegyzstrgyaChar">
    <w:name w:val="Megjegyzés tárgya Char"/>
    <w:link w:val="Megjegyzstrgya"/>
    <w:rsid w:val="003908B8"/>
    <w:rPr>
      <w:b/>
      <w:bCs/>
    </w:rPr>
  </w:style>
  <w:style w:type="paragraph" w:styleId="NormlWeb">
    <w:name w:val="Normal (Web)"/>
    <w:basedOn w:val="Norml"/>
    <w:uiPriority w:val="99"/>
    <w:unhideWhenUsed/>
    <w:rsid w:val="00F15565"/>
    <w:pPr>
      <w:spacing w:before="100" w:beforeAutospacing="1" w:after="100" w:afterAutospacing="1"/>
      <w:jc w:val="left"/>
    </w:pPr>
    <w:rPr>
      <w:sz w:val="24"/>
      <w:szCs w:val="24"/>
    </w:rPr>
  </w:style>
  <w:style w:type="paragraph" w:customStyle="1" w:styleId="lead">
    <w:name w:val="lead"/>
    <w:basedOn w:val="Norml"/>
    <w:rsid w:val="00F15565"/>
    <w:pPr>
      <w:spacing w:before="100" w:beforeAutospacing="1" w:after="100" w:afterAutospacing="1"/>
      <w:jc w:val="left"/>
    </w:pPr>
    <w:rPr>
      <w:sz w:val="24"/>
      <w:szCs w:val="24"/>
    </w:rPr>
  </w:style>
  <w:style w:type="character" w:customStyle="1" w:styleId="lfejChar">
    <w:name w:val="Élőfej Char"/>
    <w:link w:val="lfej"/>
    <w:uiPriority w:val="99"/>
    <w:rsid w:val="00881044"/>
    <w:rPr>
      <w:sz w:val="26"/>
    </w:rPr>
  </w:style>
  <w:style w:type="paragraph" w:customStyle="1" w:styleId="Default">
    <w:name w:val="Default"/>
    <w:rsid w:val="00737A62"/>
    <w:pPr>
      <w:autoSpaceDE w:val="0"/>
      <w:autoSpaceDN w:val="0"/>
      <w:adjustRightInd w:val="0"/>
    </w:pPr>
    <w:rPr>
      <w:rFonts w:ascii="Myriad Pro" w:eastAsiaTheme="minorHAnsi" w:hAnsi="Myriad Pro" w:cs="Myriad Pro"/>
      <w:color w:val="000000"/>
      <w:sz w:val="24"/>
      <w:szCs w:val="24"/>
      <w:lang w:eastAsia="en-US"/>
    </w:rPr>
  </w:style>
  <w:style w:type="table" w:customStyle="1" w:styleId="Tblzatrcsos1vilgos1jellszn1">
    <w:name w:val="Táblázat (rácsos) 1 – világos – 1. jelölőszín1"/>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1">
    <w:name w:val="normaltextrun1"/>
    <w:basedOn w:val="Bekezdsalapbettpusa"/>
    <w:rsid w:val="002D550F"/>
  </w:style>
  <w:style w:type="character" w:customStyle="1" w:styleId="Cmsor2Char">
    <w:name w:val="Címsor 2 Char"/>
    <w:basedOn w:val="Bekezdsalapbettpusa"/>
    <w:link w:val="Cmsor2"/>
    <w:rsid w:val="000D46AE"/>
    <w:rPr>
      <w:b/>
      <w:iCs/>
      <w:caps/>
      <w:sz w:val="26"/>
    </w:rPr>
  </w:style>
  <w:style w:type="character" w:styleId="Kiemels2">
    <w:name w:val="Strong"/>
    <w:basedOn w:val="Bekezdsalapbettpusa"/>
    <w:uiPriority w:val="22"/>
    <w:qFormat/>
    <w:rsid w:val="0093020E"/>
    <w:rPr>
      <w:b/>
      <w:bCs/>
    </w:rPr>
  </w:style>
  <w:style w:type="table" w:customStyle="1" w:styleId="Tblzatrcsos1vilgos1jellszn2">
    <w:name w:val="Táblázat (rácsos) 1 – világos – 1. jelölőszín2"/>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blzatrcsos1vilgos1jellszn3">
    <w:name w:val="Táblázat (rácsos) 1 – világos – 1. jelölőszín3"/>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xmsonormal">
    <w:name w:val="x_msonormal"/>
    <w:basedOn w:val="Norml"/>
    <w:rsid w:val="00051A03"/>
    <w:pPr>
      <w:spacing w:after="0"/>
      <w:jc w:val="left"/>
    </w:pPr>
    <w:rPr>
      <w:rFonts w:eastAsiaTheme="minorHAnsi"/>
      <w:sz w:val="24"/>
      <w:szCs w:val="24"/>
    </w:rPr>
  </w:style>
  <w:style w:type="paragraph" w:customStyle="1" w:styleId="xmsonormal0">
    <w:name w:val="xmsonormal"/>
    <w:basedOn w:val="Norml"/>
    <w:rsid w:val="003A0B11"/>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723">
      <w:bodyDiv w:val="1"/>
      <w:marLeft w:val="0"/>
      <w:marRight w:val="0"/>
      <w:marTop w:val="0"/>
      <w:marBottom w:val="0"/>
      <w:divBdr>
        <w:top w:val="none" w:sz="0" w:space="0" w:color="auto"/>
        <w:left w:val="none" w:sz="0" w:space="0" w:color="auto"/>
        <w:bottom w:val="none" w:sz="0" w:space="0" w:color="auto"/>
        <w:right w:val="none" w:sz="0" w:space="0" w:color="auto"/>
      </w:divBdr>
      <w:divsChild>
        <w:div w:id="2089646129">
          <w:marLeft w:val="0"/>
          <w:marRight w:val="0"/>
          <w:marTop w:val="0"/>
          <w:marBottom w:val="0"/>
          <w:divBdr>
            <w:top w:val="none" w:sz="0" w:space="0" w:color="auto"/>
            <w:left w:val="none" w:sz="0" w:space="0" w:color="auto"/>
            <w:bottom w:val="none" w:sz="0" w:space="0" w:color="auto"/>
            <w:right w:val="none" w:sz="0" w:space="0" w:color="auto"/>
          </w:divBdr>
        </w:div>
        <w:div w:id="470290246">
          <w:marLeft w:val="0"/>
          <w:marRight w:val="0"/>
          <w:marTop w:val="0"/>
          <w:marBottom w:val="0"/>
          <w:divBdr>
            <w:top w:val="none" w:sz="0" w:space="0" w:color="auto"/>
            <w:left w:val="none" w:sz="0" w:space="0" w:color="auto"/>
            <w:bottom w:val="none" w:sz="0" w:space="0" w:color="auto"/>
            <w:right w:val="none" w:sz="0" w:space="0" w:color="auto"/>
          </w:divBdr>
        </w:div>
      </w:divsChild>
    </w:div>
    <w:div w:id="24868036">
      <w:bodyDiv w:val="1"/>
      <w:marLeft w:val="0"/>
      <w:marRight w:val="0"/>
      <w:marTop w:val="0"/>
      <w:marBottom w:val="0"/>
      <w:divBdr>
        <w:top w:val="none" w:sz="0" w:space="0" w:color="auto"/>
        <w:left w:val="none" w:sz="0" w:space="0" w:color="auto"/>
        <w:bottom w:val="none" w:sz="0" w:space="0" w:color="auto"/>
        <w:right w:val="none" w:sz="0" w:space="0" w:color="auto"/>
      </w:divBdr>
    </w:div>
    <w:div w:id="28384293">
      <w:bodyDiv w:val="1"/>
      <w:marLeft w:val="0"/>
      <w:marRight w:val="0"/>
      <w:marTop w:val="0"/>
      <w:marBottom w:val="0"/>
      <w:divBdr>
        <w:top w:val="none" w:sz="0" w:space="0" w:color="auto"/>
        <w:left w:val="none" w:sz="0" w:space="0" w:color="auto"/>
        <w:bottom w:val="none" w:sz="0" w:space="0" w:color="auto"/>
        <w:right w:val="none" w:sz="0" w:space="0" w:color="auto"/>
      </w:divBdr>
    </w:div>
    <w:div w:id="36400119">
      <w:bodyDiv w:val="1"/>
      <w:marLeft w:val="0"/>
      <w:marRight w:val="0"/>
      <w:marTop w:val="0"/>
      <w:marBottom w:val="0"/>
      <w:divBdr>
        <w:top w:val="none" w:sz="0" w:space="0" w:color="auto"/>
        <w:left w:val="none" w:sz="0" w:space="0" w:color="auto"/>
        <w:bottom w:val="none" w:sz="0" w:space="0" w:color="auto"/>
        <w:right w:val="none" w:sz="0" w:space="0" w:color="auto"/>
      </w:divBdr>
    </w:div>
    <w:div w:id="41102839">
      <w:bodyDiv w:val="1"/>
      <w:marLeft w:val="0"/>
      <w:marRight w:val="0"/>
      <w:marTop w:val="0"/>
      <w:marBottom w:val="0"/>
      <w:divBdr>
        <w:top w:val="none" w:sz="0" w:space="0" w:color="auto"/>
        <w:left w:val="none" w:sz="0" w:space="0" w:color="auto"/>
        <w:bottom w:val="none" w:sz="0" w:space="0" w:color="auto"/>
        <w:right w:val="none" w:sz="0" w:space="0" w:color="auto"/>
      </w:divBdr>
    </w:div>
    <w:div w:id="53281613">
      <w:bodyDiv w:val="1"/>
      <w:marLeft w:val="0"/>
      <w:marRight w:val="0"/>
      <w:marTop w:val="0"/>
      <w:marBottom w:val="0"/>
      <w:divBdr>
        <w:top w:val="none" w:sz="0" w:space="0" w:color="auto"/>
        <w:left w:val="none" w:sz="0" w:space="0" w:color="auto"/>
        <w:bottom w:val="none" w:sz="0" w:space="0" w:color="auto"/>
        <w:right w:val="none" w:sz="0" w:space="0" w:color="auto"/>
      </w:divBdr>
    </w:div>
    <w:div w:id="55016142">
      <w:bodyDiv w:val="1"/>
      <w:marLeft w:val="0"/>
      <w:marRight w:val="0"/>
      <w:marTop w:val="0"/>
      <w:marBottom w:val="0"/>
      <w:divBdr>
        <w:top w:val="none" w:sz="0" w:space="0" w:color="auto"/>
        <w:left w:val="none" w:sz="0" w:space="0" w:color="auto"/>
        <w:bottom w:val="none" w:sz="0" w:space="0" w:color="auto"/>
        <w:right w:val="none" w:sz="0" w:space="0" w:color="auto"/>
      </w:divBdr>
    </w:div>
    <w:div w:id="65150505">
      <w:bodyDiv w:val="1"/>
      <w:marLeft w:val="0"/>
      <w:marRight w:val="0"/>
      <w:marTop w:val="0"/>
      <w:marBottom w:val="0"/>
      <w:divBdr>
        <w:top w:val="none" w:sz="0" w:space="0" w:color="auto"/>
        <w:left w:val="none" w:sz="0" w:space="0" w:color="auto"/>
        <w:bottom w:val="none" w:sz="0" w:space="0" w:color="auto"/>
        <w:right w:val="none" w:sz="0" w:space="0" w:color="auto"/>
      </w:divBdr>
    </w:div>
    <w:div w:id="67240560">
      <w:bodyDiv w:val="1"/>
      <w:marLeft w:val="0"/>
      <w:marRight w:val="0"/>
      <w:marTop w:val="0"/>
      <w:marBottom w:val="0"/>
      <w:divBdr>
        <w:top w:val="none" w:sz="0" w:space="0" w:color="auto"/>
        <w:left w:val="none" w:sz="0" w:space="0" w:color="auto"/>
        <w:bottom w:val="none" w:sz="0" w:space="0" w:color="auto"/>
        <w:right w:val="none" w:sz="0" w:space="0" w:color="auto"/>
      </w:divBdr>
    </w:div>
    <w:div w:id="69694883">
      <w:bodyDiv w:val="1"/>
      <w:marLeft w:val="0"/>
      <w:marRight w:val="0"/>
      <w:marTop w:val="0"/>
      <w:marBottom w:val="0"/>
      <w:divBdr>
        <w:top w:val="none" w:sz="0" w:space="0" w:color="auto"/>
        <w:left w:val="none" w:sz="0" w:space="0" w:color="auto"/>
        <w:bottom w:val="none" w:sz="0" w:space="0" w:color="auto"/>
        <w:right w:val="none" w:sz="0" w:space="0" w:color="auto"/>
      </w:divBdr>
    </w:div>
    <w:div w:id="72091074">
      <w:bodyDiv w:val="1"/>
      <w:marLeft w:val="0"/>
      <w:marRight w:val="0"/>
      <w:marTop w:val="0"/>
      <w:marBottom w:val="0"/>
      <w:divBdr>
        <w:top w:val="none" w:sz="0" w:space="0" w:color="auto"/>
        <w:left w:val="none" w:sz="0" w:space="0" w:color="auto"/>
        <w:bottom w:val="none" w:sz="0" w:space="0" w:color="auto"/>
        <w:right w:val="none" w:sz="0" w:space="0" w:color="auto"/>
      </w:divBdr>
    </w:div>
    <w:div w:id="83652861">
      <w:bodyDiv w:val="1"/>
      <w:marLeft w:val="0"/>
      <w:marRight w:val="0"/>
      <w:marTop w:val="0"/>
      <w:marBottom w:val="0"/>
      <w:divBdr>
        <w:top w:val="none" w:sz="0" w:space="0" w:color="auto"/>
        <w:left w:val="none" w:sz="0" w:space="0" w:color="auto"/>
        <w:bottom w:val="none" w:sz="0" w:space="0" w:color="auto"/>
        <w:right w:val="none" w:sz="0" w:space="0" w:color="auto"/>
      </w:divBdr>
    </w:div>
    <w:div w:id="99958094">
      <w:bodyDiv w:val="1"/>
      <w:marLeft w:val="0"/>
      <w:marRight w:val="0"/>
      <w:marTop w:val="0"/>
      <w:marBottom w:val="0"/>
      <w:divBdr>
        <w:top w:val="none" w:sz="0" w:space="0" w:color="auto"/>
        <w:left w:val="none" w:sz="0" w:space="0" w:color="auto"/>
        <w:bottom w:val="none" w:sz="0" w:space="0" w:color="auto"/>
        <w:right w:val="none" w:sz="0" w:space="0" w:color="auto"/>
      </w:divBdr>
    </w:div>
    <w:div w:id="100415675">
      <w:bodyDiv w:val="1"/>
      <w:marLeft w:val="0"/>
      <w:marRight w:val="0"/>
      <w:marTop w:val="0"/>
      <w:marBottom w:val="0"/>
      <w:divBdr>
        <w:top w:val="none" w:sz="0" w:space="0" w:color="auto"/>
        <w:left w:val="none" w:sz="0" w:space="0" w:color="auto"/>
        <w:bottom w:val="none" w:sz="0" w:space="0" w:color="auto"/>
        <w:right w:val="none" w:sz="0" w:space="0" w:color="auto"/>
      </w:divBdr>
    </w:div>
    <w:div w:id="112526933">
      <w:bodyDiv w:val="1"/>
      <w:marLeft w:val="0"/>
      <w:marRight w:val="0"/>
      <w:marTop w:val="0"/>
      <w:marBottom w:val="0"/>
      <w:divBdr>
        <w:top w:val="none" w:sz="0" w:space="0" w:color="auto"/>
        <w:left w:val="none" w:sz="0" w:space="0" w:color="auto"/>
        <w:bottom w:val="none" w:sz="0" w:space="0" w:color="auto"/>
        <w:right w:val="none" w:sz="0" w:space="0" w:color="auto"/>
      </w:divBdr>
    </w:div>
    <w:div w:id="112943691">
      <w:bodyDiv w:val="1"/>
      <w:marLeft w:val="0"/>
      <w:marRight w:val="0"/>
      <w:marTop w:val="0"/>
      <w:marBottom w:val="0"/>
      <w:divBdr>
        <w:top w:val="none" w:sz="0" w:space="0" w:color="auto"/>
        <w:left w:val="none" w:sz="0" w:space="0" w:color="auto"/>
        <w:bottom w:val="none" w:sz="0" w:space="0" w:color="auto"/>
        <w:right w:val="none" w:sz="0" w:space="0" w:color="auto"/>
      </w:divBdr>
    </w:div>
    <w:div w:id="132792457">
      <w:bodyDiv w:val="1"/>
      <w:marLeft w:val="0"/>
      <w:marRight w:val="0"/>
      <w:marTop w:val="0"/>
      <w:marBottom w:val="0"/>
      <w:divBdr>
        <w:top w:val="none" w:sz="0" w:space="0" w:color="auto"/>
        <w:left w:val="none" w:sz="0" w:space="0" w:color="auto"/>
        <w:bottom w:val="none" w:sz="0" w:space="0" w:color="auto"/>
        <w:right w:val="none" w:sz="0" w:space="0" w:color="auto"/>
      </w:divBdr>
    </w:div>
    <w:div w:id="141243291">
      <w:bodyDiv w:val="1"/>
      <w:marLeft w:val="0"/>
      <w:marRight w:val="0"/>
      <w:marTop w:val="0"/>
      <w:marBottom w:val="0"/>
      <w:divBdr>
        <w:top w:val="none" w:sz="0" w:space="0" w:color="auto"/>
        <w:left w:val="none" w:sz="0" w:space="0" w:color="auto"/>
        <w:bottom w:val="none" w:sz="0" w:space="0" w:color="auto"/>
        <w:right w:val="none" w:sz="0" w:space="0" w:color="auto"/>
      </w:divBdr>
    </w:div>
    <w:div w:id="144244819">
      <w:bodyDiv w:val="1"/>
      <w:marLeft w:val="0"/>
      <w:marRight w:val="0"/>
      <w:marTop w:val="0"/>
      <w:marBottom w:val="0"/>
      <w:divBdr>
        <w:top w:val="none" w:sz="0" w:space="0" w:color="auto"/>
        <w:left w:val="none" w:sz="0" w:space="0" w:color="auto"/>
        <w:bottom w:val="none" w:sz="0" w:space="0" w:color="auto"/>
        <w:right w:val="none" w:sz="0" w:space="0" w:color="auto"/>
      </w:divBdr>
    </w:div>
    <w:div w:id="176383975">
      <w:bodyDiv w:val="1"/>
      <w:marLeft w:val="0"/>
      <w:marRight w:val="0"/>
      <w:marTop w:val="0"/>
      <w:marBottom w:val="0"/>
      <w:divBdr>
        <w:top w:val="none" w:sz="0" w:space="0" w:color="auto"/>
        <w:left w:val="none" w:sz="0" w:space="0" w:color="auto"/>
        <w:bottom w:val="none" w:sz="0" w:space="0" w:color="auto"/>
        <w:right w:val="none" w:sz="0" w:space="0" w:color="auto"/>
      </w:divBdr>
    </w:div>
    <w:div w:id="179512026">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39605184">
      <w:bodyDiv w:val="1"/>
      <w:marLeft w:val="0"/>
      <w:marRight w:val="0"/>
      <w:marTop w:val="0"/>
      <w:marBottom w:val="0"/>
      <w:divBdr>
        <w:top w:val="none" w:sz="0" w:space="0" w:color="auto"/>
        <w:left w:val="none" w:sz="0" w:space="0" w:color="auto"/>
        <w:bottom w:val="none" w:sz="0" w:space="0" w:color="auto"/>
        <w:right w:val="none" w:sz="0" w:space="0" w:color="auto"/>
      </w:divBdr>
    </w:div>
    <w:div w:id="239684278">
      <w:bodyDiv w:val="1"/>
      <w:marLeft w:val="0"/>
      <w:marRight w:val="0"/>
      <w:marTop w:val="0"/>
      <w:marBottom w:val="0"/>
      <w:divBdr>
        <w:top w:val="none" w:sz="0" w:space="0" w:color="auto"/>
        <w:left w:val="none" w:sz="0" w:space="0" w:color="auto"/>
        <w:bottom w:val="none" w:sz="0" w:space="0" w:color="auto"/>
        <w:right w:val="none" w:sz="0" w:space="0" w:color="auto"/>
      </w:divBdr>
    </w:div>
    <w:div w:id="240531394">
      <w:bodyDiv w:val="1"/>
      <w:marLeft w:val="0"/>
      <w:marRight w:val="0"/>
      <w:marTop w:val="0"/>
      <w:marBottom w:val="0"/>
      <w:divBdr>
        <w:top w:val="none" w:sz="0" w:space="0" w:color="auto"/>
        <w:left w:val="none" w:sz="0" w:space="0" w:color="auto"/>
        <w:bottom w:val="none" w:sz="0" w:space="0" w:color="auto"/>
        <w:right w:val="none" w:sz="0" w:space="0" w:color="auto"/>
      </w:divBdr>
    </w:div>
    <w:div w:id="240649160">
      <w:bodyDiv w:val="1"/>
      <w:marLeft w:val="0"/>
      <w:marRight w:val="0"/>
      <w:marTop w:val="0"/>
      <w:marBottom w:val="0"/>
      <w:divBdr>
        <w:top w:val="none" w:sz="0" w:space="0" w:color="auto"/>
        <w:left w:val="none" w:sz="0" w:space="0" w:color="auto"/>
        <w:bottom w:val="none" w:sz="0" w:space="0" w:color="auto"/>
        <w:right w:val="none" w:sz="0" w:space="0" w:color="auto"/>
      </w:divBdr>
    </w:div>
    <w:div w:id="251469864">
      <w:bodyDiv w:val="1"/>
      <w:marLeft w:val="0"/>
      <w:marRight w:val="0"/>
      <w:marTop w:val="0"/>
      <w:marBottom w:val="0"/>
      <w:divBdr>
        <w:top w:val="none" w:sz="0" w:space="0" w:color="auto"/>
        <w:left w:val="none" w:sz="0" w:space="0" w:color="auto"/>
        <w:bottom w:val="none" w:sz="0" w:space="0" w:color="auto"/>
        <w:right w:val="none" w:sz="0" w:space="0" w:color="auto"/>
      </w:divBdr>
    </w:div>
    <w:div w:id="255404554">
      <w:bodyDiv w:val="1"/>
      <w:marLeft w:val="0"/>
      <w:marRight w:val="0"/>
      <w:marTop w:val="0"/>
      <w:marBottom w:val="0"/>
      <w:divBdr>
        <w:top w:val="none" w:sz="0" w:space="0" w:color="auto"/>
        <w:left w:val="none" w:sz="0" w:space="0" w:color="auto"/>
        <w:bottom w:val="none" w:sz="0" w:space="0" w:color="auto"/>
        <w:right w:val="none" w:sz="0" w:space="0" w:color="auto"/>
      </w:divBdr>
    </w:div>
    <w:div w:id="257064155">
      <w:bodyDiv w:val="1"/>
      <w:marLeft w:val="0"/>
      <w:marRight w:val="0"/>
      <w:marTop w:val="0"/>
      <w:marBottom w:val="0"/>
      <w:divBdr>
        <w:top w:val="none" w:sz="0" w:space="0" w:color="auto"/>
        <w:left w:val="none" w:sz="0" w:space="0" w:color="auto"/>
        <w:bottom w:val="none" w:sz="0" w:space="0" w:color="auto"/>
        <w:right w:val="none" w:sz="0" w:space="0" w:color="auto"/>
      </w:divBdr>
    </w:div>
    <w:div w:id="272518254">
      <w:bodyDiv w:val="1"/>
      <w:marLeft w:val="0"/>
      <w:marRight w:val="0"/>
      <w:marTop w:val="0"/>
      <w:marBottom w:val="0"/>
      <w:divBdr>
        <w:top w:val="none" w:sz="0" w:space="0" w:color="auto"/>
        <w:left w:val="none" w:sz="0" w:space="0" w:color="auto"/>
        <w:bottom w:val="none" w:sz="0" w:space="0" w:color="auto"/>
        <w:right w:val="none" w:sz="0" w:space="0" w:color="auto"/>
      </w:divBdr>
      <w:divsChild>
        <w:div w:id="1753310793">
          <w:marLeft w:val="0"/>
          <w:marRight w:val="0"/>
          <w:marTop w:val="0"/>
          <w:marBottom w:val="0"/>
          <w:divBdr>
            <w:top w:val="none" w:sz="0" w:space="0" w:color="auto"/>
            <w:left w:val="none" w:sz="0" w:space="0" w:color="auto"/>
            <w:bottom w:val="none" w:sz="0" w:space="0" w:color="auto"/>
            <w:right w:val="none" w:sz="0" w:space="0" w:color="auto"/>
          </w:divBdr>
        </w:div>
        <w:div w:id="553661534">
          <w:marLeft w:val="0"/>
          <w:marRight w:val="0"/>
          <w:marTop w:val="0"/>
          <w:marBottom w:val="0"/>
          <w:divBdr>
            <w:top w:val="none" w:sz="0" w:space="0" w:color="auto"/>
            <w:left w:val="none" w:sz="0" w:space="0" w:color="auto"/>
            <w:bottom w:val="none" w:sz="0" w:space="0" w:color="auto"/>
            <w:right w:val="none" w:sz="0" w:space="0" w:color="auto"/>
          </w:divBdr>
        </w:div>
      </w:divsChild>
    </w:div>
    <w:div w:id="284392711">
      <w:bodyDiv w:val="1"/>
      <w:marLeft w:val="0"/>
      <w:marRight w:val="0"/>
      <w:marTop w:val="0"/>
      <w:marBottom w:val="0"/>
      <w:divBdr>
        <w:top w:val="none" w:sz="0" w:space="0" w:color="auto"/>
        <w:left w:val="none" w:sz="0" w:space="0" w:color="auto"/>
        <w:bottom w:val="none" w:sz="0" w:space="0" w:color="auto"/>
        <w:right w:val="none" w:sz="0" w:space="0" w:color="auto"/>
      </w:divBdr>
    </w:div>
    <w:div w:id="303589234">
      <w:bodyDiv w:val="1"/>
      <w:marLeft w:val="0"/>
      <w:marRight w:val="0"/>
      <w:marTop w:val="0"/>
      <w:marBottom w:val="0"/>
      <w:divBdr>
        <w:top w:val="none" w:sz="0" w:space="0" w:color="auto"/>
        <w:left w:val="none" w:sz="0" w:space="0" w:color="auto"/>
        <w:bottom w:val="none" w:sz="0" w:space="0" w:color="auto"/>
        <w:right w:val="none" w:sz="0" w:space="0" w:color="auto"/>
      </w:divBdr>
    </w:div>
    <w:div w:id="317005482">
      <w:bodyDiv w:val="1"/>
      <w:marLeft w:val="0"/>
      <w:marRight w:val="0"/>
      <w:marTop w:val="0"/>
      <w:marBottom w:val="0"/>
      <w:divBdr>
        <w:top w:val="none" w:sz="0" w:space="0" w:color="auto"/>
        <w:left w:val="none" w:sz="0" w:space="0" w:color="auto"/>
        <w:bottom w:val="none" w:sz="0" w:space="0" w:color="auto"/>
        <w:right w:val="none" w:sz="0" w:space="0" w:color="auto"/>
      </w:divBdr>
    </w:div>
    <w:div w:id="340012044">
      <w:bodyDiv w:val="1"/>
      <w:marLeft w:val="0"/>
      <w:marRight w:val="0"/>
      <w:marTop w:val="0"/>
      <w:marBottom w:val="0"/>
      <w:divBdr>
        <w:top w:val="none" w:sz="0" w:space="0" w:color="auto"/>
        <w:left w:val="none" w:sz="0" w:space="0" w:color="auto"/>
        <w:bottom w:val="none" w:sz="0" w:space="0" w:color="auto"/>
        <w:right w:val="none" w:sz="0" w:space="0" w:color="auto"/>
      </w:divBdr>
    </w:div>
    <w:div w:id="340087641">
      <w:bodyDiv w:val="1"/>
      <w:marLeft w:val="0"/>
      <w:marRight w:val="0"/>
      <w:marTop w:val="0"/>
      <w:marBottom w:val="0"/>
      <w:divBdr>
        <w:top w:val="none" w:sz="0" w:space="0" w:color="auto"/>
        <w:left w:val="none" w:sz="0" w:space="0" w:color="auto"/>
        <w:bottom w:val="none" w:sz="0" w:space="0" w:color="auto"/>
        <w:right w:val="none" w:sz="0" w:space="0" w:color="auto"/>
      </w:divBdr>
    </w:div>
    <w:div w:id="355614950">
      <w:bodyDiv w:val="1"/>
      <w:marLeft w:val="0"/>
      <w:marRight w:val="0"/>
      <w:marTop w:val="0"/>
      <w:marBottom w:val="0"/>
      <w:divBdr>
        <w:top w:val="none" w:sz="0" w:space="0" w:color="auto"/>
        <w:left w:val="none" w:sz="0" w:space="0" w:color="auto"/>
        <w:bottom w:val="none" w:sz="0" w:space="0" w:color="auto"/>
        <w:right w:val="none" w:sz="0" w:space="0" w:color="auto"/>
      </w:divBdr>
    </w:div>
    <w:div w:id="358436226">
      <w:bodyDiv w:val="1"/>
      <w:marLeft w:val="0"/>
      <w:marRight w:val="0"/>
      <w:marTop w:val="0"/>
      <w:marBottom w:val="0"/>
      <w:divBdr>
        <w:top w:val="none" w:sz="0" w:space="0" w:color="auto"/>
        <w:left w:val="none" w:sz="0" w:space="0" w:color="auto"/>
        <w:bottom w:val="none" w:sz="0" w:space="0" w:color="auto"/>
        <w:right w:val="none" w:sz="0" w:space="0" w:color="auto"/>
      </w:divBdr>
    </w:div>
    <w:div w:id="359674158">
      <w:bodyDiv w:val="1"/>
      <w:marLeft w:val="0"/>
      <w:marRight w:val="0"/>
      <w:marTop w:val="0"/>
      <w:marBottom w:val="0"/>
      <w:divBdr>
        <w:top w:val="none" w:sz="0" w:space="0" w:color="auto"/>
        <w:left w:val="none" w:sz="0" w:space="0" w:color="auto"/>
        <w:bottom w:val="none" w:sz="0" w:space="0" w:color="auto"/>
        <w:right w:val="none" w:sz="0" w:space="0" w:color="auto"/>
      </w:divBdr>
    </w:div>
    <w:div w:id="363796596">
      <w:bodyDiv w:val="1"/>
      <w:marLeft w:val="0"/>
      <w:marRight w:val="0"/>
      <w:marTop w:val="0"/>
      <w:marBottom w:val="0"/>
      <w:divBdr>
        <w:top w:val="none" w:sz="0" w:space="0" w:color="auto"/>
        <w:left w:val="none" w:sz="0" w:space="0" w:color="auto"/>
        <w:bottom w:val="none" w:sz="0" w:space="0" w:color="auto"/>
        <w:right w:val="none" w:sz="0" w:space="0" w:color="auto"/>
      </w:divBdr>
    </w:div>
    <w:div w:id="366292745">
      <w:bodyDiv w:val="1"/>
      <w:marLeft w:val="0"/>
      <w:marRight w:val="0"/>
      <w:marTop w:val="0"/>
      <w:marBottom w:val="0"/>
      <w:divBdr>
        <w:top w:val="none" w:sz="0" w:space="0" w:color="auto"/>
        <w:left w:val="none" w:sz="0" w:space="0" w:color="auto"/>
        <w:bottom w:val="none" w:sz="0" w:space="0" w:color="auto"/>
        <w:right w:val="none" w:sz="0" w:space="0" w:color="auto"/>
      </w:divBdr>
    </w:div>
    <w:div w:id="368576189">
      <w:bodyDiv w:val="1"/>
      <w:marLeft w:val="0"/>
      <w:marRight w:val="0"/>
      <w:marTop w:val="0"/>
      <w:marBottom w:val="0"/>
      <w:divBdr>
        <w:top w:val="none" w:sz="0" w:space="0" w:color="auto"/>
        <w:left w:val="none" w:sz="0" w:space="0" w:color="auto"/>
        <w:bottom w:val="none" w:sz="0" w:space="0" w:color="auto"/>
        <w:right w:val="none" w:sz="0" w:space="0" w:color="auto"/>
      </w:divBdr>
    </w:div>
    <w:div w:id="370804839">
      <w:bodyDiv w:val="1"/>
      <w:marLeft w:val="0"/>
      <w:marRight w:val="0"/>
      <w:marTop w:val="0"/>
      <w:marBottom w:val="0"/>
      <w:divBdr>
        <w:top w:val="none" w:sz="0" w:space="0" w:color="auto"/>
        <w:left w:val="none" w:sz="0" w:space="0" w:color="auto"/>
        <w:bottom w:val="none" w:sz="0" w:space="0" w:color="auto"/>
        <w:right w:val="none" w:sz="0" w:space="0" w:color="auto"/>
      </w:divBdr>
    </w:div>
    <w:div w:id="382870823">
      <w:bodyDiv w:val="1"/>
      <w:marLeft w:val="0"/>
      <w:marRight w:val="0"/>
      <w:marTop w:val="0"/>
      <w:marBottom w:val="0"/>
      <w:divBdr>
        <w:top w:val="none" w:sz="0" w:space="0" w:color="auto"/>
        <w:left w:val="none" w:sz="0" w:space="0" w:color="auto"/>
        <w:bottom w:val="none" w:sz="0" w:space="0" w:color="auto"/>
        <w:right w:val="none" w:sz="0" w:space="0" w:color="auto"/>
      </w:divBdr>
    </w:div>
    <w:div w:id="388308846">
      <w:bodyDiv w:val="1"/>
      <w:marLeft w:val="0"/>
      <w:marRight w:val="0"/>
      <w:marTop w:val="0"/>
      <w:marBottom w:val="0"/>
      <w:divBdr>
        <w:top w:val="none" w:sz="0" w:space="0" w:color="auto"/>
        <w:left w:val="none" w:sz="0" w:space="0" w:color="auto"/>
        <w:bottom w:val="none" w:sz="0" w:space="0" w:color="auto"/>
        <w:right w:val="none" w:sz="0" w:space="0" w:color="auto"/>
      </w:divBdr>
    </w:div>
    <w:div w:id="392198883">
      <w:bodyDiv w:val="1"/>
      <w:marLeft w:val="0"/>
      <w:marRight w:val="0"/>
      <w:marTop w:val="0"/>
      <w:marBottom w:val="0"/>
      <w:divBdr>
        <w:top w:val="none" w:sz="0" w:space="0" w:color="auto"/>
        <w:left w:val="none" w:sz="0" w:space="0" w:color="auto"/>
        <w:bottom w:val="none" w:sz="0" w:space="0" w:color="auto"/>
        <w:right w:val="none" w:sz="0" w:space="0" w:color="auto"/>
      </w:divBdr>
    </w:div>
    <w:div w:id="403452250">
      <w:bodyDiv w:val="1"/>
      <w:marLeft w:val="0"/>
      <w:marRight w:val="0"/>
      <w:marTop w:val="0"/>
      <w:marBottom w:val="0"/>
      <w:divBdr>
        <w:top w:val="none" w:sz="0" w:space="0" w:color="auto"/>
        <w:left w:val="none" w:sz="0" w:space="0" w:color="auto"/>
        <w:bottom w:val="none" w:sz="0" w:space="0" w:color="auto"/>
        <w:right w:val="none" w:sz="0" w:space="0" w:color="auto"/>
      </w:divBdr>
    </w:div>
    <w:div w:id="407192575">
      <w:bodyDiv w:val="1"/>
      <w:marLeft w:val="0"/>
      <w:marRight w:val="0"/>
      <w:marTop w:val="0"/>
      <w:marBottom w:val="0"/>
      <w:divBdr>
        <w:top w:val="none" w:sz="0" w:space="0" w:color="auto"/>
        <w:left w:val="none" w:sz="0" w:space="0" w:color="auto"/>
        <w:bottom w:val="none" w:sz="0" w:space="0" w:color="auto"/>
        <w:right w:val="none" w:sz="0" w:space="0" w:color="auto"/>
      </w:divBdr>
    </w:div>
    <w:div w:id="409697701">
      <w:bodyDiv w:val="1"/>
      <w:marLeft w:val="0"/>
      <w:marRight w:val="0"/>
      <w:marTop w:val="0"/>
      <w:marBottom w:val="0"/>
      <w:divBdr>
        <w:top w:val="none" w:sz="0" w:space="0" w:color="auto"/>
        <w:left w:val="none" w:sz="0" w:space="0" w:color="auto"/>
        <w:bottom w:val="none" w:sz="0" w:space="0" w:color="auto"/>
        <w:right w:val="none" w:sz="0" w:space="0" w:color="auto"/>
      </w:divBdr>
    </w:div>
    <w:div w:id="413167103">
      <w:bodyDiv w:val="1"/>
      <w:marLeft w:val="0"/>
      <w:marRight w:val="0"/>
      <w:marTop w:val="0"/>
      <w:marBottom w:val="0"/>
      <w:divBdr>
        <w:top w:val="none" w:sz="0" w:space="0" w:color="auto"/>
        <w:left w:val="none" w:sz="0" w:space="0" w:color="auto"/>
        <w:bottom w:val="none" w:sz="0" w:space="0" w:color="auto"/>
        <w:right w:val="none" w:sz="0" w:space="0" w:color="auto"/>
      </w:divBdr>
    </w:div>
    <w:div w:id="421337785">
      <w:bodyDiv w:val="1"/>
      <w:marLeft w:val="0"/>
      <w:marRight w:val="0"/>
      <w:marTop w:val="0"/>
      <w:marBottom w:val="0"/>
      <w:divBdr>
        <w:top w:val="none" w:sz="0" w:space="0" w:color="auto"/>
        <w:left w:val="none" w:sz="0" w:space="0" w:color="auto"/>
        <w:bottom w:val="none" w:sz="0" w:space="0" w:color="auto"/>
        <w:right w:val="none" w:sz="0" w:space="0" w:color="auto"/>
      </w:divBdr>
    </w:div>
    <w:div w:id="430703879">
      <w:bodyDiv w:val="1"/>
      <w:marLeft w:val="0"/>
      <w:marRight w:val="0"/>
      <w:marTop w:val="0"/>
      <w:marBottom w:val="0"/>
      <w:divBdr>
        <w:top w:val="none" w:sz="0" w:space="0" w:color="auto"/>
        <w:left w:val="none" w:sz="0" w:space="0" w:color="auto"/>
        <w:bottom w:val="none" w:sz="0" w:space="0" w:color="auto"/>
        <w:right w:val="none" w:sz="0" w:space="0" w:color="auto"/>
      </w:divBdr>
    </w:div>
    <w:div w:id="430854683">
      <w:bodyDiv w:val="1"/>
      <w:marLeft w:val="0"/>
      <w:marRight w:val="0"/>
      <w:marTop w:val="0"/>
      <w:marBottom w:val="0"/>
      <w:divBdr>
        <w:top w:val="none" w:sz="0" w:space="0" w:color="auto"/>
        <w:left w:val="none" w:sz="0" w:space="0" w:color="auto"/>
        <w:bottom w:val="none" w:sz="0" w:space="0" w:color="auto"/>
        <w:right w:val="none" w:sz="0" w:space="0" w:color="auto"/>
      </w:divBdr>
    </w:div>
    <w:div w:id="459149233">
      <w:bodyDiv w:val="1"/>
      <w:marLeft w:val="0"/>
      <w:marRight w:val="0"/>
      <w:marTop w:val="0"/>
      <w:marBottom w:val="0"/>
      <w:divBdr>
        <w:top w:val="none" w:sz="0" w:space="0" w:color="auto"/>
        <w:left w:val="none" w:sz="0" w:space="0" w:color="auto"/>
        <w:bottom w:val="none" w:sz="0" w:space="0" w:color="auto"/>
        <w:right w:val="none" w:sz="0" w:space="0" w:color="auto"/>
      </w:divBdr>
      <w:divsChild>
        <w:div w:id="1352875463">
          <w:marLeft w:val="0"/>
          <w:marRight w:val="0"/>
          <w:marTop w:val="0"/>
          <w:marBottom w:val="0"/>
          <w:divBdr>
            <w:top w:val="none" w:sz="0" w:space="0" w:color="auto"/>
            <w:left w:val="none" w:sz="0" w:space="0" w:color="auto"/>
            <w:bottom w:val="none" w:sz="0" w:space="0" w:color="auto"/>
            <w:right w:val="none" w:sz="0" w:space="0" w:color="auto"/>
          </w:divBdr>
        </w:div>
      </w:divsChild>
    </w:div>
    <w:div w:id="467431237">
      <w:bodyDiv w:val="1"/>
      <w:marLeft w:val="0"/>
      <w:marRight w:val="0"/>
      <w:marTop w:val="0"/>
      <w:marBottom w:val="0"/>
      <w:divBdr>
        <w:top w:val="none" w:sz="0" w:space="0" w:color="auto"/>
        <w:left w:val="none" w:sz="0" w:space="0" w:color="auto"/>
        <w:bottom w:val="none" w:sz="0" w:space="0" w:color="auto"/>
        <w:right w:val="none" w:sz="0" w:space="0" w:color="auto"/>
      </w:divBdr>
    </w:div>
    <w:div w:id="472529130">
      <w:bodyDiv w:val="1"/>
      <w:marLeft w:val="0"/>
      <w:marRight w:val="0"/>
      <w:marTop w:val="0"/>
      <w:marBottom w:val="0"/>
      <w:divBdr>
        <w:top w:val="none" w:sz="0" w:space="0" w:color="auto"/>
        <w:left w:val="none" w:sz="0" w:space="0" w:color="auto"/>
        <w:bottom w:val="none" w:sz="0" w:space="0" w:color="auto"/>
        <w:right w:val="none" w:sz="0" w:space="0" w:color="auto"/>
      </w:divBdr>
    </w:div>
    <w:div w:id="480926656">
      <w:bodyDiv w:val="1"/>
      <w:marLeft w:val="0"/>
      <w:marRight w:val="0"/>
      <w:marTop w:val="0"/>
      <w:marBottom w:val="0"/>
      <w:divBdr>
        <w:top w:val="none" w:sz="0" w:space="0" w:color="auto"/>
        <w:left w:val="none" w:sz="0" w:space="0" w:color="auto"/>
        <w:bottom w:val="none" w:sz="0" w:space="0" w:color="auto"/>
        <w:right w:val="none" w:sz="0" w:space="0" w:color="auto"/>
      </w:divBdr>
    </w:div>
    <w:div w:id="486940887">
      <w:bodyDiv w:val="1"/>
      <w:marLeft w:val="0"/>
      <w:marRight w:val="0"/>
      <w:marTop w:val="0"/>
      <w:marBottom w:val="0"/>
      <w:divBdr>
        <w:top w:val="none" w:sz="0" w:space="0" w:color="auto"/>
        <w:left w:val="none" w:sz="0" w:space="0" w:color="auto"/>
        <w:bottom w:val="none" w:sz="0" w:space="0" w:color="auto"/>
        <w:right w:val="none" w:sz="0" w:space="0" w:color="auto"/>
      </w:divBdr>
    </w:div>
    <w:div w:id="492717922">
      <w:bodyDiv w:val="1"/>
      <w:marLeft w:val="0"/>
      <w:marRight w:val="0"/>
      <w:marTop w:val="0"/>
      <w:marBottom w:val="0"/>
      <w:divBdr>
        <w:top w:val="none" w:sz="0" w:space="0" w:color="auto"/>
        <w:left w:val="none" w:sz="0" w:space="0" w:color="auto"/>
        <w:bottom w:val="none" w:sz="0" w:space="0" w:color="auto"/>
        <w:right w:val="none" w:sz="0" w:space="0" w:color="auto"/>
      </w:divBdr>
    </w:div>
    <w:div w:id="494804377">
      <w:bodyDiv w:val="1"/>
      <w:marLeft w:val="0"/>
      <w:marRight w:val="0"/>
      <w:marTop w:val="0"/>
      <w:marBottom w:val="0"/>
      <w:divBdr>
        <w:top w:val="none" w:sz="0" w:space="0" w:color="auto"/>
        <w:left w:val="none" w:sz="0" w:space="0" w:color="auto"/>
        <w:bottom w:val="none" w:sz="0" w:space="0" w:color="auto"/>
        <w:right w:val="none" w:sz="0" w:space="0" w:color="auto"/>
      </w:divBdr>
    </w:div>
    <w:div w:id="497041440">
      <w:bodyDiv w:val="1"/>
      <w:marLeft w:val="0"/>
      <w:marRight w:val="0"/>
      <w:marTop w:val="0"/>
      <w:marBottom w:val="0"/>
      <w:divBdr>
        <w:top w:val="none" w:sz="0" w:space="0" w:color="auto"/>
        <w:left w:val="none" w:sz="0" w:space="0" w:color="auto"/>
        <w:bottom w:val="none" w:sz="0" w:space="0" w:color="auto"/>
        <w:right w:val="none" w:sz="0" w:space="0" w:color="auto"/>
      </w:divBdr>
    </w:div>
    <w:div w:id="498034362">
      <w:bodyDiv w:val="1"/>
      <w:marLeft w:val="0"/>
      <w:marRight w:val="0"/>
      <w:marTop w:val="0"/>
      <w:marBottom w:val="0"/>
      <w:divBdr>
        <w:top w:val="none" w:sz="0" w:space="0" w:color="auto"/>
        <w:left w:val="none" w:sz="0" w:space="0" w:color="auto"/>
        <w:bottom w:val="none" w:sz="0" w:space="0" w:color="auto"/>
        <w:right w:val="none" w:sz="0" w:space="0" w:color="auto"/>
      </w:divBdr>
    </w:div>
    <w:div w:id="508495458">
      <w:bodyDiv w:val="1"/>
      <w:marLeft w:val="0"/>
      <w:marRight w:val="0"/>
      <w:marTop w:val="0"/>
      <w:marBottom w:val="0"/>
      <w:divBdr>
        <w:top w:val="none" w:sz="0" w:space="0" w:color="auto"/>
        <w:left w:val="none" w:sz="0" w:space="0" w:color="auto"/>
        <w:bottom w:val="none" w:sz="0" w:space="0" w:color="auto"/>
        <w:right w:val="none" w:sz="0" w:space="0" w:color="auto"/>
      </w:divBdr>
    </w:div>
    <w:div w:id="512039969">
      <w:bodyDiv w:val="1"/>
      <w:marLeft w:val="0"/>
      <w:marRight w:val="0"/>
      <w:marTop w:val="0"/>
      <w:marBottom w:val="0"/>
      <w:divBdr>
        <w:top w:val="none" w:sz="0" w:space="0" w:color="auto"/>
        <w:left w:val="none" w:sz="0" w:space="0" w:color="auto"/>
        <w:bottom w:val="none" w:sz="0" w:space="0" w:color="auto"/>
        <w:right w:val="none" w:sz="0" w:space="0" w:color="auto"/>
      </w:divBdr>
      <w:divsChild>
        <w:div w:id="1196885897">
          <w:marLeft w:val="0"/>
          <w:marRight w:val="0"/>
          <w:marTop w:val="0"/>
          <w:marBottom w:val="0"/>
          <w:divBdr>
            <w:top w:val="none" w:sz="0" w:space="0" w:color="auto"/>
            <w:left w:val="none" w:sz="0" w:space="0" w:color="auto"/>
            <w:bottom w:val="none" w:sz="0" w:space="0" w:color="auto"/>
            <w:right w:val="none" w:sz="0" w:space="0" w:color="auto"/>
          </w:divBdr>
          <w:divsChild>
            <w:div w:id="946081294">
              <w:marLeft w:val="0"/>
              <w:marRight w:val="0"/>
              <w:marTop w:val="0"/>
              <w:marBottom w:val="0"/>
              <w:divBdr>
                <w:top w:val="none" w:sz="0" w:space="0" w:color="auto"/>
                <w:left w:val="none" w:sz="0" w:space="0" w:color="auto"/>
                <w:bottom w:val="none" w:sz="0" w:space="0" w:color="auto"/>
                <w:right w:val="none" w:sz="0" w:space="0" w:color="auto"/>
              </w:divBdr>
              <w:divsChild>
                <w:div w:id="991569620">
                  <w:marLeft w:val="0"/>
                  <w:marRight w:val="0"/>
                  <w:marTop w:val="0"/>
                  <w:marBottom w:val="0"/>
                  <w:divBdr>
                    <w:top w:val="none" w:sz="0" w:space="0" w:color="auto"/>
                    <w:left w:val="none" w:sz="0" w:space="0" w:color="auto"/>
                    <w:bottom w:val="none" w:sz="0" w:space="0" w:color="auto"/>
                    <w:right w:val="none" w:sz="0" w:space="0" w:color="auto"/>
                  </w:divBdr>
                  <w:divsChild>
                    <w:div w:id="2066681808">
                      <w:marLeft w:val="0"/>
                      <w:marRight w:val="0"/>
                      <w:marTop w:val="0"/>
                      <w:marBottom w:val="0"/>
                      <w:divBdr>
                        <w:top w:val="none" w:sz="0" w:space="0" w:color="auto"/>
                        <w:left w:val="none" w:sz="0" w:space="0" w:color="auto"/>
                        <w:bottom w:val="none" w:sz="0" w:space="0" w:color="auto"/>
                        <w:right w:val="none" w:sz="0" w:space="0" w:color="auto"/>
                      </w:divBdr>
                      <w:divsChild>
                        <w:div w:id="5138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82341">
      <w:bodyDiv w:val="1"/>
      <w:marLeft w:val="0"/>
      <w:marRight w:val="0"/>
      <w:marTop w:val="0"/>
      <w:marBottom w:val="0"/>
      <w:divBdr>
        <w:top w:val="none" w:sz="0" w:space="0" w:color="auto"/>
        <w:left w:val="none" w:sz="0" w:space="0" w:color="auto"/>
        <w:bottom w:val="none" w:sz="0" w:space="0" w:color="auto"/>
        <w:right w:val="none" w:sz="0" w:space="0" w:color="auto"/>
      </w:divBdr>
    </w:div>
    <w:div w:id="522593328">
      <w:bodyDiv w:val="1"/>
      <w:marLeft w:val="0"/>
      <w:marRight w:val="0"/>
      <w:marTop w:val="0"/>
      <w:marBottom w:val="0"/>
      <w:divBdr>
        <w:top w:val="none" w:sz="0" w:space="0" w:color="auto"/>
        <w:left w:val="none" w:sz="0" w:space="0" w:color="auto"/>
        <w:bottom w:val="none" w:sz="0" w:space="0" w:color="auto"/>
        <w:right w:val="none" w:sz="0" w:space="0" w:color="auto"/>
      </w:divBdr>
    </w:div>
    <w:div w:id="523179880">
      <w:bodyDiv w:val="1"/>
      <w:marLeft w:val="0"/>
      <w:marRight w:val="0"/>
      <w:marTop w:val="0"/>
      <w:marBottom w:val="0"/>
      <w:divBdr>
        <w:top w:val="none" w:sz="0" w:space="0" w:color="auto"/>
        <w:left w:val="none" w:sz="0" w:space="0" w:color="auto"/>
        <w:bottom w:val="none" w:sz="0" w:space="0" w:color="auto"/>
        <w:right w:val="none" w:sz="0" w:space="0" w:color="auto"/>
      </w:divBdr>
    </w:div>
    <w:div w:id="525756291">
      <w:bodyDiv w:val="1"/>
      <w:marLeft w:val="0"/>
      <w:marRight w:val="0"/>
      <w:marTop w:val="0"/>
      <w:marBottom w:val="0"/>
      <w:divBdr>
        <w:top w:val="none" w:sz="0" w:space="0" w:color="auto"/>
        <w:left w:val="none" w:sz="0" w:space="0" w:color="auto"/>
        <w:bottom w:val="none" w:sz="0" w:space="0" w:color="auto"/>
        <w:right w:val="none" w:sz="0" w:space="0" w:color="auto"/>
      </w:divBdr>
    </w:div>
    <w:div w:id="526330191">
      <w:bodyDiv w:val="1"/>
      <w:marLeft w:val="0"/>
      <w:marRight w:val="0"/>
      <w:marTop w:val="0"/>
      <w:marBottom w:val="0"/>
      <w:divBdr>
        <w:top w:val="none" w:sz="0" w:space="0" w:color="auto"/>
        <w:left w:val="none" w:sz="0" w:space="0" w:color="auto"/>
        <w:bottom w:val="none" w:sz="0" w:space="0" w:color="auto"/>
        <w:right w:val="none" w:sz="0" w:space="0" w:color="auto"/>
      </w:divBdr>
    </w:div>
    <w:div w:id="526717753">
      <w:bodyDiv w:val="1"/>
      <w:marLeft w:val="0"/>
      <w:marRight w:val="0"/>
      <w:marTop w:val="0"/>
      <w:marBottom w:val="0"/>
      <w:divBdr>
        <w:top w:val="none" w:sz="0" w:space="0" w:color="auto"/>
        <w:left w:val="none" w:sz="0" w:space="0" w:color="auto"/>
        <w:bottom w:val="none" w:sz="0" w:space="0" w:color="auto"/>
        <w:right w:val="none" w:sz="0" w:space="0" w:color="auto"/>
      </w:divBdr>
    </w:div>
    <w:div w:id="541401632">
      <w:bodyDiv w:val="1"/>
      <w:marLeft w:val="0"/>
      <w:marRight w:val="0"/>
      <w:marTop w:val="0"/>
      <w:marBottom w:val="0"/>
      <w:divBdr>
        <w:top w:val="none" w:sz="0" w:space="0" w:color="auto"/>
        <w:left w:val="none" w:sz="0" w:space="0" w:color="auto"/>
        <w:bottom w:val="none" w:sz="0" w:space="0" w:color="auto"/>
        <w:right w:val="none" w:sz="0" w:space="0" w:color="auto"/>
      </w:divBdr>
    </w:div>
    <w:div w:id="544559046">
      <w:bodyDiv w:val="1"/>
      <w:marLeft w:val="0"/>
      <w:marRight w:val="0"/>
      <w:marTop w:val="0"/>
      <w:marBottom w:val="0"/>
      <w:divBdr>
        <w:top w:val="none" w:sz="0" w:space="0" w:color="auto"/>
        <w:left w:val="none" w:sz="0" w:space="0" w:color="auto"/>
        <w:bottom w:val="none" w:sz="0" w:space="0" w:color="auto"/>
        <w:right w:val="none" w:sz="0" w:space="0" w:color="auto"/>
      </w:divBdr>
    </w:div>
    <w:div w:id="545799209">
      <w:bodyDiv w:val="1"/>
      <w:marLeft w:val="0"/>
      <w:marRight w:val="0"/>
      <w:marTop w:val="0"/>
      <w:marBottom w:val="0"/>
      <w:divBdr>
        <w:top w:val="none" w:sz="0" w:space="0" w:color="auto"/>
        <w:left w:val="none" w:sz="0" w:space="0" w:color="auto"/>
        <w:bottom w:val="none" w:sz="0" w:space="0" w:color="auto"/>
        <w:right w:val="none" w:sz="0" w:space="0" w:color="auto"/>
      </w:divBdr>
    </w:div>
    <w:div w:id="548298776">
      <w:bodyDiv w:val="1"/>
      <w:marLeft w:val="0"/>
      <w:marRight w:val="0"/>
      <w:marTop w:val="0"/>
      <w:marBottom w:val="0"/>
      <w:divBdr>
        <w:top w:val="none" w:sz="0" w:space="0" w:color="auto"/>
        <w:left w:val="none" w:sz="0" w:space="0" w:color="auto"/>
        <w:bottom w:val="none" w:sz="0" w:space="0" w:color="auto"/>
        <w:right w:val="none" w:sz="0" w:space="0" w:color="auto"/>
      </w:divBdr>
    </w:div>
    <w:div w:id="554003563">
      <w:bodyDiv w:val="1"/>
      <w:marLeft w:val="0"/>
      <w:marRight w:val="0"/>
      <w:marTop w:val="0"/>
      <w:marBottom w:val="0"/>
      <w:divBdr>
        <w:top w:val="none" w:sz="0" w:space="0" w:color="auto"/>
        <w:left w:val="none" w:sz="0" w:space="0" w:color="auto"/>
        <w:bottom w:val="none" w:sz="0" w:space="0" w:color="auto"/>
        <w:right w:val="none" w:sz="0" w:space="0" w:color="auto"/>
      </w:divBdr>
    </w:div>
    <w:div w:id="563104146">
      <w:bodyDiv w:val="1"/>
      <w:marLeft w:val="0"/>
      <w:marRight w:val="0"/>
      <w:marTop w:val="0"/>
      <w:marBottom w:val="0"/>
      <w:divBdr>
        <w:top w:val="none" w:sz="0" w:space="0" w:color="auto"/>
        <w:left w:val="none" w:sz="0" w:space="0" w:color="auto"/>
        <w:bottom w:val="none" w:sz="0" w:space="0" w:color="auto"/>
        <w:right w:val="none" w:sz="0" w:space="0" w:color="auto"/>
      </w:divBdr>
    </w:div>
    <w:div w:id="576211135">
      <w:bodyDiv w:val="1"/>
      <w:marLeft w:val="0"/>
      <w:marRight w:val="0"/>
      <w:marTop w:val="0"/>
      <w:marBottom w:val="0"/>
      <w:divBdr>
        <w:top w:val="none" w:sz="0" w:space="0" w:color="auto"/>
        <w:left w:val="none" w:sz="0" w:space="0" w:color="auto"/>
        <w:bottom w:val="none" w:sz="0" w:space="0" w:color="auto"/>
        <w:right w:val="none" w:sz="0" w:space="0" w:color="auto"/>
      </w:divBdr>
    </w:div>
    <w:div w:id="577635202">
      <w:bodyDiv w:val="1"/>
      <w:marLeft w:val="0"/>
      <w:marRight w:val="0"/>
      <w:marTop w:val="0"/>
      <w:marBottom w:val="0"/>
      <w:divBdr>
        <w:top w:val="none" w:sz="0" w:space="0" w:color="auto"/>
        <w:left w:val="none" w:sz="0" w:space="0" w:color="auto"/>
        <w:bottom w:val="none" w:sz="0" w:space="0" w:color="auto"/>
        <w:right w:val="none" w:sz="0" w:space="0" w:color="auto"/>
      </w:divBdr>
    </w:div>
    <w:div w:id="582644268">
      <w:bodyDiv w:val="1"/>
      <w:marLeft w:val="0"/>
      <w:marRight w:val="0"/>
      <w:marTop w:val="0"/>
      <w:marBottom w:val="0"/>
      <w:divBdr>
        <w:top w:val="none" w:sz="0" w:space="0" w:color="auto"/>
        <w:left w:val="none" w:sz="0" w:space="0" w:color="auto"/>
        <w:bottom w:val="none" w:sz="0" w:space="0" w:color="auto"/>
        <w:right w:val="none" w:sz="0" w:space="0" w:color="auto"/>
      </w:divBdr>
      <w:divsChild>
        <w:div w:id="1352802743">
          <w:marLeft w:val="0"/>
          <w:marRight w:val="0"/>
          <w:marTop w:val="0"/>
          <w:marBottom w:val="0"/>
          <w:divBdr>
            <w:top w:val="none" w:sz="0" w:space="0" w:color="auto"/>
            <w:left w:val="none" w:sz="0" w:space="0" w:color="auto"/>
            <w:bottom w:val="none" w:sz="0" w:space="0" w:color="auto"/>
            <w:right w:val="none" w:sz="0" w:space="0" w:color="auto"/>
          </w:divBdr>
        </w:div>
        <w:div w:id="77950074">
          <w:marLeft w:val="0"/>
          <w:marRight w:val="0"/>
          <w:marTop w:val="0"/>
          <w:marBottom w:val="0"/>
          <w:divBdr>
            <w:top w:val="none" w:sz="0" w:space="0" w:color="auto"/>
            <w:left w:val="none" w:sz="0" w:space="0" w:color="auto"/>
            <w:bottom w:val="none" w:sz="0" w:space="0" w:color="auto"/>
            <w:right w:val="none" w:sz="0" w:space="0" w:color="auto"/>
          </w:divBdr>
        </w:div>
      </w:divsChild>
    </w:div>
    <w:div w:id="596596919">
      <w:bodyDiv w:val="1"/>
      <w:marLeft w:val="0"/>
      <w:marRight w:val="0"/>
      <w:marTop w:val="0"/>
      <w:marBottom w:val="0"/>
      <w:divBdr>
        <w:top w:val="none" w:sz="0" w:space="0" w:color="auto"/>
        <w:left w:val="none" w:sz="0" w:space="0" w:color="auto"/>
        <w:bottom w:val="none" w:sz="0" w:space="0" w:color="auto"/>
        <w:right w:val="none" w:sz="0" w:space="0" w:color="auto"/>
      </w:divBdr>
    </w:div>
    <w:div w:id="602806401">
      <w:bodyDiv w:val="1"/>
      <w:marLeft w:val="0"/>
      <w:marRight w:val="0"/>
      <w:marTop w:val="0"/>
      <w:marBottom w:val="0"/>
      <w:divBdr>
        <w:top w:val="none" w:sz="0" w:space="0" w:color="auto"/>
        <w:left w:val="none" w:sz="0" w:space="0" w:color="auto"/>
        <w:bottom w:val="none" w:sz="0" w:space="0" w:color="auto"/>
        <w:right w:val="none" w:sz="0" w:space="0" w:color="auto"/>
      </w:divBdr>
    </w:div>
    <w:div w:id="617105741">
      <w:bodyDiv w:val="1"/>
      <w:marLeft w:val="0"/>
      <w:marRight w:val="0"/>
      <w:marTop w:val="0"/>
      <w:marBottom w:val="0"/>
      <w:divBdr>
        <w:top w:val="none" w:sz="0" w:space="0" w:color="auto"/>
        <w:left w:val="none" w:sz="0" w:space="0" w:color="auto"/>
        <w:bottom w:val="none" w:sz="0" w:space="0" w:color="auto"/>
        <w:right w:val="none" w:sz="0" w:space="0" w:color="auto"/>
      </w:divBdr>
    </w:div>
    <w:div w:id="620961669">
      <w:bodyDiv w:val="1"/>
      <w:marLeft w:val="0"/>
      <w:marRight w:val="0"/>
      <w:marTop w:val="0"/>
      <w:marBottom w:val="0"/>
      <w:divBdr>
        <w:top w:val="none" w:sz="0" w:space="0" w:color="auto"/>
        <w:left w:val="none" w:sz="0" w:space="0" w:color="auto"/>
        <w:bottom w:val="none" w:sz="0" w:space="0" w:color="auto"/>
        <w:right w:val="none" w:sz="0" w:space="0" w:color="auto"/>
      </w:divBdr>
    </w:div>
    <w:div w:id="627709917">
      <w:bodyDiv w:val="1"/>
      <w:marLeft w:val="0"/>
      <w:marRight w:val="0"/>
      <w:marTop w:val="0"/>
      <w:marBottom w:val="0"/>
      <w:divBdr>
        <w:top w:val="none" w:sz="0" w:space="0" w:color="auto"/>
        <w:left w:val="none" w:sz="0" w:space="0" w:color="auto"/>
        <w:bottom w:val="none" w:sz="0" w:space="0" w:color="auto"/>
        <w:right w:val="none" w:sz="0" w:space="0" w:color="auto"/>
      </w:divBdr>
    </w:div>
    <w:div w:id="632709642">
      <w:bodyDiv w:val="1"/>
      <w:marLeft w:val="0"/>
      <w:marRight w:val="0"/>
      <w:marTop w:val="0"/>
      <w:marBottom w:val="0"/>
      <w:divBdr>
        <w:top w:val="none" w:sz="0" w:space="0" w:color="auto"/>
        <w:left w:val="none" w:sz="0" w:space="0" w:color="auto"/>
        <w:bottom w:val="none" w:sz="0" w:space="0" w:color="auto"/>
        <w:right w:val="none" w:sz="0" w:space="0" w:color="auto"/>
      </w:divBdr>
    </w:div>
    <w:div w:id="638263744">
      <w:bodyDiv w:val="1"/>
      <w:marLeft w:val="0"/>
      <w:marRight w:val="0"/>
      <w:marTop w:val="0"/>
      <w:marBottom w:val="0"/>
      <w:divBdr>
        <w:top w:val="none" w:sz="0" w:space="0" w:color="auto"/>
        <w:left w:val="none" w:sz="0" w:space="0" w:color="auto"/>
        <w:bottom w:val="none" w:sz="0" w:space="0" w:color="auto"/>
        <w:right w:val="none" w:sz="0" w:space="0" w:color="auto"/>
      </w:divBdr>
    </w:div>
    <w:div w:id="640187082">
      <w:bodyDiv w:val="1"/>
      <w:marLeft w:val="0"/>
      <w:marRight w:val="0"/>
      <w:marTop w:val="0"/>
      <w:marBottom w:val="0"/>
      <w:divBdr>
        <w:top w:val="none" w:sz="0" w:space="0" w:color="auto"/>
        <w:left w:val="none" w:sz="0" w:space="0" w:color="auto"/>
        <w:bottom w:val="none" w:sz="0" w:space="0" w:color="auto"/>
        <w:right w:val="none" w:sz="0" w:space="0" w:color="auto"/>
      </w:divBdr>
    </w:div>
    <w:div w:id="640236389">
      <w:bodyDiv w:val="1"/>
      <w:marLeft w:val="0"/>
      <w:marRight w:val="0"/>
      <w:marTop w:val="0"/>
      <w:marBottom w:val="0"/>
      <w:divBdr>
        <w:top w:val="none" w:sz="0" w:space="0" w:color="auto"/>
        <w:left w:val="none" w:sz="0" w:space="0" w:color="auto"/>
        <w:bottom w:val="none" w:sz="0" w:space="0" w:color="auto"/>
        <w:right w:val="none" w:sz="0" w:space="0" w:color="auto"/>
      </w:divBdr>
    </w:div>
    <w:div w:id="649599281">
      <w:bodyDiv w:val="1"/>
      <w:marLeft w:val="0"/>
      <w:marRight w:val="0"/>
      <w:marTop w:val="0"/>
      <w:marBottom w:val="0"/>
      <w:divBdr>
        <w:top w:val="none" w:sz="0" w:space="0" w:color="auto"/>
        <w:left w:val="none" w:sz="0" w:space="0" w:color="auto"/>
        <w:bottom w:val="none" w:sz="0" w:space="0" w:color="auto"/>
        <w:right w:val="none" w:sz="0" w:space="0" w:color="auto"/>
      </w:divBdr>
    </w:div>
    <w:div w:id="650212703">
      <w:bodyDiv w:val="1"/>
      <w:marLeft w:val="0"/>
      <w:marRight w:val="0"/>
      <w:marTop w:val="0"/>
      <w:marBottom w:val="0"/>
      <w:divBdr>
        <w:top w:val="none" w:sz="0" w:space="0" w:color="auto"/>
        <w:left w:val="none" w:sz="0" w:space="0" w:color="auto"/>
        <w:bottom w:val="none" w:sz="0" w:space="0" w:color="auto"/>
        <w:right w:val="none" w:sz="0" w:space="0" w:color="auto"/>
      </w:divBdr>
    </w:div>
    <w:div w:id="659889238">
      <w:bodyDiv w:val="1"/>
      <w:marLeft w:val="0"/>
      <w:marRight w:val="0"/>
      <w:marTop w:val="0"/>
      <w:marBottom w:val="0"/>
      <w:divBdr>
        <w:top w:val="none" w:sz="0" w:space="0" w:color="auto"/>
        <w:left w:val="none" w:sz="0" w:space="0" w:color="auto"/>
        <w:bottom w:val="none" w:sz="0" w:space="0" w:color="auto"/>
        <w:right w:val="none" w:sz="0" w:space="0" w:color="auto"/>
      </w:divBdr>
    </w:div>
    <w:div w:id="662700791">
      <w:bodyDiv w:val="1"/>
      <w:marLeft w:val="0"/>
      <w:marRight w:val="0"/>
      <w:marTop w:val="0"/>
      <w:marBottom w:val="0"/>
      <w:divBdr>
        <w:top w:val="none" w:sz="0" w:space="0" w:color="auto"/>
        <w:left w:val="none" w:sz="0" w:space="0" w:color="auto"/>
        <w:bottom w:val="none" w:sz="0" w:space="0" w:color="auto"/>
        <w:right w:val="none" w:sz="0" w:space="0" w:color="auto"/>
      </w:divBdr>
    </w:div>
    <w:div w:id="668219870">
      <w:bodyDiv w:val="1"/>
      <w:marLeft w:val="0"/>
      <w:marRight w:val="0"/>
      <w:marTop w:val="0"/>
      <w:marBottom w:val="0"/>
      <w:divBdr>
        <w:top w:val="none" w:sz="0" w:space="0" w:color="auto"/>
        <w:left w:val="none" w:sz="0" w:space="0" w:color="auto"/>
        <w:bottom w:val="none" w:sz="0" w:space="0" w:color="auto"/>
        <w:right w:val="none" w:sz="0" w:space="0" w:color="auto"/>
      </w:divBdr>
    </w:div>
    <w:div w:id="672562076">
      <w:bodyDiv w:val="1"/>
      <w:marLeft w:val="0"/>
      <w:marRight w:val="0"/>
      <w:marTop w:val="0"/>
      <w:marBottom w:val="0"/>
      <w:divBdr>
        <w:top w:val="none" w:sz="0" w:space="0" w:color="auto"/>
        <w:left w:val="none" w:sz="0" w:space="0" w:color="auto"/>
        <w:bottom w:val="none" w:sz="0" w:space="0" w:color="auto"/>
        <w:right w:val="none" w:sz="0" w:space="0" w:color="auto"/>
      </w:divBdr>
      <w:divsChild>
        <w:div w:id="248739332">
          <w:marLeft w:val="0"/>
          <w:marRight w:val="0"/>
          <w:marTop w:val="0"/>
          <w:marBottom w:val="0"/>
          <w:divBdr>
            <w:top w:val="none" w:sz="0" w:space="0" w:color="auto"/>
            <w:left w:val="none" w:sz="0" w:space="0" w:color="auto"/>
            <w:bottom w:val="none" w:sz="0" w:space="0" w:color="auto"/>
            <w:right w:val="none" w:sz="0" w:space="0" w:color="auto"/>
          </w:divBdr>
        </w:div>
        <w:div w:id="309016988">
          <w:marLeft w:val="0"/>
          <w:marRight w:val="0"/>
          <w:marTop w:val="0"/>
          <w:marBottom w:val="0"/>
          <w:divBdr>
            <w:top w:val="none" w:sz="0" w:space="0" w:color="auto"/>
            <w:left w:val="none" w:sz="0" w:space="0" w:color="auto"/>
            <w:bottom w:val="none" w:sz="0" w:space="0" w:color="auto"/>
            <w:right w:val="none" w:sz="0" w:space="0" w:color="auto"/>
          </w:divBdr>
        </w:div>
        <w:div w:id="1547644832">
          <w:marLeft w:val="0"/>
          <w:marRight w:val="0"/>
          <w:marTop w:val="375"/>
          <w:marBottom w:val="375"/>
          <w:divBdr>
            <w:top w:val="none" w:sz="0" w:space="0" w:color="auto"/>
            <w:left w:val="none" w:sz="0" w:space="0" w:color="auto"/>
            <w:bottom w:val="none" w:sz="0" w:space="0" w:color="auto"/>
            <w:right w:val="none" w:sz="0" w:space="0" w:color="auto"/>
          </w:divBdr>
          <w:divsChild>
            <w:div w:id="7749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30468">
      <w:bodyDiv w:val="1"/>
      <w:marLeft w:val="0"/>
      <w:marRight w:val="0"/>
      <w:marTop w:val="0"/>
      <w:marBottom w:val="0"/>
      <w:divBdr>
        <w:top w:val="none" w:sz="0" w:space="0" w:color="auto"/>
        <w:left w:val="none" w:sz="0" w:space="0" w:color="auto"/>
        <w:bottom w:val="none" w:sz="0" w:space="0" w:color="auto"/>
        <w:right w:val="none" w:sz="0" w:space="0" w:color="auto"/>
      </w:divBdr>
    </w:div>
    <w:div w:id="688217149">
      <w:bodyDiv w:val="1"/>
      <w:marLeft w:val="0"/>
      <w:marRight w:val="0"/>
      <w:marTop w:val="0"/>
      <w:marBottom w:val="0"/>
      <w:divBdr>
        <w:top w:val="none" w:sz="0" w:space="0" w:color="auto"/>
        <w:left w:val="none" w:sz="0" w:space="0" w:color="auto"/>
        <w:bottom w:val="none" w:sz="0" w:space="0" w:color="auto"/>
        <w:right w:val="none" w:sz="0" w:space="0" w:color="auto"/>
      </w:divBdr>
    </w:div>
    <w:div w:id="691565396">
      <w:bodyDiv w:val="1"/>
      <w:marLeft w:val="0"/>
      <w:marRight w:val="0"/>
      <w:marTop w:val="0"/>
      <w:marBottom w:val="0"/>
      <w:divBdr>
        <w:top w:val="none" w:sz="0" w:space="0" w:color="auto"/>
        <w:left w:val="none" w:sz="0" w:space="0" w:color="auto"/>
        <w:bottom w:val="none" w:sz="0" w:space="0" w:color="auto"/>
        <w:right w:val="none" w:sz="0" w:space="0" w:color="auto"/>
      </w:divBdr>
    </w:div>
    <w:div w:id="697124810">
      <w:bodyDiv w:val="1"/>
      <w:marLeft w:val="0"/>
      <w:marRight w:val="0"/>
      <w:marTop w:val="0"/>
      <w:marBottom w:val="0"/>
      <w:divBdr>
        <w:top w:val="none" w:sz="0" w:space="0" w:color="auto"/>
        <w:left w:val="none" w:sz="0" w:space="0" w:color="auto"/>
        <w:bottom w:val="none" w:sz="0" w:space="0" w:color="auto"/>
        <w:right w:val="none" w:sz="0" w:space="0" w:color="auto"/>
      </w:divBdr>
    </w:div>
    <w:div w:id="704256593">
      <w:bodyDiv w:val="1"/>
      <w:marLeft w:val="0"/>
      <w:marRight w:val="0"/>
      <w:marTop w:val="0"/>
      <w:marBottom w:val="0"/>
      <w:divBdr>
        <w:top w:val="none" w:sz="0" w:space="0" w:color="auto"/>
        <w:left w:val="none" w:sz="0" w:space="0" w:color="auto"/>
        <w:bottom w:val="none" w:sz="0" w:space="0" w:color="auto"/>
        <w:right w:val="none" w:sz="0" w:space="0" w:color="auto"/>
      </w:divBdr>
    </w:div>
    <w:div w:id="726805457">
      <w:bodyDiv w:val="1"/>
      <w:marLeft w:val="0"/>
      <w:marRight w:val="0"/>
      <w:marTop w:val="0"/>
      <w:marBottom w:val="0"/>
      <w:divBdr>
        <w:top w:val="none" w:sz="0" w:space="0" w:color="auto"/>
        <w:left w:val="none" w:sz="0" w:space="0" w:color="auto"/>
        <w:bottom w:val="none" w:sz="0" w:space="0" w:color="auto"/>
        <w:right w:val="none" w:sz="0" w:space="0" w:color="auto"/>
      </w:divBdr>
    </w:div>
    <w:div w:id="740057195">
      <w:bodyDiv w:val="1"/>
      <w:marLeft w:val="0"/>
      <w:marRight w:val="0"/>
      <w:marTop w:val="0"/>
      <w:marBottom w:val="0"/>
      <w:divBdr>
        <w:top w:val="none" w:sz="0" w:space="0" w:color="auto"/>
        <w:left w:val="none" w:sz="0" w:space="0" w:color="auto"/>
        <w:bottom w:val="none" w:sz="0" w:space="0" w:color="auto"/>
        <w:right w:val="none" w:sz="0" w:space="0" w:color="auto"/>
      </w:divBdr>
    </w:div>
    <w:div w:id="744379323">
      <w:bodyDiv w:val="1"/>
      <w:marLeft w:val="0"/>
      <w:marRight w:val="0"/>
      <w:marTop w:val="0"/>
      <w:marBottom w:val="0"/>
      <w:divBdr>
        <w:top w:val="none" w:sz="0" w:space="0" w:color="auto"/>
        <w:left w:val="none" w:sz="0" w:space="0" w:color="auto"/>
        <w:bottom w:val="none" w:sz="0" w:space="0" w:color="auto"/>
        <w:right w:val="none" w:sz="0" w:space="0" w:color="auto"/>
      </w:divBdr>
    </w:div>
    <w:div w:id="757554355">
      <w:bodyDiv w:val="1"/>
      <w:marLeft w:val="0"/>
      <w:marRight w:val="0"/>
      <w:marTop w:val="0"/>
      <w:marBottom w:val="0"/>
      <w:divBdr>
        <w:top w:val="none" w:sz="0" w:space="0" w:color="auto"/>
        <w:left w:val="none" w:sz="0" w:space="0" w:color="auto"/>
        <w:bottom w:val="none" w:sz="0" w:space="0" w:color="auto"/>
        <w:right w:val="none" w:sz="0" w:space="0" w:color="auto"/>
      </w:divBdr>
    </w:div>
    <w:div w:id="758984250">
      <w:bodyDiv w:val="1"/>
      <w:marLeft w:val="0"/>
      <w:marRight w:val="0"/>
      <w:marTop w:val="0"/>
      <w:marBottom w:val="0"/>
      <w:divBdr>
        <w:top w:val="none" w:sz="0" w:space="0" w:color="auto"/>
        <w:left w:val="none" w:sz="0" w:space="0" w:color="auto"/>
        <w:bottom w:val="none" w:sz="0" w:space="0" w:color="auto"/>
        <w:right w:val="none" w:sz="0" w:space="0" w:color="auto"/>
      </w:divBdr>
    </w:div>
    <w:div w:id="767896654">
      <w:bodyDiv w:val="1"/>
      <w:marLeft w:val="0"/>
      <w:marRight w:val="0"/>
      <w:marTop w:val="0"/>
      <w:marBottom w:val="0"/>
      <w:divBdr>
        <w:top w:val="none" w:sz="0" w:space="0" w:color="auto"/>
        <w:left w:val="none" w:sz="0" w:space="0" w:color="auto"/>
        <w:bottom w:val="none" w:sz="0" w:space="0" w:color="auto"/>
        <w:right w:val="none" w:sz="0" w:space="0" w:color="auto"/>
      </w:divBdr>
    </w:div>
    <w:div w:id="772747114">
      <w:bodyDiv w:val="1"/>
      <w:marLeft w:val="0"/>
      <w:marRight w:val="0"/>
      <w:marTop w:val="0"/>
      <w:marBottom w:val="0"/>
      <w:divBdr>
        <w:top w:val="none" w:sz="0" w:space="0" w:color="auto"/>
        <w:left w:val="none" w:sz="0" w:space="0" w:color="auto"/>
        <w:bottom w:val="none" w:sz="0" w:space="0" w:color="auto"/>
        <w:right w:val="none" w:sz="0" w:space="0" w:color="auto"/>
      </w:divBdr>
    </w:div>
    <w:div w:id="783885382">
      <w:bodyDiv w:val="1"/>
      <w:marLeft w:val="0"/>
      <w:marRight w:val="0"/>
      <w:marTop w:val="0"/>
      <w:marBottom w:val="0"/>
      <w:divBdr>
        <w:top w:val="none" w:sz="0" w:space="0" w:color="auto"/>
        <w:left w:val="none" w:sz="0" w:space="0" w:color="auto"/>
        <w:bottom w:val="none" w:sz="0" w:space="0" w:color="auto"/>
        <w:right w:val="none" w:sz="0" w:space="0" w:color="auto"/>
      </w:divBdr>
    </w:div>
    <w:div w:id="792672186">
      <w:bodyDiv w:val="1"/>
      <w:marLeft w:val="0"/>
      <w:marRight w:val="0"/>
      <w:marTop w:val="0"/>
      <w:marBottom w:val="0"/>
      <w:divBdr>
        <w:top w:val="none" w:sz="0" w:space="0" w:color="auto"/>
        <w:left w:val="none" w:sz="0" w:space="0" w:color="auto"/>
        <w:bottom w:val="none" w:sz="0" w:space="0" w:color="auto"/>
        <w:right w:val="none" w:sz="0" w:space="0" w:color="auto"/>
      </w:divBdr>
    </w:div>
    <w:div w:id="793475545">
      <w:bodyDiv w:val="1"/>
      <w:marLeft w:val="0"/>
      <w:marRight w:val="0"/>
      <w:marTop w:val="0"/>
      <w:marBottom w:val="0"/>
      <w:divBdr>
        <w:top w:val="none" w:sz="0" w:space="0" w:color="auto"/>
        <w:left w:val="none" w:sz="0" w:space="0" w:color="auto"/>
        <w:bottom w:val="none" w:sz="0" w:space="0" w:color="auto"/>
        <w:right w:val="none" w:sz="0" w:space="0" w:color="auto"/>
      </w:divBdr>
    </w:div>
    <w:div w:id="799229986">
      <w:bodyDiv w:val="1"/>
      <w:marLeft w:val="0"/>
      <w:marRight w:val="0"/>
      <w:marTop w:val="0"/>
      <w:marBottom w:val="0"/>
      <w:divBdr>
        <w:top w:val="none" w:sz="0" w:space="0" w:color="auto"/>
        <w:left w:val="none" w:sz="0" w:space="0" w:color="auto"/>
        <w:bottom w:val="none" w:sz="0" w:space="0" w:color="auto"/>
        <w:right w:val="none" w:sz="0" w:space="0" w:color="auto"/>
      </w:divBdr>
    </w:div>
    <w:div w:id="800423167">
      <w:bodyDiv w:val="1"/>
      <w:marLeft w:val="0"/>
      <w:marRight w:val="0"/>
      <w:marTop w:val="0"/>
      <w:marBottom w:val="0"/>
      <w:divBdr>
        <w:top w:val="none" w:sz="0" w:space="0" w:color="auto"/>
        <w:left w:val="none" w:sz="0" w:space="0" w:color="auto"/>
        <w:bottom w:val="none" w:sz="0" w:space="0" w:color="auto"/>
        <w:right w:val="none" w:sz="0" w:space="0" w:color="auto"/>
      </w:divBdr>
    </w:div>
    <w:div w:id="805854058">
      <w:bodyDiv w:val="1"/>
      <w:marLeft w:val="0"/>
      <w:marRight w:val="0"/>
      <w:marTop w:val="0"/>
      <w:marBottom w:val="0"/>
      <w:divBdr>
        <w:top w:val="none" w:sz="0" w:space="0" w:color="auto"/>
        <w:left w:val="none" w:sz="0" w:space="0" w:color="auto"/>
        <w:bottom w:val="none" w:sz="0" w:space="0" w:color="auto"/>
        <w:right w:val="none" w:sz="0" w:space="0" w:color="auto"/>
      </w:divBdr>
    </w:div>
    <w:div w:id="810252330">
      <w:bodyDiv w:val="1"/>
      <w:marLeft w:val="0"/>
      <w:marRight w:val="0"/>
      <w:marTop w:val="0"/>
      <w:marBottom w:val="0"/>
      <w:divBdr>
        <w:top w:val="none" w:sz="0" w:space="0" w:color="auto"/>
        <w:left w:val="none" w:sz="0" w:space="0" w:color="auto"/>
        <w:bottom w:val="none" w:sz="0" w:space="0" w:color="auto"/>
        <w:right w:val="none" w:sz="0" w:space="0" w:color="auto"/>
      </w:divBdr>
    </w:div>
    <w:div w:id="821118554">
      <w:bodyDiv w:val="1"/>
      <w:marLeft w:val="0"/>
      <w:marRight w:val="0"/>
      <w:marTop w:val="0"/>
      <w:marBottom w:val="0"/>
      <w:divBdr>
        <w:top w:val="none" w:sz="0" w:space="0" w:color="auto"/>
        <w:left w:val="none" w:sz="0" w:space="0" w:color="auto"/>
        <w:bottom w:val="none" w:sz="0" w:space="0" w:color="auto"/>
        <w:right w:val="none" w:sz="0" w:space="0" w:color="auto"/>
      </w:divBdr>
    </w:div>
    <w:div w:id="832919003">
      <w:bodyDiv w:val="1"/>
      <w:marLeft w:val="0"/>
      <w:marRight w:val="0"/>
      <w:marTop w:val="0"/>
      <w:marBottom w:val="0"/>
      <w:divBdr>
        <w:top w:val="none" w:sz="0" w:space="0" w:color="auto"/>
        <w:left w:val="none" w:sz="0" w:space="0" w:color="auto"/>
        <w:bottom w:val="none" w:sz="0" w:space="0" w:color="auto"/>
        <w:right w:val="none" w:sz="0" w:space="0" w:color="auto"/>
      </w:divBdr>
    </w:div>
    <w:div w:id="839275261">
      <w:bodyDiv w:val="1"/>
      <w:marLeft w:val="0"/>
      <w:marRight w:val="0"/>
      <w:marTop w:val="0"/>
      <w:marBottom w:val="0"/>
      <w:divBdr>
        <w:top w:val="none" w:sz="0" w:space="0" w:color="auto"/>
        <w:left w:val="none" w:sz="0" w:space="0" w:color="auto"/>
        <w:bottom w:val="none" w:sz="0" w:space="0" w:color="auto"/>
        <w:right w:val="none" w:sz="0" w:space="0" w:color="auto"/>
      </w:divBdr>
    </w:div>
    <w:div w:id="849491826">
      <w:bodyDiv w:val="1"/>
      <w:marLeft w:val="0"/>
      <w:marRight w:val="0"/>
      <w:marTop w:val="0"/>
      <w:marBottom w:val="0"/>
      <w:divBdr>
        <w:top w:val="none" w:sz="0" w:space="0" w:color="auto"/>
        <w:left w:val="none" w:sz="0" w:space="0" w:color="auto"/>
        <w:bottom w:val="none" w:sz="0" w:space="0" w:color="auto"/>
        <w:right w:val="none" w:sz="0" w:space="0" w:color="auto"/>
      </w:divBdr>
    </w:div>
    <w:div w:id="850416977">
      <w:bodyDiv w:val="1"/>
      <w:marLeft w:val="0"/>
      <w:marRight w:val="0"/>
      <w:marTop w:val="0"/>
      <w:marBottom w:val="0"/>
      <w:divBdr>
        <w:top w:val="none" w:sz="0" w:space="0" w:color="auto"/>
        <w:left w:val="none" w:sz="0" w:space="0" w:color="auto"/>
        <w:bottom w:val="none" w:sz="0" w:space="0" w:color="auto"/>
        <w:right w:val="none" w:sz="0" w:space="0" w:color="auto"/>
      </w:divBdr>
    </w:div>
    <w:div w:id="852770172">
      <w:bodyDiv w:val="1"/>
      <w:marLeft w:val="0"/>
      <w:marRight w:val="0"/>
      <w:marTop w:val="0"/>
      <w:marBottom w:val="0"/>
      <w:divBdr>
        <w:top w:val="none" w:sz="0" w:space="0" w:color="auto"/>
        <w:left w:val="none" w:sz="0" w:space="0" w:color="auto"/>
        <w:bottom w:val="none" w:sz="0" w:space="0" w:color="auto"/>
        <w:right w:val="none" w:sz="0" w:space="0" w:color="auto"/>
      </w:divBdr>
    </w:div>
    <w:div w:id="856231515">
      <w:bodyDiv w:val="1"/>
      <w:marLeft w:val="0"/>
      <w:marRight w:val="0"/>
      <w:marTop w:val="0"/>
      <w:marBottom w:val="0"/>
      <w:divBdr>
        <w:top w:val="none" w:sz="0" w:space="0" w:color="auto"/>
        <w:left w:val="none" w:sz="0" w:space="0" w:color="auto"/>
        <w:bottom w:val="none" w:sz="0" w:space="0" w:color="auto"/>
        <w:right w:val="none" w:sz="0" w:space="0" w:color="auto"/>
      </w:divBdr>
    </w:div>
    <w:div w:id="870874739">
      <w:bodyDiv w:val="1"/>
      <w:marLeft w:val="0"/>
      <w:marRight w:val="0"/>
      <w:marTop w:val="0"/>
      <w:marBottom w:val="0"/>
      <w:divBdr>
        <w:top w:val="none" w:sz="0" w:space="0" w:color="auto"/>
        <w:left w:val="none" w:sz="0" w:space="0" w:color="auto"/>
        <w:bottom w:val="none" w:sz="0" w:space="0" w:color="auto"/>
        <w:right w:val="none" w:sz="0" w:space="0" w:color="auto"/>
      </w:divBdr>
    </w:div>
    <w:div w:id="872839977">
      <w:bodyDiv w:val="1"/>
      <w:marLeft w:val="0"/>
      <w:marRight w:val="0"/>
      <w:marTop w:val="0"/>
      <w:marBottom w:val="0"/>
      <w:divBdr>
        <w:top w:val="none" w:sz="0" w:space="0" w:color="auto"/>
        <w:left w:val="none" w:sz="0" w:space="0" w:color="auto"/>
        <w:bottom w:val="none" w:sz="0" w:space="0" w:color="auto"/>
        <w:right w:val="none" w:sz="0" w:space="0" w:color="auto"/>
      </w:divBdr>
    </w:div>
    <w:div w:id="875509032">
      <w:bodyDiv w:val="1"/>
      <w:marLeft w:val="0"/>
      <w:marRight w:val="0"/>
      <w:marTop w:val="0"/>
      <w:marBottom w:val="0"/>
      <w:divBdr>
        <w:top w:val="none" w:sz="0" w:space="0" w:color="auto"/>
        <w:left w:val="none" w:sz="0" w:space="0" w:color="auto"/>
        <w:bottom w:val="none" w:sz="0" w:space="0" w:color="auto"/>
        <w:right w:val="none" w:sz="0" w:space="0" w:color="auto"/>
      </w:divBdr>
    </w:div>
    <w:div w:id="881745465">
      <w:bodyDiv w:val="1"/>
      <w:marLeft w:val="0"/>
      <w:marRight w:val="0"/>
      <w:marTop w:val="0"/>
      <w:marBottom w:val="0"/>
      <w:divBdr>
        <w:top w:val="none" w:sz="0" w:space="0" w:color="auto"/>
        <w:left w:val="none" w:sz="0" w:space="0" w:color="auto"/>
        <w:bottom w:val="none" w:sz="0" w:space="0" w:color="auto"/>
        <w:right w:val="none" w:sz="0" w:space="0" w:color="auto"/>
      </w:divBdr>
    </w:div>
    <w:div w:id="893351621">
      <w:bodyDiv w:val="1"/>
      <w:marLeft w:val="0"/>
      <w:marRight w:val="0"/>
      <w:marTop w:val="0"/>
      <w:marBottom w:val="0"/>
      <w:divBdr>
        <w:top w:val="none" w:sz="0" w:space="0" w:color="auto"/>
        <w:left w:val="none" w:sz="0" w:space="0" w:color="auto"/>
        <w:bottom w:val="none" w:sz="0" w:space="0" w:color="auto"/>
        <w:right w:val="none" w:sz="0" w:space="0" w:color="auto"/>
      </w:divBdr>
    </w:div>
    <w:div w:id="908029735">
      <w:bodyDiv w:val="1"/>
      <w:marLeft w:val="0"/>
      <w:marRight w:val="0"/>
      <w:marTop w:val="0"/>
      <w:marBottom w:val="0"/>
      <w:divBdr>
        <w:top w:val="none" w:sz="0" w:space="0" w:color="auto"/>
        <w:left w:val="none" w:sz="0" w:space="0" w:color="auto"/>
        <w:bottom w:val="none" w:sz="0" w:space="0" w:color="auto"/>
        <w:right w:val="none" w:sz="0" w:space="0" w:color="auto"/>
      </w:divBdr>
    </w:div>
    <w:div w:id="910506422">
      <w:bodyDiv w:val="1"/>
      <w:marLeft w:val="0"/>
      <w:marRight w:val="0"/>
      <w:marTop w:val="0"/>
      <w:marBottom w:val="0"/>
      <w:divBdr>
        <w:top w:val="none" w:sz="0" w:space="0" w:color="auto"/>
        <w:left w:val="none" w:sz="0" w:space="0" w:color="auto"/>
        <w:bottom w:val="none" w:sz="0" w:space="0" w:color="auto"/>
        <w:right w:val="none" w:sz="0" w:space="0" w:color="auto"/>
      </w:divBdr>
    </w:div>
    <w:div w:id="913318868">
      <w:bodyDiv w:val="1"/>
      <w:marLeft w:val="0"/>
      <w:marRight w:val="0"/>
      <w:marTop w:val="0"/>
      <w:marBottom w:val="0"/>
      <w:divBdr>
        <w:top w:val="none" w:sz="0" w:space="0" w:color="auto"/>
        <w:left w:val="none" w:sz="0" w:space="0" w:color="auto"/>
        <w:bottom w:val="none" w:sz="0" w:space="0" w:color="auto"/>
        <w:right w:val="none" w:sz="0" w:space="0" w:color="auto"/>
      </w:divBdr>
    </w:div>
    <w:div w:id="916132457">
      <w:bodyDiv w:val="1"/>
      <w:marLeft w:val="0"/>
      <w:marRight w:val="0"/>
      <w:marTop w:val="0"/>
      <w:marBottom w:val="0"/>
      <w:divBdr>
        <w:top w:val="none" w:sz="0" w:space="0" w:color="auto"/>
        <w:left w:val="none" w:sz="0" w:space="0" w:color="auto"/>
        <w:bottom w:val="none" w:sz="0" w:space="0" w:color="auto"/>
        <w:right w:val="none" w:sz="0" w:space="0" w:color="auto"/>
      </w:divBdr>
    </w:div>
    <w:div w:id="920214391">
      <w:bodyDiv w:val="1"/>
      <w:marLeft w:val="0"/>
      <w:marRight w:val="0"/>
      <w:marTop w:val="0"/>
      <w:marBottom w:val="0"/>
      <w:divBdr>
        <w:top w:val="none" w:sz="0" w:space="0" w:color="auto"/>
        <w:left w:val="none" w:sz="0" w:space="0" w:color="auto"/>
        <w:bottom w:val="none" w:sz="0" w:space="0" w:color="auto"/>
        <w:right w:val="none" w:sz="0" w:space="0" w:color="auto"/>
      </w:divBdr>
    </w:div>
    <w:div w:id="921792196">
      <w:bodyDiv w:val="1"/>
      <w:marLeft w:val="0"/>
      <w:marRight w:val="0"/>
      <w:marTop w:val="0"/>
      <w:marBottom w:val="0"/>
      <w:divBdr>
        <w:top w:val="none" w:sz="0" w:space="0" w:color="auto"/>
        <w:left w:val="none" w:sz="0" w:space="0" w:color="auto"/>
        <w:bottom w:val="none" w:sz="0" w:space="0" w:color="auto"/>
        <w:right w:val="none" w:sz="0" w:space="0" w:color="auto"/>
      </w:divBdr>
    </w:div>
    <w:div w:id="924149745">
      <w:bodyDiv w:val="1"/>
      <w:marLeft w:val="0"/>
      <w:marRight w:val="0"/>
      <w:marTop w:val="0"/>
      <w:marBottom w:val="0"/>
      <w:divBdr>
        <w:top w:val="none" w:sz="0" w:space="0" w:color="auto"/>
        <w:left w:val="none" w:sz="0" w:space="0" w:color="auto"/>
        <w:bottom w:val="none" w:sz="0" w:space="0" w:color="auto"/>
        <w:right w:val="none" w:sz="0" w:space="0" w:color="auto"/>
      </w:divBdr>
    </w:div>
    <w:div w:id="927157117">
      <w:bodyDiv w:val="1"/>
      <w:marLeft w:val="0"/>
      <w:marRight w:val="0"/>
      <w:marTop w:val="0"/>
      <w:marBottom w:val="0"/>
      <w:divBdr>
        <w:top w:val="none" w:sz="0" w:space="0" w:color="auto"/>
        <w:left w:val="none" w:sz="0" w:space="0" w:color="auto"/>
        <w:bottom w:val="none" w:sz="0" w:space="0" w:color="auto"/>
        <w:right w:val="none" w:sz="0" w:space="0" w:color="auto"/>
      </w:divBdr>
    </w:div>
    <w:div w:id="930044685">
      <w:bodyDiv w:val="1"/>
      <w:marLeft w:val="0"/>
      <w:marRight w:val="0"/>
      <w:marTop w:val="0"/>
      <w:marBottom w:val="0"/>
      <w:divBdr>
        <w:top w:val="none" w:sz="0" w:space="0" w:color="auto"/>
        <w:left w:val="none" w:sz="0" w:space="0" w:color="auto"/>
        <w:bottom w:val="none" w:sz="0" w:space="0" w:color="auto"/>
        <w:right w:val="none" w:sz="0" w:space="0" w:color="auto"/>
      </w:divBdr>
    </w:div>
    <w:div w:id="931085887">
      <w:bodyDiv w:val="1"/>
      <w:marLeft w:val="0"/>
      <w:marRight w:val="0"/>
      <w:marTop w:val="0"/>
      <w:marBottom w:val="0"/>
      <w:divBdr>
        <w:top w:val="none" w:sz="0" w:space="0" w:color="auto"/>
        <w:left w:val="none" w:sz="0" w:space="0" w:color="auto"/>
        <w:bottom w:val="none" w:sz="0" w:space="0" w:color="auto"/>
        <w:right w:val="none" w:sz="0" w:space="0" w:color="auto"/>
      </w:divBdr>
    </w:div>
    <w:div w:id="936868879">
      <w:bodyDiv w:val="1"/>
      <w:marLeft w:val="0"/>
      <w:marRight w:val="0"/>
      <w:marTop w:val="0"/>
      <w:marBottom w:val="0"/>
      <w:divBdr>
        <w:top w:val="none" w:sz="0" w:space="0" w:color="auto"/>
        <w:left w:val="none" w:sz="0" w:space="0" w:color="auto"/>
        <w:bottom w:val="none" w:sz="0" w:space="0" w:color="auto"/>
        <w:right w:val="none" w:sz="0" w:space="0" w:color="auto"/>
      </w:divBdr>
    </w:div>
    <w:div w:id="939676408">
      <w:bodyDiv w:val="1"/>
      <w:marLeft w:val="0"/>
      <w:marRight w:val="0"/>
      <w:marTop w:val="0"/>
      <w:marBottom w:val="0"/>
      <w:divBdr>
        <w:top w:val="none" w:sz="0" w:space="0" w:color="auto"/>
        <w:left w:val="none" w:sz="0" w:space="0" w:color="auto"/>
        <w:bottom w:val="none" w:sz="0" w:space="0" w:color="auto"/>
        <w:right w:val="none" w:sz="0" w:space="0" w:color="auto"/>
      </w:divBdr>
    </w:div>
    <w:div w:id="945620218">
      <w:bodyDiv w:val="1"/>
      <w:marLeft w:val="0"/>
      <w:marRight w:val="0"/>
      <w:marTop w:val="0"/>
      <w:marBottom w:val="0"/>
      <w:divBdr>
        <w:top w:val="none" w:sz="0" w:space="0" w:color="auto"/>
        <w:left w:val="none" w:sz="0" w:space="0" w:color="auto"/>
        <w:bottom w:val="none" w:sz="0" w:space="0" w:color="auto"/>
        <w:right w:val="none" w:sz="0" w:space="0" w:color="auto"/>
      </w:divBdr>
    </w:div>
    <w:div w:id="951983350">
      <w:bodyDiv w:val="1"/>
      <w:marLeft w:val="0"/>
      <w:marRight w:val="0"/>
      <w:marTop w:val="0"/>
      <w:marBottom w:val="0"/>
      <w:divBdr>
        <w:top w:val="none" w:sz="0" w:space="0" w:color="auto"/>
        <w:left w:val="none" w:sz="0" w:space="0" w:color="auto"/>
        <w:bottom w:val="none" w:sz="0" w:space="0" w:color="auto"/>
        <w:right w:val="none" w:sz="0" w:space="0" w:color="auto"/>
      </w:divBdr>
    </w:div>
    <w:div w:id="956834748">
      <w:bodyDiv w:val="1"/>
      <w:marLeft w:val="0"/>
      <w:marRight w:val="0"/>
      <w:marTop w:val="0"/>
      <w:marBottom w:val="0"/>
      <w:divBdr>
        <w:top w:val="none" w:sz="0" w:space="0" w:color="auto"/>
        <w:left w:val="none" w:sz="0" w:space="0" w:color="auto"/>
        <w:bottom w:val="none" w:sz="0" w:space="0" w:color="auto"/>
        <w:right w:val="none" w:sz="0" w:space="0" w:color="auto"/>
      </w:divBdr>
    </w:div>
    <w:div w:id="957446171">
      <w:bodyDiv w:val="1"/>
      <w:marLeft w:val="0"/>
      <w:marRight w:val="0"/>
      <w:marTop w:val="0"/>
      <w:marBottom w:val="0"/>
      <w:divBdr>
        <w:top w:val="none" w:sz="0" w:space="0" w:color="auto"/>
        <w:left w:val="none" w:sz="0" w:space="0" w:color="auto"/>
        <w:bottom w:val="none" w:sz="0" w:space="0" w:color="auto"/>
        <w:right w:val="none" w:sz="0" w:space="0" w:color="auto"/>
      </w:divBdr>
    </w:div>
    <w:div w:id="966661936">
      <w:bodyDiv w:val="1"/>
      <w:marLeft w:val="0"/>
      <w:marRight w:val="0"/>
      <w:marTop w:val="0"/>
      <w:marBottom w:val="0"/>
      <w:divBdr>
        <w:top w:val="none" w:sz="0" w:space="0" w:color="auto"/>
        <w:left w:val="none" w:sz="0" w:space="0" w:color="auto"/>
        <w:bottom w:val="none" w:sz="0" w:space="0" w:color="auto"/>
        <w:right w:val="none" w:sz="0" w:space="0" w:color="auto"/>
      </w:divBdr>
    </w:div>
    <w:div w:id="998994095">
      <w:bodyDiv w:val="1"/>
      <w:marLeft w:val="0"/>
      <w:marRight w:val="0"/>
      <w:marTop w:val="0"/>
      <w:marBottom w:val="0"/>
      <w:divBdr>
        <w:top w:val="none" w:sz="0" w:space="0" w:color="auto"/>
        <w:left w:val="none" w:sz="0" w:space="0" w:color="auto"/>
        <w:bottom w:val="none" w:sz="0" w:space="0" w:color="auto"/>
        <w:right w:val="none" w:sz="0" w:space="0" w:color="auto"/>
      </w:divBdr>
    </w:div>
    <w:div w:id="1004937279">
      <w:bodyDiv w:val="1"/>
      <w:marLeft w:val="0"/>
      <w:marRight w:val="0"/>
      <w:marTop w:val="0"/>
      <w:marBottom w:val="0"/>
      <w:divBdr>
        <w:top w:val="none" w:sz="0" w:space="0" w:color="auto"/>
        <w:left w:val="none" w:sz="0" w:space="0" w:color="auto"/>
        <w:bottom w:val="none" w:sz="0" w:space="0" w:color="auto"/>
        <w:right w:val="none" w:sz="0" w:space="0" w:color="auto"/>
      </w:divBdr>
    </w:div>
    <w:div w:id="1034648176">
      <w:bodyDiv w:val="1"/>
      <w:marLeft w:val="0"/>
      <w:marRight w:val="0"/>
      <w:marTop w:val="0"/>
      <w:marBottom w:val="0"/>
      <w:divBdr>
        <w:top w:val="none" w:sz="0" w:space="0" w:color="auto"/>
        <w:left w:val="none" w:sz="0" w:space="0" w:color="auto"/>
        <w:bottom w:val="none" w:sz="0" w:space="0" w:color="auto"/>
        <w:right w:val="none" w:sz="0" w:space="0" w:color="auto"/>
      </w:divBdr>
    </w:div>
    <w:div w:id="1034698088">
      <w:bodyDiv w:val="1"/>
      <w:marLeft w:val="0"/>
      <w:marRight w:val="0"/>
      <w:marTop w:val="0"/>
      <w:marBottom w:val="0"/>
      <w:divBdr>
        <w:top w:val="none" w:sz="0" w:space="0" w:color="auto"/>
        <w:left w:val="none" w:sz="0" w:space="0" w:color="auto"/>
        <w:bottom w:val="none" w:sz="0" w:space="0" w:color="auto"/>
        <w:right w:val="none" w:sz="0" w:space="0" w:color="auto"/>
      </w:divBdr>
    </w:div>
    <w:div w:id="1037001328">
      <w:bodyDiv w:val="1"/>
      <w:marLeft w:val="0"/>
      <w:marRight w:val="0"/>
      <w:marTop w:val="0"/>
      <w:marBottom w:val="0"/>
      <w:divBdr>
        <w:top w:val="none" w:sz="0" w:space="0" w:color="auto"/>
        <w:left w:val="none" w:sz="0" w:space="0" w:color="auto"/>
        <w:bottom w:val="none" w:sz="0" w:space="0" w:color="auto"/>
        <w:right w:val="none" w:sz="0" w:space="0" w:color="auto"/>
      </w:divBdr>
    </w:div>
    <w:div w:id="1045175394">
      <w:bodyDiv w:val="1"/>
      <w:marLeft w:val="0"/>
      <w:marRight w:val="0"/>
      <w:marTop w:val="0"/>
      <w:marBottom w:val="0"/>
      <w:divBdr>
        <w:top w:val="none" w:sz="0" w:space="0" w:color="auto"/>
        <w:left w:val="none" w:sz="0" w:space="0" w:color="auto"/>
        <w:bottom w:val="none" w:sz="0" w:space="0" w:color="auto"/>
        <w:right w:val="none" w:sz="0" w:space="0" w:color="auto"/>
      </w:divBdr>
    </w:div>
    <w:div w:id="1054154805">
      <w:bodyDiv w:val="1"/>
      <w:marLeft w:val="0"/>
      <w:marRight w:val="0"/>
      <w:marTop w:val="0"/>
      <w:marBottom w:val="0"/>
      <w:divBdr>
        <w:top w:val="none" w:sz="0" w:space="0" w:color="auto"/>
        <w:left w:val="none" w:sz="0" w:space="0" w:color="auto"/>
        <w:bottom w:val="none" w:sz="0" w:space="0" w:color="auto"/>
        <w:right w:val="none" w:sz="0" w:space="0" w:color="auto"/>
      </w:divBdr>
    </w:div>
    <w:div w:id="1056245142">
      <w:bodyDiv w:val="1"/>
      <w:marLeft w:val="0"/>
      <w:marRight w:val="0"/>
      <w:marTop w:val="0"/>
      <w:marBottom w:val="0"/>
      <w:divBdr>
        <w:top w:val="none" w:sz="0" w:space="0" w:color="auto"/>
        <w:left w:val="none" w:sz="0" w:space="0" w:color="auto"/>
        <w:bottom w:val="none" w:sz="0" w:space="0" w:color="auto"/>
        <w:right w:val="none" w:sz="0" w:space="0" w:color="auto"/>
      </w:divBdr>
    </w:div>
    <w:div w:id="1061831596">
      <w:bodyDiv w:val="1"/>
      <w:marLeft w:val="0"/>
      <w:marRight w:val="0"/>
      <w:marTop w:val="0"/>
      <w:marBottom w:val="0"/>
      <w:divBdr>
        <w:top w:val="none" w:sz="0" w:space="0" w:color="auto"/>
        <w:left w:val="none" w:sz="0" w:space="0" w:color="auto"/>
        <w:bottom w:val="none" w:sz="0" w:space="0" w:color="auto"/>
        <w:right w:val="none" w:sz="0" w:space="0" w:color="auto"/>
      </w:divBdr>
    </w:div>
    <w:div w:id="1077362536">
      <w:bodyDiv w:val="1"/>
      <w:marLeft w:val="0"/>
      <w:marRight w:val="0"/>
      <w:marTop w:val="0"/>
      <w:marBottom w:val="0"/>
      <w:divBdr>
        <w:top w:val="none" w:sz="0" w:space="0" w:color="auto"/>
        <w:left w:val="none" w:sz="0" w:space="0" w:color="auto"/>
        <w:bottom w:val="none" w:sz="0" w:space="0" w:color="auto"/>
        <w:right w:val="none" w:sz="0" w:space="0" w:color="auto"/>
      </w:divBdr>
    </w:div>
    <w:div w:id="1111365819">
      <w:bodyDiv w:val="1"/>
      <w:marLeft w:val="0"/>
      <w:marRight w:val="0"/>
      <w:marTop w:val="0"/>
      <w:marBottom w:val="0"/>
      <w:divBdr>
        <w:top w:val="none" w:sz="0" w:space="0" w:color="auto"/>
        <w:left w:val="none" w:sz="0" w:space="0" w:color="auto"/>
        <w:bottom w:val="none" w:sz="0" w:space="0" w:color="auto"/>
        <w:right w:val="none" w:sz="0" w:space="0" w:color="auto"/>
      </w:divBdr>
    </w:div>
    <w:div w:id="1113289044">
      <w:bodyDiv w:val="1"/>
      <w:marLeft w:val="0"/>
      <w:marRight w:val="0"/>
      <w:marTop w:val="0"/>
      <w:marBottom w:val="0"/>
      <w:divBdr>
        <w:top w:val="none" w:sz="0" w:space="0" w:color="auto"/>
        <w:left w:val="none" w:sz="0" w:space="0" w:color="auto"/>
        <w:bottom w:val="none" w:sz="0" w:space="0" w:color="auto"/>
        <w:right w:val="none" w:sz="0" w:space="0" w:color="auto"/>
      </w:divBdr>
    </w:div>
    <w:div w:id="1119648005">
      <w:bodyDiv w:val="1"/>
      <w:marLeft w:val="0"/>
      <w:marRight w:val="0"/>
      <w:marTop w:val="0"/>
      <w:marBottom w:val="0"/>
      <w:divBdr>
        <w:top w:val="none" w:sz="0" w:space="0" w:color="auto"/>
        <w:left w:val="none" w:sz="0" w:space="0" w:color="auto"/>
        <w:bottom w:val="none" w:sz="0" w:space="0" w:color="auto"/>
        <w:right w:val="none" w:sz="0" w:space="0" w:color="auto"/>
      </w:divBdr>
    </w:div>
    <w:div w:id="1122698591">
      <w:bodyDiv w:val="1"/>
      <w:marLeft w:val="0"/>
      <w:marRight w:val="0"/>
      <w:marTop w:val="0"/>
      <w:marBottom w:val="0"/>
      <w:divBdr>
        <w:top w:val="none" w:sz="0" w:space="0" w:color="auto"/>
        <w:left w:val="none" w:sz="0" w:space="0" w:color="auto"/>
        <w:bottom w:val="none" w:sz="0" w:space="0" w:color="auto"/>
        <w:right w:val="none" w:sz="0" w:space="0" w:color="auto"/>
      </w:divBdr>
    </w:div>
    <w:div w:id="1124469570">
      <w:bodyDiv w:val="1"/>
      <w:marLeft w:val="0"/>
      <w:marRight w:val="0"/>
      <w:marTop w:val="0"/>
      <w:marBottom w:val="0"/>
      <w:divBdr>
        <w:top w:val="none" w:sz="0" w:space="0" w:color="auto"/>
        <w:left w:val="none" w:sz="0" w:space="0" w:color="auto"/>
        <w:bottom w:val="none" w:sz="0" w:space="0" w:color="auto"/>
        <w:right w:val="none" w:sz="0" w:space="0" w:color="auto"/>
      </w:divBdr>
    </w:div>
    <w:div w:id="1131552199">
      <w:bodyDiv w:val="1"/>
      <w:marLeft w:val="0"/>
      <w:marRight w:val="0"/>
      <w:marTop w:val="0"/>
      <w:marBottom w:val="0"/>
      <w:divBdr>
        <w:top w:val="none" w:sz="0" w:space="0" w:color="auto"/>
        <w:left w:val="none" w:sz="0" w:space="0" w:color="auto"/>
        <w:bottom w:val="none" w:sz="0" w:space="0" w:color="auto"/>
        <w:right w:val="none" w:sz="0" w:space="0" w:color="auto"/>
      </w:divBdr>
    </w:div>
    <w:div w:id="1133061949">
      <w:bodyDiv w:val="1"/>
      <w:marLeft w:val="0"/>
      <w:marRight w:val="0"/>
      <w:marTop w:val="0"/>
      <w:marBottom w:val="0"/>
      <w:divBdr>
        <w:top w:val="none" w:sz="0" w:space="0" w:color="auto"/>
        <w:left w:val="none" w:sz="0" w:space="0" w:color="auto"/>
        <w:bottom w:val="none" w:sz="0" w:space="0" w:color="auto"/>
        <w:right w:val="none" w:sz="0" w:space="0" w:color="auto"/>
      </w:divBdr>
    </w:div>
    <w:div w:id="1133980831">
      <w:bodyDiv w:val="1"/>
      <w:marLeft w:val="0"/>
      <w:marRight w:val="0"/>
      <w:marTop w:val="0"/>
      <w:marBottom w:val="0"/>
      <w:divBdr>
        <w:top w:val="none" w:sz="0" w:space="0" w:color="auto"/>
        <w:left w:val="none" w:sz="0" w:space="0" w:color="auto"/>
        <w:bottom w:val="none" w:sz="0" w:space="0" w:color="auto"/>
        <w:right w:val="none" w:sz="0" w:space="0" w:color="auto"/>
      </w:divBdr>
    </w:div>
    <w:div w:id="1144856615">
      <w:bodyDiv w:val="1"/>
      <w:marLeft w:val="0"/>
      <w:marRight w:val="0"/>
      <w:marTop w:val="0"/>
      <w:marBottom w:val="0"/>
      <w:divBdr>
        <w:top w:val="none" w:sz="0" w:space="0" w:color="auto"/>
        <w:left w:val="none" w:sz="0" w:space="0" w:color="auto"/>
        <w:bottom w:val="none" w:sz="0" w:space="0" w:color="auto"/>
        <w:right w:val="none" w:sz="0" w:space="0" w:color="auto"/>
      </w:divBdr>
    </w:div>
    <w:div w:id="1145658081">
      <w:bodyDiv w:val="1"/>
      <w:marLeft w:val="0"/>
      <w:marRight w:val="0"/>
      <w:marTop w:val="0"/>
      <w:marBottom w:val="0"/>
      <w:divBdr>
        <w:top w:val="none" w:sz="0" w:space="0" w:color="auto"/>
        <w:left w:val="none" w:sz="0" w:space="0" w:color="auto"/>
        <w:bottom w:val="none" w:sz="0" w:space="0" w:color="auto"/>
        <w:right w:val="none" w:sz="0" w:space="0" w:color="auto"/>
      </w:divBdr>
    </w:div>
    <w:div w:id="1157653735">
      <w:bodyDiv w:val="1"/>
      <w:marLeft w:val="0"/>
      <w:marRight w:val="0"/>
      <w:marTop w:val="0"/>
      <w:marBottom w:val="0"/>
      <w:divBdr>
        <w:top w:val="none" w:sz="0" w:space="0" w:color="auto"/>
        <w:left w:val="none" w:sz="0" w:space="0" w:color="auto"/>
        <w:bottom w:val="none" w:sz="0" w:space="0" w:color="auto"/>
        <w:right w:val="none" w:sz="0" w:space="0" w:color="auto"/>
      </w:divBdr>
    </w:div>
    <w:div w:id="1158232022">
      <w:bodyDiv w:val="1"/>
      <w:marLeft w:val="0"/>
      <w:marRight w:val="0"/>
      <w:marTop w:val="0"/>
      <w:marBottom w:val="0"/>
      <w:divBdr>
        <w:top w:val="none" w:sz="0" w:space="0" w:color="auto"/>
        <w:left w:val="none" w:sz="0" w:space="0" w:color="auto"/>
        <w:bottom w:val="none" w:sz="0" w:space="0" w:color="auto"/>
        <w:right w:val="none" w:sz="0" w:space="0" w:color="auto"/>
      </w:divBdr>
    </w:div>
    <w:div w:id="1162350566">
      <w:bodyDiv w:val="1"/>
      <w:marLeft w:val="0"/>
      <w:marRight w:val="0"/>
      <w:marTop w:val="0"/>
      <w:marBottom w:val="0"/>
      <w:divBdr>
        <w:top w:val="none" w:sz="0" w:space="0" w:color="auto"/>
        <w:left w:val="none" w:sz="0" w:space="0" w:color="auto"/>
        <w:bottom w:val="none" w:sz="0" w:space="0" w:color="auto"/>
        <w:right w:val="none" w:sz="0" w:space="0" w:color="auto"/>
      </w:divBdr>
    </w:div>
    <w:div w:id="1185633836">
      <w:bodyDiv w:val="1"/>
      <w:marLeft w:val="0"/>
      <w:marRight w:val="0"/>
      <w:marTop w:val="0"/>
      <w:marBottom w:val="0"/>
      <w:divBdr>
        <w:top w:val="none" w:sz="0" w:space="0" w:color="auto"/>
        <w:left w:val="none" w:sz="0" w:space="0" w:color="auto"/>
        <w:bottom w:val="none" w:sz="0" w:space="0" w:color="auto"/>
        <w:right w:val="none" w:sz="0" w:space="0" w:color="auto"/>
      </w:divBdr>
    </w:div>
    <w:div w:id="1193615301">
      <w:bodyDiv w:val="1"/>
      <w:marLeft w:val="0"/>
      <w:marRight w:val="0"/>
      <w:marTop w:val="0"/>
      <w:marBottom w:val="0"/>
      <w:divBdr>
        <w:top w:val="none" w:sz="0" w:space="0" w:color="auto"/>
        <w:left w:val="none" w:sz="0" w:space="0" w:color="auto"/>
        <w:bottom w:val="none" w:sz="0" w:space="0" w:color="auto"/>
        <w:right w:val="none" w:sz="0" w:space="0" w:color="auto"/>
      </w:divBdr>
    </w:div>
    <w:div w:id="1203980197">
      <w:bodyDiv w:val="1"/>
      <w:marLeft w:val="0"/>
      <w:marRight w:val="0"/>
      <w:marTop w:val="0"/>
      <w:marBottom w:val="0"/>
      <w:divBdr>
        <w:top w:val="none" w:sz="0" w:space="0" w:color="auto"/>
        <w:left w:val="none" w:sz="0" w:space="0" w:color="auto"/>
        <w:bottom w:val="none" w:sz="0" w:space="0" w:color="auto"/>
        <w:right w:val="none" w:sz="0" w:space="0" w:color="auto"/>
      </w:divBdr>
    </w:div>
    <w:div w:id="1207134287">
      <w:bodyDiv w:val="1"/>
      <w:marLeft w:val="0"/>
      <w:marRight w:val="0"/>
      <w:marTop w:val="0"/>
      <w:marBottom w:val="0"/>
      <w:divBdr>
        <w:top w:val="none" w:sz="0" w:space="0" w:color="auto"/>
        <w:left w:val="none" w:sz="0" w:space="0" w:color="auto"/>
        <w:bottom w:val="none" w:sz="0" w:space="0" w:color="auto"/>
        <w:right w:val="none" w:sz="0" w:space="0" w:color="auto"/>
      </w:divBdr>
    </w:div>
    <w:div w:id="1209610436">
      <w:bodyDiv w:val="1"/>
      <w:marLeft w:val="0"/>
      <w:marRight w:val="0"/>
      <w:marTop w:val="0"/>
      <w:marBottom w:val="0"/>
      <w:divBdr>
        <w:top w:val="none" w:sz="0" w:space="0" w:color="auto"/>
        <w:left w:val="none" w:sz="0" w:space="0" w:color="auto"/>
        <w:bottom w:val="none" w:sz="0" w:space="0" w:color="auto"/>
        <w:right w:val="none" w:sz="0" w:space="0" w:color="auto"/>
      </w:divBdr>
    </w:div>
    <w:div w:id="1217820947">
      <w:bodyDiv w:val="1"/>
      <w:marLeft w:val="0"/>
      <w:marRight w:val="0"/>
      <w:marTop w:val="0"/>
      <w:marBottom w:val="0"/>
      <w:divBdr>
        <w:top w:val="none" w:sz="0" w:space="0" w:color="auto"/>
        <w:left w:val="none" w:sz="0" w:space="0" w:color="auto"/>
        <w:bottom w:val="none" w:sz="0" w:space="0" w:color="auto"/>
        <w:right w:val="none" w:sz="0" w:space="0" w:color="auto"/>
      </w:divBdr>
    </w:div>
    <w:div w:id="1218588035">
      <w:bodyDiv w:val="1"/>
      <w:marLeft w:val="0"/>
      <w:marRight w:val="0"/>
      <w:marTop w:val="0"/>
      <w:marBottom w:val="0"/>
      <w:divBdr>
        <w:top w:val="none" w:sz="0" w:space="0" w:color="auto"/>
        <w:left w:val="none" w:sz="0" w:space="0" w:color="auto"/>
        <w:bottom w:val="none" w:sz="0" w:space="0" w:color="auto"/>
        <w:right w:val="none" w:sz="0" w:space="0" w:color="auto"/>
      </w:divBdr>
    </w:div>
    <w:div w:id="1221358371">
      <w:bodyDiv w:val="1"/>
      <w:marLeft w:val="0"/>
      <w:marRight w:val="0"/>
      <w:marTop w:val="0"/>
      <w:marBottom w:val="0"/>
      <w:divBdr>
        <w:top w:val="none" w:sz="0" w:space="0" w:color="auto"/>
        <w:left w:val="none" w:sz="0" w:space="0" w:color="auto"/>
        <w:bottom w:val="none" w:sz="0" w:space="0" w:color="auto"/>
        <w:right w:val="none" w:sz="0" w:space="0" w:color="auto"/>
      </w:divBdr>
    </w:div>
    <w:div w:id="1222443522">
      <w:bodyDiv w:val="1"/>
      <w:marLeft w:val="0"/>
      <w:marRight w:val="0"/>
      <w:marTop w:val="0"/>
      <w:marBottom w:val="0"/>
      <w:divBdr>
        <w:top w:val="none" w:sz="0" w:space="0" w:color="auto"/>
        <w:left w:val="none" w:sz="0" w:space="0" w:color="auto"/>
        <w:bottom w:val="none" w:sz="0" w:space="0" w:color="auto"/>
        <w:right w:val="none" w:sz="0" w:space="0" w:color="auto"/>
      </w:divBdr>
    </w:div>
    <w:div w:id="1225873400">
      <w:bodyDiv w:val="1"/>
      <w:marLeft w:val="0"/>
      <w:marRight w:val="0"/>
      <w:marTop w:val="0"/>
      <w:marBottom w:val="0"/>
      <w:divBdr>
        <w:top w:val="none" w:sz="0" w:space="0" w:color="auto"/>
        <w:left w:val="none" w:sz="0" w:space="0" w:color="auto"/>
        <w:bottom w:val="none" w:sz="0" w:space="0" w:color="auto"/>
        <w:right w:val="none" w:sz="0" w:space="0" w:color="auto"/>
      </w:divBdr>
    </w:div>
    <w:div w:id="1227304260">
      <w:bodyDiv w:val="1"/>
      <w:marLeft w:val="0"/>
      <w:marRight w:val="0"/>
      <w:marTop w:val="0"/>
      <w:marBottom w:val="0"/>
      <w:divBdr>
        <w:top w:val="none" w:sz="0" w:space="0" w:color="auto"/>
        <w:left w:val="none" w:sz="0" w:space="0" w:color="auto"/>
        <w:bottom w:val="none" w:sz="0" w:space="0" w:color="auto"/>
        <w:right w:val="none" w:sz="0" w:space="0" w:color="auto"/>
      </w:divBdr>
    </w:div>
    <w:div w:id="1247304633">
      <w:bodyDiv w:val="1"/>
      <w:marLeft w:val="0"/>
      <w:marRight w:val="0"/>
      <w:marTop w:val="0"/>
      <w:marBottom w:val="0"/>
      <w:divBdr>
        <w:top w:val="none" w:sz="0" w:space="0" w:color="auto"/>
        <w:left w:val="none" w:sz="0" w:space="0" w:color="auto"/>
        <w:bottom w:val="none" w:sz="0" w:space="0" w:color="auto"/>
        <w:right w:val="none" w:sz="0" w:space="0" w:color="auto"/>
      </w:divBdr>
    </w:div>
    <w:div w:id="1248730119">
      <w:bodyDiv w:val="1"/>
      <w:marLeft w:val="0"/>
      <w:marRight w:val="0"/>
      <w:marTop w:val="0"/>
      <w:marBottom w:val="0"/>
      <w:divBdr>
        <w:top w:val="none" w:sz="0" w:space="0" w:color="auto"/>
        <w:left w:val="none" w:sz="0" w:space="0" w:color="auto"/>
        <w:bottom w:val="none" w:sz="0" w:space="0" w:color="auto"/>
        <w:right w:val="none" w:sz="0" w:space="0" w:color="auto"/>
      </w:divBdr>
    </w:div>
    <w:div w:id="1254895451">
      <w:bodyDiv w:val="1"/>
      <w:marLeft w:val="0"/>
      <w:marRight w:val="0"/>
      <w:marTop w:val="0"/>
      <w:marBottom w:val="0"/>
      <w:divBdr>
        <w:top w:val="none" w:sz="0" w:space="0" w:color="auto"/>
        <w:left w:val="none" w:sz="0" w:space="0" w:color="auto"/>
        <w:bottom w:val="none" w:sz="0" w:space="0" w:color="auto"/>
        <w:right w:val="none" w:sz="0" w:space="0" w:color="auto"/>
      </w:divBdr>
    </w:div>
    <w:div w:id="1260408333">
      <w:bodyDiv w:val="1"/>
      <w:marLeft w:val="0"/>
      <w:marRight w:val="0"/>
      <w:marTop w:val="0"/>
      <w:marBottom w:val="0"/>
      <w:divBdr>
        <w:top w:val="none" w:sz="0" w:space="0" w:color="auto"/>
        <w:left w:val="none" w:sz="0" w:space="0" w:color="auto"/>
        <w:bottom w:val="none" w:sz="0" w:space="0" w:color="auto"/>
        <w:right w:val="none" w:sz="0" w:space="0" w:color="auto"/>
      </w:divBdr>
    </w:div>
    <w:div w:id="1276474736">
      <w:bodyDiv w:val="1"/>
      <w:marLeft w:val="0"/>
      <w:marRight w:val="0"/>
      <w:marTop w:val="0"/>
      <w:marBottom w:val="0"/>
      <w:divBdr>
        <w:top w:val="none" w:sz="0" w:space="0" w:color="auto"/>
        <w:left w:val="none" w:sz="0" w:space="0" w:color="auto"/>
        <w:bottom w:val="none" w:sz="0" w:space="0" w:color="auto"/>
        <w:right w:val="none" w:sz="0" w:space="0" w:color="auto"/>
      </w:divBdr>
    </w:div>
    <w:div w:id="1278368414">
      <w:bodyDiv w:val="1"/>
      <w:marLeft w:val="0"/>
      <w:marRight w:val="0"/>
      <w:marTop w:val="0"/>
      <w:marBottom w:val="0"/>
      <w:divBdr>
        <w:top w:val="none" w:sz="0" w:space="0" w:color="auto"/>
        <w:left w:val="none" w:sz="0" w:space="0" w:color="auto"/>
        <w:bottom w:val="none" w:sz="0" w:space="0" w:color="auto"/>
        <w:right w:val="none" w:sz="0" w:space="0" w:color="auto"/>
      </w:divBdr>
    </w:div>
    <w:div w:id="1287273813">
      <w:bodyDiv w:val="1"/>
      <w:marLeft w:val="0"/>
      <w:marRight w:val="0"/>
      <w:marTop w:val="0"/>
      <w:marBottom w:val="0"/>
      <w:divBdr>
        <w:top w:val="none" w:sz="0" w:space="0" w:color="auto"/>
        <w:left w:val="none" w:sz="0" w:space="0" w:color="auto"/>
        <w:bottom w:val="none" w:sz="0" w:space="0" w:color="auto"/>
        <w:right w:val="none" w:sz="0" w:space="0" w:color="auto"/>
      </w:divBdr>
    </w:div>
    <w:div w:id="1289625775">
      <w:bodyDiv w:val="1"/>
      <w:marLeft w:val="0"/>
      <w:marRight w:val="0"/>
      <w:marTop w:val="0"/>
      <w:marBottom w:val="0"/>
      <w:divBdr>
        <w:top w:val="none" w:sz="0" w:space="0" w:color="auto"/>
        <w:left w:val="none" w:sz="0" w:space="0" w:color="auto"/>
        <w:bottom w:val="none" w:sz="0" w:space="0" w:color="auto"/>
        <w:right w:val="none" w:sz="0" w:space="0" w:color="auto"/>
      </w:divBdr>
    </w:div>
    <w:div w:id="1301225849">
      <w:bodyDiv w:val="1"/>
      <w:marLeft w:val="0"/>
      <w:marRight w:val="0"/>
      <w:marTop w:val="0"/>
      <w:marBottom w:val="0"/>
      <w:divBdr>
        <w:top w:val="none" w:sz="0" w:space="0" w:color="auto"/>
        <w:left w:val="none" w:sz="0" w:space="0" w:color="auto"/>
        <w:bottom w:val="none" w:sz="0" w:space="0" w:color="auto"/>
        <w:right w:val="none" w:sz="0" w:space="0" w:color="auto"/>
      </w:divBdr>
    </w:div>
    <w:div w:id="1307592696">
      <w:bodyDiv w:val="1"/>
      <w:marLeft w:val="0"/>
      <w:marRight w:val="0"/>
      <w:marTop w:val="0"/>
      <w:marBottom w:val="0"/>
      <w:divBdr>
        <w:top w:val="none" w:sz="0" w:space="0" w:color="auto"/>
        <w:left w:val="none" w:sz="0" w:space="0" w:color="auto"/>
        <w:bottom w:val="none" w:sz="0" w:space="0" w:color="auto"/>
        <w:right w:val="none" w:sz="0" w:space="0" w:color="auto"/>
      </w:divBdr>
    </w:div>
    <w:div w:id="1307976920">
      <w:bodyDiv w:val="1"/>
      <w:marLeft w:val="0"/>
      <w:marRight w:val="0"/>
      <w:marTop w:val="0"/>
      <w:marBottom w:val="0"/>
      <w:divBdr>
        <w:top w:val="none" w:sz="0" w:space="0" w:color="auto"/>
        <w:left w:val="none" w:sz="0" w:space="0" w:color="auto"/>
        <w:bottom w:val="none" w:sz="0" w:space="0" w:color="auto"/>
        <w:right w:val="none" w:sz="0" w:space="0" w:color="auto"/>
      </w:divBdr>
    </w:div>
    <w:div w:id="1313484862">
      <w:bodyDiv w:val="1"/>
      <w:marLeft w:val="0"/>
      <w:marRight w:val="0"/>
      <w:marTop w:val="0"/>
      <w:marBottom w:val="0"/>
      <w:divBdr>
        <w:top w:val="none" w:sz="0" w:space="0" w:color="auto"/>
        <w:left w:val="none" w:sz="0" w:space="0" w:color="auto"/>
        <w:bottom w:val="none" w:sz="0" w:space="0" w:color="auto"/>
        <w:right w:val="none" w:sz="0" w:space="0" w:color="auto"/>
      </w:divBdr>
    </w:div>
    <w:div w:id="1316566604">
      <w:bodyDiv w:val="1"/>
      <w:marLeft w:val="0"/>
      <w:marRight w:val="0"/>
      <w:marTop w:val="0"/>
      <w:marBottom w:val="0"/>
      <w:divBdr>
        <w:top w:val="none" w:sz="0" w:space="0" w:color="auto"/>
        <w:left w:val="none" w:sz="0" w:space="0" w:color="auto"/>
        <w:bottom w:val="none" w:sz="0" w:space="0" w:color="auto"/>
        <w:right w:val="none" w:sz="0" w:space="0" w:color="auto"/>
      </w:divBdr>
    </w:div>
    <w:div w:id="1326205560">
      <w:bodyDiv w:val="1"/>
      <w:marLeft w:val="0"/>
      <w:marRight w:val="0"/>
      <w:marTop w:val="0"/>
      <w:marBottom w:val="0"/>
      <w:divBdr>
        <w:top w:val="none" w:sz="0" w:space="0" w:color="auto"/>
        <w:left w:val="none" w:sz="0" w:space="0" w:color="auto"/>
        <w:bottom w:val="none" w:sz="0" w:space="0" w:color="auto"/>
        <w:right w:val="none" w:sz="0" w:space="0" w:color="auto"/>
      </w:divBdr>
    </w:div>
    <w:div w:id="1331828312">
      <w:bodyDiv w:val="1"/>
      <w:marLeft w:val="0"/>
      <w:marRight w:val="0"/>
      <w:marTop w:val="0"/>
      <w:marBottom w:val="0"/>
      <w:divBdr>
        <w:top w:val="none" w:sz="0" w:space="0" w:color="auto"/>
        <w:left w:val="none" w:sz="0" w:space="0" w:color="auto"/>
        <w:bottom w:val="none" w:sz="0" w:space="0" w:color="auto"/>
        <w:right w:val="none" w:sz="0" w:space="0" w:color="auto"/>
      </w:divBdr>
    </w:div>
    <w:div w:id="1336029646">
      <w:bodyDiv w:val="1"/>
      <w:marLeft w:val="0"/>
      <w:marRight w:val="0"/>
      <w:marTop w:val="0"/>
      <w:marBottom w:val="0"/>
      <w:divBdr>
        <w:top w:val="none" w:sz="0" w:space="0" w:color="auto"/>
        <w:left w:val="none" w:sz="0" w:space="0" w:color="auto"/>
        <w:bottom w:val="none" w:sz="0" w:space="0" w:color="auto"/>
        <w:right w:val="none" w:sz="0" w:space="0" w:color="auto"/>
      </w:divBdr>
    </w:div>
    <w:div w:id="1336226748">
      <w:bodyDiv w:val="1"/>
      <w:marLeft w:val="0"/>
      <w:marRight w:val="0"/>
      <w:marTop w:val="0"/>
      <w:marBottom w:val="0"/>
      <w:divBdr>
        <w:top w:val="none" w:sz="0" w:space="0" w:color="auto"/>
        <w:left w:val="none" w:sz="0" w:space="0" w:color="auto"/>
        <w:bottom w:val="none" w:sz="0" w:space="0" w:color="auto"/>
        <w:right w:val="none" w:sz="0" w:space="0" w:color="auto"/>
      </w:divBdr>
    </w:div>
    <w:div w:id="1339383565">
      <w:bodyDiv w:val="1"/>
      <w:marLeft w:val="0"/>
      <w:marRight w:val="0"/>
      <w:marTop w:val="0"/>
      <w:marBottom w:val="0"/>
      <w:divBdr>
        <w:top w:val="none" w:sz="0" w:space="0" w:color="auto"/>
        <w:left w:val="none" w:sz="0" w:space="0" w:color="auto"/>
        <w:bottom w:val="none" w:sz="0" w:space="0" w:color="auto"/>
        <w:right w:val="none" w:sz="0" w:space="0" w:color="auto"/>
      </w:divBdr>
    </w:div>
    <w:div w:id="1343431872">
      <w:bodyDiv w:val="1"/>
      <w:marLeft w:val="0"/>
      <w:marRight w:val="0"/>
      <w:marTop w:val="0"/>
      <w:marBottom w:val="0"/>
      <w:divBdr>
        <w:top w:val="none" w:sz="0" w:space="0" w:color="auto"/>
        <w:left w:val="none" w:sz="0" w:space="0" w:color="auto"/>
        <w:bottom w:val="none" w:sz="0" w:space="0" w:color="auto"/>
        <w:right w:val="none" w:sz="0" w:space="0" w:color="auto"/>
      </w:divBdr>
    </w:div>
    <w:div w:id="1345589447">
      <w:bodyDiv w:val="1"/>
      <w:marLeft w:val="0"/>
      <w:marRight w:val="0"/>
      <w:marTop w:val="0"/>
      <w:marBottom w:val="0"/>
      <w:divBdr>
        <w:top w:val="none" w:sz="0" w:space="0" w:color="auto"/>
        <w:left w:val="none" w:sz="0" w:space="0" w:color="auto"/>
        <w:bottom w:val="none" w:sz="0" w:space="0" w:color="auto"/>
        <w:right w:val="none" w:sz="0" w:space="0" w:color="auto"/>
      </w:divBdr>
    </w:div>
    <w:div w:id="1374036051">
      <w:bodyDiv w:val="1"/>
      <w:marLeft w:val="0"/>
      <w:marRight w:val="0"/>
      <w:marTop w:val="0"/>
      <w:marBottom w:val="0"/>
      <w:divBdr>
        <w:top w:val="none" w:sz="0" w:space="0" w:color="auto"/>
        <w:left w:val="none" w:sz="0" w:space="0" w:color="auto"/>
        <w:bottom w:val="none" w:sz="0" w:space="0" w:color="auto"/>
        <w:right w:val="none" w:sz="0" w:space="0" w:color="auto"/>
      </w:divBdr>
    </w:div>
    <w:div w:id="1377585038">
      <w:bodyDiv w:val="1"/>
      <w:marLeft w:val="0"/>
      <w:marRight w:val="0"/>
      <w:marTop w:val="0"/>
      <w:marBottom w:val="0"/>
      <w:divBdr>
        <w:top w:val="none" w:sz="0" w:space="0" w:color="auto"/>
        <w:left w:val="none" w:sz="0" w:space="0" w:color="auto"/>
        <w:bottom w:val="none" w:sz="0" w:space="0" w:color="auto"/>
        <w:right w:val="none" w:sz="0" w:space="0" w:color="auto"/>
      </w:divBdr>
    </w:div>
    <w:div w:id="1379428777">
      <w:bodyDiv w:val="1"/>
      <w:marLeft w:val="0"/>
      <w:marRight w:val="0"/>
      <w:marTop w:val="0"/>
      <w:marBottom w:val="0"/>
      <w:divBdr>
        <w:top w:val="none" w:sz="0" w:space="0" w:color="auto"/>
        <w:left w:val="none" w:sz="0" w:space="0" w:color="auto"/>
        <w:bottom w:val="none" w:sz="0" w:space="0" w:color="auto"/>
        <w:right w:val="none" w:sz="0" w:space="0" w:color="auto"/>
      </w:divBdr>
    </w:div>
    <w:div w:id="1384522706">
      <w:bodyDiv w:val="1"/>
      <w:marLeft w:val="0"/>
      <w:marRight w:val="0"/>
      <w:marTop w:val="0"/>
      <w:marBottom w:val="0"/>
      <w:divBdr>
        <w:top w:val="none" w:sz="0" w:space="0" w:color="auto"/>
        <w:left w:val="none" w:sz="0" w:space="0" w:color="auto"/>
        <w:bottom w:val="none" w:sz="0" w:space="0" w:color="auto"/>
        <w:right w:val="none" w:sz="0" w:space="0" w:color="auto"/>
      </w:divBdr>
    </w:div>
    <w:div w:id="1395856978">
      <w:bodyDiv w:val="1"/>
      <w:marLeft w:val="0"/>
      <w:marRight w:val="0"/>
      <w:marTop w:val="0"/>
      <w:marBottom w:val="0"/>
      <w:divBdr>
        <w:top w:val="none" w:sz="0" w:space="0" w:color="auto"/>
        <w:left w:val="none" w:sz="0" w:space="0" w:color="auto"/>
        <w:bottom w:val="none" w:sz="0" w:space="0" w:color="auto"/>
        <w:right w:val="none" w:sz="0" w:space="0" w:color="auto"/>
      </w:divBdr>
    </w:div>
    <w:div w:id="1401441314">
      <w:bodyDiv w:val="1"/>
      <w:marLeft w:val="0"/>
      <w:marRight w:val="0"/>
      <w:marTop w:val="0"/>
      <w:marBottom w:val="0"/>
      <w:divBdr>
        <w:top w:val="none" w:sz="0" w:space="0" w:color="auto"/>
        <w:left w:val="none" w:sz="0" w:space="0" w:color="auto"/>
        <w:bottom w:val="none" w:sz="0" w:space="0" w:color="auto"/>
        <w:right w:val="none" w:sz="0" w:space="0" w:color="auto"/>
      </w:divBdr>
    </w:div>
    <w:div w:id="1402674426">
      <w:bodyDiv w:val="1"/>
      <w:marLeft w:val="0"/>
      <w:marRight w:val="0"/>
      <w:marTop w:val="0"/>
      <w:marBottom w:val="0"/>
      <w:divBdr>
        <w:top w:val="none" w:sz="0" w:space="0" w:color="auto"/>
        <w:left w:val="none" w:sz="0" w:space="0" w:color="auto"/>
        <w:bottom w:val="none" w:sz="0" w:space="0" w:color="auto"/>
        <w:right w:val="none" w:sz="0" w:space="0" w:color="auto"/>
      </w:divBdr>
    </w:div>
    <w:div w:id="1406337898">
      <w:bodyDiv w:val="1"/>
      <w:marLeft w:val="0"/>
      <w:marRight w:val="0"/>
      <w:marTop w:val="0"/>
      <w:marBottom w:val="0"/>
      <w:divBdr>
        <w:top w:val="none" w:sz="0" w:space="0" w:color="auto"/>
        <w:left w:val="none" w:sz="0" w:space="0" w:color="auto"/>
        <w:bottom w:val="none" w:sz="0" w:space="0" w:color="auto"/>
        <w:right w:val="none" w:sz="0" w:space="0" w:color="auto"/>
      </w:divBdr>
    </w:div>
    <w:div w:id="1407416254">
      <w:bodyDiv w:val="1"/>
      <w:marLeft w:val="0"/>
      <w:marRight w:val="0"/>
      <w:marTop w:val="0"/>
      <w:marBottom w:val="0"/>
      <w:divBdr>
        <w:top w:val="none" w:sz="0" w:space="0" w:color="auto"/>
        <w:left w:val="none" w:sz="0" w:space="0" w:color="auto"/>
        <w:bottom w:val="none" w:sz="0" w:space="0" w:color="auto"/>
        <w:right w:val="none" w:sz="0" w:space="0" w:color="auto"/>
      </w:divBdr>
    </w:div>
    <w:div w:id="1414358997">
      <w:bodyDiv w:val="1"/>
      <w:marLeft w:val="0"/>
      <w:marRight w:val="0"/>
      <w:marTop w:val="0"/>
      <w:marBottom w:val="0"/>
      <w:divBdr>
        <w:top w:val="none" w:sz="0" w:space="0" w:color="auto"/>
        <w:left w:val="none" w:sz="0" w:space="0" w:color="auto"/>
        <w:bottom w:val="none" w:sz="0" w:space="0" w:color="auto"/>
        <w:right w:val="none" w:sz="0" w:space="0" w:color="auto"/>
      </w:divBdr>
    </w:div>
    <w:div w:id="1425539377">
      <w:bodyDiv w:val="1"/>
      <w:marLeft w:val="0"/>
      <w:marRight w:val="0"/>
      <w:marTop w:val="0"/>
      <w:marBottom w:val="0"/>
      <w:divBdr>
        <w:top w:val="none" w:sz="0" w:space="0" w:color="auto"/>
        <w:left w:val="none" w:sz="0" w:space="0" w:color="auto"/>
        <w:bottom w:val="none" w:sz="0" w:space="0" w:color="auto"/>
        <w:right w:val="none" w:sz="0" w:space="0" w:color="auto"/>
      </w:divBdr>
    </w:div>
    <w:div w:id="1444618920">
      <w:bodyDiv w:val="1"/>
      <w:marLeft w:val="0"/>
      <w:marRight w:val="0"/>
      <w:marTop w:val="0"/>
      <w:marBottom w:val="0"/>
      <w:divBdr>
        <w:top w:val="none" w:sz="0" w:space="0" w:color="auto"/>
        <w:left w:val="none" w:sz="0" w:space="0" w:color="auto"/>
        <w:bottom w:val="none" w:sz="0" w:space="0" w:color="auto"/>
        <w:right w:val="none" w:sz="0" w:space="0" w:color="auto"/>
      </w:divBdr>
    </w:div>
    <w:div w:id="1459178501">
      <w:bodyDiv w:val="1"/>
      <w:marLeft w:val="0"/>
      <w:marRight w:val="0"/>
      <w:marTop w:val="0"/>
      <w:marBottom w:val="0"/>
      <w:divBdr>
        <w:top w:val="none" w:sz="0" w:space="0" w:color="auto"/>
        <w:left w:val="none" w:sz="0" w:space="0" w:color="auto"/>
        <w:bottom w:val="none" w:sz="0" w:space="0" w:color="auto"/>
        <w:right w:val="none" w:sz="0" w:space="0" w:color="auto"/>
      </w:divBdr>
    </w:div>
    <w:div w:id="1461453871">
      <w:bodyDiv w:val="1"/>
      <w:marLeft w:val="0"/>
      <w:marRight w:val="0"/>
      <w:marTop w:val="0"/>
      <w:marBottom w:val="0"/>
      <w:divBdr>
        <w:top w:val="none" w:sz="0" w:space="0" w:color="auto"/>
        <w:left w:val="none" w:sz="0" w:space="0" w:color="auto"/>
        <w:bottom w:val="none" w:sz="0" w:space="0" w:color="auto"/>
        <w:right w:val="none" w:sz="0" w:space="0" w:color="auto"/>
      </w:divBdr>
    </w:div>
    <w:div w:id="1462261233">
      <w:bodyDiv w:val="1"/>
      <w:marLeft w:val="0"/>
      <w:marRight w:val="0"/>
      <w:marTop w:val="0"/>
      <w:marBottom w:val="0"/>
      <w:divBdr>
        <w:top w:val="none" w:sz="0" w:space="0" w:color="auto"/>
        <w:left w:val="none" w:sz="0" w:space="0" w:color="auto"/>
        <w:bottom w:val="none" w:sz="0" w:space="0" w:color="auto"/>
        <w:right w:val="none" w:sz="0" w:space="0" w:color="auto"/>
      </w:divBdr>
    </w:div>
    <w:div w:id="1467894237">
      <w:bodyDiv w:val="1"/>
      <w:marLeft w:val="0"/>
      <w:marRight w:val="0"/>
      <w:marTop w:val="0"/>
      <w:marBottom w:val="0"/>
      <w:divBdr>
        <w:top w:val="none" w:sz="0" w:space="0" w:color="auto"/>
        <w:left w:val="none" w:sz="0" w:space="0" w:color="auto"/>
        <w:bottom w:val="none" w:sz="0" w:space="0" w:color="auto"/>
        <w:right w:val="none" w:sz="0" w:space="0" w:color="auto"/>
      </w:divBdr>
    </w:div>
    <w:div w:id="1467964999">
      <w:bodyDiv w:val="1"/>
      <w:marLeft w:val="0"/>
      <w:marRight w:val="0"/>
      <w:marTop w:val="0"/>
      <w:marBottom w:val="0"/>
      <w:divBdr>
        <w:top w:val="none" w:sz="0" w:space="0" w:color="auto"/>
        <w:left w:val="none" w:sz="0" w:space="0" w:color="auto"/>
        <w:bottom w:val="none" w:sz="0" w:space="0" w:color="auto"/>
        <w:right w:val="none" w:sz="0" w:space="0" w:color="auto"/>
      </w:divBdr>
    </w:div>
    <w:div w:id="1477455065">
      <w:bodyDiv w:val="1"/>
      <w:marLeft w:val="0"/>
      <w:marRight w:val="0"/>
      <w:marTop w:val="0"/>
      <w:marBottom w:val="0"/>
      <w:divBdr>
        <w:top w:val="none" w:sz="0" w:space="0" w:color="auto"/>
        <w:left w:val="none" w:sz="0" w:space="0" w:color="auto"/>
        <w:bottom w:val="none" w:sz="0" w:space="0" w:color="auto"/>
        <w:right w:val="none" w:sz="0" w:space="0" w:color="auto"/>
      </w:divBdr>
    </w:div>
    <w:div w:id="1482573531">
      <w:bodyDiv w:val="1"/>
      <w:marLeft w:val="0"/>
      <w:marRight w:val="0"/>
      <w:marTop w:val="0"/>
      <w:marBottom w:val="0"/>
      <w:divBdr>
        <w:top w:val="none" w:sz="0" w:space="0" w:color="auto"/>
        <w:left w:val="none" w:sz="0" w:space="0" w:color="auto"/>
        <w:bottom w:val="none" w:sz="0" w:space="0" w:color="auto"/>
        <w:right w:val="none" w:sz="0" w:space="0" w:color="auto"/>
      </w:divBdr>
    </w:div>
    <w:div w:id="1487208630">
      <w:bodyDiv w:val="1"/>
      <w:marLeft w:val="0"/>
      <w:marRight w:val="0"/>
      <w:marTop w:val="0"/>
      <w:marBottom w:val="0"/>
      <w:divBdr>
        <w:top w:val="none" w:sz="0" w:space="0" w:color="auto"/>
        <w:left w:val="none" w:sz="0" w:space="0" w:color="auto"/>
        <w:bottom w:val="none" w:sz="0" w:space="0" w:color="auto"/>
        <w:right w:val="none" w:sz="0" w:space="0" w:color="auto"/>
      </w:divBdr>
    </w:div>
    <w:div w:id="1489857182">
      <w:bodyDiv w:val="1"/>
      <w:marLeft w:val="0"/>
      <w:marRight w:val="0"/>
      <w:marTop w:val="0"/>
      <w:marBottom w:val="0"/>
      <w:divBdr>
        <w:top w:val="none" w:sz="0" w:space="0" w:color="auto"/>
        <w:left w:val="none" w:sz="0" w:space="0" w:color="auto"/>
        <w:bottom w:val="none" w:sz="0" w:space="0" w:color="auto"/>
        <w:right w:val="none" w:sz="0" w:space="0" w:color="auto"/>
      </w:divBdr>
    </w:div>
    <w:div w:id="1490243149">
      <w:bodyDiv w:val="1"/>
      <w:marLeft w:val="0"/>
      <w:marRight w:val="0"/>
      <w:marTop w:val="0"/>
      <w:marBottom w:val="0"/>
      <w:divBdr>
        <w:top w:val="none" w:sz="0" w:space="0" w:color="auto"/>
        <w:left w:val="none" w:sz="0" w:space="0" w:color="auto"/>
        <w:bottom w:val="none" w:sz="0" w:space="0" w:color="auto"/>
        <w:right w:val="none" w:sz="0" w:space="0" w:color="auto"/>
      </w:divBdr>
    </w:div>
    <w:div w:id="1497844200">
      <w:bodyDiv w:val="1"/>
      <w:marLeft w:val="0"/>
      <w:marRight w:val="0"/>
      <w:marTop w:val="0"/>
      <w:marBottom w:val="0"/>
      <w:divBdr>
        <w:top w:val="none" w:sz="0" w:space="0" w:color="auto"/>
        <w:left w:val="none" w:sz="0" w:space="0" w:color="auto"/>
        <w:bottom w:val="none" w:sz="0" w:space="0" w:color="auto"/>
        <w:right w:val="none" w:sz="0" w:space="0" w:color="auto"/>
      </w:divBdr>
    </w:div>
    <w:div w:id="1501849839">
      <w:bodyDiv w:val="1"/>
      <w:marLeft w:val="0"/>
      <w:marRight w:val="0"/>
      <w:marTop w:val="0"/>
      <w:marBottom w:val="0"/>
      <w:divBdr>
        <w:top w:val="none" w:sz="0" w:space="0" w:color="auto"/>
        <w:left w:val="none" w:sz="0" w:space="0" w:color="auto"/>
        <w:bottom w:val="none" w:sz="0" w:space="0" w:color="auto"/>
        <w:right w:val="none" w:sz="0" w:space="0" w:color="auto"/>
      </w:divBdr>
    </w:div>
    <w:div w:id="1501890927">
      <w:bodyDiv w:val="1"/>
      <w:marLeft w:val="0"/>
      <w:marRight w:val="0"/>
      <w:marTop w:val="0"/>
      <w:marBottom w:val="0"/>
      <w:divBdr>
        <w:top w:val="none" w:sz="0" w:space="0" w:color="auto"/>
        <w:left w:val="none" w:sz="0" w:space="0" w:color="auto"/>
        <w:bottom w:val="none" w:sz="0" w:space="0" w:color="auto"/>
        <w:right w:val="none" w:sz="0" w:space="0" w:color="auto"/>
      </w:divBdr>
    </w:div>
    <w:div w:id="1507943718">
      <w:bodyDiv w:val="1"/>
      <w:marLeft w:val="0"/>
      <w:marRight w:val="0"/>
      <w:marTop w:val="0"/>
      <w:marBottom w:val="0"/>
      <w:divBdr>
        <w:top w:val="none" w:sz="0" w:space="0" w:color="auto"/>
        <w:left w:val="none" w:sz="0" w:space="0" w:color="auto"/>
        <w:bottom w:val="none" w:sz="0" w:space="0" w:color="auto"/>
        <w:right w:val="none" w:sz="0" w:space="0" w:color="auto"/>
      </w:divBdr>
    </w:div>
    <w:div w:id="1523010603">
      <w:bodyDiv w:val="1"/>
      <w:marLeft w:val="0"/>
      <w:marRight w:val="0"/>
      <w:marTop w:val="0"/>
      <w:marBottom w:val="0"/>
      <w:divBdr>
        <w:top w:val="none" w:sz="0" w:space="0" w:color="auto"/>
        <w:left w:val="none" w:sz="0" w:space="0" w:color="auto"/>
        <w:bottom w:val="none" w:sz="0" w:space="0" w:color="auto"/>
        <w:right w:val="none" w:sz="0" w:space="0" w:color="auto"/>
      </w:divBdr>
    </w:div>
    <w:div w:id="1528060653">
      <w:bodyDiv w:val="1"/>
      <w:marLeft w:val="0"/>
      <w:marRight w:val="0"/>
      <w:marTop w:val="0"/>
      <w:marBottom w:val="0"/>
      <w:divBdr>
        <w:top w:val="none" w:sz="0" w:space="0" w:color="auto"/>
        <w:left w:val="none" w:sz="0" w:space="0" w:color="auto"/>
        <w:bottom w:val="none" w:sz="0" w:space="0" w:color="auto"/>
        <w:right w:val="none" w:sz="0" w:space="0" w:color="auto"/>
      </w:divBdr>
    </w:div>
    <w:div w:id="1531988327">
      <w:bodyDiv w:val="1"/>
      <w:marLeft w:val="0"/>
      <w:marRight w:val="0"/>
      <w:marTop w:val="0"/>
      <w:marBottom w:val="0"/>
      <w:divBdr>
        <w:top w:val="none" w:sz="0" w:space="0" w:color="auto"/>
        <w:left w:val="none" w:sz="0" w:space="0" w:color="auto"/>
        <w:bottom w:val="none" w:sz="0" w:space="0" w:color="auto"/>
        <w:right w:val="none" w:sz="0" w:space="0" w:color="auto"/>
      </w:divBdr>
    </w:div>
    <w:div w:id="1532526017">
      <w:bodyDiv w:val="1"/>
      <w:marLeft w:val="0"/>
      <w:marRight w:val="0"/>
      <w:marTop w:val="0"/>
      <w:marBottom w:val="0"/>
      <w:divBdr>
        <w:top w:val="none" w:sz="0" w:space="0" w:color="auto"/>
        <w:left w:val="none" w:sz="0" w:space="0" w:color="auto"/>
        <w:bottom w:val="none" w:sz="0" w:space="0" w:color="auto"/>
        <w:right w:val="none" w:sz="0" w:space="0" w:color="auto"/>
      </w:divBdr>
    </w:div>
    <w:div w:id="1537350915">
      <w:bodyDiv w:val="1"/>
      <w:marLeft w:val="0"/>
      <w:marRight w:val="0"/>
      <w:marTop w:val="0"/>
      <w:marBottom w:val="0"/>
      <w:divBdr>
        <w:top w:val="none" w:sz="0" w:space="0" w:color="auto"/>
        <w:left w:val="none" w:sz="0" w:space="0" w:color="auto"/>
        <w:bottom w:val="none" w:sz="0" w:space="0" w:color="auto"/>
        <w:right w:val="none" w:sz="0" w:space="0" w:color="auto"/>
      </w:divBdr>
    </w:div>
    <w:div w:id="1539391013">
      <w:bodyDiv w:val="1"/>
      <w:marLeft w:val="0"/>
      <w:marRight w:val="0"/>
      <w:marTop w:val="0"/>
      <w:marBottom w:val="0"/>
      <w:divBdr>
        <w:top w:val="none" w:sz="0" w:space="0" w:color="auto"/>
        <w:left w:val="none" w:sz="0" w:space="0" w:color="auto"/>
        <w:bottom w:val="none" w:sz="0" w:space="0" w:color="auto"/>
        <w:right w:val="none" w:sz="0" w:space="0" w:color="auto"/>
      </w:divBdr>
    </w:div>
    <w:div w:id="1541674578">
      <w:bodyDiv w:val="1"/>
      <w:marLeft w:val="0"/>
      <w:marRight w:val="0"/>
      <w:marTop w:val="0"/>
      <w:marBottom w:val="0"/>
      <w:divBdr>
        <w:top w:val="none" w:sz="0" w:space="0" w:color="auto"/>
        <w:left w:val="none" w:sz="0" w:space="0" w:color="auto"/>
        <w:bottom w:val="none" w:sz="0" w:space="0" w:color="auto"/>
        <w:right w:val="none" w:sz="0" w:space="0" w:color="auto"/>
      </w:divBdr>
    </w:div>
    <w:div w:id="1561552970">
      <w:bodyDiv w:val="1"/>
      <w:marLeft w:val="0"/>
      <w:marRight w:val="0"/>
      <w:marTop w:val="0"/>
      <w:marBottom w:val="0"/>
      <w:divBdr>
        <w:top w:val="none" w:sz="0" w:space="0" w:color="auto"/>
        <w:left w:val="none" w:sz="0" w:space="0" w:color="auto"/>
        <w:bottom w:val="none" w:sz="0" w:space="0" w:color="auto"/>
        <w:right w:val="none" w:sz="0" w:space="0" w:color="auto"/>
      </w:divBdr>
    </w:div>
    <w:div w:id="1563131870">
      <w:bodyDiv w:val="1"/>
      <w:marLeft w:val="0"/>
      <w:marRight w:val="0"/>
      <w:marTop w:val="0"/>
      <w:marBottom w:val="0"/>
      <w:divBdr>
        <w:top w:val="none" w:sz="0" w:space="0" w:color="auto"/>
        <w:left w:val="none" w:sz="0" w:space="0" w:color="auto"/>
        <w:bottom w:val="none" w:sz="0" w:space="0" w:color="auto"/>
        <w:right w:val="none" w:sz="0" w:space="0" w:color="auto"/>
      </w:divBdr>
    </w:div>
    <w:div w:id="1567062651">
      <w:bodyDiv w:val="1"/>
      <w:marLeft w:val="0"/>
      <w:marRight w:val="0"/>
      <w:marTop w:val="0"/>
      <w:marBottom w:val="0"/>
      <w:divBdr>
        <w:top w:val="none" w:sz="0" w:space="0" w:color="auto"/>
        <w:left w:val="none" w:sz="0" w:space="0" w:color="auto"/>
        <w:bottom w:val="none" w:sz="0" w:space="0" w:color="auto"/>
        <w:right w:val="none" w:sz="0" w:space="0" w:color="auto"/>
      </w:divBdr>
    </w:div>
    <w:div w:id="1567715845">
      <w:bodyDiv w:val="1"/>
      <w:marLeft w:val="0"/>
      <w:marRight w:val="0"/>
      <w:marTop w:val="0"/>
      <w:marBottom w:val="0"/>
      <w:divBdr>
        <w:top w:val="none" w:sz="0" w:space="0" w:color="auto"/>
        <w:left w:val="none" w:sz="0" w:space="0" w:color="auto"/>
        <w:bottom w:val="none" w:sz="0" w:space="0" w:color="auto"/>
        <w:right w:val="none" w:sz="0" w:space="0" w:color="auto"/>
      </w:divBdr>
    </w:div>
    <w:div w:id="1569922481">
      <w:bodyDiv w:val="1"/>
      <w:marLeft w:val="0"/>
      <w:marRight w:val="0"/>
      <w:marTop w:val="0"/>
      <w:marBottom w:val="0"/>
      <w:divBdr>
        <w:top w:val="none" w:sz="0" w:space="0" w:color="auto"/>
        <w:left w:val="none" w:sz="0" w:space="0" w:color="auto"/>
        <w:bottom w:val="none" w:sz="0" w:space="0" w:color="auto"/>
        <w:right w:val="none" w:sz="0" w:space="0" w:color="auto"/>
      </w:divBdr>
    </w:div>
    <w:div w:id="1582986247">
      <w:bodyDiv w:val="1"/>
      <w:marLeft w:val="0"/>
      <w:marRight w:val="0"/>
      <w:marTop w:val="0"/>
      <w:marBottom w:val="0"/>
      <w:divBdr>
        <w:top w:val="none" w:sz="0" w:space="0" w:color="auto"/>
        <w:left w:val="none" w:sz="0" w:space="0" w:color="auto"/>
        <w:bottom w:val="none" w:sz="0" w:space="0" w:color="auto"/>
        <w:right w:val="none" w:sz="0" w:space="0" w:color="auto"/>
      </w:divBdr>
    </w:div>
    <w:div w:id="1583487378">
      <w:bodyDiv w:val="1"/>
      <w:marLeft w:val="0"/>
      <w:marRight w:val="0"/>
      <w:marTop w:val="0"/>
      <w:marBottom w:val="0"/>
      <w:divBdr>
        <w:top w:val="none" w:sz="0" w:space="0" w:color="auto"/>
        <w:left w:val="none" w:sz="0" w:space="0" w:color="auto"/>
        <w:bottom w:val="none" w:sz="0" w:space="0" w:color="auto"/>
        <w:right w:val="none" w:sz="0" w:space="0" w:color="auto"/>
      </w:divBdr>
    </w:div>
    <w:div w:id="1587379221">
      <w:bodyDiv w:val="1"/>
      <w:marLeft w:val="0"/>
      <w:marRight w:val="0"/>
      <w:marTop w:val="0"/>
      <w:marBottom w:val="0"/>
      <w:divBdr>
        <w:top w:val="none" w:sz="0" w:space="0" w:color="auto"/>
        <w:left w:val="none" w:sz="0" w:space="0" w:color="auto"/>
        <w:bottom w:val="none" w:sz="0" w:space="0" w:color="auto"/>
        <w:right w:val="none" w:sz="0" w:space="0" w:color="auto"/>
      </w:divBdr>
    </w:div>
    <w:div w:id="1591111714">
      <w:bodyDiv w:val="1"/>
      <w:marLeft w:val="0"/>
      <w:marRight w:val="0"/>
      <w:marTop w:val="0"/>
      <w:marBottom w:val="0"/>
      <w:divBdr>
        <w:top w:val="none" w:sz="0" w:space="0" w:color="auto"/>
        <w:left w:val="none" w:sz="0" w:space="0" w:color="auto"/>
        <w:bottom w:val="none" w:sz="0" w:space="0" w:color="auto"/>
        <w:right w:val="none" w:sz="0" w:space="0" w:color="auto"/>
      </w:divBdr>
    </w:div>
    <w:div w:id="1592929340">
      <w:bodyDiv w:val="1"/>
      <w:marLeft w:val="0"/>
      <w:marRight w:val="0"/>
      <w:marTop w:val="0"/>
      <w:marBottom w:val="0"/>
      <w:divBdr>
        <w:top w:val="none" w:sz="0" w:space="0" w:color="auto"/>
        <w:left w:val="none" w:sz="0" w:space="0" w:color="auto"/>
        <w:bottom w:val="none" w:sz="0" w:space="0" w:color="auto"/>
        <w:right w:val="none" w:sz="0" w:space="0" w:color="auto"/>
      </w:divBdr>
      <w:divsChild>
        <w:div w:id="1956867570">
          <w:marLeft w:val="0"/>
          <w:marRight w:val="0"/>
          <w:marTop w:val="0"/>
          <w:marBottom w:val="0"/>
          <w:divBdr>
            <w:top w:val="none" w:sz="0" w:space="0" w:color="auto"/>
            <w:left w:val="none" w:sz="0" w:space="0" w:color="auto"/>
            <w:bottom w:val="none" w:sz="0" w:space="0" w:color="auto"/>
            <w:right w:val="none" w:sz="0" w:space="0" w:color="auto"/>
          </w:divBdr>
        </w:div>
        <w:div w:id="159666381">
          <w:marLeft w:val="0"/>
          <w:marRight w:val="0"/>
          <w:marTop w:val="0"/>
          <w:marBottom w:val="0"/>
          <w:divBdr>
            <w:top w:val="none" w:sz="0" w:space="0" w:color="auto"/>
            <w:left w:val="none" w:sz="0" w:space="0" w:color="auto"/>
            <w:bottom w:val="none" w:sz="0" w:space="0" w:color="auto"/>
            <w:right w:val="none" w:sz="0" w:space="0" w:color="auto"/>
          </w:divBdr>
        </w:div>
      </w:divsChild>
    </w:div>
    <w:div w:id="1597320339">
      <w:bodyDiv w:val="1"/>
      <w:marLeft w:val="0"/>
      <w:marRight w:val="0"/>
      <w:marTop w:val="0"/>
      <w:marBottom w:val="0"/>
      <w:divBdr>
        <w:top w:val="none" w:sz="0" w:space="0" w:color="auto"/>
        <w:left w:val="none" w:sz="0" w:space="0" w:color="auto"/>
        <w:bottom w:val="none" w:sz="0" w:space="0" w:color="auto"/>
        <w:right w:val="none" w:sz="0" w:space="0" w:color="auto"/>
      </w:divBdr>
    </w:div>
    <w:div w:id="1619413789">
      <w:bodyDiv w:val="1"/>
      <w:marLeft w:val="0"/>
      <w:marRight w:val="0"/>
      <w:marTop w:val="0"/>
      <w:marBottom w:val="0"/>
      <w:divBdr>
        <w:top w:val="none" w:sz="0" w:space="0" w:color="auto"/>
        <w:left w:val="none" w:sz="0" w:space="0" w:color="auto"/>
        <w:bottom w:val="none" w:sz="0" w:space="0" w:color="auto"/>
        <w:right w:val="none" w:sz="0" w:space="0" w:color="auto"/>
      </w:divBdr>
    </w:div>
    <w:div w:id="1621646522">
      <w:bodyDiv w:val="1"/>
      <w:marLeft w:val="0"/>
      <w:marRight w:val="0"/>
      <w:marTop w:val="0"/>
      <w:marBottom w:val="0"/>
      <w:divBdr>
        <w:top w:val="none" w:sz="0" w:space="0" w:color="auto"/>
        <w:left w:val="none" w:sz="0" w:space="0" w:color="auto"/>
        <w:bottom w:val="none" w:sz="0" w:space="0" w:color="auto"/>
        <w:right w:val="none" w:sz="0" w:space="0" w:color="auto"/>
      </w:divBdr>
    </w:div>
    <w:div w:id="1633711875">
      <w:bodyDiv w:val="1"/>
      <w:marLeft w:val="0"/>
      <w:marRight w:val="0"/>
      <w:marTop w:val="0"/>
      <w:marBottom w:val="0"/>
      <w:divBdr>
        <w:top w:val="none" w:sz="0" w:space="0" w:color="auto"/>
        <w:left w:val="none" w:sz="0" w:space="0" w:color="auto"/>
        <w:bottom w:val="none" w:sz="0" w:space="0" w:color="auto"/>
        <w:right w:val="none" w:sz="0" w:space="0" w:color="auto"/>
      </w:divBdr>
    </w:div>
    <w:div w:id="1635132609">
      <w:bodyDiv w:val="1"/>
      <w:marLeft w:val="0"/>
      <w:marRight w:val="0"/>
      <w:marTop w:val="0"/>
      <w:marBottom w:val="0"/>
      <w:divBdr>
        <w:top w:val="none" w:sz="0" w:space="0" w:color="auto"/>
        <w:left w:val="none" w:sz="0" w:space="0" w:color="auto"/>
        <w:bottom w:val="none" w:sz="0" w:space="0" w:color="auto"/>
        <w:right w:val="none" w:sz="0" w:space="0" w:color="auto"/>
      </w:divBdr>
    </w:div>
    <w:div w:id="1636910852">
      <w:bodyDiv w:val="1"/>
      <w:marLeft w:val="0"/>
      <w:marRight w:val="0"/>
      <w:marTop w:val="0"/>
      <w:marBottom w:val="0"/>
      <w:divBdr>
        <w:top w:val="none" w:sz="0" w:space="0" w:color="auto"/>
        <w:left w:val="none" w:sz="0" w:space="0" w:color="auto"/>
        <w:bottom w:val="none" w:sz="0" w:space="0" w:color="auto"/>
        <w:right w:val="none" w:sz="0" w:space="0" w:color="auto"/>
      </w:divBdr>
    </w:div>
    <w:div w:id="1641887040">
      <w:bodyDiv w:val="1"/>
      <w:marLeft w:val="0"/>
      <w:marRight w:val="0"/>
      <w:marTop w:val="0"/>
      <w:marBottom w:val="0"/>
      <w:divBdr>
        <w:top w:val="none" w:sz="0" w:space="0" w:color="auto"/>
        <w:left w:val="none" w:sz="0" w:space="0" w:color="auto"/>
        <w:bottom w:val="none" w:sz="0" w:space="0" w:color="auto"/>
        <w:right w:val="none" w:sz="0" w:space="0" w:color="auto"/>
      </w:divBdr>
    </w:div>
    <w:div w:id="1647054191">
      <w:bodyDiv w:val="1"/>
      <w:marLeft w:val="0"/>
      <w:marRight w:val="0"/>
      <w:marTop w:val="0"/>
      <w:marBottom w:val="0"/>
      <w:divBdr>
        <w:top w:val="none" w:sz="0" w:space="0" w:color="auto"/>
        <w:left w:val="none" w:sz="0" w:space="0" w:color="auto"/>
        <w:bottom w:val="none" w:sz="0" w:space="0" w:color="auto"/>
        <w:right w:val="none" w:sz="0" w:space="0" w:color="auto"/>
      </w:divBdr>
    </w:div>
    <w:div w:id="1657952974">
      <w:bodyDiv w:val="1"/>
      <w:marLeft w:val="0"/>
      <w:marRight w:val="0"/>
      <w:marTop w:val="0"/>
      <w:marBottom w:val="0"/>
      <w:divBdr>
        <w:top w:val="none" w:sz="0" w:space="0" w:color="auto"/>
        <w:left w:val="none" w:sz="0" w:space="0" w:color="auto"/>
        <w:bottom w:val="none" w:sz="0" w:space="0" w:color="auto"/>
        <w:right w:val="none" w:sz="0" w:space="0" w:color="auto"/>
      </w:divBdr>
    </w:div>
    <w:div w:id="1659267417">
      <w:bodyDiv w:val="1"/>
      <w:marLeft w:val="0"/>
      <w:marRight w:val="0"/>
      <w:marTop w:val="0"/>
      <w:marBottom w:val="0"/>
      <w:divBdr>
        <w:top w:val="none" w:sz="0" w:space="0" w:color="auto"/>
        <w:left w:val="none" w:sz="0" w:space="0" w:color="auto"/>
        <w:bottom w:val="none" w:sz="0" w:space="0" w:color="auto"/>
        <w:right w:val="none" w:sz="0" w:space="0" w:color="auto"/>
      </w:divBdr>
    </w:div>
    <w:div w:id="1662196549">
      <w:bodyDiv w:val="1"/>
      <w:marLeft w:val="0"/>
      <w:marRight w:val="0"/>
      <w:marTop w:val="0"/>
      <w:marBottom w:val="0"/>
      <w:divBdr>
        <w:top w:val="none" w:sz="0" w:space="0" w:color="auto"/>
        <w:left w:val="none" w:sz="0" w:space="0" w:color="auto"/>
        <w:bottom w:val="none" w:sz="0" w:space="0" w:color="auto"/>
        <w:right w:val="none" w:sz="0" w:space="0" w:color="auto"/>
      </w:divBdr>
    </w:div>
    <w:div w:id="1663703048">
      <w:bodyDiv w:val="1"/>
      <w:marLeft w:val="0"/>
      <w:marRight w:val="0"/>
      <w:marTop w:val="0"/>
      <w:marBottom w:val="0"/>
      <w:divBdr>
        <w:top w:val="none" w:sz="0" w:space="0" w:color="auto"/>
        <w:left w:val="none" w:sz="0" w:space="0" w:color="auto"/>
        <w:bottom w:val="none" w:sz="0" w:space="0" w:color="auto"/>
        <w:right w:val="none" w:sz="0" w:space="0" w:color="auto"/>
      </w:divBdr>
    </w:div>
    <w:div w:id="1668248136">
      <w:bodyDiv w:val="1"/>
      <w:marLeft w:val="0"/>
      <w:marRight w:val="0"/>
      <w:marTop w:val="0"/>
      <w:marBottom w:val="0"/>
      <w:divBdr>
        <w:top w:val="none" w:sz="0" w:space="0" w:color="auto"/>
        <w:left w:val="none" w:sz="0" w:space="0" w:color="auto"/>
        <w:bottom w:val="none" w:sz="0" w:space="0" w:color="auto"/>
        <w:right w:val="none" w:sz="0" w:space="0" w:color="auto"/>
      </w:divBdr>
    </w:div>
    <w:div w:id="1679380374">
      <w:bodyDiv w:val="1"/>
      <w:marLeft w:val="0"/>
      <w:marRight w:val="0"/>
      <w:marTop w:val="0"/>
      <w:marBottom w:val="0"/>
      <w:divBdr>
        <w:top w:val="none" w:sz="0" w:space="0" w:color="auto"/>
        <w:left w:val="none" w:sz="0" w:space="0" w:color="auto"/>
        <w:bottom w:val="none" w:sz="0" w:space="0" w:color="auto"/>
        <w:right w:val="none" w:sz="0" w:space="0" w:color="auto"/>
      </w:divBdr>
    </w:div>
    <w:div w:id="1684235132">
      <w:bodyDiv w:val="1"/>
      <w:marLeft w:val="0"/>
      <w:marRight w:val="0"/>
      <w:marTop w:val="0"/>
      <w:marBottom w:val="0"/>
      <w:divBdr>
        <w:top w:val="none" w:sz="0" w:space="0" w:color="auto"/>
        <w:left w:val="none" w:sz="0" w:space="0" w:color="auto"/>
        <w:bottom w:val="none" w:sz="0" w:space="0" w:color="auto"/>
        <w:right w:val="none" w:sz="0" w:space="0" w:color="auto"/>
      </w:divBdr>
      <w:divsChild>
        <w:div w:id="30571586">
          <w:marLeft w:val="0"/>
          <w:marRight w:val="0"/>
          <w:marTop w:val="0"/>
          <w:marBottom w:val="0"/>
          <w:divBdr>
            <w:top w:val="none" w:sz="0" w:space="0" w:color="auto"/>
            <w:left w:val="none" w:sz="0" w:space="0" w:color="auto"/>
            <w:bottom w:val="none" w:sz="0" w:space="0" w:color="auto"/>
            <w:right w:val="none" w:sz="0" w:space="0" w:color="auto"/>
          </w:divBdr>
        </w:div>
        <w:div w:id="385832675">
          <w:marLeft w:val="0"/>
          <w:marRight w:val="0"/>
          <w:marTop w:val="0"/>
          <w:marBottom w:val="0"/>
          <w:divBdr>
            <w:top w:val="none" w:sz="0" w:space="0" w:color="auto"/>
            <w:left w:val="none" w:sz="0" w:space="0" w:color="auto"/>
            <w:bottom w:val="none" w:sz="0" w:space="0" w:color="auto"/>
            <w:right w:val="none" w:sz="0" w:space="0" w:color="auto"/>
          </w:divBdr>
        </w:div>
      </w:divsChild>
    </w:div>
    <w:div w:id="1684284300">
      <w:bodyDiv w:val="1"/>
      <w:marLeft w:val="0"/>
      <w:marRight w:val="0"/>
      <w:marTop w:val="0"/>
      <w:marBottom w:val="0"/>
      <w:divBdr>
        <w:top w:val="none" w:sz="0" w:space="0" w:color="auto"/>
        <w:left w:val="none" w:sz="0" w:space="0" w:color="auto"/>
        <w:bottom w:val="none" w:sz="0" w:space="0" w:color="auto"/>
        <w:right w:val="none" w:sz="0" w:space="0" w:color="auto"/>
      </w:divBdr>
    </w:div>
    <w:div w:id="1685784506">
      <w:bodyDiv w:val="1"/>
      <w:marLeft w:val="0"/>
      <w:marRight w:val="0"/>
      <w:marTop w:val="0"/>
      <w:marBottom w:val="0"/>
      <w:divBdr>
        <w:top w:val="none" w:sz="0" w:space="0" w:color="auto"/>
        <w:left w:val="none" w:sz="0" w:space="0" w:color="auto"/>
        <w:bottom w:val="none" w:sz="0" w:space="0" w:color="auto"/>
        <w:right w:val="none" w:sz="0" w:space="0" w:color="auto"/>
      </w:divBdr>
    </w:div>
    <w:div w:id="1695644345">
      <w:bodyDiv w:val="1"/>
      <w:marLeft w:val="0"/>
      <w:marRight w:val="0"/>
      <w:marTop w:val="0"/>
      <w:marBottom w:val="0"/>
      <w:divBdr>
        <w:top w:val="none" w:sz="0" w:space="0" w:color="auto"/>
        <w:left w:val="none" w:sz="0" w:space="0" w:color="auto"/>
        <w:bottom w:val="none" w:sz="0" w:space="0" w:color="auto"/>
        <w:right w:val="none" w:sz="0" w:space="0" w:color="auto"/>
      </w:divBdr>
    </w:div>
    <w:div w:id="1696154472">
      <w:bodyDiv w:val="1"/>
      <w:marLeft w:val="0"/>
      <w:marRight w:val="0"/>
      <w:marTop w:val="0"/>
      <w:marBottom w:val="0"/>
      <w:divBdr>
        <w:top w:val="none" w:sz="0" w:space="0" w:color="auto"/>
        <w:left w:val="none" w:sz="0" w:space="0" w:color="auto"/>
        <w:bottom w:val="none" w:sz="0" w:space="0" w:color="auto"/>
        <w:right w:val="none" w:sz="0" w:space="0" w:color="auto"/>
      </w:divBdr>
    </w:div>
    <w:div w:id="1716345190">
      <w:bodyDiv w:val="1"/>
      <w:marLeft w:val="0"/>
      <w:marRight w:val="0"/>
      <w:marTop w:val="0"/>
      <w:marBottom w:val="0"/>
      <w:divBdr>
        <w:top w:val="none" w:sz="0" w:space="0" w:color="auto"/>
        <w:left w:val="none" w:sz="0" w:space="0" w:color="auto"/>
        <w:bottom w:val="none" w:sz="0" w:space="0" w:color="auto"/>
        <w:right w:val="none" w:sz="0" w:space="0" w:color="auto"/>
      </w:divBdr>
    </w:div>
    <w:div w:id="1720591525">
      <w:bodyDiv w:val="1"/>
      <w:marLeft w:val="0"/>
      <w:marRight w:val="0"/>
      <w:marTop w:val="0"/>
      <w:marBottom w:val="0"/>
      <w:divBdr>
        <w:top w:val="none" w:sz="0" w:space="0" w:color="auto"/>
        <w:left w:val="none" w:sz="0" w:space="0" w:color="auto"/>
        <w:bottom w:val="none" w:sz="0" w:space="0" w:color="auto"/>
        <w:right w:val="none" w:sz="0" w:space="0" w:color="auto"/>
      </w:divBdr>
    </w:div>
    <w:div w:id="1724597357">
      <w:bodyDiv w:val="1"/>
      <w:marLeft w:val="0"/>
      <w:marRight w:val="0"/>
      <w:marTop w:val="0"/>
      <w:marBottom w:val="0"/>
      <w:divBdr>
        <w:top w:val="none" w:sz="0" w:space="0" w:color="auto"/>
        <w:left w:val="none" w:sz="0" w:space="0" w:color="auto"/>
        <w:bottom w:val="none" w:sz="0" w:space="0" w:color="auto"/>
        <w:right w:val="none" w:sz="0" w:space="0" w:color="auto"/>
      </w:divBdr>
    </w:div>
    <w:div w:id="1727218815">
      <w:bodyDiv w:val="1"/>
      <w:marLeft w:val="0"/>
      <w:marRight w:val="0"/>
      <w:marTop w:val="0"/>
      <w:marBottom w:val="0"/>
      <w:divBdr>
        <w:top w:val="none" w:sz="0" w:space="0" w:color="auto"/>
        <w:left w:val="none" w:sz="0" w:space="0" w:color="auto"/>
        <w:bottom w:val="none" w:sz="0" w:space="0" w:color="auto"/>
        <w:right w:val="none" w:sz="0" w:space="0" w:color="auto"/>
      </w:divBdr>
    </w:div>
    <w:div w:id="1729499714">
      <w:bodyDiv w:val="1"/>
      <w:marLeft w:val="0"/>
      <w:marRight w:val="0"/>
      <w:marTop w:val="0"/>
      <w:marBottom w:val="0"/>
      <w:divBdr>
        <w:top w:val="none" w:sz="0" w:space="0" w:color="auto"/>
        <w:left w:val="none" w:sz="0" w:space="0" w:color="auto"/>
        <w:bottom w:val="none" w:sz="0" w:space="0" w:color="auto"/>
        <w:right w:val="none" w:sz="0" w:space="0" w:color="auto"/>
      </w:divBdr>
    </w:div>
    <w:div w:id="1750040263">
      <w:bodyDiv w:val="1"/>
      <w:marLeft w:val="0"/>
      <w:marRight w:val="0"/>
      <w:marTop w:val="0"/>
      <w:marBottom w:val="0"/>
      <w:divBdr>
        <w:top w:val="none" w:sz="0" w:space="0" w:color="auto"/>
        <w:left w:val="none" w:sz="0" w:space="0" w:color="auto"/>
        <w:bottom w:val="none" w:sz="0" w:space="0" w:color="auto"/>
        <w:right w:val="none" w:sz="0" w:space="0" w:color="auto"/>
      </w:divBdr>
    </w:div>
    <w:div w:id="1750886300">
      <w:bodyDiv w:val="1"/>
      <w:marLeft w:val="0"/>
      <w:marRight w:val="0"/>
      <w:marTop w:val="0"/>
      <w:marBottom w:val="0"/>
      <w:divBdr>
        <w:top w:val="none" w:sz="0" w:space="0" w:color="auto"/>
        <w:left w:val="none" w:sz="0" w:space="0" w:color="auto"/>
        <w:bottom w:val="none" w:sz="0" w:space="0" w:color="auto"/>
        <w:right w:val="none" w:sz="0" w:space="0" w:color="auto"/>
      </w:divBdr>
    </w:div>
    <w:div w:id="1752580245">
      <w:bodyDiv w:val="1"/>
      <w:marLeft w:val="0"/>
      <w:marRight w:val="0"/>
      <w:marTop w:val="0"/>
      <w:marBottom w:val="0"/>
      <w:divBdr>
        <w:top w:val="none" w:sz="0" w:space="0" w:color="auto"/>
        <w:left w:val="none" w:sz="0" w:space="0" w:color="auto"/>
        <w:bottom w:val="none" w:sz="0" w:space="0" w:color="auto"/>
        <w:right w:val="none" w:sz="0" w:space="0" w:color="auto"/>
      </w:divBdr>
    </w:div>
    <w:div w:id="1758746422">
      <w:bodyDiv w:val="1"/>
      <w:marLeft w:val="0"/>
      <w:marRight w:val="0"/>
      <w:marTop w:val="0"/>
      <w:marBottom w:val="0"/>
      <w:divBdr>
        <w:top w:val="none" w:sz="0" w:space="0" w:color="auto"/>
        <w:left w:val="none" w:sz="0" w:space="0" w:color="auto"/>
        <w:bottom w:val="none" w:sz="0" w:space="0" w:color="auto"/>
        <w:right w:val="none" w:sz="0" w:space="0" w:color="auto"/>
      </w:divBdr>
    </w:div>
    <w:div w:id="1759865463">
      <w:bodyDiv w:val="1"/>
      <w:marLeft w:val="0"/>
      <w:marRight w:val="0"/>
      <w:marTop w:val="0"/>
      <w:marBottom w:val="0"/>
      <w:divBdr>
        <w:top w:val="none" w:sz="0" w:space="0" w:color="auto"/>
        <w:left w:val="none" w:sz="0" w:space="0" w:color="auto"/>
        <w:bottom w:val="none" w:sz="0" w:space="0" w:color="auto"/>
        <w:right w:val="none" w:sz="0" w:space="0" w:color="auto"/>
      </w:divBdr>
    </w:div>
    <w:div w:id="1762603007">
      <w:bodyDiv w:val="1"/>
      <w:marLeft w:val="0"/>
      <w:marRight w:val="0"/>
      <w:marTop w:val="0"/>
      <w:marBottom w:val="0"/>
      <w:divBdr>
        <w:top w:val="none" w:sz="0" w:space="0" w:color="auto"/>
        <w:left w:val="none" w:sz="0" w:space="0" w:color="auto"/>
        <w:bottom w:val="none" w:sz="0" w:space="0" w:color="auto"/>
        <w:right w:val="none" w:sz="0" w:space="0" w:color="auto"/>
      </w:divBdr>
    </w:div>
    <w:div w:id="1763842833">
      <w:bodyDiv w:val="1"/>
      <w:marLeft w:val="0"/>
      <w:marRight w:val="0"/>
      <w:marTop w:val="0"/>
      <w:marBottom w:val="0"/>
      <w:divBdr>
        <w:top w:val="none" w:sz="0" w:space="0" w:color="auto"/>
        <w:left w:val="none" w:sz="0" w:space="0" w:color="auto"/>
        <w:bottom w:val="none" w:sz="0" w:space="0" w:color="auto"/>
        <w:right w:val="none" w:sz="0" w:space="0" w:color="auto"/>
      </w:divBdr>
    </w:div>
    <w:div w:id="1765102676">
      <w:bodyDiv w:val="1"/>
      <w:marLeft w:val="0"/>
      <w:marRight w:val="0"/>
      <w:marTop w:val="0"/>
      <w:marBottom w:val="0"/>
      <w:divBdr>
        <w:top w:val="none" w:sz="0" w:space="0" w:color="auto"/>
        <w:left w:val="none" w:sz="0" w:space="0" w:color="auto"/>
        <w:bottom w:val="none" w:sz="0" w:space="0" w:color="auto"/>
        <w:right w:val="none" w:sz="0" w:space="0" w:color="auto"/>
      </w:divBdr>
    </w:div>
    <w:div w:id="1765803812">
      <w:bodyDiv w:val="1"/>
      <w:marLeft w:val="0"/>
      <w:marRight w:val="0"/>
      <w:marTop w:val="0"/>
      <w:marBottom w:val="0"/>
      <w:divBdr>
        <w:top w:val="none" w:sz="0" w:space="0" w:color="auto"/>
        <w:left w:val="none" w:sz="0" w:space="0" w:color="auto"/>
        <w:bottom w:val="none" w:sz="0" w:space="0" w:color="auto"/>
        <w:right w:val="none" w:sz="0" w:space="0" w:color="auto"/>
      </w:divBdr>
    </w:div>
    <w:div w:id="1775664258">
      <w:bodyDiv w:val="1"/>
      <w:marLeft w:val="0"/>
      <w:marRight w:val="0"/>
      <w:marTop w:val="0"/>
      <w:marBottom w:val="0"/>
      <w:divBdr>
        <w:top w:val="none" w:sz="0" w:space="0" w:color="auto"/>
        <w:left w:val="none" w:sz="0" w:space="0" w:color="auto"/>
        <w:bottom w:val="none" w:sz="0" w:space="0" w:color="auto"/>
        <w:right w:val="none" w:sz="0" w:space="0" w:color="auto"/>
      </w:divBdr>
    </w:div>
    <w:div w:id="1776437943">
      <w:bodyDiv w:val="1"/>
      <w:marLeft w:val="0"/>
      <w:marRight w:val="0"/>
      <w:marTop w:val="0"/>
      <w:marBottom w:val="0"/>
      <w:divBdr>
        <w:top w:val="none" w:sz="0" w:space="0" w:color="auto"/>
        <w:left w:val="none" w:sz="0" w:space="0" w:color="auto"/>
        <w:bottom w:val="none" w:sz="0" w:space="0" w:color="auto"/>
        <w:right w:val="none" w:sz="0" w:space="0" w:color="auto"/>
      </w:divBdr>
    </w:div>
    <w:div w:id="1778863876">
      <w:bodyDiv w:val="1"/>
      <w:marLeft w:val="0"/>
      <w:marRight w:val="0"/>
      <w:marTop w:val="0"/>
      <w:marBottom w:val="0"/>
      <w:divBdr>
        <w:top w:val="none" w:sz="0" w:space="0" w:color="auto"/>
        <w:left w:val="none" w:sz="0" w:space="0" w:color="auto"/>
        <w:bottom w:val="none" w:sz="0" w:space="0" w:color="auto"/>
        <w:right w:val="none" w:sz="0" w:space="0" w:color="auto"/>
      </w:divBdr>
    </w:div>
    <w:div w:id="1793984598">
      <w:bodyDiv w:val="1"/>
      <w:marLeft w:val="0"/>
      <w:marRight w:val="0"/>
      <w:marTop w:val="0"/>
      <w:marBottom w:val="0"/>
      <w:divBdr>
        <w:top w:val="none" w:sz="0" w:space="0" w:color="auto"/>
        <w:left w:val="none" w:sz="0" w:space="0" w:color="auto"/>
        <w:bottom w:val="none" w:sz="0" w:space="0" w:color="auto"/>
        <w:right w:val="none" w:sz="0" w:space="0" w:color="auto"/>
      </w:divBdr>
    </w:div>
    <w:div w:id="1813408036">
      <w:bodyDiv w:val="1"/>
      <w:marLeft w:val="0"/>
      <w:marRight w:val="0"/>
      <w:marTop w:val="0"/>
      <w:marBottom w:val="0"/>
      <w:divBdr>
        <w:top w:val="none" w:sz="0" w:space="0" w:color="auto"/>
        <w:left w:val="none" w:sz="0" w:space="0" w:color="auto"/>
        <w:bottom w:val="none" w:sz="0" w:space="0" w:color="auto"/>
        <w:right w:val="none" w:sz="0" w:space="0" w:color="auto"/>
      </w:divBdr>
      <w:divsChild>
        <w:div w:id="444928535">
          <w:marLeft w:val="0"/>
          <w:marRight w:val="0"/>
          <w:marTop w:val="0"/>
          <w:marBottom w:val="0"/>
          <w:divBdr>
            <w:top w:val="none" w:sz="0" w:space="0" w:color="auto"/>
            <w:left w:val="none" w:sz="0" w:space="0" w:color="auto"/>
            <w:bottom w:val="none" w:sz="0" w:space="0" w:color="auto"/>
            <w:right w:val="none" w:sz="0" w:space="0" w:color="auto"/>
          </w:divBdr>
        </w:div>
        <w:div w:id="89854316">
          <w:marLeft w:val="0"/>
          <w:marRight w:val="0"/>
          <w:marTop w:val="0"/>
          <w:marBottom w:val="0"/>
          <w:divBdr>
            <w:top w:val="none" w:sz="0" w:space="0" w:color="auto"/>
            <w:left w:val="none" w:sz="0" w:space="0" w:color="auto"/>
            <w:bottom w:val="none" w:sz="0" w:space="0" w:color="auto"/>
            <w:right w:val="none" w:sz="0" w:space="0" w:color="auto"/>
          </w:divBdr>
        </w:div>
      </w:divsChild>
    </w:div>
    <w:div w:id="1828979266">
      <w:bodyDiv w:val="1"/>
      <w:marLeft w:val="0"/>
      <w:marRight w:val="0"/>
      <w:marTop w:val="0"/>
      <w:marBottom w:val="0"/>
      <w:divBdr>
        <w:top w:val="none" w:sz="0" w:space="0" w:color="auto"/>
        <w:left w:val="none" w:sz="0" w:space="0" w:color="auto"/>
        <w:bottom w:val="none" w:sz="0" w:space="0" w:color="auto"/>
        <w:right w:val="none" w:sz="0" w:space="0" w:color="auto"/>
      </w:divBdr>
    </w:div>
    <w:div w:id="1837188879">
      <w:bodyDiv w:val="1"/>
      <w:marLeft w:val="0"/>
      <w:marRight w:val="0"/>
      <w:marTop w:val="0"/>
      <w:marBottom w:val="0"/>
      <w:divBdr>
        <w:top w:val="none" w:sz="0" w:space="0" w:color="auto"/>
        <w:left w:val="none" w:sz="0" w:space="0" w:color="auto"/>
        <w:bottom w:val="none" w:sz="0" w:space="0" w:color="auto"/>
        <w:right w:val="none" w:sz="0" w:space="0" w:color="auto"/>
      </w:divBdr>
    </w:div>
    <w:div w:id="1838230965">
      <w:bodyDiv w:val="1"/>
      <w:marLeft w:val="0"/>
      <w:marRight w:val="0"/>
      <w:marTop w:val="0"/>
      <w:marBottom w:val="0"/>
      <w:divBdr>
        <w:top w:val="none" w:sz="0" w:space="0" w:color="auto"/>
        <w:left w:val="none" w:sz="0" w:space="0" w:color="auto"/>
        <w:bottom w:val="none" w:sz="0" w:space="0" w:color="auto"/>
        <w:right w:val="none" w:sz="0" w:space="0" w:color="auto"/>
      </w:divBdr>
    </w:div>
    <w:div w:id="1840196443">
      <w:bodyDiv w:val="1"/>
      <w:marLeft w:val="0"/>
      <w:marRight w:val="0"/>
      <w:marTop w:val="0"/>
      <w:marBottom w:val="0"/>
      <w:divBdr>
        <w:top w:val="none" w:sz="0" w:space="0" w:color="auto"/>
        <w:left w:val="none" w:sz="0" w:space="0" w:color="auto"/>
        <w:bottom w:val="none" w:sz="0" w:space="0" w:color="auto"/>
        <w:right w:val="none" w:sz="0" w:space="0" w:color="auto"/>
      </w:divBdr>
    </w:div>
    <w:div w:id="1841579447">
      <w:bodyDiv w:val="1"/>
      <w:marLeft w:val="0"/>
      <w:marRight w:val="0"/>
      <w:marTop w:val="0"/>
      <w:marBottom w:val="0"/>
      <w:divBdr>
        <w:top w:val="none" w:sz="0" w:space="0" w:color="auto"/>
        <w:left w:val="none" w:sz="0" w:space="0" w:color="auto"/>
        <w:bottom w:val="none" w:sz="0" w:space="0" w:color="auto"/>
        <w:right w:val="none" w:sz="0" w:space="0" w:color="auto"/>
      </w:divBdr>
    </w:div>
    <w:div w:id="1851872723">
      <w:bodyDiv w:val="1"/>
      <w:marLeft w:val="0"/>
      <w:marRight w:val="0"/>
      <w:marTop w:val="0"/>
      <w:marBottom w:val="0"/>
      <w:divBdr>
        <w:top w:val="none" w:sz="0" w:space="0" w:color="auto"/>
        <w:left w:val="none" w:sz="0" w:space="0" w:color="auto"/>
        <w:bottom w:val="none" w:sz="0" w:space="0" w:color="auto"/>
        <w:right w:val="none" w:sz="0" w:space="0" w:color="auto"/>
      </w:divBdr>
    </w:div>
    <w:div w:id="1869487748">
      <w:bodyDiv w:val="1"/>
      <w:marLeft w:val="0"/>
      <w:marRight w:val="0"/>
      <w:marTop w:val="0"/>
      <w:marBottom w:val="0"/>
      <w:divBdr>
        <w:top w:val="none" w:sz="0" w:space="0" w:color="auto"/>
        <w:left w:val="none" w:sz="0" w:space="0" w:color="auto"/>
        <w:bottom w:val="none" w:sz="0" w:space="0" w:color="auto"/>
        <w:right w:val="none" w:sz="0" w:space="0" w:color="auto"/>
      </w:divBdr>
    </w:div>
    <w:div w:id="1883976333">
      <w:bodyDiv w:val="1"/>
      <w:marLeft w:val="0"/>
      <w:marRight w:val="0"/>
      <w:marTop w:val="0"/>
      <w:marBottom w:val="0"/>
      <w:divBdr>
        <w:top w:val="none" w:sz="0" w:space="0" w:color="auto"/>
        <w:left w:val="none" w:sz="0" w:space="0" w:color="auto"/>
        <w:bottom w:val="none" w:sz="0" w:space="0" w:color="auto"/>
        <w:right w:val="none" w:sz="0" w:space="0" w:color="auto"/>
      </w:divBdr>
    </w:div>
    <w:div w:id="1901213099">
      <w:bodyDiv w:val="1"/>
      <w:marLeft w:val="0"/>
      <w:marRight w:val="0"/>
      <w:marTop w:val="0"/>
      <w:marBottom w:val="0"/>
      <w:divBdr>
        <w:top w:val="none" w:sz="0" w:space="0" w:color="auto"/>
        <w:left w:val="none" w:sz="0" w:space="0" w:color="auto"/>
        <w:bottom w:val="none" w:sz="0" w:space="0" w:color="auto"/>
        <w:right w:val="none" w:sz="0" w:space="0" w:color="auto"/>
      </w:divBdr>
    </w:div>
    <w:div w:id="1906448659">
      <w:bodyDiv w:val="1"/>
      <w:marLeft w:val="0"/>
      <w:marRight w:val="0"/>
      <w:marTop w:val="0"/>
      <w:marBottom w:val="0"/>
      <w:divBdr>
        <w:top w:val="none" w:sz="0" w:space="0" w:color="auto"/>
        <w:left w:val="none" w:sz="0" w:space="0" w:color="auto"/>
        <w:bottom w:val="none" w:sz="0" w:space="0" w:color="auto"/>
        <w:right w:val="none" w:sz="0" w:space="0" w:color="auto"/>
      </w:divBdr>
    </w:div>
    <w:div w:id="1911189519">
      <w:bodyDiv w:val="1"/>
      <w:marLeft w:val="0"/>
      <w:marRight w:val="0"/>
      <w:marTop w:val="0"/>
      <w:marBottom w:val="0"/>
      <w:divBdr>
        <w:top w:val="none" w:sz="0" w:space="0" w:color="auto"/>
        <w:left w:val="none" w:sz="0" w:space="0" w:color="auto"/>
        <w:bottom w:val="none" w:sz="0" w:space="0" w:color="auto"/>
        <w:right w:val="none" w:sz="0" w:space="0" w:color="auto"/>
      </w:divBdr>
    </w:div>
    <w:div w:id="1913613229">
      <w:bodyDiv w:val="1"/>
      <w:marLeft w:val="0"/>
      <w:marRight w:val="0"/>
      <w:marTop w:val="0"/>
      <w:marBottom w:val="0"/>
      <w:divBdr>
        <w:top w:val="none" w:sz="0" w:space="0" w:color="auto"/>
        <w:left w:val="none" w:sz="0" w:space="0" w:color="auto"/>
        <w:bottom w:val="none" w:sz="0" w:space="0" w:color="auto"/>
        <w:right w:val="none" w:sz="0" w:space="0" w:color="auto"/>
      </w:divBdr>
    </w:div>
    <w:div w:id="1920094955">
      <w:bodyDiv w:val="1"/>
      <w:marLeft w:val="0"/>
      <w:marRight w:val="0"/>
      <w:marTop w:val="0"/>
      <w:marBottom w:val="0"/>
      <w:divBdr>
        <w:top w:val="none" w:sz="0" w:space="0" w:color="auto"/>
        <w:left w:val="none" w:sz="0" w:space="0" w:color="auto"/>
        <w:bottom w:val="none" w:sz="0" w:space="0" w:color="auto"/>
        <w:right w:val="none" w:sz="0" w:space="0" w:color="auto"/>
      </w:divBdr>
    </w:div>
    <w:div w:id="1925725113">
      <w:bodyDiv w:val="1"/>
      <w:marLeft w:val="0"/>
      <w:marRight w:val="0"/>
      <w:marTop w:val="0"/>
      <w:marBottom w:val="0"/>
      <w:divBdr>
        <w:top w:val="none" w:sz="0" w:space="0" w:color="auto"/>
        <w:left w:val="none" w:sz="0" w:space="0" w:color="auto"/>
        <w:bottom w:val="none" w:sz="0" w:space="0" w:color="auto"/>
        <w:right w:val="none" w:sz="0" w:space="0" w:color="auto"/>
      </w:divBdr>
    </w:div>
    <w:div w:id="1934587504">
      <w:bodyDiv w:val="1"/>
      <w:marLeft w:val="0"/>
      <w:marRight w:val="0"/>
      <w:marTop w:val="0"/>
      <w:marBottom w:val="0"/>
      <w:divBdr>
        <w:top w:val="none" w:sz="0" w:space="0" w:color="auto"/>
        <w:left w:val="none" w:sz="0" w:space="0" w:color="auto"/>
        <w:bottom w:val="none" w:sz="0" w:space="0" w:color="auto"/>
        <w:right w:val="none" w:sz="0" w:space="0" w:color="auto"/>
      </w:divBdr>
    </w:div>
    <w:div w:id="1937055929">
      <w:bodyDiv w:val="1"/>
      <w:marLeft w:val="0"/>
      <w:marRight w:val="0"/>
      <w:marTop w:val="0"/>
      <w:marBottom w:val="0"/>
      <w:divBdr>
        <w:top w:val="none" w:sz="0" w:space="0" w:color="auto"/>
        <w:left w:val="none" w:sz="0" w:space="0" w:color="auto"/>
        <w:bottom w:val="none" w:sz="0" w:space="0" w:color="auto"/>
        <w:right w:val="none" w:sz="0" w:space="0" w:color="auto"/>
      </w:divBdr>
    </w:div>
    <w:div w:id="1939368033">
      <w:bodyDiv w:val="1"/>
      <w:marLeft w:val="0"/>
      <w:marRight w:val="0"/>
      <w:marTop w:val="0"/>
      <w:marBottom w:val="0"/>
      <w:divBdr>
        <w:top w:val="none" w:sz="0" w:space="0" w:color="auto"/>
        <w:left w:val="none" w:sz="0" w:space="0" w:color="auto"/>
        <w:bottom w:val="none" w:sz="0" w:space="0" w:color="auto"/>
        <w:right w:val="none" w:sz="0" w:space="0" w:color="auto"/>
      </w:divBdr>
    </w:div>
    <w:div w:id="1941602097">
      <w:bodyDiv w:val="1"/>
      <w:marLeft w:val="0"/>
      <w:marRight w:val="0"/>
      <w:marTop w:val="0"/>
      <w:marBottom w:val="0"/>
      <w:divBdr>
        <w:top w:val="none" w:sz="0" w:space="0" w:color="auto"/>
        <w:left w:val="none" w:sz="0" w:space="0" w:color="auto"/>
        <w:bottom w:val="none" w:sz="0" w:space="0" w:color="auto"/>
        <w:right w:val="none" w:sz="0" w:space="0" w:color="auto"/>
      </w:divBdr>
    </w:div>
    <w:div w:id="1952201669">
      <w:bodyDiv w:val="1"/>
      <w:marLeft w:val="0"/>
      <w:marRight w:val="0"/>
      <w:marTop w:val="0"/>
      <w:marBottom w:val="0"/>
      <w:divBdr>
        <w:top w:val="none" w:sz="0" w:space="0" w:color="auto"/>
        <w:left w:val="none" w:sz="0" w:space="0" w:color="auto"/>
        <w:bottom w:val="none" w:sz="0" w:space="0" w:color="auto"/>
        <w:right w:val="none" w:sz="0" w:space="0" w:color="auto"/>
      </w:divBdr>
    </w:div>
    <w:div w:id="1952858958">
      <w:bodyDiv w:val="1"/>
      <w:marLeft w:val="0"/>
      <w:marRight w:val="0"/>
      <w:marTop w:val="0"/>
      <w:marBottom w:val="0"/>
      <w:divBdr>
        <w:top w:val="none" w:sz="0" w:space="0" w:color="auto"/>
        <w:left w:val="none" w:sz="0" w:space="0" w:color="auto"/>
        <w:bottom w:val="none" w:sz="0" w:space="0" w:color="auto"/>
        <w:right w:val="none" w:sz="0" w:space="0" w:color="auto"/>
      </w:divBdr>
    </w:div>
    <w:div w:id="1955286610">
      <w:bodyDiv w:val="1"/>
      <w:marLeft w:val="0"/>
      <w:marRight w:val="0"/>
      <w:marTop w:val="0"/>
      <w:marBottom w:val="0"/>
      <w:divBdr>
        <w:top w:val="none" w:sz="0" w:space="0" w:color="auto"/>
        <w:left w:val="none" w:sz="0" w:space="0" w:color="auto"/>
        <w:bottom w:val="none" w:sz="0" w:space="0" w:color="auto"/>
        <w:right w:val="none" w:sz="0" w:space="0" w:color="auto"/>
      </w:divBdr>
    </w:div>
    <w:div w:id="1961833930">
      <w:bodyDiv w:val="1"/>
      <w:marLeft w:val="0"/>
      <w:marRight w:val="0"/>
      <w:marTop w:val="0"/>
      <w:marBottom w:val="0"/>
      <w:divBdr>
        <w:top w:val="none" w:sz="0" w:space="0" w:color="auto"/>
        <w:left w:val="none" w:sz="0" w:space="0" w:color="auto"/>
        <w:bottom w:val="none" w:sz="0" w:space="0" w:color="auto"/>
        <w:right w:val="none" w:sz="0" w:space="0" w:color="auto"/>
      </w:divBdr>
    </w:div>
    <w:div w:id="1964266217">
      <w:bodyDiv w:val="1"/>
      <w:marLeft w:val="0"/>
      <w:marRight w:val="0"/>
      <w:marTop w:val="0"/>
      <w:marBottom w:val="0"/>
      <w:divBdr>
        <w:top w:val="none" w:sz="0" w:space="0" w:color="auto"/>
        <w:left w:val="none" w:sz="0" w:space="0" w:color="auto"/>
        <w:bottom w:val="none" w:sz="0" w:space="0" w:color="auto"/>
        <w:right w:val="none" w:sz="0" w:space="0" w:color="auto"/>
      </w:divBdr>
    </w:div>
    <w:div w:id="1970742905">
      <w:bodyDiv w:val="1"/>
      <w:marLeft w:val="0"/>
      <w:marRight w:val="0"/>
      <w:marTop w:val="0"/>
      <w:marBottom w:val="0"/>
      <w:divBdr>
        <w:top w:val="none" w:sz="0" w:space="0" w:color="auto"/>
        <w:left w:val="none" w:sz="0" w:space="0" w:color="auto"/>
        <w:bottom w:val="none" w:sz="0" w:space="0" w:color="auto"/>
        <w:right w:val="none" w:sz="0" w:space="0" w:color="auto"/>
      </w:divBdr>
    </w:div>
    <w:div w:id="2000116751">
      <w:bodyDiv w:val="1"/>
      <w:marLeft w:val="0"/>
      <w:marRight w:val="0"/>
      <w:marTop w:val="0"/>
      <w:marBottom w:val="0"/>
      <w:divBdr>
        <w:top w:val="none" w:sz="0" w:space="0" w:color="auto"/>
        <w:left w:val="none" w:sz="0" w:space="0" w:color="auto"/>
        <w:bottom w:val="none" w:sz="0" w:space="0" w:color="auto"/>
        <w:right w:val="none" w:sz="0" w:space="0" w:color="auto"/>
      </w:divBdr>
    </w:div>
    <w:div w:id="2005011403">
      <w:bodyDiv w:val="1"/>
      <w:marLeft w:val="0"/>
      <w:marRight w:val="0"/>
      <w:marTop w:val="0"/>
      <w:marBottom w:val="0"/>
      <w:divBdr>
        <w:top w:val="none" w:sz="0" w:space="0" w:color="auto"/>
        <w:left w:val="none" w:sz="0" w:space="0" w:color="auto"/>
        <w:bottom w:val="none" w:sz="0" w:space="0" w:color="auto"/>
        <w:right w:val="none" w:sz="0" w:space="0" w:color="auto"/>
      </w:divBdr>
    </w:div>
    <w:div w:id="2010402422">
      <w:bodyDiv w:val="1"/>
      <w:marLeft w:val="0"/>
      <w:marRight w:val="0"/>
      <w:marTop w:val="0"/>
      <w:marBottom w:val="0"/>
      <w:divBdr>
        <w:top w:val="none" w:sz="0" w:space="0" w:color="auto"/>
        <w:left w:val="none" w:sz="0" w:space="0" w:color="auto"/>
        <w:bottom w:val="none" w:sz="0" w:space="0" w:color="auto"/>
        <w:right w:val="none" w:sz="0" w:space="0" w:color="auto"/>
      </w:divBdr>
    </w:div>
    <w:div w:id="2016883595">
      <w:bodyDiv w:val="1"/>
      <w:marLeft w:val="0"/>
      <w:marRight w:val="0"/>
      <w:marTop w:val="0"/>
      <w:marBottom w:val="0"/>
      <w:divBdr>
        <w:top w:val="none" w:sz="0" w:space="0" w:color="auto"/>
        <w:left w:val="none" w:sz="0" w:space="0" w:color="auto"/>
        <w:bottom w:val="none" w:sz="0" w:space="0" w:color="auto"/>
        <w:right w:val="none" w:sz="0" w:space="0" w:color="auto"/>
      </w:divBdr>
    </w:div>
    <w:div w:id="2026783658">
      <w:bodyDiv w:val="1"/>
      <w:marLeft w:val="0"/>
      <w:marRight w:val="0"/>
      <w:marTop w:val="0"/>
      <w:marBottom w:val="0"/>
      <w:divBdr>
        <w:top w:val="none" w:sz="0" w:space="0" w:color="auto"/>
        <w:left w:val="none" w:sz="0" w:space="0" w:color="auto"/>
        <w:bottom w:val="none" w:sz="0" w:space="0" w:color="auto"/>
        <w:right w:val="none" w:sz="0" w:space="0" w:color="auto"/>
      </w:divBdr>
    </w:div>
    <w:div w:id="2032098568">
      <w:bodyDiv w:val="1"/>
      <w:marLeft w:val="0"/>
      <w:marRight w:val="0"/>
      <w:marTop w:val="0"/>
      <w:marBottom w:val="0"/>
      <w:divBdr>
        <w:top w:val="none" w:sz="0" w:space="0" w:color="auto"/>
        <w:left w:val="none" w:sz="0" w:space="0" w:color="auto"/>
        <w:bottom w:val="none" w:sz="0" w:space="0" w:color="auto"/>
        <w:right w:val="none" w:sz="0" w:space="0" w:color="auto"/>
      </w:divBdr>
      <w:divsChild>
        <w:div w:id="924193431">
          <w:marLeft w:val="0"/>
          <w:marRight w:val="0"/>
          <w:marTop w:val="0"/>
          <w:marBottom w:val="0"/>
          <w:divBdr>
            <w:top w:val="none" w:sz="0" w:space="0" w:color="auto"/>
            <w:left w:val="none" w:sz="0" w:space="0" w:color="auto"/>
            <w:bottom w:val="none" w:sz="0" w:space="0" w:color="auto"/>
            <w:right w:val="none" w:sz="0" w:space="0" w:color="auto"/>
          </w:divBdr>
        </w:div>
        <w:div w:id="909731387">
          <w:marLeft w:val="0"/>
          <w:marRight w:val="0"/>
          <w:marTop w:val="0"/>
          <w:marBottom w:val="0"/>
          <w:divBdr>
            <w:top w:val="none" w:sz="0" w:space="0" w:color="auto"/>
            <w:left w:val="none" w:sz="0" w:space="0" w:color="auto"/>
            <w:bottom w:val="none" w:sz="0" w:space="0" w:color="auto"/>
            <w:right w:val="none" w:sz="0" w:space="0" w:color="auto"/>
          </w:divBdr>
        </w:div>
      </w:divsChild>
    </w:div>
    <w:div w:id="2033531398">
      <w:bodyDiv w:val="1"/>
      <w:marLeft w:val="0"/>
      <w:marRight w:val="0"/>
      <w:marTop w:val="0"/>
      <w:marBottom w:val="0"/>
      <w:divBdr>
        <w:top w:val="none" w:sz="0" w:space="0" w:color="auto"/>
        <w:left w:val="none" w:sz="0" w:space="0" w:color="auto"/>
        <w:bottom w:val="none" w:sz="0" w:space="0" w:color="auto"/>
        <w:right w:val="none" w:sz="0" w:space="0" w:color="auto"/>
      </w:divBdr>
    </w:div>
    <w:div w:id="2048988608">
      <w:bodyDiv w:val="1"/>
      <w:marLeft w:val="0"/>
      <w:marRight w:val="0"/>
      <w:marTop w:val="0"/>
      <w:marBottom w:val="0"/>
      <w:divBdr>
        <w:top w:val="none" w:sz="0" w:space="0" w:color="auto"/>
        <w:left w:val="none" w:sz="0" w:space="0" w:color="auto"/>
        <w:bottom w:val="none" w:sz="0" w:space="0" w:color="auto"/>
        <w:right w:val="none" w:sz="0" w:space="0" w:color="auto"/>
      </w:divBdr>
    </w:div>
    <w:div w:id="2052419780">
      <w:bodyDiv w:val="1"/>
      <w:marLeft w:val="0"/>
      <w:marRight w:val="0"/>
      <w:marTop w:val="0"/>
      <w:marBottom w:val="0"/>
      <w:divBdr>
        <w:top w:val="none" w:sz="0" w:space="0" w:color="auto"/>
        <w:left w:val="none" w:sz="0" w:space="0" w:color="auto"/>
        <w:bottom w:val="none" w:sz="0" w:space="0" w:color="auto"/>
        <w:right w:val="none" w:sz="0" w:space="0" w:color="auto"/>
      </w:divBdr>
    </w:div>
    <w:div w:id="2060129661">
      <w:bodyDiv w:val="1"/>
      <w:marLeft w:val="0"/>
      <w:marRight w:val="0"/>
      <w:marTop w:val="0"/>
      <w:marBottom w:val="0"/>
      <w:divBdr>
        <w:top w:val="none" w:sz="0" w:space="0" w:color="auto"/>
        <w:left w:val="none" w:sz="0" w:space="0" w:color="auto"/>
        <w:bottom w:val="none" w:sz="0" w:space="0" w:color="auto"/>
        <w:right w:val="none" w:sz="0" w:space="0" w:color="auto"/>
      </w:divBdr>
    </w:div>
    <w:div w:id="2063014915">
      <w:bodyDiv w:val="1"/>
      <w:marLeft w:val="0"/>
      <w:marRight w:val="0"/>
      <w:marTop w:val="0"/>
      <w:marBottom w:val="0"/>
      <w:divBdr>
        <w:top w:val="none" w:sz="0" w:space="0" w:color="auto"/>
        <w:left w:val="none" w:sz="0" w:space="0" w:color="auto"/>
        <w:bottom w:val="none" w:sz="0" w:space="0" w:color="auto"/>
        <w:right w:val="none" w:sz="0" w:space="0" w:color="auto"/>
      </w:divBdr>
    </w:div>
    <w:div w:id="2071152837">
      <w:bodyDiv w:val="1"/>
      <w:marLeft w:val="0"/>
      <w:marRight w:val="0"/>
      <w:marTop w:val="0"/>
      <w:marBottom w:val="0"/>
      <w:divBdr>
        <w:top w:val="none" w:sz="0" w:space="0" w:color="auto"/>
        <w:left w:val="none" w:sz="0" w:space="0" w:color="auto"/>
        <w:bottom w:val="none" w:sz="0" w:space="0" w:color="auto"/>
        <w:right w:val="none" w:sz="0" w:space="0" w:color="auto"/>
      </w:divBdr>
    </w:div>
    <w:div w:id="2075153158">
      <w:bodyDiv w:val="1"/>
      <w:marLeft w:val="0"/>
      <w:marRight w:val="0"/>
      <w:marTop w:val="0"/>
      <w:marBottom w:val="0"/>
      <w:divBdr>
        <w:top w:val="none" w:sz="0" w:space="0" w:color="auto"/>
        <w:left w:val="none" w:sz="0" w:space="0" w:color="auto"/>
        <w:bottom w:val="none" w:sz="0" w:space="0" w:color="auto"/>
        <w:right w:val="none" w:sz="0" w:space="0" w:color="auto"/>
      </w:divBdr>
    </w:div>
    <w:div w:id="2078702713">
      <w:bodyDiv w:val="1"/>
      <w:marLeft w:val="0"/>
      <w:marRight w:val="0"/>
      <w:marTop w:val="0"/>
      <w:marBottom w:val="0"/>
      <w:divBdr>
        <w:top w:val="none" w:sz="0" w:space="0" w:color="auto"/>
        <w:left w:val="none" w:sz="0" w:space="0" w:color="auto"/>
        <w:bottom w:val="none" w:sz="0" w:space="0" w:color="auto"/>
        <w:right w:val="none" w:sz="0" w:space="0" w:color="auto"/>
      </w:divBdr>
    </w:div>
    <w:div w:id="2102144136">
      <w:bodyDiv w:val="1"/>
      <w:marLeft w:val="0"/>
      <w:marRight w:val="0"/>
      <w:marTop w:val="0"/>
      <w:marBottom w:val="0"/>
      <w:divBdr>
        <w:top w:val="none" w:sz="0" w:space="0" w:color="auto"/>
        <w:left w:val="none" w:sz="0" w:space="0" w:color="auto"/>
        <w:bottom w:val="none" w:sz="0" w:space="0" w:color="auto"/>
        <w:right w:val="none" w:sz="0" w:space="0" w:color="auto"/>
      </w:divBdr>
    </w:div>
    <w:div w:id="2103793375">
      <w:bodyDiv w:val="1"/>
      <w:marLeft w:val="0"/>
      <w:marRight w:val="0"/>
      <w:marTop w:val="0"/>
      <w:marBottom w:val="0"/>
      <w:divBdr>
        <w:top w:val="none" w:sz="0" w:space="0" w:color="auto"/>
        <w:left w:val="none" w:sz="0" w:space="0" w:color="auto"/>
        <w:bottom w:val="none" w:sz="0" w:space="0" w:color="auto"/>
        <w:right w:val="none" w:sz="0" w:space="0" w:color="auto"/>
      </w:divBdr>
    </w:div>
    <w:div w:id="2106030061">
      <w:bodyDiv w:val="1"/>
      <w:marLeft w:val="0"/>
      <w:marRight w:val="0"/>
      <w:marTop w:val="0"/>
      <w:marBottom w:val="0"/>
      <w:divBdr>
        <w:top w:val="none" w:sz="0" w:space="0" w:color="auto"/>
        <w:left w:val="none" w:sz="0" w:space="0" w:color="auto"/>
        <w:bottom w:val="none" w:sz="0" w:space="0" w:color="auto"/>
        <w:right w:val="none" w:sz="0" w:space="0" w:color="auto"/>
      </w:divBdr>
    </w:div>
    <w:div w:id="2108310151">
      <w:bodyDiv w:val="1"/>
      <w:marLeft w:val="0"/>
      <w:marRight w:val="0"/>
      <w:marTop w:val="0"/>
      <w:marBottom w:val="0"/>
      <w:divBdr>
        <w:top w:val="none" w:sz="0" w:space="0" w:color="auto"/>
        <w:left w:val="none" w:sz="0" w:space="0" w:color="auto"/>
        <w:bottom w:val="none" w:sz="0" w:space="0" w:color="auto"/>
        <w:right w:val="none" w:sz="0" w:space="0" w:color="auto"/>
      </w:divBdr>
    </w:div>
    <w:div w:id="2109811670">
      <w:bodyDiv w:val="1"/>
      <w:marLeft w:val="0"/>
      <w:marRight w:val="0"/>
      <w:marTop w:val="0"/>
      <w:marBottom w:val="0"/>
      <w:divBdr>
        <w:top w:val="none" w:sz="0" w:space="0" w:color="auto"/>
        <w:left w:val="none" w:sz="0" w:space="0" w:color="auto"/>
        <w:bottom w:val="none" w:sz="0" w:space="0" w:color="auto"/>
        <w:right w:val="none" w:sz="0" w:space="0" w:color="auto"/>
      </w:divBdr>
    </w:div>
    <w:div w:id="2116749009">
      <w:bodyDiv w:val="1"/>
      <w:marLeft w:val="0"/>
      <w:marRight w:val="0"/>
      <w:marTop w:val="0"/>
      <w:marBottom w:val="0"/>
      <w:divBdr>
        <w:top w:val="none" w:sz="0" w:space="0" w:color="auto"/>
        <w:left w:val="none" w:sz="0" w:space="0" w:color="auto"/>
        <w:bottom w:val="none" w:sz="0" w:space="0" w:color="auto"/>
        <w:right w:val="none" w:sz="0" w:space="0" w:color="auto"/>
      </w:divBdr>
    </w:div>
    <w:div w:id="2119520891">
      <w:bodyDiv w:val="1"/>
      <w:marLeft w:val="0"/>
      <w:marRight w:val="0"/>
      <w:marTop w:val="0"/>
      <w:marBottom w:val="0"/>
      <w:divBdr>
        <w:top w:val="none" w:sz="0" w:space="0" w:color="auto"/>
        <w:left w:val="none" w:sz="0" w:space="0" w:color="auto"/>
        <w:bottom w:val="none" w:sz="0" w:space="0" w:color="auto"/>
        <w:right w:val="none" w:sz="0" w:space="0" w:color="auto"/>
      </w:divBdr>
    </w:div>
    <w:div w:id="21221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CDF1BD466E83E842902559549E0F08F2" ma:contentTypeVersion="4" ma:contentTypeDescription="Új dokumentum létrehozása." ma:contentTypeScope="" ma:versionID="c517b37d0a268d7b3b79160f4f5acec7">
  <xsd:schema xmlns:xsd="http://www.w3.org/2001/XMLSchema" xmlns:xs="http://www.w3.org/2001/XMLSchema" xmlns:p="http://schemas.microsoft.com/office/2006/metadata/properties" xmlns:ns2="cb7eed14-1ed6-4f4f-9464-e9d73fc2f8e9" xmlns:ns3="9669010e-b829-4d86-87dd-cdce11b02043" targetNamespace="http://schemas.microsoft.com/office/2006/metadata/properties" ma:root="true" ma:fieldsID="f30cb5648670564f827e0db9dba0e9f8" ns2:_="" ns3:_="">
    <xsd:import namespace="cb7eed14-1ed6-4f4f-9464-e9d73fc2f8e9"/>
    <xsd:import namespace="9669010e-b829-4d86-87dd-cdce11b02043"/>
    <xsd:element name="properties">
      <xsd:complexType>
        <xsd:sequence>
          <xsd:element name="documentManagement">
            <xsd:complexType>
              <xsd:all>
                <xsd:element ref="ns2:T_x00e9_ma" minOccurs="0"/>
                <xsd:element ref="ns2:_x00c9_v"/>
                <xsd:element ref="ns2:L_x00e1_that_x00f3_s_x00e1_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eed14-1ed6-4f4f-9464-e9d73fc2f8e9" elementFormDefault="qualified">
    <xsd:import namespace="http://schemas.microsoft.com/office/2006/documentManagement/types"/>
    <xsd:import namespace="http://schemas.microsoft.com/office/infopath/2007/PartnerControls"/>
    <xsd:element name="T_x00e9_ma" ma:index="2" nillable="true" ma:displayName="Téma" ma:format="Dropdown" ma:internalName="T_x00e9_ma">
      <xsd:simpleType>
        <xsd:restriction base="dms:Choice">
          <xsd:enumeration value="Tervezés"/>
          <xsd:enumeration value="Zárszámadás"/>
          <xsd:enumeration value="Törvénymódosítás"/>
          <xsd:enumeration value="ÁSZ ellenőrzés"/>
          <xsd:enumeration value="Gyorsjelentés"/>
          <xsd:enumeration value="Monitoring"/>
          <xsd:enumeration value="Tervezési tájékoztató"/>
          <xsd:enumeration value="Útmutató"/>
          <xsd:enumeration value="Munkaprogram"/>
          <xsd:enumeration value="Ütemterv"/>
          <xsd:enumeration value="Módosító"/>
          <xsd:enumeration value="Kormányülés"/>
          <xsd:enumeration value="Gazdasági kabinet"/>
          <xsd:enumeration value="Stratégiai kabinet"/>
          <xsd:enumeration value="IFMIS"/>
          <xsd:enumeration value="Fejezeten belüli átcsoportosítás"/>
          <xsd:enumeration value="Címlista"/>
          <xsd:enumeration value="BEÜ"/>
          <xsd:enumeration value="Koronavírus"/>
          <xsd:enumeration value="Tudásbázis"/>
          <xsd:enumeration value="Kiemelt fejlesztési igények"/>
          <xsd:enumeration value="Iktatás"/>
        </xsd:restriction>
      </xsd:simpleType>
    </xsd:element>
    <xsd:element name="_x00c9_v" ma:index="3" ma:displayName="Év" ma:default="2018" ma:format="Dropdown" ma:internalName="_x00c9_v">
      <xsd:simpleType>
        <xsd:restriction base="dms:Choice">
          <xsd:enumeration value="2022"/>
          <xsd:enumeration value="2021"/>
          <xsd:enumeration value="2020"/>
          <xsd:enumeration value="2019"/>
          <xsd:enumeration value="2018"/>
          <xsd:enumeration value="2017"/>
          <xsd:enumeration value="2016"/>
          <xsd:enumeration value="2015"/>
        </xsd:restriction>
      </xsd:simpleType>
    </xsd:element>
    <xsd:element name="L_x00e1_that_x00f3_s_x00e1_g" ma:index="4" nillable="true" ma:displayName="Láthatóság" ma:default="Publikus" ma:format="Dropdown" ma:internalName="L_x00e1_that_x00f3_s_x00e1_g">
      <xsd:simpleType>
        <xsd:restriction base="dms:Choice">
          <xsd:enumeration value="Publikus"/>
          <xsd:enumeration value="Csak admin látja (verziókat tartalmaz)"/>
        </xsd:restriction>
      </xsd:simpleType>
    </xsd:element>
  </xsd:schema>
  <xsd:schema xmlns:xsd="http://www.w3.org/2001/XMLSchema" xmlns:xs="http://www.w3.org/2001/XMLSchema" xmlns:dms="http://schemas.microsoft.com/office/2006/documentManagement/types" xmlns:pc="http://schemas.microsoft.com/office/infopath/2007/PartnerControls" targetNamespace="9669010e-b829-4d86-87dd-cdce11b02043" elementFormDefault="qualified">
    <xsd:import namespace="http://schemas.microsoft.com/office/2006/documentManagement/types"/>
    <xsd:import namespace="http://schemas.microsoft.com/office/infopath/2007/PartnerControls"/>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c9_v xmlns="cb7eed14-1ed6-4f4f-9464-e9d73fc2f8e9">2022</_x00c9_v>
    <T_x00e9_ma xmlns="cb7eed14-1ed6-4f4f-9464-e9d73fc2f8e9">Monitoring</T_x00e9_ma>
    <L_x00e1_that_x00f3_s_x00e1_g xmlns="cb7eed14-1ed6-4f4f-9464-e9d73fc2f8e9">Publikus</L_x00e1_that_x00f3_s_x00e1_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11BA3-0A37-4BD8-BD31-BFB30367F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eed14-1ed6-4f4f-9464-e9d73fc2f8e9"/>
    <ds:schemaRef ds:uri="9669010e-b829-4d86-87dd-cdce11b02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480CA-BC7A-45F3-A224-17837488D9B2}">
  <ds:schemaRefs>
    <ds:schemaRef ds:uri="http://schemas.microsoft.com/office/2006/metadata/properties"/>
    <ds:schemaRef ds:uri="http://schemas.openxmlformats.org/package/2006/metadata/core-properties"/>
    <ds:schemaRef ds:uri="http://purl.org/dc/terms/"/>
    <ds:schemaRef ds:uri="cb7eed14-1ed6-4f4f-9464-e9d73fc2f8e9"/>
    <ds:schemaRef ds:uri="http://schemas.microsoft.com/office/infopath/2007/PartnerControls"/>
    <ds:schemaRef ds:uri="http://purl.org/dc/dcmitype/"/>
    <ds:schemaRef ds:uri="http://schemas.microsoft.com/office/2006/documentManagement/types"/>
    <ds:schemaRef ds:uri="http://purl.org/dc/elements/1.1/"/>
    <ds:schemaRef ds:uri="9669010e-b829-4d86-87dd-cdce11b02043"/>
    <ds:schemaRef ds:uri="http://www.w3.org/XML/1998/namespace"/>
  </ds:schemaRefs>
</ds:datastoreItem>
</file>

<file path=customXml/itemProps3.xml><?xml version="1.0" encoding="utf-8"?>
<ds:datastoreItem xmlns:ds="http://schemas.openxmlformats.org/officeDocument/2006/customXml" ds:itemID="{54E78AD5-6B76-4533-9306-00D2F12000D1}">
  <ds:schemaRefs>
    <ds:schemaRef ds:uri="http://schemas.microsoft.com/sharepoint/v3/contenttype/forms"/>
  </ds:schemaRefs>
</ds:datastoreItem>
</file>

<file path=customXml/itemProps4.xml><?xml version="1.0" encoding="utf-8"?>
<ds:datastoreItem xmlns:ds="http://schemas.openxmlformats.org/officeDocument/2006/customXml" ds:itemID="{E149AD1B-16DF-4775-8C7B-973442D8E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4719</Words>
  <Characters>32565</Characters>
  <Application>Microsoft Office Word</Application>
  <DocSecurity>0</DocSecurity>
  <Lines>271</Lines>
  <Paragraphs>74</Paragraphs>
  <ScaleCrop>false</ScaleCrop>
  <HeadingPairs>
    <vt:vector size="2" baseType="variant">
      <vt:variant>
        <vt:lpstr>Cím</vt:lpstr>
      </vt:variant>
      <vt:variant>
        <vt:i4>1</vt:i4>
      </vt:variant>
    </vt:vector>
  </HeadingPairs>
  <TitlesOfParts>
    <vt:vector size="1" baseType="lpstr">
      <vt:lpstr>Tájékoztató az államháztartás központi alrendszerének helyzetéről</vt:lpstr>
    </vt:vector>
  </TitlesOfParts>
  <LinksUpToDate>false</LinksUpToDate>
  <CharactersWithSpaces>37210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az államháztartás központi alrendszerének helyzetéről</dc:title>
  <dc:creator/>
  <cp:lastModifiedBy/>
  <cp:revision>12</cp:revision>
  <dcterms:created xsi:type="dcterms:W3CDTF">2022-08-16T07:44:00Z</dcterms:created>
  <dcterms:modified xsi:type="dcterms:W3CDTF">2022-11-17T07:54:00Z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0x010100CDF1BD466E83E842902559549E0F08F2</vt:lpwstr>
  </property>
</Properties>
</file>