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EC6909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EC6909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EC6909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Kereskedelempolitika</w:t>
      </w:r>
      <w:r w:rsidR="00A62CB5"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Főosztálya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8E7C6A" w:rsidRPr="00EC6909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FC64F1"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EC6909" w:rsidRDefault="00213FB9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támogatáskezelési</w:t>
      </w:r>
    </w:p>
    <w:p w:rsidR="00471961" w:rsidRPr="00EC6909" w:rsidRDefault="00471961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A71EAD" w:rsidRPr="00EC6909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feladatok ellátására szóló</w:t>
      </w:r>
    </w:p>
    <w:p w:rsidR="008E7C6A" w:rsidRPr="00EC6909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963D84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213FB9" w:rsidRPr="00EC6909">
        <w:rPr>
          <w:rFonts w:ascii="Times New Roman" w:eastAsia="Times New Roman" w:hAnsi="Times New Roman"/>
          <w:sz w:val="24"/>
          <w:szCs w:val="24"/>
          <w:lang w:eastAsia="hu-HU"/>
        </w:rPr>
        <w:t>támogatáskezelési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referensi</w:t>
      </w:r>
      <w:r w:rsidR="00963D84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8E7C6A" w:rsidRPr="00EC6909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8E7C6A" w:rsidRPr="00EC6909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EC6909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EC6909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1722D6" w:rsidRPr="00EC6909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1722D6" w:rsidRPr="00EC6909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22D6" w:rsidRPr="00EC6909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besorolási kategóriája: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84E52" w:rsidRPr="00EC6909">
        <w:rPr>
          <w:rFonts w:ascii="Times New Roman" w:eastAsia="Times New Roman" w:hAnsi="Times New Roman"/>
          <w:sz w:val="24"/>
          <w:szCs w:val="24"/>
          <w:lang w:eastAsia="hu-HU"/>
        </w:rPr>
        <w:t>vezető-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kormánytanácsos</w:t>
      </w: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EC6909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EC6909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C59" w:rsidRPr="00EC6909" w:rsidRDefault="007F2C59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 xml:space="preserve">Részt vesz </w:t>
      </w:r>
      <w:r w:rsidR="00213FB9" w:rsidRPr="00EC6909">
        <w:rPr>
          <w:rFonts w:ascii="Times New Roman" w:hAnsi="Times New Roman"/>
          <w:sz w:val="24"/>
          <w:szCs w:val="24"/>
        </w:rPr>
        <w:t>az Európai Unió brexit miatti kiigazításokra képzett Brexit Alkalmazkodási Tartalékból a magyar vállalkozások részére nyújtott támogatások igénylésének és a források felhasználásának részletes szabályairól szóló 733/2021. (XII. 20.) Korm. rendelet szerinti irányító hatósági feladatok ellátásában.</w:t>
      </w:r>
    </w:p>
    <w:p w:rsidR="00774541" w:rsidRPr="00EC6909" w:rsidRDefault="00774541" w:rsidP="00774541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90679437"/>
      <w:r w:rsidRPr="00EC6909">
        <w:rPr>
          <w:rFonts w:ascii="Times New Roman" w:hAnsi="Times New Roman"/>
          <w:sz w:val="24"/>
          <w:szCs w:val="24"/>
        </w:rPr>
        <w:t xml:space="preserve">Elősegíti, hogy a forrás kezelése és felhasználása szabályszerűen, célszerűen és eredményesen történjen. </w:t>
      </w:r>
    </w:p>
    <w:p w:rsidR="00DD0DAC" w:rsidRPr="00EC6909" w:rsidRDefault="00213FB9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Gondoskodik a Közreműködő Szervezet munkájának szakmai irányításáról, felügyeletéről, rendszeres ellenőrzéséről.</w:t>
      </w:r>
      <w:r w:rsidR="00DD0DAC" w:rsidRPr="00EC6909">
        <w:rPr>
          <w:rFonts w:ascii="Times New Roman" w:hAnsi="Times New Roman"/>
          <w:sz w:val="24"/>
          <w:szCs w:val="24"/>
        </w:rPr>
        <w:t xml:space="preserve"> </w:t>
      </w:r>
    </w:p>
    <w:p w:rsidR="00774541" w:rsidRPr="00EC6909" w:rsidRDefault="00774541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lastRenderedPageBreak/>
        <w:t>Kidolgozza, szükség esetén módosítja a forrásfelhasználáshoz kapcsolódó eljárásokhoz szükséges eljárásrendet és módszertanokat.</w:t>
      </w:r>
    </w:p>
    <w:p w:rsidR="00DD0DAC" w:rsidRPr="00EC6909" w:rsidRDefault="00DD0DAC" w:rsidP="00400010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 xml:space="preserve">Ellátja a program végrehajtására vonatkozó </w:t>
      </w:r>
      <w:r w:rsidR="00774541" w:rsidRPr="00EC6909">
        <w:rPr>
          <w:rFonts w:ascii="Times New Roman" w:hAnsi="Times New Roman"/>
          <w:sz w:val="24"/>
          <w:szCs w:val="24"/>
        </w:rPr>
        <w:t xml:space="preserve">külső </w:t>
      </w:r>
      <w:r w:rsidRPr="00EC6909">
        <w:rPr>
          <w:rFonts w:ascii="Times New Roman" w:hAnsi="Times New Roman"/>
          <w:sz w:val="24"/>
          <w:szCs w:val="24"/>
        </w:rPr>
        <w:t>ellenőrzések koordinációs feladatait, részt vesz az ellenőrzéseken, koordinálja az adatszolgáltatást és a válaszadást.</w:t>
      </w:r>
    </w:p>
    <w:p w:rsidR="00DD0DAC" w:rsidRPr="00EC6909" w:rsidRDefault="00DD0DAC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Közreműködik az irányító hatóság csalás elleni, valamint kommunikációs feladatainak végrehajtásában.</w:t>
      </w:r>
    </w:p>
    <w:p w:rsidR="00774541" w:rsidRPr="00EC6909" w:rsidRDefault="00774541" w:rsidP="00070599">
      <w:pPr>
        <w:pStyle w:val="Listaszerbekezds"/>
        <w:numPr>
          <w:ilvl w:val="0"/>
          <w:numId w:val="25"/>
        </w:numPr>
        <w:spacing w:before="28" w:after="12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Ellátja a Fejlesztéspolitikai Adatbázis és Információs Rendszer menedzseri feladatait.</w:t>
      </w:r>
    </w:p>
    <w:bookmarkEnd w:id="0"/>
    <w:p w:rsidR="00AE46E9" w:rsidRPr="00EC6909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Jogállás, illetmény és egyéb juttatások: </w:t>
      </w:r>
    </w:p>
    <w:p w:rsidR="003A1BCB" w:rsidRPr="00EC6909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, ideértve különösen a Külgazdasági és Külügyminisztérium Közszolgálati Szabályzatáról szóló 1/2020. (I. 31.) KKM KÁT utasításban foglaltak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alapján történik. 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Cafetéria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magyar állampolgárság;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cselekvőképesség;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büntetlen előélet;</w:t>
      </w:r>
    </w:p>
    <w:p w:rsidR="00AA4EBB" w:rsidRPr="00EC6909" w:rsidRDefault="00AA4EBB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tapasztalat az uniós támogatások terén;</w:t>
      </w:r>
    </w:p>
    <w:p w:rsidR="007F2C59" w:rsidRPr="00EC6909" w:rsidRDefault="007F2C59" w:rsidP="007F2C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számítógépes ismeretek, gyakorlat az Outlook, Word, Excel programok használatában;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vagyonnyilatkozat-tételi kötelezettség teljesítésének vállalása;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EC6909" w:rsidRDefault="00774541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felsőfokú/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EC6909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EC6909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380D" w:rsidRPr="00EC6909" w:rsidRDefault="00F93054" w:rsidP="007F2C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elbírálásánál előnyt jelent:</w:t>
      </w:r>
    </w:p>
    <w:p w:rsidR="00AA4EBB" w:rsidRPr="00EC6909" w:rsidRDefault="00963D8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AA4EBB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Fejlesztéspolitikai Adatbázis és Információs Rendszer, azon belül az Európai Uniós programok rendszer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>ének</w:t>
      </w:r>
      <w:r w:rsidR="00AA4EBB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(EUPR) ismerete;</w:t>
      </w:r>
    </w:p>
    <w:p w:rsidR="00C668CC" w:rsidRPr="00EC6909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 w:rsidR="00074626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 w:rsidR="000E4CAA"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Elvárt kompetenciák: </w:t>
      </w:r>
    </w:p>
    <w:p w:rsidR="00DD59AF" w:rsidRPr="00EC6909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igényes és gyors munkavégzés,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önálló munkavégzésre való képesség,</w:t>
      </w:r>
      <w:r w:rsidR="000A5C85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kezdeményezőképesség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jó 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írásbeli és szóbeli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kommunikáció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készség,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fegyelmezett és lényeglátó munkavégzésre való képesség,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stressztűrő képesség;</w:t>
      </w:r>
    </w:p>
    <w:p w:rsidR="00F93054" w:rsidRPr="00EC6909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csapatban törté</w:t>
      </w:r>
      <w:r w:rsidR="00DD59AF" w:rsidRPr="00EC6909">
        <w:rPr>
          <w:rFonts w:ascii="Times New Roman" w:eastAsia="Times New Roman" w:hAnsi="Times New Roman"/>
          <w:sz w:val="24"/>
          <w:szCs w:val="24"/>
          <w:lang w:eastAsia="hu-HU"/>
        </w:rPr>
        <w:t>nő feladatvégzésre való készség.</w:t>
      </w:r>
    </w:p>
    <w:p w:rsidR="00F93054" w:rsidRPr="00EC6909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álláshely betölthetőségének időpontja:</w:t>
      </w:r>
    </w:p>
    <w:p w:rsidR="00C668CC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kizárólag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a munkáltatói jogkör gyakorló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ezirányú döntését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 tölthető be.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(jogviszony létesítési)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kötelezettséget nem von maga után!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részeként elektronikus úton benyújtandó iratok, igazolások:</w:t>
      </w:r>
    </w:p>
    <w:p w:rsidR="00591F6F" w:rsidRDefault="00591F6F" w:rsidP="00591F6F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fényképpel ellátott, folytatólagosan, pontosan kitöltött ún. közszolgálati típusú részletes szakmai önéletrajz </w:t>
      </w:r>
      <w:proofErr w:type="gram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- .xls</w:t>
      </w:r>
      <w:proofErr w:type="gram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(x) formátumban benyújtva (sablon letölthető: </w:t>
      </w:r>
      <w:hyperlink r:id="rId5" w:history="1">
        <w:r w:rsidRPr="0027751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https://kkmprojektek.kormany.hu/admin/download/9/9a/13000/Kozszolgalati_oneletrajz_sablon.xlsx</w:t>
        </w:r>
      </w:hyperlink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591F6F" w:rsidRPr="00277513" w:rsidRDefault="00591F6F" w:rsidP="00591F6F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Magyar nyelvű motivációs levél,</w:t>
      </w:r>
    </w:p>
    <w:p w:rsidR="00591F6F" w:rsidRPr="00EC6909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Bruttó bérigény (illetmény-igény) megjelölése,</w:t>
      </w:r>
    </w:p>
    <w:p w:rsidR="00591F6F" w:rsidRPr="00EC6909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legmagasabb iskolai végzettsége(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)t és egyéb szakképzettsége(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)t, valamint nyelvtudást igazoló </w:t>
      </w:r>
      <w:proofErr w:type="gram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dokumentumok</w:t>
      </w:r>
      <w:proofErr w:type="gram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scannelt másolata,</w:t>
      </w:r>
    </w:p>
    <w:p w:rsidR="00591F6F" w:rsidRPr="00EC6909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pályázati kiírás mellékletét képező kitöltött, digitális másolatban (scannelt) aláírt adatkezelési és hozzájáruló nyilatkozat (1. melléklet),</w:t>
      </w:r>
    </w:p>
    <w:p w:rsidR="00591F6F" w:rsidRDefault="00591F6F" w:rsidP="00591F6F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Aláírt </w:t>
      </w:r>
      <w:proofErr w:type="spell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scannet</w:t>
      </w:r>
      <w:proofErr w:type="spell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 nyilatkozat a büntetlen előéletről (</w:t>
      </w:r>
      <w:r w:rsidRPr="00277513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) vagy 3 hónapnál nem régebbi hatósági erkölcsi bizonyítvány benyújtása,</w:t>
      </w:r>
    </w:p>
    <w:p w:rsidR="00591F6F" w:rsidRPr="00277513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7513">
        <w:rPr>
          <w:rFonts w:ascii="Times New Roman" w:hAnsi="Times New Roman"/>
          <w:color w:val="000000"/>
          <w:sz w:val="24"/>
          <w:szCs w:val="24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277513">
        <w:rPr>
          <w:rFonts w:ascii="Times New Roman" w:hAnsi="Times New Roman"/>
          <w:i/>
          <w:color w:val="000000"/>
          <w:sz w:val="24"/>
          <w:szCs w:val="24"/>
        </w:rPr>
        <w:t xml:space="preserve">az összefoglaló nyilatkozat-minta a pályázati kiírás mellékletében található </w:t>
      </w:r>
      <w:r w:rsidRPr="00277513">
        <w:rPr>
          <w:rFonts w:ascii="Times New Roman" w:hAnsi="Times New Roman"/>
          <w:color w:val="000000"/>
          <w:sz w:val="24"/>
          <w:szCs w:val="24"/>
        </w:rPr>
        <w:t>ld. 2. sz. melléklet),</w:t>
      </w:r>
    </w:p>
    <w:p w:rsidR="00591F6F" w:rsidRPr="00EC6909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EC6909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ld. 2. sz. melléklet)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(letölthető: </w:t>
      </w:r>
      <w:hyperlink r:id="rId6" w:history="1">
        <w:r w:rsidRPr="008A78D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https://kkmprojektek.kormany.hu/admin/download/8/15/43000/Adatkezelesi_es_hozzajarulo_nyilatkozat_1_sz_melleklet.docx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91F6F" w:rsidRPr="00EC6909" w:rsidRDefault="00591F6F" w:rsidP="00591F6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Opcionálisan </w:t>
      </w:r>
      <w:proofErr w:type="gram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csatolható(</w:t>
      </w:r>
      <w:proofErr w:type="spellStart"/>
      <w:proofErr w:type="gram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ak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): referenciák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1" w:name="_GoBack"/>
      <w:bookmarkEnd w:id="1"/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Fontos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! Felhívjuk a Tisztelt Pályázók figyelmét, hogy MINDEN csatolandó dokumentumot egyszerre (lehetőleg egy e-mailben) kérünk benyújtani, a beküldött dokumentumok pótlására, kiegészítésére postai úton/személyesen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nincs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7EFF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537E6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F57EFF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87B3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június</w:t>
      </w:r>
      <w:r w:rsidR="00EC6909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1</w:t>
      </w:r>
      <w:r w:rsidR="00587B3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EC6909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C668CC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68CC" w:rsidRPr="00EC6909" w:rsidRDefault="00C668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43864" w:rsidRPr="00EC6909" w:rsidRDefault="00843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pályázatok benyújtásának módja: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pályázatot 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kizárólag </w:t>
      </w:r>
      <w:r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 úton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,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</w:t>
      </w:r>
      <w:hyperlink r:id="rId7" w:history="1">
        <w:r w:rsidR="00591F6F" w:rsidRPr="00CD397F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palyazat11@mfa.gov.hu</w:t>
        </w:r>
      </w:hyperlink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proofErr w:type="spellStart"/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BELF_</w:t>
      </w:r>
      <w:r w:rsidR="003C380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KERPOL</w:t>
      </w:r>
      <w:r w:rsidR="00471961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_</w:t>
      </w:r>
      <w:r w:rsidR="00AA4EBB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támogatáskezelési_referens</w:t>
      </w:r>
      <w:proofErr w:type="spellEnd"/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” 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(pályázó neve).</w:t>
      </w:r>
    </w:p>
    <w:p w:rsidR="00A71EAD" w:rsidRPr="00EC6909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EC6909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37E67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E2D7A">
        <w:rPr>
          <w:rFonts w:ascii="Times New Roman" w:eastAsia="Times New Roman" w:hAnsi="Times New Roman"/>
          <w:sz w:val="24"/>
          <w:szCs w:val="24"/>
          <w:lang w:eastAsia="hu-HU"/>
        </w:rPr>
        <w:t>június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E2D7A">
        <w:rPr>
          <w:rFonts w:ascii="Times New Roman" w:eastAsia="Times New Roman" w:hAnsi="Times New Roman"/>
          <w:sz w:val="24"/>
          <w:szCs w:val="24"/>
          <w:lang w:eastAsia="hu-HU"/>
        </w:rPr>
        <w:t>30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="00F22C62" w:rsidRPr="00EC6909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kerpol@mfa.gov.hu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EC690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D611CA" w:rsidRPr="00EC690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EC6909" w:rsidRDefault="00D611CA" w:rsidP="00D611C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9" w:history="1">
        <w:r w:rsidRPr="00EC6909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www.kozszolgallas.hu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0" w:history="1">
        <w:r w:rsidRPr="00EC6909">
          <w:rPr>
            <w:rStyle w:val="Hiperhivatkozs"/>
            <w:rFonts w:ascii="Times New Roman" w:hAnsi="Times New Roman"/>
            <w:color w:val="auto"/>
            <w:sz w:val="24"/>
            <w:szCs w:val="24"/>
          </w:rPr>
          <w:t>https://kormany.hu/dokumentumtar/allaspalyazatok-osztondijak-gyakornoki-palyazatok</w:t>
        </w:r>
      </w:hyperlink>
      <w:r w:rsidRPr="00EC6909">
        <w:rPr>
          <w:rFonts w:ascii="Times New Roman" w:hAnsi="Times New Roman"/>
          <w:sz w:val="24"/>
          <w:szCs w:val="24"/>
        </w:rPr>
        <w:t>)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EC6909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34552E" w:rsidRPr="00EC6909" w:rsidRDefault="0034552E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EC6909" w:rsidRDefault="00C668CC" w:rsidP="00E45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1. sz. melléklet</w:t>
      </w:r>
    </w:p>
    <w:p w:rsidR="00C668CC" w:rsidRPr="00EC6909" w:rsidRDefault="00C668CC" w:rsidP="00E45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Adatkezelési és hozzájáruló nyilatkozat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. (szül. hely, idő: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, anyja születési neve: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Külgazdasági és Külügyminisztérium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álláspályázata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>kapcsán az alábbiak szerint nyilatkozom: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EC6909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hozzájárulok.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nem járulok hozzá*</w:t>
      </w:r>
    </w:p>
    <w:p w:rsidR="00F93054" w:rsidRPr="00EC6909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20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</w:t>
      </w: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pályázó aláírása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i/>
          <w:sz w:val="24"/>
          <w:szCs w:val="24"/>
          <w:lang w:eastAsia="hu-HU"/>
        </w:rPr>
        <w:lastRenderedPageBreak/>
        <w:t>*A megfelelő válasz aláhúzandó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. (szül. hely, idő: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, anyja születési neve: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Külgazdasági és Külügyminisztérium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álláspályázata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>kapcsán az alábbiak szerint nyilatkozom: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EC6909">
        <w:rPr>
          <w:rFonts w:ascii="Times New Roman" w:eastAsia="Times New Roman" w:hAnsi="Times New Roman"/>
          <w:iCs/>
          <w:sz w:val="24"/>
          <w:szCs w:val="24"/>
          <w:lang w:eastAsia="hu-HU"/>
        </w:rPr>
        <w:t>foglalkoztatástól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eltiltás hatálya alatt.</w:t>
      </w:r>
    </w:p>
    <w:p w:rsidR="00F93054" w:rsidRPr="00EC6909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EC69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nemzetbiztonsági szolgálatokról szóló 1995. évi CXXV. törvény szerint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nemzetbiztonsági ellenőrzés lefolytatásához,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Eredményes kiválasztás és jogviszony létesítés esetén az </w:t>
      </w:r>
      <w:r w:rsidRPr="00EC69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vagyonnyilatkozat-tételi kötelezettség teljesítését vállalom,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EC6909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20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</w:t>
      </w: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pályázó aláírása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Adatkezelési tájékoztató 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Adatkezelő megnevezése</w:t>
      </w:r>
    </w:p>
    <w:p w:rsidR="00F93054" w:rsidRPr="00EC6909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Székhely: 1027 Budapest, Bem rakpart 47.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Postai cím: 1027 Budapest, Bem rakpart 47.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Telefon: +36-1-458-1000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Email cím: </w:t>
      </w:r>
      <w:hyperlink r:id="rId11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adatvédelmi tisztviselő neve és elérhetősége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adatkezelés célja és jogalapja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EC6909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EC6909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EC6909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EC6909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Kit. 82-83. §-ára.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személyes adatok tárolásának ideje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Ltv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anyagához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F93054" w:rsidRPr="00EC6909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érintett adatkezeléssel kapcsolatos jogai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7.1. Határidő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 Az adatkezeléssel kapcsolatos érintetti jogok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7.2.1. A hozzáféréshez való jog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személyes adatait;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jogalapon;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adatkezelési cél miatt;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mennyi ideig kezeli; továbbá, hogy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forrásból származnak a személyes adatai;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 </w:t>
      </w: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7.2.2. A helyesbítéshez való jog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7.2.3. Az adatkezelés korlátozásához való jog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EC6909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EC6909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EC6909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EC6909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EC6909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7.2.4. A törléshez való jog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a személyes adatokat jogellenesen kezelték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– a KKM  számára </w:t>
      </w:r>
      <w:proofErr w:type="gram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jogszabály törlési</w:t>
      </w:r>
      <w:proofErr w:type="gram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8. Jogorvoslathoz való jog</w:t>
      </w:r>
    </w:p>
    <w:p w:rsidR="00F93054" w:rsidRPr="00EC6909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EC6909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2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ugyfelszolgalat@naih.hu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, honlap: </w:t>
      </w:r>
      <w:hyperlink r:id="rId13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www.naih.hu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),</w:t>
      </w:r>
    </w:p>
    <w:p w:rsidR="00F93054" w:rsidRPr="00EC6909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hyperlink r:id="rId14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EC6909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EC6909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0"/>
  </w:num>
  <w:num w:numId="14">
    <w:abstractNumId w:val="25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22"/>
  </w:num>
  <w:num w:numId="23">
    <w:abstractNumId w:val="13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74626"/>
    <w:rsid w:val="0008613C"/>
    <w:rsid w:val="000A5C85"/>
    <w:rsid w:val="000B24B2"/>
    <w:rsid w:val="000E2D7A"/>
    <w:rsid w:val="000E4CAA"/>
    <w:rsid w:val="000F5A07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13FB9"/>
    <w:rsid w:val="002303D9"/>
    <w:rsid w:val="002323FE"/>
    <w:rsid w:val="0023639A"/>
    <w:rsid w:val="002430A8"/>
    <w:rsid w:val="0026204B"/>
    <w:rsid w:val="00267C62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502A2"/>
    <w:rsid w:val="003862F5"/>
    <w:rsid w:val="00390011"/>
    <w:rsid w:val="00392276"/>
    <w:rsid w:val="003A1BCB"/>
    <w:rsid w:val="003B66DB"/>
    <w:rsid w:val="003C380D"/>
    <w:rsid w:val="003D1BCC"/>
    <w:rsid w:val="003D699B"/>
    <w:rsid w:val="003E15DC"/>
    <w:rsid w:val="003E7197"/>
    <w:rsid w:val="00415F28"/>
    <w:rsid w:val="00432A19"/>
    <w:rsid w:val="004552D2"/>
    <w:rsid w:val="00471961"/>
    <w:rsid w:val="00484DD0"/>
    <w:rsid w:val="00492625"/>
    <w:rsid w:val="004B2084"/>
    <w:rsid w:val="004C028D"/>
    <w:rsid w:val="00502061"/>
    <w:rsid w:val="00520DA8"/>
    <w:rsid w:val="00537E67"/>
    <w:rsid w:val="00567CD8"/>
    <w:rsid w:val="00584E3F"/>
    <w:rsid w:val="00587B32"/>
    <w:rsid w:val="00591F6F"/>
    <w:rsid w:val="005A0715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84101"/>
    <w:rsid w:val="006A6CC1"/>
    <w:rsid w:val="006C6721"/>
    <w:rsid w:val="006D148F"/>
    <w:rsid w:val="006E7C84"/>
    <w:rsid w:val="00735418"/>
    <w:rsid w:val="007404C8"/>
    <w:rsid w:val="0074754C"/>
    <w:rsid w:val="00757A38"/>
    <w:rsid w:val="00774541"/>
    <w:rsid w:val="007A7639"/>
    <w:rsid w:val="007B16E3"/>
    <w:rsid w:val="007E23F6"/>
    <w:rsid w:val="007F2C59"/>
    <w:rsid w:val="00803622"/>
    <w:rsid w:val="008166F1"/>
    <w:rsid w:val="00843864"/>
    <w:rsid w:val="008746A9"/>
    <w:rsid w:val="008E7C6A"/>
    <w:rsid w:val="008F7DA4"/>
    <w:rsid w:val="00916D28"/>
    <w:rsid w:val="00925256"/>
    <w:rsid w:val="00934EE5"/>
    <w:rsid w:val="00937667"/>
    <w:rsid w:val="00963D84"/>
    <w:rsid w:val="009700CB"/>
    <w:rsid w:val="009851CD"/>
    <w:rsid w:val="009F4D89"/>
    <w:rsid w:val="00A553BF"/>
    <w:rsid w:val="00A6091D"/>
    <w:rsid w:val="00A62CB5"/>
    <w:rsid w:val="00A71EAD"/>
    <w:rsid w:val="00A8419C"/>
    <w:rsid w:val="00A9730F"/>
    <w:rsid w:val="00AA4EBB"/>
    <w:rsid w:val="00AC3C1B"/>
    <w:rsid w:val="00AE46E9"/>
    <w:rsid w:val="00AE60A5"/>
    <w:rsid w:val="00AF0E33"/>
    <w:rsid w:val="00B168E1"/>
    <w:rsid w:val="00B24082"/>
    <w:rsid w:val="00B54D01"/>
    <w:rsid w:val="00B605B9"/>
    <w:rsid w:val="00B84E52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5079"/>
    <w:rsid w:val="00C971DA"/>
    <w:rsid w:val="00CA3458"/>
    <w:rsid w:val="00CA74F6"/>
    <w:rsid w:val="00CB7549"/>
    <w:rsid w:val="00CB7990"/>
    <w:rsid w:val="00CC08F1"/>
    <w:rsid w:val="00CF0058"/>
    <w:rsid w:val="00CF21F5"/>
    <w:rsid w:val="00D03A0C"/>
    <w:rsid w:val="00D24AA0"/>
    <w:rsid w:val="00D3527F"/>
    <w:rsid w:val="00D611CA"/>
    <w:rsid w:val="00D67E7D"/>
    <w:rsid w:val="00DD0DAC"/>
    <w:rsid w:val="00DD59AF"/>
    <w:rsid w:val="00DF577A"/>
    <w:rsid w:val="00DF72F2"/>
    <w:rsid w:val="00DF7992"/>
    <w:rsid w:val="00E15DE6"/>
    <w:rsid w:val="00E30E7D"/>
    <w:rsid w:val="00E45674"/>
    <w:rsid w:val="00E52919"/>
    <w:rsid w:val="00E72DDF"/>
    <w:rsid w:val="00E74672"/>
    <w:rsid w:val="00E920D9"/>
    <w:rsid w:val="00EC1FFC"/>
    <w:rsid w:val="00EC3066"/>
    <w:rsid w:val="00EC6909"/>
    <w:rsid w:val="00ED218C"/>
    <w:rsid w:val="00EF0F8E"/>
    <w:rsid w:val="00EF6235"/>
    <w:rsid w:val="00F10EB5"/>
    <w:rsid w:val="00F1355F"/>
    <w:rsid w:val="00F175EC"/>
    <w:rsid w:val="00F22C62"/>
    <w:rsid w:val="00F45B6F"/>
    <w:rsid w:val="00F45E02"/>
    <w:rsid w:val="00F54F7E"/>
    <w:rsid w:val="00F57EFF"/>
    <w:rsid w:val="00F7073A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E5B7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pol@mfa.gov.hu" TargetMode="External"/><Relationship Id="rId13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kozkapcsolat@mfa.gov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rmany.hu/dokumentumtar/allaspalyazatok-osztondijak-gyakornoki-palyaza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zszolgallas.hu" TargetMode="External"/><Relationship Id="rId14" Type="http://schemas.openxmlformats.org/officeDocument/2006/relationships/hyperlink" Target="http://birosag.hu/ugyfelkapcsolatiportal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2945</Words>
  <Characters>20322</Characters>
  <Application>Microsoft Office Word</Application>
  <DocSecurity>4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Miniska Édua</cp:lastModifiedBy>
  <cp:revision>2</cp:revision>
  <cp:lastPrinted>2021-12-22T13:01:00Z</cp:lastPrinted>
  <dcterms:created xsi:type="dcterms:W3CDTF">2025-05-29T14:05:00Z</dcterms:created>
  <dcterms:modified xsi:type="dcterms:W3CDTF">2025-05-29T14:05:00Z</dcterms:modified>
</cp:coreProperties>
</file>