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F1A9E" w14:textId="77777777" w:rsidR="00B86FE8" w:rsidRPr="00DC6C83" w:rsidRDefault="00B86FE8" w:rsidP="00B86FE8">
      <w:pPr>
        <w:rPr>
          <w:rFonts w:asciiTheme="majorHAnsi" w:hAnsiTheme="majorHAnsi" w:cstheme="majorHAnsi"/>
        </w:rPr>
      </w:pPr>
    </w:p>
    <w:p w14:paraId="60DCF244" w14:textId="77777777" w:rsidR="00B86FE8" w:rsidRPr="00DC6C83" w:rsidRDefault="00B86FE8" w:rsidP="00B86FE8">
      <w:pPr>
        <w:rPr>
          <w:rFonts w:asciiTheme="majorHAnsi" w:hAnsiTheme="majorHAnsi" w:cstheme="majorHAnsi"/>
        </w:rPr>
      </w:pPr>
    </w:p>
    <w:p w14:paraId="174716DD" w14:textId="77777777" w:rsidR="00B86FE8" w:rsidRPr="00DC6C83" w:rsidRDefault="00B86FE8" w:rsidP="00B86FE8">
      <w:pPr>
        <w:rPr>
          <w:rFonts w:asciiTheme="majorHAnsi" w:hAnsiTheme="majorHAnsi" w:cstheme="majorHAnsi"/>
        </w:rPr>
      </w:pPr>
    </w:p>
    <w:p w14:paraId="1D44CEF0" w14:textId="77777777" w:rsidR="00B86FE8" w:rsidRPr="00DC6C83" w:rsidRDefault="00B86FE8" w:rsidP="00B86FE8">
      <w:pPr>
        <w:rPr>
          <w:rFonts w:asciiTheme="majorHAnsi" w:hAnsiTheme="majorHAnsi" w:cstheme="majorHAnsi"/>
          <w:b/>
          <w:color w:val="000000" w:themeColor="text1"/>
          <w:sz w:val="28"/>
          <w:szCs w:val="28"/>
        </w:rPr>
      </w:pPr>
    </w:p>
    <w:p w14:paraId="73C39EEE" w14:textId="77777777" w:rsidR="00B86FE8" w:rsidRPr="00DC6C83" w:rsidRDefault="00B86FE8" w:rsidP="00B86FE8">
      <w:pPr>
        <w:rPr>
          <w:rFonts w:asciiTheme="majorHAnsi" w:hAnsiTheme="majorHAnsi" w:cstheme="majorHAnsi"/>
          <w:b/>
          <w:color w:val="000000" w:themeColor="text1"/>
          <w:sz w:val="28"/>
          <w:szCs w:val="28"/>
        </w:rPr>
      </w:pPr>
    </w:p>
    <w:sdt>
      <w:sdtPr>
        <w:rPr>
          <w:rFonts w:asciiTheme="majorHAnsi" w:hAnsiTheme="majorHAnsi" w:cstheme="majorHAnsi"/>
          <w:b/>
          <w:sz w:val="36"/>
        </w:rPr>
        <w:id w:val="1165437365"/>
        <w:docPartObj>
          <w:docPartGallery w:val="Table of Contents"/>
          <w:docPartUnique/>
        </w:docPartObj>
      </w:sdtPr>
      <w:sdtEndPr>
        <w:rPr>
          <w:bCs/>
          <w:sz w:val="24"/>
        </w:rPr>
      </w:sdtEndPr>
      <w:sdtContent>
        <w:p w14:paraId="5D414CDC" w14:textId="18FF4FBE" w:rsidR="009D6FFA" w:rsidRDefault="004820D1" w:rsidP="009D6FFA">
          <w:pPr>
            <w:spacing w:after="0" w:line="276" w:lineRule="auto"/>
            <w:ind w:right="-2570"/>
            <w:rPr>
              <w:rFonts w:asciiTheme="majorHAnsi" w:hAnsiTheme="majorHAnsi" w:cstheme="majorHAnsi"/>
              <w:b/>
              <w:sz w:val="36"/>
            </w:rPr>
          </w:pPr>
          <w:proofErr w:type="gramStart"/>
          <w:r w:rsidRPr="004820D1">
            <w:rPr>
              <w:rFonts w:asciiTheme="majorHAnsi" w:hAnsiTheme="majorHAnsi" w:cstheme="majorHAnsi"/>
              <w:b/>
              <w:sz w:val="36"/>
            </w:rPr>
            <w:t>az</w:t>
          </w:r>
          <w:proofErr w:type="gramEnd"/>
          <w:r w:rsidRPr="004820D1">
            <w:rPr>
              <w:rFonts w:asciiTheme="majorHAnsi" w:hAnsiTheme="majorHAnsi" w:cstheme="majorHAnsi"/>
              <w:b/>
              <w:sz w:val="36"/>
            </w:rPr>
            <w:t xml:space="preserve"> Európai Unió számára készített köznevelési stratégia </w:t>
          </w:r>
        </w:p>
        <w:p w14:paraId="15A2DD2E" w14:textId="77777777" w:rsidR="009D6FFA" w:rsidRDefault="009D6FFA" w:rsidP="009D6FFA">
          <w:pPr>
            <w:spacing w:after="0" w:line="276" w:lineRule="auto"/>
            <w:ind w:right="-2570"/>
            <w:rPr>
              <w:rFonts w:asciiTheme="majorHAnsi" w:hAnsiTheme="majorHAnsi" w:cstheme="majorHAnsi"/>
              <w:b/>
              <w:sz w:val="36"/>
            </w:rPr>
          </w:pPr>
        </w:p>
        <w:p w14:paraId="6D5A6ACA" w14:textId="40BFCBEE" w:rsidR="009D6FFA" w:rsidRDefault="009D6FFA" w:rsidP="009D6FFA">
          <w:pPr>
            <w:spacing w:after="0" w:line="276" w:lineRule="auto"/>
            <w:ind w:right="-2570"/>
            <w:rPr>
              <w:rFonts w:asciiTheme="majorHAnsi" w:hAnsiTheme="majorHAnsi" w:cstheme="majorHAnsi"/>
              <w:b/>
              <w:sz w:val="36"/>
            </w:rPr>
          </w:pPr>
          <w:r>
            <w:rPr>
              <w:rFonts w:asciiTheme="majorHAnsi" w:hAnsiTheme="majorHAnsi" w:cstheme="majorHAnsi"/>
              <w:b/>
              <w:sz w:val="36"/>
            </w:rPr>
            <w:t>2021-2030</w:t>
          </w:r>
        </w:p>
        <w:p w14:paraId="2D2E896A" w14:textId="77777777" w:rsidR="009D6FFA" w:rsidRDefault="009D6FFA" w:rsidP="009D6FFA">
          <w:pPr>
            <w:spacing w:after="0" w:line="276" w:lineRule="auto"/>
            <w:ind w:right="-2570"/>
            <w:rPr>
              <w:rFonts w:asciiTheme="majorHAnsi" w:hAnsiTheme="majorHAnsi" w:cstheme="majorHAnsi"/>
              <w:b/>
              <w:sz w:val="36"/>
            </w:rPr>
          </w:pPr>
        </w:p>
        <w:p w14:paraId="78557457" w14:textId="02324302" w:rsidR="006959AD" w:rsidRDefault="006959AD" w:rsidP="009D6FFA">
          <w:pPr>
            <w:spacing w:after="0" w:line="276" w:lineRule="auto"/>
            <w:ind w:right="-2570"/>
            <w:rPr>
              <w:rFonts w:asciiTheme="majorHAnsi" w:hAnsiTheme="majorHAnsi" w:cstheme="majorHAnsi"/>
              <w:b/>
              <w:sz w:val="36"/>
            </w:rPr>
          </w:pPr>
          <w:r>
            <w:rPr>
              <w:rFonts w:asciiTheme="majorHAnsi" w:hAnsiTheme="majorHAnsi" w:cstheme="majorHAnsi"/>
              <w:b/>
              <w:sz w:val="36"/>
            </w:rPr>
            <w:br w:type="page"/>
          </w:r>
        </w:p>
        <w:p w14:paraId="015D2100" w14:textId="77777777" w:rsidR="00B86FE8" w:rsidRPr="00DC6C83" w:rsidRDefault="00B86FE8" w:rsidP="00B86FE8">
          <w:pPr>
            <w:spacing w:after="0" w:line="276" w:lineRule="auto"/>
            <w:ind w:right="-2570"/>
            <w:rPr>
              <w:rFonts w:asciiTheme="majorHAnsi" w:hAnsiTheme="majorHAnsi" w:cstheme="majorHAnsi"/>
              <w:b/>
              <w:sz w:val="36"/>
            </w:rPr>
          </w:pPr>
          <w:r w:rsidRPr="00DC6C83">
            <w:rPr>
              <w:rFonts w:asciiTheme="majorHAnsi" w:hAnsiTheme="majorHAnsi" w:cstheme="majorHAnsi"/>
              <w:b/>
              <w:sz w:val="36"/>
            </w:rPr>
            <w:lastRenderedPageBreak/>
            <w:t>Tartalomjegyzék</w:t>
          </w:r>
        </w:p>
        <w:p w14:paraId="2ECB68FE" w14:textId="77777777" w:rsidR="00D676D5" w:rsidRDefault="00983D18">
          <w:pPr>
            <w:pStyle w:val="TJ1"/>
            <w:rPr>
              <w:rFonts w:asciiTheme="minorHAnsi" w:eastAsiaTheme="minorEastAsia" w:hAnsiTheme="minorHAnsi" w:cstheme="minorBidi"/>
              <w:b w:val="0"/>
              <w:color w:val="auto"/>
              <w:sz w:val="22"/>
              <w:szCs w:val="22"/>
              <w:lang w:eastAsia="hu-HU"/>
            </w:rPr>
          </w:pPr>
          <w:r w:rsidRPr="00DC6C83">
            <w:rPr>
              <w:rFonts w:asciiTheme="majorHAnsi" w:hAnsiTheme="majorHAnsi" w:cstheme="majorHAnsi"/>
              <w:noProof w:val="0"/>
            </w:rPr>
            <w:fldChar w:fldCharType="begin"/>
          </w:r>
          <w:r w:rsidR="00B86FE8" w:rsidRPr="00DC6C83">
            <w:rPr>
              <w:rFonts w:asciiTheme="majorHAnsi" w:hAnsiTheme="majorHAnsi" w:cstheme="majorHAnsi"/>
              <w:noProof w:val="0"/>
            </w:rPr>
            <w:instrText xml:space="preserve"> TOC \o "1-4" \h \z \u </w:instrText>
          </w:r>
          <w:r w:rsidRPr="00DC6C83">
            <w:rPr>
              <w:rFonts w:asciiTheme="majorHAnsi" w:hAnsiTheme="majorHAnsi" w:cstheme="majorHAnsi"/>
              <w:noProof w:val="0"/>
            </w:rPr>
            <w:fldChar w:fldCharType="separate"/>
          </w:r>
          <w:hyperlink w:anchor="_Toc46822685" w:history="1">
            <w:r w:rsidR="00D676D5" w:rsidRPr="00603669">
              <w:rPr>
                <w:rStyle w:val="Hiperhivatkozs"/>
                <w:rFonts w:asciiTheme="majorHAnsi" w:hAnsiTheme="majorHAnsi" w:cstheme="majorHAnsi"/>
              </w:rPr>
              <w:t>1</w:t>
            </w:r>
            <w:r w:rsidR="00D676D5">
              <w:rPr>
                <w:rFonts w:asciiTheme="minorHAnsi" w:eastAsiaTheme="minorEastAsia" w:hAnsiTheme="minorHAnsi" w:cstheme="minorBidi"/>
                <w:b w:val="0"/>
                <w:color w:val="auto"/>
                <w:sz w:val="22"/>
                <w:szCs w:val="22"/>
                <w:lang w:eastAsia="hu-HU"/>
              </w:rPr>
              <w:tab/>
            </w:r>
            <w:r w:rsidR="00D676D5" w:rsidRPr="00603669">
              <w:rPr>
                <w:rStyle w:val="Hiperhivatkozs"/>
                <w:rFonts w:asciiTheme="majorHAnsi" w:hAnsiTheme="majorHAnsi" w:cstheme="majorHAnsi"/>
              </w:rPr>
              <w:t>Bevezetés</w:t>
            </w:r>
            <w:r w:rsidR="00D676D5">
              <w:rPr>
                <w:webHidden/>
              </w:rPr>
              <w:tab/>
            </w:r>
            <w:r w:rsidR="00D676D5">
              <w:rPr>
                <w:webHidden/>
              </w:rPr>
              <w:fldChar w:fldCharType="begin"/>
            </w:r>
            <w:r w:rsidR="00D676D5">
              <w:rPr>
                <w:webHidden/>
              </w:rPr>
              <w:instrText xml:space="preserve"> PAGEREF _Toc46822685 \h </w:instrText>
            </w:r>
            <w:r w:rsidR="00D676D5">
              <w:rPr>
                <w:webHidden/>
              </w:rPr>
            </w:r>
            <w:r w:rsidR="00D676D5">
              <w:rPr>
                <w:webHidden/>
              </w:rPr>
              <w:fldChar w:fldCharType="separate"/>
            </w:r>
            <w:r w:rsidR="00D676D5">
              <w:rPr>
                <w:webHidden/>
              </w:rPr>
              <w:t>5</w:t>
            </w:r>
            <w:r w:rsidR="00D676D5">
              <w:rPr>
                <w:webHidden/>
              </w:rPr>
              <w:fldChar w:fldCharType="end"/>
            </w:r>
          </w:hyperlink>
        </w:p>
        <w:p w14:paraId="4C87A1C7" w14:textId="77777777" w:rsidR="00D676D5" w:rsidRDefault="00BE288F">
          <w:pPr>
            <w:pStyle w:val="TJ1"/>
            <w:rPr>
              <w:rFonts w:asciiTheme="minorHAnsi" w:eastAsiaTheme="minorEastAsia" w:hAnsiTheme="minorHAnsi" w:cstheme="minorBidi"/>
              <w:b w:val="0"/>
              <w:color w:val="auto"/>
              <w:sz w:val="22"/>
              <w:szCs w:val="22"/>
              <w:lang w:eastAsia="hu-HU"/>
            </w:rPr>
          </w:pPr>
          <w:hyperlink w:anchor="_Toc46822686" w:history="1">
            <w:r w:rsidR="00D676D5" w:rsidRPr="00603669">
              <w:rPr>
                <w:rStyle w:val="Hiperhivatkozs"/>
                <w:rFonts w:asciiTheme="majorHAnsi" w:hAnsiTheme="majorHAnsi" w:cstheme="majorHAnsi"/>
              </w:rPr>
              <w:t>2</w:t>
            </w:r>
            <w:r w:rsidR="00D676D5">
              <w:rPr>
                <w:rFonts w:asciiTheme="minorHAnsi" w:eastAsiaTheme="minorEastAsia" w:hAnsiTheme="minorHAnsi" w:cstheme="minorBidi"/>
                <w:b w:val="0"/>
                <w:color w:val="auto"/>
                <w:sz w:val="22"/>
                <w:szCs w:val="22"/>
                <w:lang w:eastAsia="hu-HU"/>
              </w:rPr>
              <w:tab/>
            </w:r>
            <w:r w:rsidR="00D676D5" w:rsidRPr="00603669">
              <w:rPr>
                <w:rStyle w:val="Hiperhivatkozs"/>
                <w:rFonts w:asciiTheme="majorHAnsi" w:hAnsiTheme="majorHAnsi" w:cstheme="majorHAnsi"/>
              </w:rPr>
              <w:t>A stratégiaalkotás keretei</w:t>
            </w:r>
            <w:r w:rsidR="00D676D5">
              <w:rPr>
                <w:webHidden/>
              </w:rPr>
              <w:tab/>
            </w:r>
            <w:r w:rsidR="00D676D5">
              <w:rPr>
                <w:webHidden/>
              </w:rPr>
              <w:fldChar w:fldCharType="begin"/>
            </w:r>
            <w:r w:rsidR="00D676D5">
              <w:rPr>
                <w:webHidden/>
              </w:rPr>
              <w:instrText xml:space="preserve"> PAGEREF _Toc46822686 \h </w:instrText>
            </w:r>
            <w:r w:rsidR="00D676D5">
              <w:rPr>
                <w:webHidden/>
              </w:rPr>
            </w:r>
            <w:r w:rsidR="00D676D5">
              <w:rPr>
                <w:webHidden/>
              </w:rPr>
              <w:fldChar w:fldCharType="separate"/>
            </w:r>
            <w:r w:rsidR="00D676D5">
              <w:rPr>
                <w:webHidden/>
              </w:rPr>
              <w:t>8</w:t>
            </w:r>
            <w:r w:rsidR="00D676D5">
              <w:rPr>
                <w:webHidden/>
              </w:rPr>
              <w:fldChar w:fldCharType="end"/>
            </w:r>
          </w:hyperlink>
        </w:p>
        <w:p w14:paraId="0A563067" w14:textId="77777777" w:rsidR="00D676D5" w:rsidRDefault="00BE288F">
          <w:pPr>
            <w:pStyle w:val="TJ2"/>
            <w:rPr>
              <w:rFonts w:asciiTheme="minorHAnsi" w:eastAsiaTheme="minorEastAsia" w:hAnsiTheme="minorHAnsi" w:cstheme="minorBidi"/>
              <w:b w:val="0"/>
              <w:i w:val="0"/>
              <w:sz w:val="22"/>
              <w:szCs w:val="22"/>
              <w:lang w:eastAsia="hu-HU"/>
            </w:rPr>
          </w:pPr>
          <w:hyperlink w:anchor="_Toc46822687" w:history="1">
            <w:r w:rsidR="00D676D5" w:rsidRPr="00603669">
              <w:rPr>
                <w:rStyle w:val="Hiperhivatkozs"/>
              </w:rPr>
              <w:t>2.1</w:t>
            </w:r>
            <w:r w:rsidR="00D676D5">
              <w:rPr>
                <w:rFonts w:asciiTheme="minorHAnsi" w:eastAsiaTheme="minorEastAsia" w:hAnsiTheme="minorHAnsi" w:cstheme="minorBidi"/>
                <w:b w:val="0"/>
                <w:i w:val="0"/>
                <w:sz w:val="22"/>
                <w:szCs w:val="22"/>
                <w:lang w:eastAsia="hu-HU"/>
              </w:rPr>
              <w:tab/>
            </w:r>
            <w:r w:rsidR="00D676D5" w:rsidRPr="00603669">
              <w:rPr>
                <w:rStyle w:val="Hiperhivatkozs"/>
              </w:rPr>
              <w:t>A stratégia célja és időtávja</w:t>
            </w:r>
            <w:r w:rsidR="00D676D5">
              <w:rPr>
                <w:webHidden/>
              </w:rPr>
              <w:tab/>
            </w:r>
            <w:r w:rsidR="00D676D5">
              <w:rPr>
                <w:webHidden/>
              </w:rPr>
              <w:fldChar w:fldCharType="begin"/>
            </w:r>
            <w:r w:rsidR="00D676D5">
              <w:rPr>
                <w:webHidden/>
              </w:rPr>
              <w:instrText xml:space="preserve"> PAGEREF _Toc46822687 \h </w:instrText>
            </w:r>
            <w:r w:rsidR="00D676D5">
              <w:rPr>
                <w:webHidden/>
              </w:rPr>
            </w:r>
            <w:r w:rsidR="00D676D5">
              <w:rPr>
                <w:webHidden/>
              </w:rPr>
              <w:fldChar w:fldCharType="separate"/>
            </w:r>
            <w:r w:rsidR="00D676D5">
              <w:rPr>
                <w:webHidden/>
              </w:rPr>
              <w:t>8</w:t>
            </w:r>
            <w:r w:rsidR="00D676D5">
              <w:rPr>
                <w:webHidden/>
              </w:rPr>
              <w:fldChar w:fldCharType="end"/>
            </w:r>
          </w:hyperlink>
        </w:p>
        <w:p w14:paraId="278BA27B" w14:textId="77777777" w:rsidR="00D676D5" w:rsidRDefault="00BE288F">
          <w:pPr>
            <w:pStyle w:val="TJ2"/>
            <w:rPr>
              <w:rFonts w:asciiTheme="minorHAnsi" w:eastAsiaTheme="minorEastAsia" w:hAnsiTheme="minorHAnsi" w:cstheme="minorBidi"/>
              <w:b w:val="0"/>
              <w:i w:val="0"/>
              <w:sz w:val="22"/>
              <w:szCs w:val="22"/>
              <w:lang w:eastAsia="hu-HU"/>
            </w:rPr>
          </w:pPr>
          <w:hyperlink w:anchor="_Toc46822688" w:history="1">
            <w:r w:rsidR="00D676D5" w:rsidRPr="00603669">
              <w:rPr>
                <w:rStyle w:val="Hiperhivatkozs"/>
              </w:rPr>
              <w:t>2.2 Felhasznált nemzetközi és hazai szakpolitikai források</w:t>
            </w:r>
            <w:r w:rsidR="00D676D5">
              <w:rPr>
                <w:webHidden/>
              </w:rPr>
              <w:tab/>
            </w:r>
            <w:r w:rsidR="00D676D5">
              <w:rPr>
                <w:webHidden/>
              </w:rPr>
              <w:fldChar w:fldCharType="begin"/>
            </w:r>
            <w:r w:rsidR="00D676D5">
              <w:rPr>
                <w:webHidden/>
              </w:rPr>
              <w:instrText xml:space="preserve"> PAGEREF _Toc46822688 \h </w:instrText>
            </w:r>
            <w:r w:rsidR="00D676D5">
              <w:rPr>
                <w:webHidden/>
              </w:rPr>
            </w:r>
            <w:r w:rsidR="00D676D5">
              <w:rPr>
                <w:webHidden/>
              </w:rPr>
              <w:fldChar w:fldCharType="separate"/>
            </w:r>
            <w:r w:rsidR="00D676D5">
              <w:rPr>
                <w:webHidden/>
              </w:rPr>
              <w:t>8</w:t>
            </w:r>
            <w:r w:rsidR="00D676D5">
              <w:rPr>
                <w:webHidden/>
              </w:rPr>
              <w:fldChar w:fldCharType="end"/>
            </w:r>
          </w:hyperlink>
        </w:p>
        <w:p w14:paraId="32E511F7" w14:textId="77777777" w:rsidR="00D676D5" w:rsidRDefault="00BE288F">
          <w:pPr>
            <w:pStyle w:val="TJ2"/>
            <w:rPr>
              <w:rFonts w:asciiTheme="minorHAnsi" w:eastAsiaTheme="minorEastAsia" w:hAnsiTheme="minorHAnsi" w:cstheme="minorBidi"/>
              <w:b w:val="0"/>
              <w:i w:val="0"/>
              <w:sz w:val="22"/>
              <w:szCs w:val="22"/>
              <w:lang w:eastAsia="hu-HU"/>
            </w:rPr>
          </w:pPr>
          <w:hyperlink w:anchor="_Toc46822689" w:history="1">
            <w:r w:rsidR="00D676D5" w:rsidRPr="00603669">
              <w:rPr>
                <w:rStyle w:val="Hiperhivatkozs"/>
                <w:rFonts w:asciiTheme="majorHAnsi" w:hAnsiTheme="majorHAnsi" w:cstheme="majorHAnsi"/>
              </w:rPr>
              <w:t>2.2</w:t>
            </w:r>
            <w:r w:rsidR="00D676D5">
              <w:rPr>
                <w:rFonts w:asciiTheme="minorHAnsi" w:eastAsiaTheme="minorEastAsia" w:hAnsiTheme="minorHAnsi" w:cstheme="minorBidi"/>
                <w:b w:val="0"/>
                <w:i w:val="0"/>
                <w:sz w:val="22"/>
                <w:szCs w:val="22"/>
                <w:lang w:eastAsia="hu-HU"/>
              </w:rPr>
              <w:tab/>
            </w:r>
            <w:r w:rsidR="00D676D5" w:rsidRPr="00603669">
              <w:rPr>
                <w:rStyle w:val="Hiperhivatkozs"/>
                <w:rFonts w:asciiTheme="majorHAnsi" w:hAnsiTheme="majorHAnsi" w:cstheme="majorHAnsi"/>
              </w:rPr>
              <w:t>Kapcsolódás hazai szakpolitikai és EU-s stratégiákhoz</w:t>
            </w:r>
            <w:r w:rsidR="00D676D5">
              <w:rPr>
                <w:webHidden/>
              </w:rPr>
              <w:tab/>
            </w:r>
            <w:r w:rsidR="00D676D5">
              <w:rPr>
                <w:webHidden/>
              </w:rPr>
              <w:fldChar w:fldCharType="begin"/>
            </w:r>
            <w:r w:rsidR="00D676D5">
              <w:rPr>
                <w:webHidden/>
              </w:rPr>
              <w:instrText xml:space="preserve"> PAGEREF _Toc46822689 \h </w:instrText>
            </w:r>
            <w:r w:rsidR="00D676D5">
              <w:rPr>
                <w:webHidden/>
              </w:rPr>
            </w:r>
            <w:r w:rsidR="00D676D5">
              <w:rPr>
                <w:webHidden/>
              </w:rPr>
              <w:fldChar w:fldCharType="separate"/>
            </w:r>
            <w:r w:rsidR="00D676D5">
              <w:rPr>
                <w:webHidden/>
              </w:rPr>
              <w:t>9</w:t>
            </w:r>
            <w:r w:rsidR="00D676D5">
              <w:rPr>
                <w:webHidden/>
              </w:rPr>
              <w:fldChar w:fldCharType="end"/>
            </w:r>
          </w:hyperlink>
        </w:p>
        <w:p w14:paraId="18EEFCEF" w14:textId="77777777" w:rsidR="00D676D5" w:rsidRDefault="00BE288F">
          <w:pPr>
            <w:pStyle w:val="TJ1"/>
            <w:rPr>
              <w:rFonts w:asciiTheme="minorHAnsi" w:eastAsiaTheme="minorEastAsia" w:hAnsiTheme="minorHAnsi" w:cstheme="minorBidi"/>
              <w:b w:val="0"/>
              <w:color w:val="auto"/>
              <w:sz w:val="22"/>
              <w:szCs w:val="22"/>
              <w:lang w:eastAsia="hu-HU"/>
            </w:rPr>
          </w:pPr>
          <w:hyperlink w:anchor="_Toc46822690" w:history="1">
            <w:r w:rsidR="00D676D5" w:rsidRPr="00603669">
              <w:rPr>
                <w:rStyle w:val="Hiperhivatkozs"/>
                <w:rFonts w:asciiTheme="majorHAnsi" w:hAnsiTheme="majorHAnsi" w:cstheme="majorHAnsi"/>
              </w:rPr>
              <w:t>3</w:t>
            </w:r>
            <w:r w:rsidR="00D676D5">
              <w:rPr>
                <w:rFonts w:asciiTheme="minorHAnsi" w:eastAsiaTheme="minorEastAsia" w:hAnsiTheme="minorHAnsi" w:cstheme="minorBidi"/>
                <w:b w:val="0"/>
                <w:color w:val="auto"/>
                <w:sz w:val="22"/>
                <w:szCs w:val="22"/>
                <w:lang w:eastAsia="hu-HU"/>
              </w:rPr>
              <w:tab/>
            </w:r>
            <w:r w:rsidR="00D676D5" w:rsidRPr="00603669">
              <w:rPr>
                <w:rStyle w:val="Hiperhivatkozs"/>
                <w:rFonts w:asciiTheme="majorHAnsi" w:hAnsiTheme="majorHAnsi" w:cstheme="majorHAnsi"/>
              </w:rPr>
              <w:t>Helyzetértékelés</w:t>
            </w:r>
            <w:r w:rsidR="00D676D5">
              <w:rPr>
                <w:webHidden/>
              </w:rPr>
              <w:tab/>
            </w:r>
            <w:r w:rsidR="00D676D5">
              <w:rPr>
                <w:webHidden/>
              </w:rPr>
              <w:fldChar w:fldCharType="begin"/>
            </w:r>
            <w:r w:rsidR="00D676D5">
              <w:rPr>
                <w:webHidden/>
              </w:rPr>
              <w:instrText xml:space="preserve"> PAGEREF _Toc46822690 \h </w:instrText>
            </w:r>
            <w:r w:rsidR="00D676D5">
              <w:rPr>
                <w:webHidden/>
              </w:rPr>
            </w:r>
            <w:r w:rsidR="00D676D5">
              <w:rPr>
                <w:webHidden/>
              </w:rPr>
              <w:fldChar w:fldCharType="separate"/>
            </w:r>
            <w:r w:rsidR="00D676D5">
              <w:rPr>
                <w:webHidden/>
              </w:rPr>
              <w:t>12</w:t>
            </w:r>
            <w:r w:rsidR="00D676D5">
              <w:rPr>
                <w:webHidden/>
              </w:rPr>
              <w:fldChar w:fldCharType="end"/>
            </w:r>
          </w:hyperlink>
        </w:p>
        <w:p w14:paraId="236A2C40" w14:textId="77777777" w:rsidR="00D676D5" w:rsidRDefault="00BE288F">
          <w:pPr>
            <w:pStyle w:val="TJ2"/>
            <w:rPr>
              <w:rFonts w:asciiTheme="minorHAnsi" w:eastAsiaTheme="minorEastAsia" w:hAnsiTheme="minorHAnsi" w:cstheme="minorBidi"/>
              <w:b w:val="0"/>
              <w:i w:val="0"/>
              <w:sz w:val="22"/>
              <w:szCs w:val="22"/>
              <w:lang w:eastAsia="hu-HU"/>
            </w:rPr>
          </w:pPr>
          <w:hyperlink w:anchor="_Toc46822691" w:history="1">
            <w:r w:rsidR="00D676D5" w:rsidRPr="00603669">
              <w:rPr>
                <w:rStyle w:val="Hiperhivatkozs"/>
                <w:rFonts w:asciiTheme="majorHAnsi" w:hAnsiTheme="majorHAnsi" w:cstheme="majorHAnsi"/>
              </w:rPr>
              <w:t>3.1</w:t>
            </w:r>
            <w:r w:rsidR="00D676D5">
              <w:rPr>
                <w:rFonts w:asciiTheme="minorHAnsi" w:eastAsiaTheme="minorEastAsia" w:hAnsiTheme="minorHAnsi" w:cstheme="minorBidi"/>
                <w:b w:val="0"/>
                <w:i w:val="0"/>
                <w:sz w:val="22"/>
                <w:szCs w:val="22"/>
                <w:lang w:eastAsia="hu-HU"/>
              </w:rPr>
              <w:tab/>
            </w:r>
            <w:r w:rsidR="00D676D5" w:rsidRPr="00603669">
              <w:rPr>
                <w:rStyle w:val="Hiperhivatkozs"/>
                <w:rFonts w:asciiTheme="majorHAnsi" w:hAnsiTheme="majorHAnsi" w:cstheme="majorHAnsi"/>
              </w:rPr>
              <w:t>A köznevelésben résztvevő gyermekeket, tanulókat érintő demográfiai tendenciák</w:t>
            </w:r>
            <w:r w:rsidR="00D676D5">
              <w:rPr>
                <w:webHidden/>
              </w:rPr>
              <w:tab/>
            </w:r>
            <w:r w:rsidR="00D676D5">
              <w:rPr>
                <w:webHidden/>
              </w:rPr>
              <w:fldChar w:fldCharType="begin"/>
            </w:r>
            <w:r w:rsidR="00D676D5">
              <w:rPr>
                <w:webHidden/>
              </w:rPr>
              <w:instrText xml:space="preserve"> PAGEREF _Toc46822691 \h </w:instrText>
            </w:r>
            <w:r w:rsidR="00D676D5">
              <w:rPr>
                <w:webHidden/>
              </w:rPr>
            </w:r>
            <w:r w:rsidR="00D676D5">
              <w:rPr>
                <w:webHidden/>
              </w:rPr>
              <w:fldChar w:fldCharType="separate"/>
            </w:r>
            <w:r w:rsidR="00D676D5">
              <w:rPr>
                <w:webHidden/>
              </w:rPr>
              <w:t>12</w:t>
            </w:r>
            <w:r w:rsidR="00D676D5">
              <w:rPr>
                <w:webHidden/>
              </w:rPr>
              <w:fldChar w:fldCharType="end"/>
            </w:r>
          </w:hyperlink>
        </w:p>
        <w:p w14:paraId="3B305B68" w14:textId="77777777" w:rsidR="00D676D5" w:rsidRDefault="00BE288F">
          <w:pPr>
            <w:pStyle w:val="TJ2"/>
            <w:rPr>
              <w:rFonts w:asciiTheme="minorHAnsi" w:eastAsiaTheme="minorEastAsia" w:hAnsiTheme="minorHAnsi" w:cstheme="minorBidi"/>
              <w:b w:val="0"/>
              <w:i w:val="0"/>
              <w:sz w:val="22"/>
              <w:szCs w:val="22"/>
              <w:lang w:eastAsia="hu-HU"/>
            </w:rPr>
          </w:pPr>
          <w:hyperlink w:anchor="_Toc46822692" w:history="1">
            <w:r w:rsidR="00D676D5" w:rsidRPr="00603669">
              <w:rPr>
                <w:rStyle w:val="Hiperhivatkozs"/>
                <w:rFonts w:asciiTheme="majorHAnsi" w:hAnsiTheme="majorHAnsi" w:cstheme="majorHAnsi"/>
              </w:rPr>
              <w:t>3.2</w:t>
            </w:r>
            <w:r w:rsidR="00D676D5">
              <w:rPr>
                <w:rFonts w:asciiTheme="minorHAnsi" w:eastAsiaTheme="minorEastAsia" w:hAnsiTheme="minorHAnsi" w:cstheme="minorBidi"/>
                <w:b w:val="0"/>
                <w:i w:val="0"/>
                <w:sz w:val="22"/>
                <w:szCs w:val="22"/>
                <w:lang w:eastAsia="hu-HU"/>
              </w:rPr>
              <w:tab/>
            </w:r>
            <w:r w:rsidR="00D676D5" w:rsidRPr="00603669">
              <w:rPr>
                <w:rStyle w:val="Hiperhivatkozs"/>
                <w:rFonts w:asciiTheme="majorHAnsi" w:hAnsiTheme="majorHAnsi" w:cstheme="majorHAnsi"/>
              </w:rPr>
              <w:t>A magyar köznevelés helyzete a nemzetközi és hazai teljesítményvizsgálatok tükrében</w:t>
            </w:r>
            <w:r w:rsidR="00D676D5">
              <w:rPr>
                <w:webHidden/>
              </w:rPr>
              <w:tab/>
            </w:r>
            <w:r w:rsidR="00D676D5">
              <w:rPr>
                <w:webHidden/>
              </w:rPr>
              <w:fldChar w:fldCharType="begin"/>
            </w:r>
            <w:r w:rsidR="00D676D5">
              <w:rPr>
                <w:webHidden/>
              </w:rPr>
              <w:instrText xml:space="preserve"> PAGEREF _Toc46822692 \h </w:instrText>
            </w:r>
            <w:r w:rsidR="00D676D5">
              <w:rPr>
                <w:webHidden/>
              </w:rPr>
            </w:r>
            <w:r w:rsidR="00D676D5">
              <w:rPr>
                <w:webHidden/>
              </w:rPr>
              <w:fldChar w:fldCharType="separate"/>
            </w:r>
            <w:r w:rsidR="00D676D5">
              <w:rPr>
                <w:webHidden/>
              </w:rPr>
              <w:t>13</w:t>
            </w:r>
            <w:r w:rsidR="00D676D5">
              <w:rPr>
                <w:webHidden/>
              </w:rPr>
              <w:fldChar w:fldCharType="end"/>
            </w:r>
          </w:hyperlink>
        </w:p>
        <w:p w14:paraId="492F7B8C" w14:textId="77777777" w:rsidR="00D676D5" w:rsidRDefault="00BE288F">
          <w:pPr>
            <w:pStyle w:val="TJ3"/>
            <w:rPr>
              <w:rFonts w:asciiTheme="minorHAnsi" w:eastAsiaTheme="minorEastAsia" w:hAnsiTheme="minorHAnsi" w:cstheme="minorBidi"/>
              <w:noProof/>
              <w:sz w:val="22"/>
              <w:szCs w:val="22"/>
              <w:lang w:eastAsia="hu-HU"/>
            </w:rPr>
          </w:pPr>
          <w:hyperlink w:anchor="_Toc46822693" w:history="1">
            <w:r w:rsidR="00D676D5" w:rsidRPr="00603669">
              <w:rPr>
                <w:rStyle w:val="Hiperhivatkozs"/>
                <w:rFonts w:asciiTheme="majorHAnsi" w:hAnsiTheme="majorHAnsi" w:cstheme="majorHAnsi"/>
                <w:noProof/>
              </w:rPr>
              <w:t>3.2.1</w:t>
            </w:r>
            <w:r w:rsidR="00D676D5">
              <w:rPr>
                <w:rFonts w:asciiTheme="minorHAnsi" w:eastAsiaTheme="minorEastAsia" w:hAnsiTheme="minorHAnsi" w:cstheme="minorBidi"/>
                <w:noProof/>
                <w:sz w:val="22"/>
                <w:szCs w:val="22"/>
                <w:lang w:eastAsia="hu-HU"/>
              </w:rPr>
              <w:tab/>
            </w:r>
            <w:r w:rsidR="00D676D5" w:rsidRPr="00603669">
              <w:rPr>
                <w:rStyle w:val="Hiperhivatkozs"/>
                <w:rFonts w:asciiTheme="majorHAnsi" w:hAnsiTheme="majorHAnsi" w:cstheme="majorHAnsi"/>
                <w:noProof/>
              </w:rPr>
              <w:t>Az OECD által szervezett PISA-vizsgálatok eredményei</w:t>
            </w:r>
            <w:r w:rsidR="00D676D5">
              <w:rPr>
                <w:noProof/>
                <w:webHidden/>
              </w:rPr>
              <w:tab/>
            </w:r>
            <w:r w:rsidR="00D676D5">
              <w:rPr>
                <w:noProof/>
                <w:webHidden/>
              </w:rPr>
              <w:fldChar w:fldCharType="begin"/>
            </w:r>
            <w:r w:rsidR="00D676D5">
              <w:rPr>
                <w:noProof/>
                <w:webHidden/>
              </w:rPr>
              <w:instrText xml:space="preserve"> PAGEREF _Toc46822693 \h </w:instrText>
            </w:r>
            <w:r w:rsidR="00D676D5">
              <w:rPr>
                <w:noProof/>
                <w:webHidden/>
              </w:rPr>
            </w:r>
            <w:r w:rsidR="00D676D5">
              <w:rPr>
                <w:noProof/>
                <w:webHidden/>
              </w:rPr>
              <w:fldChar w:fldCharType="separate"/>
            </w:r>
            <w:r w:rsidR="00D676D5">
              <w:rPr>
                <w:noProof/>
                <w:webHidden/>
              </w:rPr>
              <w:t>14</w:t>
            </w:r>
            <w:r w:rsidR="00D676D5">
              <w:rPr>
                <w:noProof/>
                <w:webHidden/>
              </w:rPr>
              <w:fldChar w:fldCharType="end"/>
            </w:r>
          </w:hyperlink>
        </w:p>
        <w:p w14:paraId="3DA390BD" w14:textId="77777777" w:rsidR="00D676D5" w:rsidRDefault="00BE288F">
          <w:pPr>
            <w:pStyle w:val="TJ3"/>
            <w:rPr>
              <w:rFonts w:asciiTheme="minorHAnsi" w:eastAsiaTheme="minorEastAsia" w:hAnsiTheme="minorHAnsi" w:cstheme="minorBidi"/>
              <w:noProof/>
              <w:sz w:val="22"/>
              <w:szCs w:val="22"/>
              <w:lang w:eastAsia="hu-HU"/>
            </w:rPr>
          </w:pPr>
          <w:hyperlink w:anchor="_Toc46822694" w:history="1">
            <w:r w:rsidR="00D676D5" w:rsidRPr="00603669">
              <w:rPr>
                <w:rStyle w:val="Hiperhivatkozs"/>
                <w:rFonts w:asciiTheme="majorHAnsi" w:hAnsiTheme="majorHAnsi" w:cstheme="majorHAnsi"/>
                <w:noProof/>
              </w:rPr>
              <w:t>3.2.2</w:t>
            </w:r>
            <w:r w:rsidR="00D676D5">
              <w:rPr>
                <w:rFonts w:asciiTheme="minorHAnsi" w:eastAsiaTheme="minorEastAsia" w:hAnsiTheme="minorHAnsi" w:cstheme="minorBidi"/>
                <w:noProof/>
                <w:sz w:val="22"/>
                <w:szCs w:val="22"/>
                <w:lang w:eastAsia="hu-HU"/>
              </w:rPr>
              <w:tab/>
            </w:r>
            <w:r w:rsidR="00D676D5" w:rsidRPr="00603669">
              <w:rPr>
                <w:rStyle w:val="Hiperhivatkozs"/>
                <w:rFonts w:asciiTheme="majorHAnsi" w:hAnsiTheme="majorHAnsi" w:cstheme="majorHAnsi"/>
                <w:noProof/>
              </w:rPr>
              <w:t>Az IEA által szervezett PIRLS és TIMSS vizsgálatok eredményei</w:t>
            </w:r>
            <w:r w:rsidR="00D676D5">
              <w:rPr>
                <w:noProof/>
                <w:webHidden/>
              </w:rPr>
              <w:tab/>
            </w:r>
            <w:r w:rsidR="00D676D5">
              <w:rPr>
                <w:noProof/>
                <w:webHidden/>
              </w:rPr>
              <w:fldChar w:fldCharType="begin"/>
            </w:r>
            <w:r w:rsidR="00D676D5">
              <w:rPr>
                <w:noProof/>
                <w:webHidden/>
              </w:rPr>
              <w:instrText xml:space="preserve"> PAGEREF _Toc46822694 \h </w:instrText>
            </w:r>
            <w:r w:rsidR="00D676D5">
              <w:rPr>
                <w:noProof/>
                <w:webHidden/>
              </w:rPr>
            </w:r>
            <w:r w:rsidR="00D676D5">
              <w:rPr>
                <w:noProof/>
                <w:webHidden/>
              </w:rPr>
              <w:fldChar w:fldCharType="separate"/>
            </w:r>
            <w:r w:rsidR="00D676D5">
              <w:rPr>
                <w:noProof/>
                <w:webHidden/>
              </w:rPr>
              <w:t>15</w:t>
            </w:r>
            <w:r w:rsidR="00D676D5">
              <w:rPr>
                <w:noProof/>
                <w:webHidden/>
              </w:rPr>
              <w:fldChar w:fldCharType="end"/>
            </w:r>
          </w:hyperlink>
        </w:p>
        <w:p w14:paraId="46F46532" w14:textId="77777777" w:rsidR="00D676D5" w:rsidRDefault="00BE288F">
          <w:pPr>
            <w:pStyle w:val="TJ3"/>
            <w:rPr>
              <w:rFonts w:asciiTheme="minorHAnsi" w:eastAsiaTheme="minorEastAsia" w:hAnsiTheme="minorHAnsi" w:cstheme="minorBidi"/>
              <w:noProof/>
              <w:sz w:val="22"/>
              <w:szCs w:val="22"/>
              <w:lang w:eastAsia="hu-HU"/>
            </w:rPr>
          </w:pPr>
          <w:hyperlink w:anchor="_Toc46822695" w:history="1">
            <w:r w:rsidR="00D676D5" w:rsidRPr="00603669">
              <w:rPr>
                <w:rStyle w:val="Hiperhivatkozs"/>
                <w:rFonts w:asciiTheme="majorHAnsi" w:hAnsiTheme="majorHAnsi" w:cstheme="majorHAnsi"/>
                <w:noProof/>
              </w:rPr>
              <w:t>3.2.3</w:t>
            </w:r>
            <w:r w:rsidR="00D676D5">
              <w:rPr>
                <w:rFonts w:asciiTheme="minorHAnsi" w:eastAsiaTheme="minorEastAsia" w:hAnsiTheme="minorHAnsi" w:cstheme="minorBidi"/>
                <w:noProof/>
                <w:sz w:val="22"/>
                <w:szCs w:val="22"/>
                <w:lang w:eastAsia="hu-HU"/>
              </w:rPr>
              <w:tab/>
            </w:r>
            <w:r w:rsidR="00D676D5" w:rsidRPr="00603669">
              <w:rPr>
                <w:rStyle w:val="Hiperhivatkozs"/>
                <w:rFonts w:asciiTheme="majorHAnsi" w:hAnsiTheme="majorHAnsi" w:cstheme="majorHAnsi"/>
                <w:noProof/>
              </w:rPr>
              <w:t>Nemzetközi tanítás- és tanulásvizsgálat - TALIS</w:t>
            </w:r>
            <w:r w:rsidR="00D676D5">
              <w:rPr>
                <w:noProof/>
                <w:webHidden/>
              </w:rPr>
              <w:tab/>
            </w:r>
            <w:r w:rsidR="00D676D5">
              <w:rPr>
                <w:noProof/>
                <w:webHidden/>
              </w:rPr>
              <w:fldChar w:fldCharType="begin"/>
            </w:r>
            <w:r w:rsidR="00D676D5">
              <w:rPr>
                <w:noProof/>
                <w:webHidden/>
              </w:rPr>
              <w:instrText xml:space="preserve"> PAGEREF _Toc46822695 \h </w:instrText>
            </w:r>
            <w:r w:rsidR="00D676D5">
              <w:rPr>
                <w:noProof/>
                <w:webHidden/>
              </w:rPr>
            </w:r>
            <w:r w:rsidR="00D676D5">
              <w:rPr>
                <w:noProof/>
                <w:webHidden/>
              </w:rPr>
              <w:fldChar w:fldCharType="separate"/>
            </w:r>
            <w:r w:rsidR="00D676D5">
              <w:rPr>
                <w:noProof/>
                <w:webHidden/>
              </w:rPr>
              <w:t>16</w:t>
            </w:r>
            <w:r w:rsidR="00D676D5">
              <w:rPr>
                <w:noProof/>
                <w:webHidden/>
              </w:rPr>
              <w:fldChar w:fldCharType="end"/>
            </w:r>
          </w:hyperlink>
        </w:p>
        <w:p w14:paraId="28DB1465" w14:textId="77777777" w:rsidR="00D676D5" w:rsidRDefault="00BE288F">
          <w:pPr>
            <w:pStyle w:val="TJ3"/>
            <w:rPr>
              <w:rFonts w:asciiTheme="minorHAnsi" w:eastAsiaTheme="minorEastAsia" w:hAnsiTheme="minorHAnsi" w:cstheme="minorBidi"/>
              <w:noProof/>
              <w:sz w:val="22"/>
              <w:szCs w:val="22"/>
              <w:lang w:eastAsia="hu-HU"/>
            </w:rPr>
          </w:pPr>
          <w:hyperlink w:anchor="_Toc46822696" w:history="1">
            <w:r w:rsidR="00D676D5" w:rsidRPr="00603669">
              <w:rPr>
                <w:rStyle w:val="Hiperhivatkozs"/>
                <w:rFonts w:asciiTheme="majorHAnsi" w:hAnsiTheme="majorHAnsi" w:cstheme="majorHAnsi"/>
                <w:noProof/>
              </w:rPr>
              <w:t>3.2.4</w:t>
            </w:r>
            <w:r w:rsidR="00D676D5">
              <w:rPr>
                <w:rFonts w:asciiTheme="minorHAnsi" w:eastAsiaTheme="minorEastAsia" w:hAnsiTheme="minorHAnsi" w:cstheme="minorBidi"/>
                <w:noProof/>
                <w:sz w:val="22"/>
                <w:szCs w:val="22"/>
                <w:lang w:eastAsia="hu-HU"/>
              </w:rPr>
              <w:tab/>
            </w:r>
            <w:r w:rsidR="00D676D5" w:rsidRPr="00603669">
              <w:rPr>
                <w:rStyle w:val="Hiperhivatkozs"/>
                <w:rFonts w:asciiTheme="majorHAnsi" w:hAnsiTheme="majorHAnsi" w:cstheme="majorHAnsi"/>
                <w:noProof/>
              </w:rPr>
              <w:t>Országos kompetenciamérések</w:t>
            </w:r>
            <w:r w:rsidR="00D676D5">
              <w:rPr>
                <w:noProof/>
                <w:webHidden/>
              </w:rPr>
              <w:tab/>
            </w:r>
            <w:r w:rsidR="00D676D5">
              <w:rPr>
                <w:noProof/>
                <w:webHidden/>
              </w:rPr>
              <w:fldChar w:fldCharType="begin"/>
            </w:r>
            <w:r w:rsidR="00D676D5">
              <w:rPr>
                <w:noProof/>
                <w:webHidden/>
              </w:rPr>
              <w:instrText xml:space="preserve"> PAGEREF _Toc46822696 \h </w:instrText>
            </w:r>
            <w:r w:rsidR="00D676D5">
              <w:rPr>
                <w:noProof/>
                <w:webHidden/>
              </w:rPr>
            </w:r>
            <w:r w:rsidR="00D676D5">
              <w:rPr>
                <w:noProof/>
                <w:webHidden/>
              </w:rPr>
              <w:fldChar w:fldCharType="separate"/>
            </w:r>
            <w:r w:rsidR="00D676D5">
              <w:rPr>
                <w:noProof/>
                <w:webHidden/>
              </w:rPr>
              <w:t>18</w:t>
            </w:r>
            <w:r w:rsidR="00D676D5">
              <w:rPr>
                <w:noProof/>
                <w:webHidden/>
              </w:rPr>
              <w:fldChar w:fldCharType="end"/>
            </w:r>
          </w:hyperlink>
        </w:p>
        <w:p w14:paraId="77AA2960" w14:textId="77777777" w:rsidR="00D676D5" w:rsidRDefault="00BE288F">
          <w:pPr>
            <w:pStyle w:val="TJ2"/>
            <w:rPr>
              <w:rFonts w:asciiTheme="minorHAnsi" w:eastAsiaTheme="minorEastAsia" w:hAnsiTheme="minorHAnsi" w:cstheme="minorBidi"/>
              <w:b w:val="0"/>
              <w:i w:val="0"/>
              <w:sz w:val="22"/>
              <w:szCs w:val="22"/>
              <w:lang w:eastAsia="hu-HU"/>
            </w:rPr>
          </w:pPr>
          <w:hyperlink w:anchor="_Toc46822697" w:history="1">
            <w:r w:rsidR="00D676D5" w:rsidRPr="00603669">
              <w:rPr>
                <w:rStyle w:val="Hiperhivatkozs"/>
                <w:rFonts w:asciiTheme="majorHAnsi" w:hAnsiTheme="majorHAnsi" w:cstheme="majorHAnsi"/>
              </w:rPr>
              <w:t>3.3</w:t>
            </w:r>
            <w:r w:rsidR="00D676D5">
              <w:rPr>
                <w:rFonts w:asciiTheme="minorHAnsi" w:eastAsiaTheme="minorEastAsia" w:hAnsiTheme="minorHAnsi" w:cstheme="minorBidi"/>
                <w:b w:val="0"/>
                <w:i w:val="0"/>
                <w:sz w:val="22"/>
                <w:szCs w:val="22"/>
                <w:lang w:eastAsia="hu-HU"/>
              </w:rPr>
              <w:tab/>
            </w:r>
            <w:r w:rsidR="00D676D5" w:rsidRPr="00603669">
              <w:rPr>
                <w:rStyle w:val="Hiperhivatkozs"/>
                <w:rFonts w:asciiTheme="majorHAnsi" w:hAnsiTheme="majorHAnsi" w:cstheme="majorHAnsi"/>
              </w:rPr>
              <w:t>Az elmúlt 10 év kiemelt kormányzati intézkedései</w:t>
            </w:r>
            <w:r w:rsidR="00D676D5">
              <w:rPr>
                <w:webHidden/>
              </w:rPr>
              <w:tab/>
            </w:r>
            <w:r w:rsidR="00D676D5">
              <w:rPr>
                <w:webHidden/>
              </w:rPr>
              <w:fldChar w:fldCharType="begin"/>
            </w:r>
            <w:r w:rsidR="00D676D5">
              <w:rPr>
                <w:webHidden/>
              </w:rPr>
              <w:instrText xml:space="preserve"> PAGEREF _Toc46822697 \h </w:instrText>
            </w:r>
            <w:r w:rsidR="00D676D5">
              <w:rPr>
                <w:webHidden/>
              </w:rPr>
            </w:r>
            <w:r w:rsidR="00D676D5">
              <w:rPr>
                <w:webHidden/>
              </w:rPr>
              <w:fldChar w:fldCharType="separate"/>
            </w:r>
            <w:r w:rsidR="00D676D5">
              <w:rPr>
                <w:webHidden/>
              </w:rPr>
              <w:t>20</w:t>
            </w:r>
            <w:r w:rsidR="00D676D5">
              <w:rPr>
                <w:webHidden/>
              </w:rPr>
              <w:fldChar w:fldCharType="end"/>
            </w:r>
          </w:hyperlink>
        </w:p>
        <w:p w14:paraId="56023B0A" w14:textId="77777777" w:rsidR="00D676D5" w:rsidRDefault="00BE288F">
          <w:pPr>
            <w:pStyle w:val="TJ2"/>
            <w:rPr>
              <w:rFonts w:asciiTheme="minorHAnsi" w:eastAsiaTheme="minorEastAsia" w:hAnsiTheme="minorHAnsi" w:cstheme="minorBidi"/>
              <w:b w:val="0"/>
              <w:i w:val="0"/>
              <w:sz w:val="22"/>
              <w:szCs w:val="22"/>
              <w:lang w:eastAsia="hu-HU"/>
            </w:rPr>
          </w:pPr>
          <w:hyperlink w:anchor="_Toc46822698" w:history="1">
            <w:r w:rsidR="00D676D5" w:rsidRPr="00603669">
              <w:rPr>
                <w:rStyle w:val="Hiperhivatkozs"/>
                <w:rFonts w:asciiTheme="majorHAnsi" w:hAnsiTheme="majorHAnsi" w:cstheme="majorHAnsi"/>
              </w:rPr>
              <w:t>3.4</w:t>
            </w:r>
            <w:r w:rsidR="00D676D5">
              <w:rPr>
                <w:rFonts w:asciiTheme="minorHAnsi" w:eastAsiaTheme="minorEastAsia" w:hAnsiTheme="minorHAnsi" w:cstheme="minorBidi"/>
                <w:b w:val="0"/>
                <w:i w:val="0"/>
                <w:sz w:val="22"/>
                <w:szCs w:val="22"/>
                <w:lang w:eastAsia="hu-HU"/>
              </w:rPr>
              <w:tab/>
            </w:r>
            <w:r w:rsidR="00D676D5" w:rsidRPr="00603669">
              <w:rPr>
                <w:rStyle w:val="Hiperhivatkozs"/>
                <w:rFonts w:asciiTheme="majorHAnsi" w:hAnsiTheme="majorHAnsi" w:cstheme="majorHAnsi"/>
              </w:rPr>
              <w:t>A koronavírus-járvány hatása és tapasztalatai a köznevelésben</w:t>
            </w:r>
            <w:r w:rsidR="00D676D5">
              <w:rPr>
                <w:webHidden/>
              </w:rPr>
              <w:tab/>
            </w:r>
            <w:r w:rsidR="00D676D5">
              <w:rPr>
                <w:webHidden/>
              </w:rPr>
              <w:fldChar w:fldCharType="begin"/>
            </w:r>
            <w:r w:rsidR="00D676D5">
              <w:rPr>
                <w:webHidden/>
              </w:rPr>
              <w:instrText xml:space="preserve"> PAGEREF _Toc46822698 \h </w:instrText>
            </w:r>
            <w:r w:rsidR="00D676D5">
              <w:rPr>
                <w:webHidden/>
              </w:rPr>
            </w:r>
            <w:r w:rsidR="00D676D5">
              <w:rPr>
                <w:webHidden/>
              </w:rPr>
              <w:fldChar w:fldCharType="separate"/>
            </w:r>
            <w:r w:rsidR="00D676D5">
              <w:rPr>
                <w:webHidden/>
              </w:rPr>
              <w:t>22</w:t>
            </w:r>
            <w:r w:rsidR="00D676D5">
              <w:rPr>
                <w:webHidden/>
              </w:rPr>
              <w:fldChar w:fldCharType="end"/>
            </w:r>
          </w:hyperlink>
        </w:p>
        <w:p w14:paraId="2E9FCF84" w14:textId="77777777" w:rsidR="00D676D5" w:rsidRDefault="00BE288F">
          <w:pPr>
            <w:pStyle w:val="TJ1"/>
            <w:rPr>
              <w:rFonts w:asciiTheme="minorHAnsi" w:eastAsiaTheme="minorEastAsia" w:hAnsiTheme="minorHAnsi" w:cstheme="minorBidi"/>
              <w:b w:val="0"/>
              <w:color w:val="auto"/>
              <w:sz w:val="22"/>
              <w:szCs w:val="22"/>
              <w:lang w:eastAsia="hu-HU"/>
            </w:rPr>
          </w:pPr>
          <w:hyperlink w:anchor="_Toc46822699" w:history="1">
            <w:r w:rsidR="00D676D5" w:rsidRPr="00603669">
              <w:rPr>
                <w:rStyle w:val="Hiperhivatkozs"/>
              </w:rPr>
              <w:t>4</w:t>
            </w:r>
            <w:r w:rsidR="00D676D5">
              <w:rPr>
                <w:rFonts w:asciiTheme="minorHAnsi" w:eastAsiaTheme="minorEastAsia" w:hAnsiTheme="minorHAnsi" w:cstheme="minorBidi"/>
                <w:b w:val="0"/>
                <w:color w:val="auto"/>
                <w:sz w:val="22"/>
                <w:szCs w:val="22"/>
                <w:lang w:eastAsia="hu-HU"/>
              </w:rPr>
              <w:tab/>
            </w:r>
            <w:r w:rsidR="00D676D5" w:rsidRPr="00603669">
              <w:rPr>
                <w:rStyle w:val="Hiperhivatkozs"/>
              </w:rPr>
              <w:t>Jövőkép és célrendszer</w:t>
            </w:r>
            <w:r w:rsidR="00D676D5">
              <w:rPr>
                <w:webHidden/>
              </w:rPr>
              <w:tab/>
            </w:r>
            <w:r w:rsidR="00D676D5">
              <w:rPr>
                <w:webHidden/>
              </w:rPr>
              <w:fldChar w:fldCharType="begin"/>
            </w:r>
            <w:r w:rsidR="00D676D5">
              <w:rPr>
                <w:webHidden/>
              </w:rPr>
              <w:instrText xml:space="preserve"> PAGEREF _Toc46822699 \h </w:instrText>
            </w:r>
            <w:r w:rsidR="00D676D5">
              <w:rPr>
                <w:webHidden/>
              </w:rPr>
            </w:r>
            <w:r w:rsidR="00D676D5">
              <w:rPr>
                <w:webHidden/>
              </w:rPr>
              <w:fldChar w:fldCharType="separate"/>
            </w:r>
            <w:r w:rsidR="00D676D5">
              <w:rPr>
                <w:webHidden/>
              </w:rPr>
              <w:t>25</w:t>
            </w:r>
            <w:r w:rsidR="00D676D5">
              <w:rPr>
                <w:webHidden/>
              </w:rPr>
              <w:fldChar w:fldCharType="end"/>
            </w:r>
          </w:hyperlink>
        </w:p>
        <w:p w14:paraId="43E8CF79"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00" w:history="1">
            <w:r w:rsidR="00D676D5" w:rsidRPr="00603669">
              <w:rPr>
                <w:rStyle w:val="Hiperhivatkozs"/>
              </w:rPr>
              <w:t>4.1</w:t>
            </w:r>
            <w:r w:rsidR="00D676D5">
              <w:rPr>
                <w:rFonts w:asciiTheme="minorHAnsi" w:eastAsiaTheme="minorEastAsia" w:hAnsiTheme="minorHAnsi" w:cstheme="minorBidi"/>
                <w:b w:val="0"/>
                <w:i w:val="0"/>
                <w:sz w:val="22"/>
                <w:szCs w:val="22"/>
                <w:lang w:eastAsia="hu-HU"/>
              </w:rPr>
              <w:tab/>
            </w:r>
            <w:r w:rsidR="00D676D5" w:rsidRPr="00603669">
              <w:rPr>
                <w:rStyle w:val="Hiperhivatkozs"/>
              </w:rPr>
              <w:t>Jövőkép</w:t>
            </w:r>
            <w:r w:rsidR="00D676D5">
              <w:rPr>
                <w:webHidden/>
              </w:rPr>
              <w:tab/>
            </w:r>
            <w:r w:rsidR="00D676D5">
              <w:rPr>
                <w:webHidden/>
              </w:rPr>
              <w:fldChar w:fldCharType="begin"/>
            </w:r>
            <w:r w:rsidR="00D676D5">
              <w:rPr>
                <w:webHidden/>
              </w:rPr>
              <w:instrText xml:space="preserve"> PAGEREF _Toc46822700 \h </w:instrText>
            </w:r>
            <w:r w:rsidR="00D676D5">
              <w:rPr>
                <w:webHidden/>
              </w:rPr>
            </w:r>
            <w:r w:rsidR="00D676D5">
              <w:rPr>
                <w:webHidden/>
              </w:rPr>
              <w:fldChar w:fldCharType="separate"/>
            </w:r>
            <w:r w:rsidR="00D676D5">
              <w:rPr>
                <w:webHidden/>
              </w:rPr>
              <w:t>25</w:t>
            </w:r>
            <w:r w:rsidR="00D676D5">
              <w:rPr>
                <w:webHidden/>
              </w:rPr>
              <w:fldChar w:fldCharType="end"/>
            </w:r>
          </w:hyperlink>
        </w:p>
        <w:p w14:paraId="556C2A99"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01" w:history="1">
            <w:r w:rsidR="00D676D5" w:rsidRPr="00603669">
              <w:rPr>
                <w:rStyle w:val="Hiperhivatkozs"/>
              </w:rPr>
              <w:t>4.2</w:t>
            </w:r>
            <w:r w:rsidR="00D676D5">
              <w:rPr>
                <w:rFonts w:asciiTheme="minorHAnsi" w:eastAsiaTheme="minorEastAsia" w:hAnsiTheme="minorHAnsi" w:cstheme="minorBidi"/>
                <w:b w:val="0"/>
                <w:i w:val="0"/>
                <w:sz w:val="22"/>
                <w:szCs w:val="22"/>
                <w:lang w:eastAsia="hu-HU"/>
              </w:rPr>
              <w:tab/>
            </w:r>
            <w:r w:rsidR="00D676D5" w:rsidRPr="00603669">
              <w:rPr>
                <w:rStyle w:val="Hiperhivatkozs"/>
              </w:rPr>
              <w:t>Célrendszer</w:t>
            </w:r>
            <w:r w:rsidR="00D676D5">
              <w:rPr>
                <w:webHidden/>
              </w:rPr>
              <w:tab/>
            </w:r>
            <w:r w:rsidR="00D676D5">
              <w:rPr>
                <w:webHidden/>
              </w:rPr>
              <w:fldChar w:fldCharType="begin"/>
            </w:r>
            <w:r w:rsidR="00D676D5">
              <w:rPr>
                <w:webHidden/>
              </w:rPr>
              <w:instrText xml:space="preserve"> PAGEREF _Toc46822701 \h </w:instrText>
            </w:r>
            <w:r w:rsidR="00D676D5">
              <w:rPr>
                <w:webHidden/>
              </w:rPr>
            </w:r>
            <w:r w:rsidR="00D676D5">
              <w:rPr>
                <w:webHidden/>
              </w:rPr>
              <w:fldChar w:fldCharType="separate"/>
            </w:r>
            <w:r w:rsidR="00D676D5">
              <w:rPr>
                <w:webHidden/>
              </w:rPr>
              <w:t>25</w:t>
            </w:r>
            <w:r w:rsidR="00D676D5">
              <w:rPr>
                <w:webHidden/>
              </w:rPr>
              <w:fldChar w:fldCharType="end"/>
            </w:r>
          </w:hyperlink>
        </w:p>
        <w:p w14:paraId="31AB2106" w14:textId="77777777" w:rsidR="00D676D5" w:rsidRDefault="00BE288F">
          <w:pPr>
            <w:pStyle w:val="TJ1"/>
            <w:rPr>
              <w:rFonts w:asciiTheme="minorHAnsi" w:eastAsiaTheme="minorEastAsia" w:hAnsiTheme="minorHAnsi" w:cstheme="minorBidi"/>
              <w:b w:val="0"/>
              <w:color w:val="auto"/>
              <w:sz w:val="22"/>
              <w:szCs w:val="22"/>
              <w:lang w:eastAsia="hu-HU"/>
            </w:rPr>
          </w:pPr>
          <w:hyperlink w:anchor="_Toc46822702" w:history="1">
            <w:r w:rsidR="00D676D5" w:rsidRPr="00603669">
              <w:rPr>
                <w:rStyle w:val="Hiperhivatkozs"/>
                <w:rFonts w:asciiTheme="majorHAnsi" w:hAnsiTheme="majorHAnsi" w:cstheme="majorHAnsi"/>
              </w:rPr>
              <w:t>5</w:t>
            </w:r>
            <w:r w:rsidR="00D676D5">
              <w:rPr>
                <w:rFonts w:asciiTheme="minorHAnsi" w:eastAsiaTheme="minorEastAsia" w:hAnsiTheme="minorHAnsi" w:cstheme="minorBidi"/>
                <w:b w:val="0"/>
                <w:color w:val="auto"/>
                <w:sz w:val="22"/>
                <w:szCs w:val="22"/>
                <w:lang w:eastAsia="hu-HU"/>
              </w:rPr>
              <w:tab/>
            </w:r>
            <w:r w:rsidR="00D676D5" w:rsidRPr="00603669">
              <w:rPr>
                <w:rStyle w:val="Hiperhivatkozs"/>
                <w:rFonts w:asciiTheme="majorHAnsi" w:hAnsiTheme="majorHAnsi" w:cstheme="majorHAnsi"/>
              </w:rPr>
              <w:t>Javasolt beavatkozási irányok a köznevelés eredményességének növelése érdekében</w:t>
            </w:r>
            <w:r w:rsidR="00D676D5">
              <w:rPr>
                <w:webHidden/>
              </w:rPr>
              <w:tab/>
            </w:r>
            <w:r w:rsidR="00D676D5">
              <w:rPr>
                <w:webHidden/>
              </w:rPr>
              <w:fldChar w:fldCharType="begin"/>
            </w:r>
            <w:r w:rsidR="00D676D5">
              <w:rPr>
                <w:webHidden/>
              </w:rPr>
              <w:instrText xml:space="preserve"> PAGEREF _Toc46822702 \h </w:instrText>
            </w:r>
            <w:r w:rsidR="00D676D5">
              <w:rPr>
                <w:webHidden/>
              </w:rPr>
            </w:r>
            <w:r w:rsidR="00D676D5">
              <w:rPr>
                <w:webHidden/>
              </w:rPr>
              <w:fldChar w:fldCharType="separate"/>
            </w:r>
            <w:r w:rsidR="00D676D5">
              <w:rPr>
                <w:webHidden/>
              </w:rPr>
              <w:t>27</w:t>
            </w:r>
            <w:r w:rsidR="00D676D5">
              <w:rPr>
                <w:webHidden/>
              </w:rPr>
              <w:fldChar w:fldCharType="end"/>
            </w:r>
          </w:hyperlink>
        </w:p>
        <w:p w14:paraId="0D1EBD2C"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03" w:history="1">
            <w:r w:rsidR="00D676D5" w:rsidRPr="00603669">
              <w:rPr>
                <w:rStyle w:val="Hiperhivatkozs"/>
                <w:rFonts w:asciiTheme="majorHAnsi" w:hAnsiTheme="majorHAnsi" w:cstheme="majorHAnsi"/>
              </w:rPr>
              <w:t>5.1</w:t>
            </w:r>
            <w:r w:rsidR="00D676D5">
              <w:rPr>
                <w:rFonts w:asciiTheme="minorHAnsi" w:eastAsiaTheme="minorEastAsia" w:hAnsiTheme="minorHAnsi" w:cstheme="minorBidi"/>
                <w:b w:val="0"/>
                <w:i w:val="0"/>
                <w:sz w:val="22"/>
                <w:szCs w:val="22"/>
                <w:lang w:eastAsia="hu-HU"/>
              </w:rPr>
              <w:tab/>
            </w:r>
            <w:r w:rsidR="00D676D5" w:rsidRPr="00603669">
              <w:rPr>
                <w:rStyle w:val="Hiperhivatkozs"/>
                <w:rFonts w:asciiTheme="majorHAnsi" w:hAnsiTheme="majorHAnsi" w:cstheme="majorHAnsi"/>
              </w:rPr>
              <w:t>A nevelés-oktatás belső egyensúlyának biztosítása</w:t>
            </w:r>
            <w:r w:rsidR="00D676D5">
              <w:rPr>
                <w:webHidden/>
              </w:rPr>
              <w:tab/>
            </w:r>
            <w:r w:rsidR="00D676D5">
              <w:rPr>
                <w:webHidden/>
              </w:rPr>
              <w:fldChar w:fldCharType="begin"/>
            </w:r>
            <w:r w:rsidR="00D676D5">
              <w:rPr>
                <w:webHidden/>
              </w:rPr>
              <w:instrText xml:space="preserve"> PAGEREF _Toc46822703 \h </w:instrText>
            </w:r>
            <w:r w:rsidR="00D676D5">
              <w:rPr>
                <w:webHidden/>
              </w:rPr>
            </w:r>
            <w:r w:rsidR="00D676D5">
              <w:rPr>
                <w:webHidden/>
              </w:rPr>
              <w:fldChar w:fldCharType="separate"/>
            </w:r>
            <w:r w:rsidR="00D676D5">
              <w:rPr>
                <w:webHidden/>
              </w:rPr>
              <w:t>27</w:t>
            </w:r>
            <w:r w:rsidR="00D676D5">
              <w:rPr>
                <w:webHidden/>
              </w:rPr>
              <w:fldChar w:fldCharType="end"/>
            </w:r>
          </w:hyperlink>
        </w:p>
        <w:p w14:paraId="6F4BFA3A" w14:textId="77777777" w:rsidR="00D676D5" w:rsidRDefault="00BE288F">
          <w:pPr>
            <w:pStyle w:val="TJ3"/>
            <w:rPr>
              <w:rFonts w:asciiTheme="minorHAnsi" w:eastAsiaTheme="minorEastAsia" w:hAnsiTheme="minorHAnsi" w:cstheme="minorBidi"/>
              <w:noProof/>
              <w:sz w:val="22"/>
              <w:szCs w:val="22"/>
              <w:lang w:eastAsia="hu-HU"/>
            </w:rPr>
          </w:pPr>
          <w:hyperlink w:anchor="_Toc46822704" w:history="1">
            <w:r w:rsidR="00D676D5" w:rsidRPr="00603669">
              <w:rPr>
                <w:rStyle w:val="Hiperhivatkozs"/>
                <w:noProof/>
              </w:rPr>
              <w:t>5.1.1</w:t>
            </w:r>
            <w:r w:rsidR="00D676D5">
              <w:rPr>
                <w:rFonts w:asciiTheme="minorHAnsi" w:eastAsiaTheme="minorEastAsia" w:hAnsiTheme="minorHAnsi" w:cstheme="minorBidi"/>
                <w:noProof/>
                <w:sz w:val="22"/>
                <w:szCs w:val="22"/>
                <w:lang w:eastAsia="hu-HU"/>
              </w:rPr>
              <w:tab/>
            </w:r>
            <w:r w:rsidR="00D676D5" w:rsidRPr="00603669">
              <w:rPr>
                <w:rStyle w:val="Hiperhivatkozs"/>
                <w:noProof/>
              </w:rPr>
              <w:t>Tanulók összehangolt értelmi, lelki és fizikai fejlesztése</w:t>
            </w:r>
            <w:r w:rsidR="00D676D5">
              <w:rPr>
                <w:noProof/>
                <w:webHidden/>
              </w:rPr>
              <w:tab/>
            </w:r>
            <w:r w:rsidR="00D676D5">
              <w:rPr>
                <w:noProof/>
                <w:webHidden/>
              </w:rPr>
              <w:fldChar w:fldCharType="begin"/>
            </w:r>
            <w:r w:rsidR="00D676D5">
              <w:rPr>
                <w:noProof/>
                <w:webHidden/>
              </w:rPr>
              <w:instrText xml:space="preserve"> PAGEREF _Toc46822704 \h </w:instrText>
            </w:r>
            <w:r w:rsidR="00D676D5">
              <w:rPr>
                <w:noProof/>
                <w:webHidden/>
              </w:rPr>
            </w:r>
            <w:r w:rsidR="00D676D5">
              <w:rPr>
                <w:noProof/>
                <w:webHidden/>
              </w:rPr>
              <w:fldChar w:fldCharType="separate"/>
            </w:r>
            <w:r w:rsidR="00D676D5">
              <w:rPr>
                <w:noProof/>
                <w:webHidden/>
              </w:rPr>
              <w:t>27</w:t>
            </w:r>
            <w:r w:rsidR="00D676D5">
              <w:rPr>
                <w:noProof/>
                <w:webHidden/>
              </w:rPr>
              <w:fldChar w:fldCharType="end"/>
            </w:r>
          </w:hyperlink>
        </w:p>
        <w:p w14:paraId="50CB7A95" w14:textId="77777777" w:rsidR="00D676D5" w:rsidRDefault="00BE288F">
          <w:pPr>
            <w:pStyle w:val="TJ3"/>
            <w:rPr>
              <w:rFonts w:asciiTheme="minorHAnsi" w:eastAsiaTheme="minorEastAsia" w:hAnsiTheme="minorHAnsi" w:cstheme="minorBidi"/>
              <w:noProof/>
              <w:sz w:val="22"/>
              <w:szCs w:val="22"/>
              <w:lang w:eastAsia="hu-HU"/>
            </w:rPr>
          </w:pPr>
          <w:hyperlink w:anchor="_Toc46822705" w:history="1">
            <w:r w:rsidR="00D676D5" w:rsidRPr="00603669">
              <w:rPr>
                <w:rStyle w:val="Hiperhivatkozs"/>
                <w:noProof/>
              </w:rPr>
              <w:t>5.1.2</w:t>
            </w:r>
            <w:r w:rsidR="00D676D5">
              <w:rPr>
                <w:rFonts w:asciiTheme="minorHAnsi" w:eastAsiaTheme="minorEastAsia" w:hAnsiTheme="minorHAnsi" w:cstheme="minorBidi"/>
                <w:noProof/>
                <w:sz w:val="22"/>
                <w:szCs w:val="22"/>
                <w:lang w:eastAsia="hu-HU"/>
              </w:rPr>
              <w:tab/>
            </w:r>
            <w:r w:rsidR="00D676D5" w:rsidRPr="00603669">
              <w:rPr>
                <w:rStyle w:val="Hiperhivatkozs"/>
                <w:noProof/>
              </w:rPr>
              <w:t>A kisgyermekkori intézményes nevelés továbbfejlesztése</w:t>
            </w:r>
            <w:r w:rsidR="00D676D5">
              <w:rPr>
                <w:noProof/>
                <w:webHidden/>
              </w:rPr>
              <w:tab/>
            </w:r>
            <w:r w:rsidR="00D676D5">
              <w:rPr>
                <w:noProof/>
                <w:webHidden/>
              </w:rPr>
              <w:fldChar w:fldCharType="begin"/>
            </w:r>
            <w:r w:rsidR="00D676D5">
              <w:rPr>
                <w:noProof/>
                <w:webHidden/>
              </w:rPr>
              <w:instrText xml:space="preserve"> PAGEREF _Toc46822705 \h </w:instrText>
            </w:r>
            <w:r w:rsidR="00D676D5">
              <w:rPr>
                <w:noProof/>
                <w:webHidden/>
              </w:rPr>
            </w:r>
            <w:r w:rsidR="00D676D5">
              <w:rPr>
                <w:noProof/>
                <w:webHidden/>
              </w:rPr>
              <w:fldChar w:fldCharType="separate"/>
            </w:r>
            <w:r w:rsidR="00D676D5">
              <w:rPr>
                <w:noProof/>
                <w:webHidden/>
              </w:rPr>
              <w:t>32</w:t>
            </w:r>
            <w:r w:rsidR="00D676D5">
              <w:rPr>
                <w:noProof/>
                <w:webHidden/>
              </w:rPr>
              <w:fldChar w:fldCharType="end"/>
            </w:r>
          </w:hyperlink>
        </w:p>
        <w:p w14:paraId="292A752E"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06" w:history="1">
            <w:r w:rsidR="00D676D5" w:rsidRPr="00603669">
              <w:rPr>
                <w:rStyle w:val="Hiperhivatkozs"/>
              </w:rPr>
              <w:t>5.2</w:t>
            </w:r>
            <w:r w:rsidR="00D676D5">
              <w:rPr>
                <w:rFonts w:asciiTheme="minorHAnsi" w:eastAsiaTheme="minorEastAsia" w:hAnsiTheme="minorHAnsi" w:cstheme="minorBidi"/>
                <w:b w:val="0"/>
                <w:i w:val="0"/>
                <w:sz w:val="22"/>
                <w:szCs w:val="22"/>
                <w:lang w:eastAsia="hu-HU"/>
              </w:rPr>
              <w:tab/>
            </w:r>
            <w:r w:rsidR="00D676D5" w:rsidRPr="00603669">
              <w:rPr>
                <w:rStyle w:val="Hiperhivatkozs"/>
              </w:rPr>
              <w:t>A köznevelésben, mint állami közszolgálatban résztvevő emberi erőforrás fejlesztése</w:t>
            </w:r>
            <w:r w:rsidR="00D676D5">
              <w:rPr>
                <w:webHidden/>
              </w:rPr>
              <w:tab/>
            </w:r>
            <w:r w:rsidR="00D676D5">
              <w:rPr>
                <w:webHidden/>
              </w:rPr>
              <w:fldChar w:fldCharType="begin"/>
            </w:r>
            <w:r w:rsidR="00D676D5">
              <w:rPr>
                <w:webHidden/>
              </w:rPr>
              <w:instrText xml:space="preserve"> PAGEREF _Toc46822706 \h </w:instrText>
            </w:r>
            <w:r w:rsidR="00D676D5">
              <w:rPr>
                <w:webHidden/>
              </w:rPr>
            </w:r>
            <w:r w:rsidR="00D676D5">
              <w:rPr>
                <w:webHidden/>
              </w:rPr>
              <w:fldChar w:fldCharType="separate"/>
            </w:r>
            <w:r w:rsidR="00D676D5">
              <w:rPr>
                <w:webHidden/>
              </w:rPr>
              <w:t>34</w:t>
            </w:r>
            <w:r w:rsidR="00D676D5">
              <w:rPr>
                <w:webHidden/>
              </w:rPr>
              <w:fldChar w:fldCharType="end"/>
            </w:r>
          </w:hyperlink>
        </w:p>
        <w:p w14:paraId="5CDE3163" w14:textId="77777777" w:rsidR="00D676D5" w:rsidRDefault="00BE288F">
          <w:pPr>
            <w:pStyle w:val="TJ3"/>
            <w:rPr>
              <w:rFonts w:asciiTheme="minorHAnsi" w:eastAsiaTheme="minorEastAsia" w:hAnsiTheme="minorHAnsi" w:cstheme="minorBidi"/>
              <w:noProof/>
              <w:sz w:val="22"/>
              <w:szCs w:val="22"/>
              <w:lang w:eastAsia="hu-HU"/>
            </w:rPr>
          </w:pPr>
          <w:hyperlink w:anchor="_Toc46822707" w:history="1">
            <w:r w:rsidR="00D676D5" w:rsidRPr="00603669">
              <w:rPr>
                <w:rStyle w:val="Hiperhivatkozs"/>
                <w:noProof/>
              </w:rPr>
              <w:t>5.2.1</w:t>
            </w:r>
            <w:r w:rsidR="00D676D5">
              <w:rPr>
                <w:rFonts w:asciiTheme="minorHAnsi" w:eastAsiaTheme="minorEastAsia" w:hAnsiTheme="minorHAnsi" w:cstheme="minorBidi"/>
                <w:noProof/>
                <w:sz w:val="22"/>
                <w:szCs w:val="22"/>
                <w:lang w:eastAsia="hu-HU"/>
              </w:rPr>
              <w:tab/>
            </w:r>
            <w:r w:rsidR="00D676D5" w:rsidRPr="00603669">
              <w:rPr>
                <w:rStyle w:val="Hiperhivatkozs"/>
                <w:noProof/>
              </w:rPr>
              <w:t>Pedagógusok felkészültségének, megbecsültségének növelése</w:t>
            </w:r>
            <w:r w:rsidR="00D676D5">
              <w:rPr>
                <w:noProof/>
                <w:webHidden/>
              </w:rPr>
              <w:tab/>
            </w:r>
            <w:r w:rsidR="00D676D5">
              <w:rPr>
                <w:noProof/>
                <w:webHidden/>
              </w:rPr>
              <w:fldChar w:fldCharType="begin"/>
            </w:r>
            <w:r w:rsidR="00D676D5">
              <w:rPr>
                <w:noProof/>
                <w:webHidden/>
              </w:rPr>
              <w:instrText xml:space="preserve"> PAGEREF _Toc46822707 \h </w:instrText>
            </w:r>
            <w:r w:rsidR="00D676D5">
              <w:rPr>
                <w:noProof/>
                <w:webHidden/>
              </w:rPr>
            </w:r>
            <w:r w:rsidR="00D676D5">
              <w:rPr>
                <w:noProof/>
                <w:webHidden/>
              </w:rPr>
              <w:fldChar w:fldCharType="separate"/>
            </w:r>
            <w:r w:rsidR="00D676D5">
              <w:rPr>
                <w:noProof/>
                <w:webHidden/>
              </w:rPr>
              <w:t>34</w:t>
            </w:r>
            <w:r w:rsidR="00D676D5">
              <w:rPr>
                <w:noProof/>
                <w:webHidden/>
              </w:rPr>
              <w:fldChar w:fldCharType="end"/>
            </w:r>
          </w:hyperlink>
        </w:p>
        <w:p w14:paraId="53198E56" w14:textId="77777777" w:rsidR="00D676D5" w:rsidRDefault="00BE288F">
          <w:pPr>
            <w:pStyle w:val="TJ4"/>
            <w:rPr>
              <w:rFonts w:asciiTheme="minorHAnsi" w:eastAsiaTheme="minorEastAsia" w:hAnsiTheme="minorHAnsi" w:cstheme="minorBidi"/>
              <w:noProof/>
              <w:sz w:val="22"/>
              <w:szCs w:val="22"/>
              <w:lang w:eastAsia="hu-HU"/>
            </w:rPr>
          </w:pPr>
          <w:hyperlink w:anchor="_Toc46822708" w:history="1">
            <w:r w:rsidR="00D676D5" w:rsidRPr="00603669">
              <w:rPr>
                <w:rStyle w:val="Hiperhivatkozs"/>
                <w:noProof/>
              </w:rPr>
              <w:t>5.2.1.1</w:t>
            </w:r>
            <w:r w:rsidR="00D676D5">
              <w:rPr>
                <w:rFonts w:asciiTheme="minorHAnsi" w:eastAsiaTheme="minorEastAsia" w:hAnsiTheme="minorHAnsi" w:cstheme="minorBidi"/>
                <w:noProof/>
                <w:sz w:val="22"/>
                <w:szCs w:val="22"/>
                <w:lang w:eastAsia="hu-HU"/>
              </w:rPr>
              <w:tab/>
            </w:r>
            <w:r w:rsidR="00D676D5" w:rsidRPr="00603669">
              <w:rPr>
                <w:rStyle w:val="Hiperhivatkozs"/>
                <w:noProof/>
              </w:rPr>
              <w:t>A pedagógusok felkészítése, kompetenciáik erősítése</w:t>
            </w:r>
            <w:r w:rsidR="00D676D5">
              <w:rPr>
                <w:noProof/>
                <w:webHidden/>
              </w:rPr>
              <w:tab/>
            </w:r>
            <w:r w:rsidR="00D676D5">
              <w:rPr>
                <w:noProof/>
                <w:webHidden/>
              </w:rPr>
              <w:fldChar w:fldCharType="begin"/>
            </w:r>
            <w:r w:rsidR="00D676D5">
              <w:rPr>
                <w:noProof/>
                <w:webHidden/>
              </w:rPr>
              <w:instrText xml:space="preserve"> PAGEREF _Toc46822708 \h </w:instrText>
            </w:r>
            <w:r w:rsidR="00D676D5">
              <w:rPr>
                <w:noProof/>
                <w:webHidden/>
              </w:rPr>
            </w:r>
            <w:r w:rsidR="00D676D5">
              <w:rPr>
                <w:noProof/>
                <w:webHidden/>
              </w:rPr>
              <w:fldChar w:fldCharType="separate"/>
            </w:r>
            <w:r w:rsidR="00D676D5">
              <w:rPr>
                <w:noProof/>
                <w:webHidden/>
              </w:rPr>
              <w:t>37</w:t>
            </w:r>
            <w:r w:rsidR="00D676D5">
              <w:rPr>
                <w:noProof/>
                <w:webHidden/>
              </w:rPr>
              <w:fldChar w:fldCharType="end"/>
            </w:r>
          </w:hyperlink>
        </w:p>
        <w:p w14:paraId="16765E40" w14:textId="77777777" w:rsidR="00D676D5" w:rsidRDefault="00BE288F">
          <w:pPr>
            <w:pStyle w:val="TJ4"/>
            <w:rPr>
              <w:rFonts w:asciiTheme="minorHAnsi" w:eastAsiaTheme="minorEastAsia" w:hAnsiTheme="minorHAnsi" w:cstheme="minorBidi"/>
              <w:noProof/>
              <w:sz w:val="22"/>
              <w:szCs w:val="22"/>
              <w:lang w:eastAsia="hu-HU"/>
            </w:rPr>
          </w:pPr>
          <w:hyperlink w:anchor="_Toc46822709" w:history="1">
            <w:r w:rsidR="00D676D5" w:rsidRPr="00603669">
              <w:rPr>
                <w:rStyle w:val="Hiperhivatkozs"/>
                <w:noProof/>
              </w:rPr>
              <w:t>5.2.1.2</w:t>
            </w:r>
            <w:r w:rsidR="00D676D5">
              <w:rPr>
                <w:rFonts w:asciiTheme="minorHAnsi" w:eastAsiaTheme="minorEastAsia" w:hAnsiTheme="minorHAnsi" w:cstheme="minorBidi"/>
                <w:noProof/>
                <w:sz w:val="22"/>
                <w:szCs w:val="22"/>
                <w:lang w:eastAsia="hu-HU"/>
              </w:rPr>
              <w:tab/>
            </w:r>
            <w:r w:rsidR="00D676D5" w:rsidRPr="00603669">
              <w:rPr>
                <w:rStyle w:val="Hiperhivatkozs"/>
                <w:noProof/>
              </w:rPr>
              <w:t>A pedagógus-továbbképzési rendszer helyzete, az új pedagógus továbbképzési rendszer bevezetése</w:t>
            </w:r>
            <w:r w:rsidR="00D676D5">
              <w:rPr>
                <w:noProof/>
                <w:webHidden/>
              </w:rPr>
              <w:tab/>
            </w:r>
            <w:r w:rsidR="00D676D5">
              <w:rPr>
                <w:noProof/>
                <w:webHidden/>
              </w:rPr>
              <w:fldChar w:fldCharType="begin"/>
            </w:r>
            <w:r w:rsidR="00D676D5">
              <w:rPr>
                <w:noProof/>
                <w:webHidden/>
              </w:rPr>
              <w:instrText xml:space="preserve"> PAGEREF _Toc46822709 \h </w:instrText>
            </w:r>
            <w:r w:rsidR="00D676D5">
              <w:rPr>
                <w:noProof/>
                <w:webHidden/>
              </w:rPr>
            </w:r>
            <w:r w:rsidR="00D676D5">
              <w:rPr>
                <w:noProof/>
                <w:webHidden/>
              </w:rPr>
              <w:fldChar w:fldCharType="separate"/>
            </w:r>
            <w:r w:rsidR="00D676D5">
              <w:rPr>
                <w:noProof/>
                <w:webHidden/>
              </w:rPr>
              <w:t>41</w:t>
            </w:r>
            <w:r w:rsidR="00D676D5">
              <w:rPr>
                <w:noProof/>
                <w:webHidden/>
              </w:rPr>
              <w:fldChar w:fldCharType="end"/>
            </w:r>
          </w:hyperlink>
        </w:p>
        <w:p w14:paraId="560A6B08" w14:textId="77777777" w:rsidR="00D676D5" w:rsidRDefault="00BE288F">
          <w:pPr>
            <w:pStyle w:val="TJ4"/>
            <w:rPr>
              <w:rFonts w:asciiTheme="minorHAnsi" w:eastAsiaTheme="minorEastAsia" w:hAnsiTheme="minorHAnsi" w:cstheme="minorBidi"/>
              <w:noProof/>
              <w:sz w:val="22"/>
              <w:szCs w:val="22"/>
              <w:lang w:eastAsia="hu-HU"/>
            </w:rPr>
          </w:pPr>
          <w:hyperlink w:anchor="_Toc46822710" w:history="1">
            <w:r w:rsidR="00D676D5" w:rsidRPr="00603669">
              <w:rPr>
                <w:rStyle w:val="Hiperhivatkozs"/>
                <w:noProof/>
              </w:rPr>
              <w:t>5.2.1.3</w:t>
            </w:r>
            <w:r w:rsidR="00D676D5">
              <w:rPr>
                <w:rFonts w:asciiTheme="minorHAnsi" w:eastAsiaTheme="minorEastAsia" w:hAnsiTheme="minorHAnsi" w:cstheme="minorBidi"/>
                <w:noProof/>
                <w:sz w:val="22"/>
                <w:szCs w:val="22"/>
                <w:lang w:eastAsia="hu-HU"/>
              </w:rPr>
              <w:tab/>
            </w:r>
            <w:r w:rsidR="00D676D5" w:rsidRPr="00603669">
              <w:rPr>
                <w:rStyle w:val="Hiperhivatkozs"/>
                <w:noProof/>
              </w:rPr>
              <w:t>Pedagógus minősítési rendszer továbbfejlesztése</w:t>
            </w:r>
            <w:r w:rsidR="00D676D5">
              <w:rPr>
                <w:noProof/>
                <w:webHidden/>
              </w:rPr>
              <w:tab/>
            </w:r>
            <w:r w:rsidR="00D676D5">
              <w:rPr>
                <w:noProof/>
                <w:webHidden/>
              </w:rPr>
              <w:fldChar w:fldCharType="begin"/>
            </w:r>
            <w:r w:rsidR="00D676D5">
              <w:rPr>
                <w:noProof/>
                <w:webHidden/>
              </w:rPr>
              <w:instrText xml:space="preserve"> PAGEREF _Toc46822710 \h </w:instrText>
            </w:r>
            <w:r w:rsidR="00D676D5">
              <w:rPr>
                <w:noProof/>
                <w:webHidden/>
              </w:rPr>
            </w:r>
            <w:r w:rsidR="00D676D5">
              <w:rPr>
                <w:noProof/>
                <w:webHidden/>
              </w:rPr>
              <w:fldChar w:fldCharType="separate"/>
            </w:r>
            <w:r w:rsidR="00D676D5">
              <w:rPr>
                <w:noProof/>
                <w:webHidden/>
              </w:rPr>
              <w:t>42</w:t>
            </w:r>
            <w:r w:rsidR="00D676D5">
              <w:rPr>
                <w:noProof/>
                <w:webHidden/>
              </w:rPr>
              <w:fldChar w:fldCharType="end"/>
            </w:r>
          </w:hyperlink>
        </w:p>
        <w:p w14:paraId="68B8EB12" w14:textId="77777777" w:rsidR="00D676D5" w:rsidRDefault="00BE288F">
          <w:pPr>
            <w:pStyle w:val="TJ4"/>
            <w:rPr>
              <w:rFonts w:asciiTheme="minorHAnsi" w:eastAsiaTheme="minorEastAsia" w:hAnsiTheme="minorHAnsi" w:cstheme="minorBidi"/>
              <w:noProof/>
              <w:sz w:val="22"/>
              <w:szCs w:val="22"/>
              <w:lang w:eastAsia="hu-HU"/>
            </w:rPr>
          </w:pPr>
          <w:hyperlink w:anchor="_Toc46822711" w:history="1">
            <w:r w:rsidR="00D676D5" w:rsidRPr="00603669">
              <w:rPr>
                <w:rStyle w:val="Hiperhivatkozs"/>
                <w:noProof/>
              </w:rPr>
              <w:t>5.2.1.4</w:t>
            </w:r>
            <w:r w:rsidR="00D676D5">
              <w:rPr>
                <w:rFonts w:asciiTheme="minorHAnsi" w:eastAsiaTheme="minorEastAsia" w:hAnsiTheme="minorHAnsi" w:cstheme="minorBidi"/>
                <w:noProof/>
                <w:sz w:val="22"/>
                <w:szCs w:val="22"/>
                <w:lang w:eastAsia="hu-HU"/>
              </w:rPr>
              <w:tab/>
            </w:r>
            <w:r w:rsidR="00D676D5" w:rsidRPr="00603669">
              <w:rPr>
                <w:rStyle w:val="Hiperhivatkozs"/>
                <w:noProof/>
              </w:rPr>
              <w:t>A pedagógiai szakmai munka értékelése, tanfelügyelet, szaktanácsadás, mentorálás</w:t>
            </w:r>
            <w:r w:rsidR="00D676D5">
              <w:rPr>
                <w:noProof/>
                <w:webHidden/>
              </w:rPr>
              <w:tab/>
            </w:r>
            <w:r w:rsidR="00D676D5">
              <w:rPr>
                <w:noProof/>
                <w:webHidden/>
              </w:rPr>
              <w:fldChar w:fldCharType="begin"/>
            </w:r>
            <w:r w:rsidR="00D676D5">
              <w:rPr>
                <w:noProof/>
                <w:webHidden/>
              </w:rPr>
              <w:instrText xml:space="preserve"> PAGEREF _Toc46822711 \h </w:instrText>
            </w:r>
            <w:r w:rsidR="00D676D5">
              <w:rPr>
                <w:noProof/>
                <w:webHidden/>
              </w:rPr>
            </w:r>
            <w:r w:rsidR="00D676D5">
              <w:rPr>
                <w:noProof/>
                <w:webHidden/>
              </w:rPr>
              <w:fldChar w:fldCharType="separate"/>
            </w:r>
            <w:r w:rsidR="00D676D5">
              <w:rPr>
                <w:noProof/>
                <w:webHidden/>
              </w:rPr>
              <w:t>44</w:t>
            </w:r>
            <w:r w:rsidR="00D676D5">
              <w:rPr>
                <w:noProof/>
                <w:webHidden/>
              </w:rPr>
              <w:fldChar w:fldCharType="end"/>
            </w:r>
          </w:hyperlink>
        </w:p>
        <w:p w14:paraId="191EF13A" w14:textId="77777777" w:rsidR="00D676D5" w:rsidRDefault="00BE288F">
          <w:pPr>
            <w:pStyle w:val="TJ3"/>
            <w:rPr>
              <w:rFonts w:asciiTheme="minorHAnsi" w:eastAsiaTheme="minorEastAsia" w:hAnsiTheme="minorHAnsi" w:cstheme="minorBidi"/>
              <w:noProof/>
              <w:sz w:val="22"/>
              <w:szCs w:val="22"/>
              <w:lang w:eastAsia="hu-HU"/>
            </w:rPr>
          </w:pPr>
          <w:hyperlink w:anchor="_Toc46822712" w:history="1">
            <w:r w:rsidR="00D676D5" w:rsidRPr="00603669">
              <w:rPr>
                <w:rStyle w:val="Hiperhivatkozs"/>
                <w:noProof/>
              </w:rPr>
              <w:t>5.2.2</w:t>
            </w:r>
            <w:r w:rsidR="00D676D5">
              <w:rPr>
                <w:rFonts w:asciiTheme="minorHAnsi" w:eastAsiaTheme="minorEastAsia" w:hAnsiTheme="minorHAnsi" w:cstheme="minorBidi"/>
                <w:noProof/>
                <w:sz w:val="22"/>
                <w:szCs w:val="22"/>
                <w:lang w:eastAsia="hu-HU"/>
              </w:rPr>
              <w:tab/>
            </w:r>
            <w:r w:rsidR="00D676D5" w:rsidRPr="00603669">
              <w:rPr>
                <w:rStyle w:val="Hiperhivatkozs"/>
                <w:noProof/>
              </w:rPr>
              <w:t>Nevelő-oktató munkát közvetlenül segítők szerepének növelése</w:t>
            </w:r>
            <w:r w:rsidR="00D676D5">
              <w:rPr>
                <w:noProof/>
                <w:webHidden/>
              </w:rPr>
              <w:tab/>
            </w:r>
            <w:r w:rsidR="00D676D5">
              <w:rPr>
                <w:noProof/>
                <w:webHidden/>
              </w:rPr>
              <w:fldChar w:fldCharType="begin"/>
            </w:r>
            <w:r w:rsidR="00D676D5">
              <w:rPr>
                <w:noProof/>
                <w:webHidden/>
              </w:rPr>
              <w:instrText xml:space="preserve"> PAGEREF _Toc46822712 \h </w:instrText>
            </w:r>
            <w:r w:rsidR="00D676D5">
              <w:rPr>
                <w:noProof/>
                <w:webHidden/>
              </w:rPr>
            </w:r>
            <w:r w:rsidR="00D676D5">
              <w:rPr>
                <w:noProof/>
                <w:webHidden/>
              </w:rPr>
              <w:fldChar w:fldCharType="separate"/>
            </w:r>
            <w:r w:rsidR="00D676D5">
              <w:rPr>
                <w:noProof/>
                <w:webHidden/>
              </w:rPr>
              <w:t>46</w:t>
            </w:r>
            <w:r w:rsidR="00D676D5">
              <w:rPr>
                <w:noProof/>
                <w:webHidden/>
              </w:rPr>
              <w:fldChar w:fldCharType="end"/>
            </w:r>
          </w:hyperlink>
        </w:p>
        <w:p w14:paraId="5318EFD2" w14:textId="77777777" w:rsidR="00D676D5" w:rsidRDefault="00BE288F">
          <w:pPr>
            <w:pStyle w:val="TJ3"/>
            <w:rPr>
              <w:rFonts w:asciiTheme="minorHAnsi" w:eastAsiaTheme="minorEastAsia" w:hAnsiTheme="minorHAnsi" w:cstheme="minorBidi"/>
              <w:noProof/>
              <w:sz w:val="22"/>
              <w:szCs w:val="22"/>
              <w:lang w:eastAsia="hu-HU"/>
            </w:rPr>
          </w:pPr>
          <w:hyperlink w:anchor="_Toc46822713" w:history="1">
            <w:r w:rsidR="00D676D5" w:rsidRPr="00603669">
              <w:rPr>
                <w:rStyle w:val="Hiperhivatkozs"/>
                <w:noProof/>
              </w:rPr>
              <w:t>5.2.3</w:t>
            </w:r>
            <w:r w:rsidR="00D676D5">
              <w:rPr>
                <w:rFonts w:asciiTheme="minorHAnsi" w:eastAsiaTheme="minorEastAsia" w:hAnsiTheme="minorHAnsi" w:cstheme="minorBidi"/>
                <w:noProof/>
                <w:sz w:val="22"/>
                <w:szCs w:val="22"/>
                <w:lang w:eastAsia="hu-HU"/>
              </w:rPr>
              <w:tab/>
            </w:r>
            <w:r w:rsidR="00D676D5" w:rsidRPr="00603669">
              <w:rPr>
                <w:rStyle w:val="Hiperhivatkozs"/>
                <w:noProof/>
              </w:rPr>
              <w:t>Intézményvezetői munka hatékonyságának és mérhetőségének fejlesztése</w:t>
            </w:r>
            <w:r w:rsidR="00D676D5">
              <w:rPr>
                <w:noProof/>
                <w:webHidden/>
              </w:rPr>
              <w:tab/>
            </w:r>
            <w:r w:rsidR="00D676D5">
              <w:rPr>
                <w:noProof/>
                <w:webHidden/>
              </w:rPr>
              <w:fldChar w:fldCharType="begin"/>
            </w:r>
            <w:r w:rsidR="00D676D5">
              <w:rPr>
                <w:noProof/>
                <w:webHidden/>
              </w:rPr>
              <w:instrText xml:space="preserve"> PAGEREF _Toc46822713 \h </w:instrText>
            </w:r>
            <w:r w:rsidR="00D676D5">
              <w:rPr>
                <w:noProof/>
                <w:webHidden/>
              </w:rPr>
            </w:r>
            <w:r w:rsidR="00D676D5">
              <w:rPr>
                <w:noProof/>
                <w:webHidden/>
              </w:rPr>
              <w:fldChar w:fldCharType="separate"/>
            </w:r>
            <w:r w:rsidR="00D676D5">
              <w:rPr>
                <w:noProof/>
                <w:webHidden/>
              </w:rPr>
              <w:t>47</w:t>
            </w:r>
            <w:r w:rsidR="00D676D5">
              <w:rPr>
                <w:noProof/>
                <w:webHidden/>
              </w:rPr>
              <w:fldChar w:fldCharType="end"/>
            </w:r>
          </w:hyperlink>
        </w:p>
        <w:p w14:paraId="7EB53C81" w14:textId="77777777" w:rsidR="00D676D5" w:rsidRDefault="00BE288F">
          <w:pPr>
            <w:pStyle w:val="TJ4"/>
            <w:rPr>
              <w:rFonts w:asciiTheme="minorHAnsi" w:eastAsiaTheme="minorEastAsia" w:hAnsiTheme="minorHAnsi" w:cstheme="minorBidi"/>
              <w:noProof/>
              <w:sz w:val="22"/>
              <w:szCs w:val="22"/>
              <w:lang w:eastAsia="hu-HU"/>
            </w:rPr>
          </w:pPr>
          <w:hyperlink w:anchor="_Toc46822714" w:history="1">
            <w:r w:rsidR="00D676D5" w:rsidRPr="00603669">
              <w:rPr>
                <w:rStyle w:val="Hiperhivatkozs"/>
                <w:noProof/>
              </w:rPr>
              <w:t>5.2.3.1</w:t>
            </w:r>
            <w:r w:rsidR="00D676D5">
              <w:rPr>
                <w:rFonts w:asciiTheme="minorHAnsi" w:eastAsiaTheme="minorEastAsia" w:hAnsiTheme="minorHAnsi" w:cstheme="minorBidi"/>
                <w:noProof/>
                <w:sz w:val="22"/>
                <w:szCs w:val="22"/>
                <w:lang w:eastAsia="hu-HU"/>
              </w:rPr>
              <w:tab/>
            </w:r>
            <w:r w:rsidR="00D676D5" w:rsidRPr="00603669">
              <w:rPr>
                <w:rStyle w:val="Hiperhivatkozs"/>
                <w:noProof/>
              </w:rPr>
              <w:t>Az intézményvezetői munka hatékonyságának növelése</w:t>
            </w:r>
            <w:r w:rsidR="00D676D5">
              <w:rPr>
                <w:noProof/>
                <w:webHidden/>
              </w:rPr>
              <w:tab/>
            </w:r>
            <w:r w:rsidR="00D676D5">
              <w:rPr>
                <w:noProof/>
                <w:webHidden/>
              </w:rPr>
              <w:fldChar w:fldCharType="begin"/>
            </w:r>
            <w:r w:rsidR="00D676D5">
              <w:rPr>
                <w:noProof/>
                <w:webHidden/>
              </w:rPr>
              <w:instrText xml:space="preserve"> PAGEREF _Toc46822714 \h </w:instrText>
            </w:r>
            <w:r w:rsidR="00D676D5">
              <w:rPr>
                <w:noProof/>
                <w:webHidden/>
              </w:rPr>
            </w:r>
            <w:r w:rsidR="00D676D5">
              <w:rPr>
                <w:noProof/>
                <w:webHidden/>
              </w:rPr>
              <w:fldChar w:fldCharType="separate"/>
            </w:r>
            <w:r w:rsidR="00D676D5">
              <w:rPr>
                <w:noProof/>
                <w:webHidden/>
              </w:rPr>
              <w:t>47</w:t>
            </w:r>
            <w:r w:rsidR="00D676D5">
              <w:rPr>
                <w:noProof/>
                <w:webHidden/>
              </w:rPr>
              <w:fldChar w:fldCharType="end"/>
            </w:r>
          </w:hyperlink>
        </w:p>
        <w:p w14:paraId="09DF0C50" w14:textId="77777777" w:rsidR="00D676D5" w:rsidRDefault="00BE288F">
          <w:pPr>
            <w:pStyle w:val="TJ4"/>
            <w:rPr>
              <w:rFonts w:asciiTheme="minorHAnsi" w:eastAsiaTheme="minorEastAsia" w:hAnsiTheme="minorHAnsi" w:cstheme="minorBidi"/>
              <w:noProof/>
              <w:sz w:val="22"/>
              <w:szCs w:val="22"/>
              <w:lang w:eastAsia="hu-HU"/>
            </w:rPr>
          </w:pPr>
          <w:hyperlink w:anchor="_Toc46822715" w:history="1">
            <w:r w:rsidR="00D676D5" w:rsidRPr="00603669">
              <w:rPr>
                <w:rStyle w:val="Hiperhivatkozs"/>
                <w:noProof/>
              </w:rPr>
              <w:t>5.2.3.2</w:t>
            </w:r>
            <w:r w:rsidR="00D676D5">
              <w:rPr>
                <w:rFonts w:asciiTheme="minorHAnsi" w:eastAsiaTheme="minorEastAsia" w:hAnsiTheme="minorHAnsi" w:cstheme="minorBidi"/>
                <w:noProof/>
                <w:sz w:val="22"/>
                <w:szCs w:val="22"/>
                <w:lang w:eastAsia="hu-HU"/>
              </w:rPr>
              <w:tab/>
            </w:r>
            <w:r w:rsidR="00D676D5" w:rsidRPr="00603669">
              <w:rPr>
                <w:rStyle w:val="Hiperhivatkozs"/>
                <w:noProof/>
              </w:rPr>
              <w:t>Intézményvezetők mérése, ellenőrzése (monitoring rendszer)</w:t>
            </w:r>
            <w:r w:rsidR="00D676D5">
              <w:rPr>
                <w:noProof/>
                <w:webHidden/>
              </w:rPr>
              <w:tab/>
            </w:r>
            <w:r w:rsidR="00D676D5">
              <w:rPr>
                <w:noProof/>
                <w:webHidden/>
              </w:rPr>
              <w:fldChar w:fldCharType="begin"/>
            </w:r>
            <w:r w:rsidR="00D676D5">
              <w:rPr>
                <w:noProof/>
                <w:webHidden/>
              </w:rPr>
              <w:instrText xml:space="preserve"> PAGEREF _Toc46822715 \h </w:instrText>
            </w:r>
            <w:r w:rsidR="00D676D5">
              <w:rPr>
                <w:noProof/>
                <w:webHidden/>
              </w:rPr>
            </w:r>
            <w:r w:rsidR="00D676D5">
              <w:rPr>
                <w:noProof/>
                <w:webHidden/>
              </w:rPr>
              <w:fldChar w:fldCharType="separate"/>
            </w:r>
            <w:r w:rsidR="00D676D5">
              <w:rPr>
                <w:noProof/>
                <w:webHidden/>
              </w:rPr>
              <w:t>48</w:t>
            </w:r>
            <w:r w:rsidR="00D676D5">
              <w:rPr>
                <w:noProof/>
                <w:webHidden/>
              </w:rPr>
              <w:fldChar w:fldCharType="end"/>
            </w:r>
          </w:hyperlink>
        </w:p>
        <w:p w14:paraId="4CE81EAC"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16" w:history="1">
            <w:r w:rsidR="00D676D5" w:rsidRPr="00603669">
              <w:rPr>
                <w:rStyle w:val="Hiperhivatkozs"/>
              </w:rPr>
              <w:t>5.3</w:t>
            </w:r>
            <w:r w:rsidR="00D676D5">
              <w:rPr>
                <w:rFonts w:asciiTheme="minorHAnsi" w:eastAsiaTheme="minorEastAsia" w:hAnsiTheme="minorHAnsi" w:cstheme="minorBidi"/>
                <w:b w:val="0"/>
                <w:i w:val="0"/>
                <w:sz w:val="22"/>
                <w:szCs w:val="22"/>
                <w:lang w:eastAsia="hu-HU"/>
              </w:rPr>
              <w:tab/>
            </w:r>
            <w:r w:rsidR="00D676D5" w:rsidRPr="00603669">
              <w:rPr>
                <w:rStyle w:val="Hiperhivatkozs"/>
              </w:rPr>
              <w:t>Méltányos, egyéni sajátosságokat figyelembe vevő köznevelés</w:t>
            </w:r>
            <w:r w:rsidR="00D676D5">
              <w:rPr>
                <w:webHidden/>
              </w:rPr>
              <w:tab/>
            </w:r>
            <w:r w:rsidR="00D676D5">
              <w:rPr>
                <w:webHidden/>
              </w:rPr>
              <w:fldChar w:fldCharType="begin"/>
            </w:r>
            <w:r w:rsidR="00D676D5">
              <w:rPr>
                <w:webHidden/>
              </w:rPr>
              <w:instrText xml:space="preserve"> PAGEREF _Toc46822716 \h </w:instrText>
            </w:r>
            <w:r w:rsidR="00D676D5">
              <w:rPr>
                <w:webHidden/>
              </w:rPr>
            </w:r>
            <w:r w:rsidR="00D676D5">
              <w:rPr>
                <w:webHidden/>
              </w:rPr>
              <w:fldChar w:fldCharType="separate"/>
            </w:r>
            <w:r w:rsidR="00D676D5">
              <w:rPr>
                <w:webHidden/>
              </w:rPr>
              <w:t>50</w:t>
            </w:r>
            <w:r w:rsidR="00D676D5">
              <w:rPr>
                <w:webHidden/>
              </w:rPr>
              <w:fldChar w:fldCharType="end"/>
            </w:r>
          </w:hyperlink>
        </w:p>
        <w:p w14:paraId="7FED7C81" w14:textId="77777777" w:rsidR="00D676D5" w:rsidRDefault="00BE288F">
          <w:pPr>
            <w:pStyle w:val="TJ3"/>
            <w:rPr>
              <w:rFonts w:asciiTheme="minorHAnsi" w:eastAsiaTheme="minorEastAsia" w:hAnsiTheme="minorHAnsi" w:cstheme="minorBidi"/>
              <w:noProof/>
              <w:sz w:val="22"/>
              <w:szCs w:val="22"/>
              <w:lang w:eastAsia="hu-HU"/>
            </w:rPr>
          </w:pPr>
          <w:hyperlink w:anchor="_Toc46822717" w:history="1">
            <w:r w:rsidR="00D676D5" w:rsidRPr="00603669">
              <w:rPr>
                <w:rStyle w:val="Hiperhivatkozs"/>
                <w:noProof/>
              </w:rPr>
              <w:t>5.3.1</w:t>
            </w:r>
            <w:r w:rsidR="00D676D5">
              <w:rPr>
                <w:rFonts w:asciiTheme="minorHAnsi" w:eastAsiaTheme="minorEastAsia" w:hAnsiTheme="minorHAnsi" w:cstheme="minorBidi"/>
                <w:noProof/>
                <w:sz w:val="22"/>
                <w:szCs w:val="22"/>
                <w:lang w:eastAsia="hu-HU"/>
              </w:rPr>
              <w:tab/>
            </w:r>
            <w:r w:rsidR="00D676D5" w:rsidRPr="00603669">
              <w:rPr>
                <w:rStyle w:val="Hiperhivatkozs"/>
                <w:noProof/>
              </w:rPr>
              <w:t>Az alulteljesítők, korai iskolaelhagyók arányának csökkentése – esélyteremtés, integráció, felzárkózás</w:t>
            </w:r>
            <w:r w:rsidR="00D676D5">
              <w:rPr>
                <w:noProof/>
                <w:webHidden/>
              </w:rPr>
              <w:tab/>
            </w:r>
            <w:r w:rsidR="00D676D5">
              <w:rPr>
                <w:noProof/>
                <w:webHidden/>
              </w:rPr>
              <w:fldChar w:fldCharType="begin"/>
            </w:r>
            <w:r w:rsidR="00D676D5">
              <w:rPr>
                <w:noProof/>
                <w:webHidden/>
              </w:rPr>
              <w:instrText xml:space="preserve"> PAGEREF _Toc46822717 \h </w:instrText>
            </w:r>
            <w:r w:rsidR="00D676D5">
              <w:rPr>
                <w:noProof/>
                <w:webHidden/>
              </w:rPr>
            </w:r>
            <w:r w:rsidR="00D676D5">
              <w:rPr>
                <w:noProof/>
                <w:webHidden/>
              </w:rPr>
              <w:fldChar w:fldCharType="separate"/>
            </w:r>
            <w:r w:rsidR="00D676D5">
              <w:rPr>
                <w:noProof/>
                <w:webHidden/>
              </w:rPr>
              <w:t>50</w:t>
            </w:r>
            <w:r w:rsidR="00D676D5">
              <w:rPr>
                <w:noProof/>
                <w:webHidden/>
              </w:rPr>
              <w:fldChar w:fldCharType="end"/>
            </w:r>
          </w:hyperlink>
        </w:p>
        <w:p w14:paraId="54CE60C4" w14:textId="77777777" w:rsidR="00D676D5" w:rsidRDefault="00BE288F">
          <w:pPr>
            <w:pStyle w:val="TJ3"/>
            <w:rPr>
              <w:rFonts w:asciiTheme="minorHAnsi" w:eastAsiaTheme="minorEastAsia" w:hAnsiTheme="minorHAnsi" w:cstheme="minorBidi"/>
              <w:noProof/>
              <w:sz w:val="22"/>
              <w:szCs w:val="22"/>
              <w:lang w:eastAsia="hu-HU"/>
            </w:rPr>
          </w:pPr>
          <w:hyperlink w:anchor="_Toc46822718" w:history="1">
            <w:r w:rsidR="00D676D5" w:rsidRPr="00603669">
              <w:rPr>
                <w:rStyle w:val="Hiperhivatkozs"/>
                <w:noProof/>
              </w:rPr>
              <w:t>5.3.2</w:t>
            </w:r>
            <w:r w:rsidR="00D676D5">
              <w:rPr>
                <w:rFonts w:asciiTheme="minorHAnsi" w:eastAsiaTheme="minorEastAsia" w:hAnsiTheme="minorHAnsi" w:cstheme="minorBidi"/>
                <w:noProof/>
                <w:sz w:val="22"/>
                <w:szCs w:val="22"/>
                <w:lang w:eastAsia="hu-HU"/>
              </w:rPr>
              <w:tab/>
            </w:r>
            <w:r w:rsidR="00D676D5" w:rsidRPr="00603669">
              <w:rPr>
                <w:rStyle w:val="Hiperhivatkozs"/>
                <w:noProof/>
              </w:rPr>
              <w:t>Inkluzív nevelés-oktatás, sajátos nevelési igényű gyermekek, tanulók fejlesztése</w:t>
            </w:r>
            <w:r w:rsidR="00D676D5">
              <w:rPr>
                <w:noProof/>
                <w:webHidden/>
              </w:rPr>
              <w:tab/>
            </w:r>
            <w:r w:rsidR="00D676D5">
              <w:rPr>
                <w:noProof/>
                <w:webHidden/>
              </w:rPr>
              <w:fldChar w:fldCharType="begin"/>
            </w:r>
            <w:r w:rsidR="00D676D5">
              <w:rPr>
                <w:noProof/>
                <w:webHidden/>
              </w:rPr>
              <w:instrText xml:space="preserve"> PAGEREF _Toc46822718 \h </w:instrText>
            </w:r>
            <w:r w:rsidR="00D676D5">
              <w:rPr>
                <w:noProof/>
                <w:webHidden/>
              </w:rPr>
            </w:r>
            <w:r w:rsidR="00D676D5">
              <w:rPr>
                <w:noProof/>
                <w:webHidden/>
              </w:rPr>
              <w:fldChar w:fldCharType="separate"/>
            </w:r>
            <w:r w:rsidR="00D676D5">
              <w:rPr>
                <w:noProof/>
                <w:webHidden/>
              </w:rPr>
              <w:t>55</w:t>
            </w:r>
            <w:r w:rsidR="00D676D5">
              <w:rPr>
                <w:noProof/>
                <w:webHidden/>
              </w:rPr>
              <w:fldChar w:fldCharType="end"/>
            </w:r>
          </w:hyperlink>
        </w:p>
        <w:p w14:paraId="0C631B71" w14:textId="77777777" w:rsidR="00D676D5" w:rsidRDefault="00BE288F">
          <w:pPr>
            <w:pStyle w:val="TJ3"/>
            <w:rPr>
              <w:rFonts w:asciiTheme="minorHAnsi" w:eastAsiaTheme="minorEastAsia" w:hAnsiTheme="minorHAnsi" w:cstheme="minorBidi"/>
              <w:noProof/>
              <w:sz w:val="22"/>
              <w:szCs w:val="22"/>
              <w:lang w:eastAsia="hu-HU"/>
            </w:rPr>
          </w:pPr>
          <w:hyperlink w:anchor="_Toc46822719" w:history="1">
            <w:r w:rsidR="00D676D5" w:rsidRPr="00603669">
              <w:rPr>
                <w:rStyle w:val="Hiperhivatkozs"/>
                <w:noProof/>
              </w:rPr>
              <w:t>5.3.3</w:t>
            </w:r>
            <w:r w:rsidR="00D676D5">
              <w:rPr>
                <w:rFonts w:asciiTheme="minorHAnsi" w:eastAsiaTheme="minorEastAsia" w:hAnsiTheme="minorHAnsi" w:cstheme="minorBidi"/>
                <w:noProof/>
                <w:sz w:val="22"/>
                <w:szCs w:val="22"/>
                <w:lang w:eastAsia="hu-HU"/>
              </w:rPr>
              <w:tab/>
            </w:r>
            <w:r w:rsidR="00D676D5" w:rsidRPr="00603669">
              <w:rPr>
                <w:rStyle w:val="Hiperhivatkozs"/>
                <w:noProof/>
              </w:rPr>
              <w:t>Tehetséggondozás megerősítése</w:t>
            </w:r>
            <w:r w:rsidR="00D676D5">
              <w:rPr>
                <w:noProof/>
                <w:webHidden/>
              </w:rPr>
              <w:tab/>
            </w:r>
            <w:r w:rsidR="00D676D5">
              <w:rPr>
                <w:noProof/>
                <w:webHidden/>
              </w:rPr>
              <w:fldChar w:fldCharType="begin"/>
            </w:r>
            <w:r w:rsidR="00D676D5">
              <w:rPr>
                <w:noProof/>
                <w:webHidden/>
              </w:rPr>
              <w:instrText xml:space="preserve"> PAGEREF _Toc46822719 \h </w:instrText>
            </w:r>
            <w:r w:rsidR="00D676D5">
              <w:rPr>
                <w:noProof/>
                <w:webHidden/>
              </w:rPr>
            </w:r>
            <w:r w:rsidR="00D676D5">
              <w:rPr>
                <w:noProof/>
                <w:webHidden/>
              </w:rPr>
              <w:fldChar w:fldCharType="separate"/>
            </w:r>
            <w:r w:rsidR="00D676D5">
              <w:rPr>
                <w:noProof/>
                <w:webHidden/>
              </w:rPr>
              <w:t>58</w:t>
            </w:r>
            <w:r w:rsidR="00D676D5">
              <w:rPr>
                <w:noProof/>
                <w:webHidden/>
              </w:rPr>
              <w:fldChar w:fldCharType="end"/>
            </w:r>
          </w:hyperlink>
        </w:p>
        <w:p w14:paraId="51208887"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20" w:history="1">
            <w:r w:rsidR="00D676D5" w:rsidRPr="00603669">
              <w:rPr>
                <w:rStyle w:val="Hiperhivatkozs"/>
                <w:rFonts w:asciiTheme="majorHAnsi" w:hAnsiTheme="majorHAnsi" w:cstheme="majorHAnsi"/>
              </w:rPr>
              <w:t>5.4</w:t>
            </w:r>
            <w:r w:rsidR="00D676D5">
              <w:rPr>
                <w:rFonts w:asciiTheme="minorHAnsi" w:eastAsiaTheme="minorEastAsia" w:hAnsiTheme="minorHAnsi" w:cstheme="minorBidi"/>
                <w:b w:val="0"/>
                <w:i w:val="0"/>
                <w:sz w:val="22"/>
                <w:szCs w:val="22"/>
                <w:lang w:eastAsia="hu-HU"/>
              </w:rPr>
              <w:tab/>
            </w:r>
            <w:r w:rsidR="00D676D5" w:rsidRPr="00603669">
              <w:rPr>
                <w:rStyle w:val="Hiperhivatkozs"/>
                <w:rFonts w:asciiTheme="majorHAnsi" w:hAnsiTheme="majorHAnsi" w:cstheme="majorHAnsi"/>
              </w:rPr>
              <w:t>A XXI. század kihívásaira reagáló köznevelés</w:t>
            </w:r>
            <w:r w:rsidR="00D676D5">
              <w:rPr>
                <w:webHidden/>
              </w:rPr>
              <w:tab/>
            </w:r>
            <w:r w:rsidR="00D676D5">
              <w:rPr>
                <w:webHidden/>
              </w:rPr>
              <w:fldChar w:fldCharType="begin"/>
            </w:r>
            <w:r w:rsidR="00D676D5">
              <w:rPr>
                <w:webHidden/>
              </w:rPr>
              <w:instrText xml:space="preserve"> PAGEREF _Toc46822720 \h </w:instrText>
            </w:r>
            <w:r w:rsidR="00D676D5">
              <w:rPr>
                <w:webHidden/>
              </w:rPr>
            </w:r>
            <w:r w:rsidR="00D676D5">
              <w:rPr>
                <w:webHidden/>
              </w:rPr>
              <w:fldChar w:fldCharType="separate"/>
            </w:r>
            <w:r w:rsidR="00D676D5">
              <w:rPr>
                <w:webHidden/>
              </w:rPr>
              <w:t>60</w:t>
            </w:r>
            <w:r w:rsidR="00D676D5">
              <w:rPr>
                <w:webHidden/>
              </w:rPr>
              <w:fldChar w:fldCharType="end"/>
            </w:r>
          </w:hyperlink>
        </w:p>
        <w:p w14:paraId="68229202" w14:textId="77777777" w:rsidR="00D676D5" w:rsidRDefault="00BE288F">
          <w:pPr>
            <w:pStyle w:val="TJ3"/>
            <w:rPr>
              <w:rFonts w:asciiTheme="minorHAnsi" w:eastAsiaTheme="minorEastAsia" w:hAnsiTheme="minorHAnsi" w:cstheme="minorBidi"/>
              <w:noProof/>
              <w:sz w:val="22"/>
              <w:szCs w:val="22"/>
              <w:lang w:eastAsia="hu-HU"/>
            </w:rPr>
          </w:pPr>
          <w:hyperlink w:anchor="_Toc46822721" w:history="1">
            <w:r w:rsidR="00D676D5" w:rsidRPr="00603669">
              <w:rPr>
                <w:rStyle w:val="Hiperhivatkozs"/>
                <w:rFonts w:asciiTheme="majorHAnsi" w:hAnsiTheme="majorHAnsi" w:cstheme="majorHAnsi"/>
                <w:noProof/>
              </w:rPr>
              <w:t>5.4.1</w:t>
            </w:r>
            <w:r w:rsidR="00D676D5">
              <w:rPr>
                <w:rFonts w:asciiTheme="minorHAnsi" w:eastAsiaTheme="minorEastAsia" w:hAnsiTheme="minorHAnsi" w:cstheme="minorBidi"/>
                <w:noProof/>
                <w:sz w:val="22"/>
                <w:szCs w:val="22"/>
                <w:lang w:eastAsia="hu-HU"/>
              </w:rPr>
              <w:tab/>
            </w:r>
            <w:r w:rsidR="00D676D5" w:rsidRPr="00603669">
              <w:rPr>
                <w:rStyle w:val="Hiperhivatkozs"/>
                <w:rFonts w:asciiTheme="majorHAnsi" w:hAnsiTheme="majorHAnsi" w:cstheme="majorHAnsi"/>
                <w:noProof/>
              </w:rPr>
              <w:t>Digitális kompetenciák és szolgáltatások fejlesztése</w:t>
            </w:r>
            <w:r w:rsidR="00D676D5">
              <w:rPr>
                <w:noProof/>
                <w:webHidden/>
              </w:rPr>
              <w:tab/>
            </w:r>
            <w:r w:rsidR="00D676D5">
              <w:rPr>
                <w:noProof/>
                <w:webHidden/>
              </w:rPr>
              <w:fldChar w:fldCharType="begin"/>
            </w:r>
            <w:r w:rsidR="00D676D5">
              <w:rPr>
                <w:noProof/>
                <w:webHidden/>
              </w:rPr>
              <w:instrText xml:space="preserve"> PAGEREF _Toc46822721 \h </w:instrText>
            </w:r>
            <w:r w:rsidR="00D676D5">
              <w:rPr>
                <w:noProof/>
                <w:webHidden/>
              </w:rPr>
            </w:r>
            <w:r w:rsidR="00D676D5">
              <w:rPr>
                <w:noProof/>
                <w:webHidden/>
              </w:rPr>
              <w:fldChar w:fldCharType="separate"/>
            </w:r>
            <w:r w:rsidR="00D676D5">
              <w:rPr>
                <w:noProof/>
                <w:webHidden/>
              </w:rPr>
              <w:t>60</w:t>
            </w:r>
            <w:r w:rsidR="00D676D5">
              <w:rPr>
                <w:noProof/>
                <w:webHidden/>
              </w:rPr>
              <w:fldChar w:fldCharType="end"/>
            </w:r>
          </w:hyperlink>
        </w:p>
        <w:p w14:paraId="1148574F" w14:textId="77777777" w:rsidR="00D676D5" w:rsidRDefault="00BE288F">
          <w:pPr>
            <w:pStyle w:val="TJ4"/>
            <w:rPr>
              <w:rFonts w:asciiTheme="minorHAnsi" w:eastAsiaTheme="minorEastAsia" w:hAnsiTheme="minorHAnsi" w:cstheme="minorBidi"/>
              <w:noProof/>
              <w:sz w:val="22"/>
              <w:szCs w:val="22"/>
              <w:lang w:eastAsia="hu-HU"/>
            </w:rPr>
          </w:pPr>
          <w:hyperlink w:anchor="_Toc46822722" w:history="1">
            <w:r w:rsidR="00D676D5" w:rsidRPr="00603669">
              <w:rPr>
                <w:rStyle w:val="Hiperhivatkozs"/>
                <w:noProof/>
              </w:rPr>
              <w:t>5.4.1.1</w:t>
            </w:r>
            <w:r w:rsidR="00D676D5">
              <w:rPr>
                <w:rFonts w:asciiTheme="minorHAnsi" w:eastAsiaTheme="minorEastAsia" w:hAnsiTheme="minorHAnsi" w:cstheme="minorBidi"/>
                <w:noProof/>
                <w:sz w:val="22"/>
                <w:szCs w:val="22"/>
                <w:lang w:eastAsia="hu-HU"/>
              </w:rPr>
              <w:tab/>
            </w:r>
            <w:r w:rsidR="00D676D5" w:rsidRPr="00603669">
              <w:rPr>
                <w:rStyle w:val="Hiperhivatkozs"/>
                <w:noProof/>
              </w:rPr>
              <w:t>A digitális kompetenciák fontossága</w:t>
            </w:r>
            <w:r w:rsidR="00D676D5">
              <w:rPr>
                <w:noProof/>
                <w:webHidden/>
              </w:rPr>
              <w:tab/>
            </w:r>
            <w:r w:rsidR="00D676D5">
              <w:rPr>
                <w:noProof/>
                <w:webHidden/>
              </w:rPr>
              <w:fldChar w:fldCharType="begin"/>
            </w:r>
            <w:r w:rsidR="00D676D5">
              <w:rPr>
                <w:noProof/>
                <w:webHidden/>
              </w:rPr>
              <w:instrText xml:space="preserve"> PAGEREF _Toc46822722 \h </w:instrText>
            </w:r>
            <w:r w:rsidR="00D676D5">
              <w:rPr>
                <w:noProof/>
                <w:webHidden/>
              </w:rPr>
            </w:r>
            <w:r w:rsidR="00D676D5">
              <w:rPr>
                <w:noProof/>
                <w:webHidden/>
              </w:rPr>
              <w:fldChar w:fldCharType="separate"/>
            </w:r>
            <w:r w:rsidR="00D676D5">
              <w:rPr>
                <w:noProof/>
                <w:webHidden/>
              </w:rPr>
              <w:t>61</w:t>
            </w:r>
            <w:r w:rsidR="00D676D5">
              <w:rPr>
                <w:noProof/>
                <w:webHidden/>
              </w:rPr>
              <w:fldChar w:fldCharType="end"/>
            </w:r>
          </w:hyperlink>
        </w:p>
        <w:p w14:paraId="1F4A197D" w14:textId="77777777" w:rsidR="00D676D5" w:rsidRDefault="00BE288F">
          <w:pPr>
            <w:pStyle w:val="TJ4"/>
            <w:rPr>
              <w:rFonts w:asciiTheme="minorHAnsi" w:eastAsiaTheme="minorEastAsia" w:hAnsiTheme="minorHAnsi" w:cstheme="minorBidi"/>
              <w:noProof/>
              <w:sz w:val="22"/>
              <w:szCs w:val="22"/>
              <w:lang w:eastAsia="hu-HU"/>
            </w:rPr>
          </w:pPr>
          <w:hyperlink w:anchor="_Toc46822723" w:history="1">
            <w:r w:rsidR="00D676D5" w:rsidRPr="00603669">
              <w:rPr>
                <w:rStyle w:val="Hiperhivatkozs"/>
                <w:noProof/>
              </w:rPr>
              <w:t>5.4.1.2</w:t>
            </w:r>
            <w:r w:rsidR="00D676D5">
              <w:rPr>
                <w:rFonts w:asciiTheme="minorHAnsi" w:eastAsiaTheme="minorEastAsia" w:hAnsiTheme="minorHAnsi" w:cstheme="minorBidi"/>
                <w:noProof/>
                <w:sz w:val="22"/>
                <w:szCs w:val="22"/>
                <w:lang w:eastAsia="hu-HU"/>
              </w:rPr>
              <w:tab/>
            </w:r>
            <w:r w:rsidR="00D676D5" w:rsidRPr="00603669">
              <w:rPr>
                <w:rStyle w:val="Hiperhivatkozs"/>
                <w:noProof/>
              </w:rPr>
              <w:t>Digitális infrastruktúra</w:t>
            </w:r>
            <w:r w:rsidR="00D676D5">
              <w:rPr>
                <w:noProof/>
                <w:webHidden/>
              </w:rPr>
              <w:tab/>
            </w:r>
            <w:r w:rsidR="00D676D5">
              <w:rPr>
                <w:noProof/>
                <w:webHidden/>
              </w:rPr>
              <w:fldChar w:fldCharType="begin"/>
            </w:r>
            <w:r w:rsidR="00D676D5">
              <w:rPr>
                <w:noProof/>
                <w:webHidden/>
              </w:rPr>
              <w:instrText xml:space="preserve"> PAGEREF _Toc46822723 \h </w:instrText>
            </w:r>
            <w:r w:rsidR="00D676D5">
              <w:rPr>
                <w:noProof/>
                <w:webHidden/>
              </w:rPr>
            </w:r>
            <w:r w:rsidR="00D676D5">
              <w:rPr>
                <w:noProof/>
                <w:webHidden/>
              </w:rPr>
              <w:fldChar w:fldCharType="separate"/>
            </w:r>
            <w:r w:rsidR="00D676D5">
              <w:rPr>
                <w:noProof/>
                <w:webHidden/>
              </w:rPr>
              <w:t>62</w:t>
            </w:r>
            <w:r w:rsidR="00D676D5">
              <w:rPr>
                <w:noProof/>
                <w:webHidden/>
              </w:rPr>
              <w:fldChar w:fldCharType="end"/>
            </w:r>
          </w:hyperlink>
        </w:p>
        <w:p w14:paraId="78C09531" w14:textId="77777777" w:rsidR="00D676D5" w:rsidRDefault="00BE288F">
          <w:pPr>
            <w:pStyle w:val="TJ4"/>
            <w:rPr>
              <w:rFonts w:asciiTheme="minorHAnsi" w:eastAsiaTheme="minorEastAsia" w:hAnsiTheme="minorHAnsi" w:cstheme="minorBidi"/>
              <w:noProof/>
              <w:sz w:val="22"/>
              <w:szCs w:val="22"/>
              <w:lang w:eastAsia="hu-HU"/>
            </w:rPr>
          </w:pPr>
          <w:hyperlink w:anchor="_Toc46822724" w:history="1">
            <w:r w:rsidR="00D676D5" w:rsidRPr="00603669">
              <w:rPr>
                <w:rStyle w:val="Hiperhivatkozs"/>
                <w:noProof/>
              </w:rPr>
              <w:t>5.4.1.3</w:t>
            </w:r>
            <w:r w:rsidR="00D676D5">
              <w:rPr>
                <w:rFonts w:asciiTheme="minorHAnsi" w:eastAsiaTheme="minorEastAsia" w:hAnsiTheme="minorHAnsi" w:cstheme="minorBidi"/>
                <w:noProof/>
                <w:sz w:val="22"/>
                <w:szCs w:val="22"/>
                <w:lang w:eastAsia="hu-HU"/>
              </w:rPr>
              <w:tab/>
            </w:r>
            <w:r w:rsidR="00D676D5" w:rsidRPr="00603669">
              <w:rPr>
                <w:rStyle w:val="Hiperhivatkozs"/>
                <w:noProof/>
              </w:rPr>
              <w:t>A pedagógusok digitális felkészültsége</w:t>
            </w:r>
            <w:r w:rsidR="00D676D5">
              <w:rPr>
                <w:noProof/>
                <w:webHidden/>
              </w:rPr>
              <w:tab/>
            </w:r>
            <w:r w:rsidR="00D676D5">
              <w:rPr>
                <w:noProof/>
                <w:webHidden/>
              </w:rPr>
              <w:fldChar w:fldCharType="begin"/>
            </w:r>
            <w:r w:rsidR="00D676D5">
              <w:rPr>
                <w:noProof/>
                <w:webHidden/>
              </w:rPr>
              <w:instrText xml:space="preserve"> PAGEREF _Toc46822724 \h </w:instrText>
            </w:r>
            <w:r w:rsidR="00D676D5">
              <w:rPr>
                <w:noProof/>
                <w:webHidden/>
              </w:rPr>
            </w:r>
            <w:r w:rsidR="00D676D5">
              <w:rPr>
                <w:noProof/>
                <w:webHidden/>
              </w:rPr>
              <w:fldChar w:fldCharType="separate"/>
            </w:r>
            <w:r w:rsidR="00D676D5">
              <w:rPr>
                <w:noProof/>
                <w:webHidden/>
              </w:rPr>
              <w:t>64</w:t>
            </w:r>
            <w:r w:rsidR="00D676D5">
              <w:rPr>
                <w:noProof/>
                <w:webHidden/>
              </w:rPr>
              <w:fldChar w:fldCharType="end"/>
            </w:r>
          </w:hyperlink>
        </w:p>
        <w:p w14:paraId="0F286F44" w14:textId="77777777" w:rsidR="00D676D5" w:rsidRDefault="00BE288F">
          <w:pPr>
            <w:pStyle w:val="TJ3"/>
            <w:rPr>
              <w:rFonts w:asciiTheme="minorHAnsi" w:eastAsiaTheme="minorEastAsia" w:hAnsiTheme="minorHAnsi" w:cstheme="minorBidi"/>
              <w:noProof/>
              <w:sz w:val="22"/>
              <w:szCs w:val="22"/>
              <w:lang w:eastAsia="hu-HU"/>
            </w:rPr>
          </w:pPr>
          <w:hyperlink w:anchor="_Toc46822725" w:history="1">
            <w:r w:rsidR="00D676D5" w:rsidRPr="00603669">
              <w:rPr>
                <w:rStyle w:val="Hiperhivatkozs"/>
                <w:noProof/>
              </w:rPr>
              <w:t>5.4.2</w:t>
            </w:r>
            <w:r w:rsidR="00D676D5">
              <w:rPr>
                <w:rFonts w:asciiTheme="minorHAnsi" w:eastAsiaTheme="minorEastAsia" w:hAnsiTheme="minorHAnsi" w:cstheme="minorBidi"/>
                <w:noProof/>
                <w:sz w:val="22"/>
                <w:szCs w:val="22"/>
                <w:lang w:eastAsia="hu-HU"/>
              </w:rPr>
              <w:tab/>
            </w:r>
            <w:r w:rsidR="00D676D5" w:rsidRPr="00603669">
              <w:rPr>
                <w:rStyle w:val="Hiperhivatkozs"/>
                <w:noProof/>
              </w:rPr>
              <w:t>Tartalomfejlesztés</w:t>
            </w:r>
            <w:r w:rsidR="00D676D5">
              <w:rPr>
                <w:noProof/>
                <w:webHidden/>
              </w:rPr>
              <w:tab/>
            </w:r>
            <w:r w:rsidR="00D676D5">
              <w:rPr>
                <w:noProof/>
                <w:webHidden/>
              </w:rPr>
              <w:fldChar w:fldCharType="begin"/>
            </w:r>
            <w:r w:rsidR="00D676D5">
              <w:rPr>
                <w:noProof/>
                <w:webHidden/>
              </w:rPr>
              <w:instrText xml:space="preserve"> PAGEREF _Toc46822725 \h </w:instrText>
            </w:r>
            <w:r w:rsidR="00D676D5">
              <w:rPr>
                <w:noProof/>
                <w:webHidden/>
              </w:rPr>
            </w:r>
            <w:r w:rsidR="00D676D5">
              <w:rPr>
                <w:noProof/>
                <w:webHidden/>
              </w:rPr>
              <w:fldChar w:fldCharType="separate"/>
            </w:r>
            <w:r w:rsidR="00D676D5">
              <w:rPr>
                <w:noProof/>
                <w:webHidden/>
              </w:rPr>
              <w:t>65</w:t>
            </w:r>
            <w:r w:rsidR="00D676D5">
              <w:rPr>
                <w:noProof/>
                <w:webHidden/>
              </w:rPr>
              <w:fldChar w:fldCharType="end"/>
            </w:r>
          </w:hyperlink>
        </w:p>
        <w:p w14:paraId="1D413DED" w14:textId="77777777" w:rsidR="00D676D5" w:rsidRDefault="00BE288F">
          <w:pPr>
            <w:pStyle w:val="TJ4"/>
            <w:rPr>
              <w:rFonts w:asciiTheme="minorHAnsi" w:eastAsiaTheme="minorEastAsia" w:hAnsiTheme="minorHAnsi" w:cstheme="minorBidi"/>
              <w:noProof/>
              <w:sz w:val="22"/>
              <w:szCs w:val="22"/>
              <w:lang w:eastAsia="hu-HU"/>
            </w:rPr>
          </w:pPr>
          <w:hyperlink w:anchor="_Toc46822726" w:history="1">
            <w:r w:rsidR="00D676D5" w:rsidRPr="00603669">
              <w:rPr>
                <w:rStyle w:val="Hiperhivatkozs"/>
                <w:noProof/>
              </w:rPr>
              <w:t>5.4.2.1</w:t>
            </w:r>
            <w:r w:rsidR="00D676D5">
              <w:rPr>
                <w:rFonts w:asciiTheme="minorHAnsi" w:eastAsiaTheme="minorEastAsia" w:hAnsiTheme="minorHAnsi" w:cstheme="minorBidi"/>
                <w:noProof/>
                <w:sz w:val="22"/>
                <w:szCs w:val="22"/>
                <w:lang w:eastAsia="hu-HU"/>
              </w:rPr>
              <w:tab/>
            </w:r>
            <w:r w:rsidR="00D676D5" w:rsidRPr="00603669">
              <w:rPr>
                <w:rStyle w:val="Hiperhivatkozs"/>
                <w:noProof/>
              </w:rPr>
              <w:t>Tankönyvfejlesztés</w:t>
            </w:r>
            <w:r w:rsidR="00D676D5">
              <w:rPr>
                <w:noProof/>
                <w:webHidden/>
              </w:rPr>
              <w:tab/>
            </w:r>
            <w:r w:rsidR="00D676D5">
              <w:rPr>
                <w:noProof/>
                <w:webHidden/>
              </w:rPr>
              <w:fldChar w:fldCharType="begin"/>
            </w:r>
            <w:r w:rsidR="00D676D5">
              <w:rPr>
                <w:noProof/>
                <w:webHidden/>
              </w:rPr>
              <w:instrText xml:space="preserve"> PAGEREF _Toc46822726 \h </w:instrText>
            </w:r>
            <w:r w:rsidR="00D676D5">
              <w:rPr>
                <w:noProof/>
                <w:webHidden/>
              </w:rPr>
            </w:r>
            <w:r w:rsidR="00D676D5">
              <w:rPr>
                <w:noProof/>
                <w:webHidden/>
              </w:rPr>
              <w:fldChar w:fldCharType="separate"/>
            </w:r>
            <w:r w:rsidR="00D676D5">
              <w:rPr>
                <w:noProof/>
                <w:webHidden/>
              </w:rPr>
              <w:t>66</w:t>
            </w:r>
            <w:r w:rsidR="00D676D5">
              <w:rPr>
                <w:noProof/>
                <w:webHidden/>
              </w:rPr>
              <w:fldChar w:fldCharType="end"/>
            </w:r>
          </w:hyperlink>
        </w:p>
        <w:p w14:paraId="6AF165BE" w14:textId="77777777" w:rsidR="00D676D5" w:rsidRDefault="00BE288F">
          <w:pPr>
            <w:pStyle w:val="TJ4"/>
            <w:rPr>
              <w:rFonts w:asciiTheme="minorHAnsi" w:eastAsiaTheme="minorEastAsia" w:hAnsiTheme="minorHAnsi" w:cstheme="minorBidi"/>
              <w:noProof/>
              <w:sz w:val="22"/>
              <w:szCs w:val="22"/>
              <w:lang w:eastAsia="hu-HU"/>
            </w:rPr>
          </w:pPr>
          <w:hyperlink w:anchor="_Toc46822727" w:history="1">
            <w:r w:rsidR="00D676D5" w:rsidRPr="00603669">
              <w:rPr>
                <w:rStyle w:val="Hiperhivatkozs"/>
                <w:noProof/>
              </w:rPr>
              <w:t>5.4.2.2</w:t>
            </w:r>
            <w:r w:rsidR="00D676D5">
              <w:rPr>
                <w:rFonts w:asciiTheme="minorHAnsi" w:eastAsiaTheme="minorEastAsia" w:hAnsiTheme="minorHAnsi" w:cstheme="minorBidi"/>
                <w:noProof/>
                <w:sz w:val="22"/>
                <w:szCs w:val="22"/>
                <w:lang w:eastAsia="hu-HU"/>
              </w:rPr>
              <w:tab/>
            </w:r>
            <w:r w:rsidR="00D676D5" w:rsidRPr="00603669">
              <w:rPr>
                <w:rStyle w:val="Hiperhivatkozs"/>
                <w:noProof/>
              </w:rPr>
              <w:t>Digitális tartalomfejlesztés</w:t>
            </w:r>
            <w:r w:rsidR="00D676D5">
              <w:rPr>
                <w:noProof/>
                <w:webHidden/>
              </w:rPr>
              <w:tab/>
            </w:r>
            <w:r w:rsidR="00D676D5">
              <w:rPr>
                <w:noProof/>
                <w:webHidden/>
              </w:rPr>
              <w:fldChar w:fldCharType="begin"/>
            </w:r>
            <w:r w:rsidR="00D676D5">
              <w:rPr>
                <w:noProof/>
                <w:webHidden/>
              </w:rPr>
              <w:instrText xml:space="preserve"> PAGEREF _Toc46822727 \h </w:instrText>
            </w:r>
            <w:r w:rsidR="00D676D5">
              <w:rPr>
                <w:noProof/>
                <w:webHidden/>
              </w:rPr>
            </w:r>
            <w:r w:rsidR="00D676D5">
              <w:rPr>
                <w:noProof/>
                <w:webHidden/>
              </w:rPr>
              <w:fldChar w:fldCharType="separate"/>
            </w:r>
            <w:r w:rsidR="00D676D5">
              <w:rPr>
                <w:noProof/>
                <w:webHidden/>
              </w:rPr>
              <w:t>67</w:t>
            </w:r>
            <w:r w:rsidR="00D676D5">
              <w:rPr>
                <w:noProof/>
                <w:webHidden/>
              </w:rPr>
              <w:fldChar w:fldCharType="end"/>
            </w:r>
          </w:hyperlink>
        </w:p>
        <w:p w14:paraId="49D91027" w14:textId="77777777" w:rsidR="00D676D5" w:rsidRDefault="00BE288F">
          <w:pPr>
            <w:pStyle w:val="TJ4"/>
            <w:rPr>
              <w:rFonts w:asciiTheme="minorHAnsi" w:eastAsiaTheme="minorEastAsia" w:hAnsiTheme="minorHAnsi" w:cstheme="minorBidi"/>
              <w:noProof/>
              <w:sz w:val="22"/>
              <w:szCs w:val="22"/>
              <w:lang w:eastAsia="hu-HU"/>
            </w:rPr>
          </w:pPr>
          <w:hyperlink w:anchor="_Toc46822728" w:history="1">
            <w:r w:rsidR="00D676D5" w:rsidRPr="00603669">
              <w:rPr>
                <w:rStyle w:val="Hiperhivatkozs"/>
                <w:noProof/>
              </w:rPr>
              <w:t>5.4.2.3</w:t>
            </w:r>
            <w:r w:rsidR="00D676D5">
              <w:rPr>
                <w:rFonts w:asciiTheme="minorHAnsi" w:eastAsiaTheme="minorEastAsia" w:hAnsiTheme="minorHAnsi" w:cstheme="minorBidi"/>
                <w:noProof/>
                <w:sz w:val="22"/>
                <w:szCs w:val="22"/>
                <w:lang w:eastAsia="hu-HU"/>
              </w:rPr>
              <w:tab/>
            </w:r>
            <w:r w:rsidR="00D676D5" w:rsidRPr="00603669">
              <w:rPr>
                <w:rStyle w:val="Hiperhivatkozs"/>
                <w:noProof/>
              </w:rPr>
              <w:t>Köznevelési LMS rendszer fejlesztése</w:t>
            </w:r>
            <w:r w:rsidR="00D676D5">
              <w:rPr>
                <w:noProof/>
                <w:webHidden/>
              </w:rPr>
              <w:tab/>
            </w:r>
            <w:r w:rsidR="00D676D5">
              <w:rPr>
                <w:noProof/>
                <w:webHidden/>
              </w:rPr>
              <w:fldChar w:fldCharType="begin"/>
            </w:r>
            <w:r w:rsidR="00D676D5">
              <w:rPr>
                <w:noProof/>
                <w:webHidden/>
              </w:rPr>
              <w:instrText xml:space="preserve"> PAGEREF _Toc46822728 \h </w:instrText>
            </w:r>
            <w:r w:rsidR="00D676D5">
              <w:rPr>
                <w:noProof/>
                <w:webHidden/>
              </w:rPr>
            </w:r>
            <w:r w:rsidR="00D676D5">
              <w:rPr>
                <w:noProof/>
                <w:webHidden/>
              </w:rPr>
              <w:fldChar w:fldCharType="separate"/>
            </w:r>
            <w:r w:rsidR="00D676D5">
              <w:rPr>
                <w:noProof/>
                <w:webHidden/>
              </w:rPr>
              <w:t>68</w:t>
            </w:r>
            <w:r w:rsidR="00D676D5">
              <w:rPr>
                <w:noProof/>
                <w:webHidden/>
              </w:rPr>
              <w:fldChar w:fldCharType="end"/>
            </w:r>
          </w:hyperlink>
        </w:p>
        <w:p w14:paraId="274D71D3" w14:textId="794782BA" w:rsidR="00D676D5" w:rsidRDefault="00BE288F">
          <w:pPr>
            <w:pStyle w:val="TJ3"/>
            <w:rPr>
              <w:rFonts w:asciiTheme="minorHAnsi" w:eastAsiaTheme="minorEastAsia" w:hAnsiTheme="minorHAnsi" w:cstheme="minorBidi"/>
              <w:noProof/>
              <w:sz w:val="22"/>
              <w:szCs w:val="22"/>
              <w:lang w:eastAsia="hu-HU"/>
            </w:rPr>
          </w:pPr>
          <w:hyperlink w:anchor="_Toc46822729" w:history="1">
            <w:r w:rsidR="00D676D5" w:rsidRPr="00603669">
              <w:rPr>
                <w:rStyle w:val="Hiperhivatkozs"/>
                <w:noProof/>
              </w:rPr>
              <w:t>5.4.3</w:t>
            </w:r>
            <w:r w:rsidR="00D676D5">
              <w:rPr>
                <w:rFonts w:asciiTheme="minorHAnsi" w:eastAsiaTheme="minorEastAsia" w:hAnsiTheme="minorHAnsi" w:cstheme="minorBidi"/>
                <w:noProof/>
                <w:sz w:val="22"/>
                <w:szCs w:val="22"/>
                <w:lang w:eastAsia="hu-HU"/>
              </w:rPr>
              <w:tab/>
            </w:r>
            <w:r w:rsidR="00D676D5" w:rsidRPr="00603669">
              <w:rPr>
                <w:rStyle w:val="Hiperhivatkozs"/>
                <w:noProof/>
              </w:rPr>
              <w:t>Idegen</w:t>
            </w:r>
            <w:r w:rsidR="00635D36">
              <w:rPr>
                <w:rStyle w:val="Hiperhivatkozs"/>
                <w:noProof/>
              </w:rPr>
              <w:t xml:space="preserve"> </w:t>
            </w:r>
            <w:r w:rsidR="00D676D5" w:rsidRPr="00603669">
              <w:rPr>
                <w:rStyle w:val="Hiperhivatkozs"/>
                <w:noProof/>
              </w:rPr>
              <w:t>nyelvi tudás fejlesztése</w:t>
            </w:r>
            <w:r w:rsidR="00D676D5">
              <w:rPr>
                <w:noProof/>
                <w:webHidden/>
              </w:rPr>
              <w:tab/>
            </w:r>
            <w:r w:rsidR="00D676D5">
              <w:rPr>
                <w:noProof/>
                <w:webHidden/>
              </w:rPr>
              <w:fldChar w:fldCharType="begin"/>
            </w:r>
            <w:r w:rsidR="00D676D5">
              <w:rPr>
                <w:noProof/>
                <w:webHidden/>
              </w:rPr>
              <w:instrText xml:space="preserve"> PAGEREF _Toc46822729 \h </w:instrText>
            </w:r>
            <w:r w:rsidR="00D676D5">
              <w:rPr>
                <w:noProof/>
                <w:webHidden/>
              </w:rPr>
            </w:r>
            <w:r w:rsidR="00D676D5">
              <w:rPr>
                <w:noProof/>
                <w:webHidden/>
              </w:rPr>
              <w:fldChar w:fldCharType="separate"/>
            </w:r>
            <w:r w:rsidR="00D676D5">
              <w:rPr>
                <w:noProof/>
                <w:webHidden/>
              </w:rPr>
              <w:t>68</w:t>
            </w:r>
            <w:r w:rsidR="00D676D5">
              <w:rPr>
                <w:noProof/>
                <w:webHidden/>
              </w:rPr>
              <w:fldChar w:fldCharType="end"/>
            </w:r>
          </w:hyperlink>
        </w:p>
        <w:p w14:paraId="61147455" w14:textId="77777777" w:rsidR="00D676D5" w:rsidRDefault="00BE288F">
          <w:pPr>
            <w:pStyle w:val="TJ3"/>
            <w:rPr>
              <w:rFonts w:asciiTheme="minorHAnsi" w:eastAsiaTheme="minorEastAsia" w:hAnsiTheme="minorHAnsi" w:cstheme="minorBidi"/>
              <w:noProof/>
              <w:sz w:val="22"/>
              <w:szCs w:val="22"/>
              <w:lang w:eastAsia="hu-HU"/>
            </w:rPr>
          </w:pPr>
          <w:hyperlink w:anchor="_Toc46822730" w:history="1">
            <w:r w:rsidR="00D676D5" w:rsidRPr="00603669">
              <w:rPr>
                <w:rStyle w:val="Hiperhivatkozs"/>
                <w:noProof/>
              </w:rPr>
              <w:t>5.4.4</w:t>
            </w:r>
            <w:r w:rsidR="00D676D5">
              <w:rPr>
                <w:rFonts w:asciiTheme="minorHAnsi" w:eastAsiaTheme="minorEastAsia" w:hAnsiTheme="minorHAnsi" w:cstheme="minorBidi"/>
                <w:noProof/>
                <w:sz w:val="22"/>
                <w:szCs w:val="22"/>
                <w:lang w:eastAsia="hu-HU"/>
              </w:rPr>
              <w:tab/>
            </w:r>
            <w:r w:rsidR="00D676D5" w:rsidRPr="00603669">
              <w:rPr>
                <w:rStyle w:val="Hiperhivatkozs"/>
                <w:noProof/>
              </w:rPr>
              <w:t>Korszerű köznevelési intézményrendszer és infrastruktúra</w:t>
            </w:r>
            <w:r w:rsidR="00D676D5">
              <w:rPr>
                <w:noProof/>
                <w:webHidden/>
              </w:rPr>
              <w:tab/>
            </w:r>
            <w:r w:rsidR="00D676D5">
              <w:rPr>
                <w:noProof/>
                <w:webHidden/>
              </w:rPr>
              <w:fldChar w:fldCharType="begin"/>
            </w:r>
            <w:r w:rsidR="00D676D5">
              <w:rPr>
                <w:noProof/>
                <w:webHidden/>
              </w:rPr>
              <w:instrText xml:space="preserve"> PAGEREF _Toc46822730 \h </w:instrText>
            </w:r>
            <w:r w:rsidR="00D676D5">
              <w:rPr>
                <w:noProof/>
                <w:webHidden/>
              </w:rPr>
            </w:r>
            <w:r w:rsidR="00D676D5">
              <w:rPr>
                <w:noProof/>
                <w:webHidden/>
              </w:rPr>
              <w:fldChar w:fldCharType="separate"/>
            </w:r>
            <w:r w:rsidR="00D676D5">
              <w:rPr>
                <w:noProof/>
                <w:webHidden/>
              </w:rPr>
              <w:t>70</w:t>
            </w:r>
            <w:r w:rsidR="00D676D5">
              <w:rPr>
                <w:noProof/>
                <w:webHidden/>
              </w:rPr>
              <w:fldChar w:fldCharType="end"/>
            </w:r>
          </w:hyperlink>
        </w:p>
        <w:p w14:paraId="68BFC20F" w14:textId="77777777" w:rsidR="00D676D5" w:rsidRDefault="00BE288F">
          <w:pPr>
            <w:pStyle w:val="TJ4"/>
            <w:rPr>
              <w:rFonts w:asciiTheme="minorHAnsi" w:eastAsiaTheme="minorEastAsia" w:hAnsiTheme="minorHAnsi" w:cstheme="minorBidi"/>
              <w:noProof/>
              <w:sz w:val="22"/>
              <w:szCs w:val="22"/>
              <w:lang w:eastAsia="hu-HU"/>
            </w:rPr>
          </w:pPr>
          <w:hyperlink w:anchor="_Toc46822731" w:history="1">
            <w:r w:rsidR="00D676D5" w:rsidRPr="00603669">
              <w:rPr>
                <w:rStyle w:val="Hiperhivatkozs"/>
                <w:rFonts w:asciiTheme="majorHAnsi" w:hAnsiTheme="majorHAnsi" w:cstheme="majorHAnsi"/>
                <w:noProof/>
              </w:rPr>
              <w:t>5.4.4.1</w:t>
            </w:r>
            <w:r w:rsidR="00D676D5">
              <w:rPr>
                <w:rFonts w:asciiTheme="minorHAnsi" w:eastAsiaTheme="minorEastAsia" w:hAnsiTheme="minorHAnsi" w:cstheme="minorBidi"/>
                <w:noProof/>
                <w:sz w:val="22"/>
                <w:szCs w:val="22"/>
                <w:lang w:eastAsia="hu-HU"/>
              </w:rPr>
              <w:tab/>
            </w:r>
            <w:r w:rsidR="00D676D5" w:rsidRPr="00603669">
              <w:rPr>
                <w:rStyle w:val="Hiperhivatkozs"/>
                <w:rFonts w:asciiTheme="majorHAnsi" w:hAnsiTheme="majorHAnsi" w:cstheme="majorHAnsi"/>
                <w:noProof/>
              </w:rPr>
              <w:t>Európai Uniós forrásból megvalósuló fejlesztések az óvodák, iskolák, kollégiumok épületeiben</w:t>
            </w:r>
            <w:r w:rsidR="00D676D5">
              <w:rPr>
                <w:noProof/>
                <w:webHidden/>
              </w:rPr>
              <w:tab/>
            </w:r>
            <w:r w:rsidR="00D676D5">
              <w:rPr>
                <w:noProof/>
                <w:webHidden/>
              </w:rPr>
              <w:fldChar w:fldCharType="begin"/>
            </w:r>
            <w:r w:rsidR="00D676D5">
              <w:rPr>
                <w:noProof/>
                <w:webHidden/>
              </w:rPr>
              <w:instrText xml:space="preserve"> PAGEREF _Toc46822731 \h </w:instrText>
            </w:r>
            <w:r w:rsidR="00D676D5">
              <w:rPr>
                <w:noProof/>
                <w:webHidden/>
              </w:rPr>
            </w:r>
            <w:r w:rsidR="00D676D5">
              <w:rPr>
                <w:noProof/>
                <w:webHidden/>
              </w:rPr>
              <w:fldChar w:fldCharType="separate"/>
            </w:r>
            <w:r w:rsidR="00D676D5">
              <w:rPr>
                <w:noProof/>
                <w:webHidden/>
              </w:rPr>
              <w:t>71</w:t>
            </w:r>
            <w:r w:rsidR="00D676D5">
              <w:rPr>
                <w:noProof/>
                <w:webHidden/>
              </w:rPr>
              <w:fldChar w:fldCharType="end"/>
            </w:r>
          </w:hyperlink>
        </w:p>
        <w:p w14:paraId="1F84A9D8" w14:textId="77777777" w:rsidR="00D676D5" w:rsidRDefault="00BE288F">
          <w:pPr>
            <w:pStyle w:val="TJ4"/>
            <w:rPr>
              <w:rFonts w:asciiTheme="minorHAnsi" w:eastAsiaTheme="minorEastAsia" w:hAnsiTheme="minorHAnsi" w:cstheme="minorBidi"/>
              <w:noProof/>
              <w:sz w:val="22"/>
              <w:szCs w:val="22"/>
              <w:lang w:eastAsia="hu-HU"/>
            </w:rPr>
          </w:pPr>
          <w:hyperlink w:anchor="_Toc46822732" w:history="1">
            <w:r w:rsidR="00D676D5" w:rsidRPr="00603669">
              <w:rPr>
                <w:rStyle w:val="Hiperhivatkozs"/>
                <w:rFonts w:asciiTheme="majorHAnsi" w:hAnsiTheme="majorHAnsi" w:cstheme="majorHAnsi"/>
                <w:noProof/>
              </w:rPr>
              <w:t>5.4.4.2</w:t>
            </w:r>
            <w:r w:rsidR="00D676D5">
              <w:rPr>
                <w:rFonts w:asciiTheme="minorHAnsi" w:eastAsiaTheme="minorEastAsia" w:hAnsiTheme="minorHAnsi" w:cstheme="minorBidi"/>
                <w:noProof/>
                <w:sz w:val="22"/>
                <w:szCs w:val="22"/>
                <w:lang w:eastAsia="hu-HU"/>
              </w:rPr>
              <w:tab/>
            </w:r>
            <w:r w:rsidR="00D676D5" w:rsidRPr="00603669">
              <w:rPr>
                <w:rStyle w:val="Hiperhivatkozs"/>
                <w:rFonts w:asciiTheme="majorHAnsi" w:hAnsiTheme="majorHAnsi" w:cstheme="majorHAnsi"/>
                <w:noProof/>
              </w:rPr>
              <w:t>Hazai forrásból finanszírozott beruházások</w:t>
            </w:r>
            <w:r w:rsidR="00D676D5">
              <w:rPr>
                <w:noProof/>
                <w:webHidden/>
              </w:rPr>
              <w:tab/>
            </w:r>
            <w:r w:rsidR="00D676D5">
              <w:rPr>
                <w:noProof/>
                <w:webHidden/>
              </w:rPr>
              <w:fldChar w:fldCharType="begin"/>
            </w:r>
            <w:r w:rsidR="00D676D5">
              <w:rPr>
                <w:noProof/>
                <w:webHidden/>
              </w:rPr>
              <w:instrText xml:space="preserve"> PAGEREF _Toc46822732 \h </w:instrText>
            </w:r>
            <w:r w:rsidR="00D676D5">
              <w:rPr>
                <w:noProof/>
                <w:webHidden/>
              </w:rPr>
            </w:r>
            <w:r w:rsidR="00D676D5">
              <w:rPr>
                <w:noProof/>
                <w:webHidden/>
              </w:rPr>
              <w:fldChar w:fldCharType="separate"/>
            </w:r>
            <w:r w:rsidR="00D676D5">
              <w:rPr>
                <w:noProof/>
                <w:webHidden/>
              </w:rPr>
              <w:t>72</w:t>
            </w:r>
            <w:r w:rsidR="00D676D5">
              <w:rPr>
                <w:noProof/>
                <w:webHidden/>
              </w:rPr>
              <w:fldChar w:fldCharType="end"/>
            </w:r>
          </w:hyperlink>
        </w:p>
        <w:p w14:paraId="3F7488A1"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33" w:history="1">
            <w:r w:rsidR="00D676D5" w:rsidRPr="00603669">
              <w:rPr>
                <w:rStyle w:val="Hiperhivatkozs"/>
                <w:rFonts w:asciiTheme="majorHAnsi" w:hAnsiTheme="majorHAnsi" w:cstheme="majorHAnsi"/>
              </w:rPr>
              <w:t>5.5</w:t>
            </w:r>
            <w:r w:rsidR="00D676D5">
              <w:rPr>
                <w:rFonts w:asciiTheme="minorHAnsi" w:eastAsiaTheme="minorEastAsia" w:hAnsiTheme="minorHAnsi" w:cstheme="minorBidi"/>
                <w:b w:val="0"/>
                <w:i w:val="0"/>
                <w:sz w:val="22"/>
                <w:szCs w:val="22"/>
                <w:lang w:eastAsia="hu-HU"/>
              </w:rPr>
              <w:tab/>
            </w:r>
            <w:r w:rsidR="00D676D5" w:rsidRPr="00603669">
              <w:rPr>
                <w:rStyle w:val="Hiperhivatkozs"/>
                <w:rFonts w:asciiTheme="majorHAnsi" w:hAnsiTheme="majorHAnsi" w:cstheme="majorHAnsi"/>
              </w:rPr>
              <w:t>Külhoni magyarok – magyarországi nemzetiségek oktatásának-nevelésének fejlesztése</w:t>
            </w:r>
            <w:r w:rsidR="00D676D5">
              <w:rPr>
                <w:webHidden/>
              </w:rPr>
              <w:tab/>
            </w:r>
            <w:r w:rsidR="00D676D5">
              <w:rPr>
                <w:webHidden/>
              </w:rPr>
              <w:fldChar w:fldCharType="begin"/>
            </w:r>
            <w:r w:rsidR="00D676D5">
              <w:rPr>
                <w:webHidden/>
              </w:rPr>
              <w:instrText xml:space="preserve"> PAGEREF _Toc46822733 \h </w:instrText>
            </w:r>
            <w:r w:rsidR="00D676D5">
              <w:rPr>
                <w:webHidden/>
              </w:rPr>
            </w:r>
            <w:r w:rsidR="00D676D5">
              <w:rPr>
                <w:webHidden/>
              </w:rPr>
              <w:fldChar w:fldCharType="separate"/>
            </w:r>
            <w:r w:rsidR="00D676D5">
              <w:rPr>
                <w:webHidden/>
              </w:rPr>
              <w:t>73</w:t>
            </w:r>
            <w:r w:rsidR="00D676D5">
              <w:rPr>
                <w:webHidden/>
              </w:rPr>
              <w:fldChar w:fldCharType="end"/>
            </w:r>
          </w:hyperlink>
        </w:p>
        <w:p w14:paraId="74AA5510" w14:textId="77777777" w:rsidR="00D676D5" w:rsidRDefault="00BE288F">
          <w:pPr>
            <w:pStyle w:val="TJ3"/>
            <w:rPr>
              <w:rFonts w:asciiTheme="minorHAnsi" w:eastAsiaTheme="minorEastAsia" w:hAnsiTheme="minorHAnsi" w:cstheme="minorBidi"/>
              <w:noProof/>
              <w:sz w:val="22"/>
              <w:szCs w:val="22"/>
              <w:lang w:eastAsia="hu-HU"/>
            </w:rPr>
          </w:pPr>
          <w:hyperlink w:anchor="_Toc46822734" w:history="1">
            <w:r w:rsidR="00D676D5" w:rsidRPr="00603669">
              <w:rPr>
                <w:rStyle w:val="Hiperhivatkozs"/>
                <w:noProof/>
              </w:rPr>
              <w:t>5.5.1</w:t>
            </w:r>
            <w:r w:rsidR="00D676D5">
              <w:rPr>
                <w:rFonts w:asciiTheme="minorHAnsi" w:eastAsiaTheme="minorEastAsia" w:hAnsiTheme="minorHAnsi" w:cstheme="minorBidi"/>
                <w:noProof/>
                <w:sz w:val="22"/>
                <w:szCs w:val="22"/>
                <w:lang w:eastAsia="hu-HU"/>
              </w:rPr>
              <w:tab/>
            </w:r>
            <w:r w:rsidR="00D676D5" w:rsidRPr="00603669">
              <w:rPr>
                <w:rStyle w:val="Hiperhivatkozs"/>
                <w:noProof/>
              </w:rPr>
              <w:t>A Kárpát-medencei oktatási térség megvalósítása</w:t>
            </w:r>
            <w:r w:rsidR="00D676D5">
              <w:rPr>
                <w:noProof/>
                <w:webHidden/>
              </w:rPr>
              <w:tab/>
            </w:r>
            <w:r w:rsidR="00D676D5">
              <w:rPr>
                <w:noProof/>
                <w:webHidden/>
              </w:rPr>
              <w:fldChar w:fldCharType="begin"/>
            </w:r>
            <w:r w:rsidR="00D676D5">
              <w:rPr>
                <w:noProof/>
                <w:webHidden/>
              </w:rPr>
              <w:instrText xml:space="preserve"> PAGEREF _Toc46822734 \h </w:instrText>
            </w:r>
            <w:r w:rsidR="00D676D5">
              <w:rPr>
                <w:noProof/>
                <w:webHidden/>
              </w:rPr>
            </w:r>
            <w:r w:rsidR="00D676D5">
              <w:rPr>
                <w:noProof/>
                <w:webHidden/>
              </w:rPr>
              <w:fldChar w:fldCharType="separate"/>
            </w:r>
            <w:r w:rsidR="00D676D5">
              <w:rPr>
                <w:noProof/>
                <w:webHidden/>
              </w:rPr>
              <w:t>73</w:t>
            </w:r>
            <w:r w:rsidR="00D676D5">
              <w:rPr>
                <w:noProof/>
                <w:webHidden/>
              </w:rPr>
              <w:fldChar w:fldCharType="end"/>
            </w:r>
          </w:hyperlink>
        </w:p>
        <w:p w14:paraId="458E3914" w14:textId="77777777" w:rsidR="00D676D5" w:rsidRDefault="00BE288F">
          <w:pPr>
            <w:pStyle w:val="TJ3"/>
            <w:rPr>
              <w:rFonts w:asciiTheme="minorHAnsi" w:eastAsiaTheme="minorEastAsia" w:hAnsiTheme="minorHAnsi" w:cstheme="minorBidi"/>
              <w:noProof/>
              <w:sz w:val="22"/>
              <w:szCs w:val="22"/>
              <w:lang w:eastAsia="hu-HU"/>
            </w:rPr>
          </w:pPr>
          <w:hyperlink w:anchor="_Toc46822735" w:history="1">
            <w:r w:rsidR="00D676D5" w:rsidRPr="00603669">
              <w:rPr>
                <w:rStyle w:val="Hiperhivatkozs"/>
                <w:noProof/>
              </w:rPr>
              <w:t>5.5.2</w:t>
            </w:r>
            <w:r w:rsidR="00D676D5">
              <w:rPr>
                <w:rFonts w:asciiTheme="minorHAnsi" w:eastAsiaTheme="minorEastAsia" w:hAnsiTheme="minorHAnsi" w:cstheme="minorBidi"/>
                <w:noProof/>
                <w:sz w:val="22"/>
                <w:szCs w:val="22"/>
                <w:lang w:eastAsia="hu-HU"/>
              </w:rPr>
              <w:tab/>
            </w:r>
            <w:r w:rsidR="00D676D5" w:rsidRPr="00603669">
              <w:rPr>
                <w:rStyle w:val="Hiperhivatkozs"/>
                <w:noProof/>
              </w:rPr>
              <w:t>A Magyarországon élő nemzetiségek nevelésének-oktatásának támogatása</w:t>
            </w:r>
            <w:r w:rsidR="00D676D5">
              <w:rPr>
                <w:noProof/>
                <w:webHidden/>
              </w:rPr>
              <w:tab/>
            </w:r>
            <w:r w:rsidR="00D676D5">
              <w:rPr>
                <w:noProof/>
                <w:webHidden/>
              </w:rPr>
              <w:fldChar w:fldCharType="begin"/>
            </w:r>
            <w:r w:rsidR="00D676D5">
              <w:rPr>
                <w:noProof/>
                <w:webHidden/>
              </w:rPr>
              <w:instrText xml:space="preserve"> PAGEREF _Toc46822735 \h </w:instrText>
            </w:r>
            <w:r w:rsidR="00D676D5">
              <w:rPr>
                <w:noProof/>
                <w:webHidden/>
              </w:rPr>
            </w:r>
            <w:r w:rsidR="00D676D5">
              <w:rPr>
                <w:noProof/>
                <w:webHidden/>
              </w:rPr>
              <w:fldChar w:fldCharType="separate"/>
            </w:r>
            <w:r w:rsidR="00D676D5">
              <w:rPr>
                <w:noProof/>
                <w:webHidden/>
              </w:rPr>
              <w:t>75</w:t>
            </w:r>
            <w:r w:rsidR="00D676D5">
              <w:rPr>
                <w:noProof/>
                <w:webHidden/>
              </w:rPr>
              <w:fldChar w:fldCharType="end"/>
            </w:r>
          </w:hyperlink>
        </w:p>
        <w:p w14:paraId="7C308E40" w14:textId="5899A7B2" w:rsidR="00D676D5" w:rsidRDefault="00BE288F">
          <w:pPr>
            <w:pStyle w:val="TJ1"/>
            <w:rPr>
              <w:rFonts w:asciiTheme="minorHAnsi" w:eastAsiaTheme="minorEastAsia" w:hAnsiTheme="minorHAnsi" w:cstheme="minorBidi"/>
              <w:b w:val="0"/>
              <w:color w:val="auto"/>
              <w:sz w:val="22"/>
              <w:szCs w:val="22"/>
              <w:lang w:eastAsia="hu-HU"/>
            </w:rPr>
          </w:pPr>
          <w:hyperlink w:anchor="_Toc46822736" w:history="1">
            <w:r w:rsidR="00D676D5" w:rsidRPr="00603669">
              <w:rPr>
                <w:rStyle w:val="Hiperhivatkozs"/>
                <w:rFonts w:asciiTheme="majorHAnsi" w:hAnsiTheme="majorHAnsi" w:cstheme="majorHAnsi"/>
              </w:rPr>
              <w:t>6</w:t>
            </w:r>
            <w:r w:rsidR="00D676D5">
              <w:rPr>
                <w:rFonts w:asciiTheme="minorHAnsi" w:eastAsiaTheme="minorEastAsia" w:hAnsiTheme="minorHAnsi" w:cstheme="minorBidi"/>
                <w:b w:val="0"/>
                <w:color w:val="auto"/>
                <w:sz w:val="22"/>
                <w:szCs w:val="22"/>
                <w:lang w:eastAsia="hu-HU"/>
              </w:rPr>
              <w:tab/>
            </w:r>
            <w:r w:rsidR="00D676D5" w:rsidRPr="00603669">
              <w:rPr>
                <w:rStyle w:val="Hiperhivatkozs"/>
                <w:rFonts w:asciiTheme="majorHAnsi" w:hAnsiTheme="majorHAnsi" w:cstheme="majorHAnsi"/>
              </w:rPr>
              <w:t>A</w:t>
            </w:r>
            <w:r w:rsidR="0051027E">
              <w:rPr>
                <w:rStyle w:val="Hiperhivatkozs"/>
                <w:rFonts w:asciiTheme="majorHAnsi" w:hAnsiTheme="majorHAnsi" w:cstheme="majorHAnsi"/>
              </w:rPr>
              <w:t>z Európai Unió számára készített</w:t>
            </w:r>
            <w:r w:rsidR="00D676D5" w:rsidRPr="00603669">
              <w:rPr>
                <w:rStyle w:val="Hiperhivatkozs"/>
                <w:rFonts w:asciiTheme="majorHAnsi" w:hAnsiTheme="majorHAnsi" w:cstheme="majorHAnsi"/>
              </w:rPr>
              <w:t xml:space="preserve"> köznevelési stratégia megvalósítása</w:t>
            </w:r>
            <w:r w:rsidR="00D676D5">
              <w:rPr>
                <w:webHidden/>
              </w:rPr>
              <w:tab/>
            </w:r>
            <w:r w:rsidR="00D676D5">
              <w:rPr>
                <w:webHidden/>
              </w:rPr>
              <w:fldChar w:fldCharType="begin"/>
            </w:r>
            <w:r w:rsidR="00D676D5">
              <w:rPr>
                <w:webHidden/>
              </w:rPr>
              <w:instrText xml:space="preserve"> PAGEREF _Toc46822736 \h </w:instrText>
            </w:r>
            <w:r w:rsidR="00D676D5">
              <w:rPr>
                <w:webHidden/>
              </w:rPr>
            </w:r>
            <w:r w:rsidR="00D676D5">
              <w:rPr>
                <w:webHidden/>
              </w:rPr>
              <w:fldChar w:fldCharType="separate"/>
            </w:r>
            <w:r w:rsidR="00D676D5">
              <w:rPr>
                <w:webHidden/>
              </w:rPr>
              <w:t>79</w:t>
            </w:r>
            <w:r w:rsidR="00D676D5">
              <w:rPr>
                <w:webHidden/>
              </w:rPr>
              <w:fldChar w:fldCharType="end"/>
            </w:r>
          </w:hyperlink>
        </w:p>
        <w:p w14:paraId="6DCE3338"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37" w:history="1">
            <w:r w:rsidR="00D676D5" w:rsidRPr="00603669">
              <w:rPr>
                <w:rStyle w:val="Hiperhivatkozs"/>
              </w:rPr>
              <w:t>6.1</w:t>
            </w:r>
            <w:r w:rsidR="00D676D5">
              <w:rPr>
                <w:rFonts w:asciiTheme="minorHAnsi" w:eastAsiaTheme="minorEastAsia" w:hAnsiTheme="minorHAnsi" w:cstheme="minorBidi"/>
                <w:b w:val="0"/>
                <w:i w:val="0"/>
                <w:sz w:val="22"/>
                <w:szCs w:val="22"/>
                <w:lang w:eastAsia="hu-HU"/>
              </w:rPr>
              <w:tab/>
            </w:r>
            <w:r w:rsidR="00D676D5" w:rsidRPr="00603669">
              <w:rPr>
                <w:rStyle w:val="Hiperhivatkozs"/>
              </w:rPr>
              <w:t>Szereplők</w:t>
            </w:r>
            <w:r w:rsidR="00D676D5">
              <w:rPr>
                <w:webHidden/>
              </w:rPr>
              <w:tab/>
            </w:r>
            <w:r w:rsidR="00D676D5">
              <w:rPr>
                <w:webHidden/>
              </w:rPr>
              <w:fldChar w:fldCharType="begin"/>
            </w:r>
            <w:r w:rsidR="00D676D5">
              <w:rPr>
                <w:webHidden/>
              </w:rPr>
              <w:instrText xml:space="preserve"> PAGEREF _Toc46822737 \h </w:instrText>
            </w:r>
            <w:r w:rsidR="00D676D5">
              <w:rPr>
                <w:webHidden/>
              </w:rPr>
            </w:r>
            <w:r w:rsidR="00D676D5">
              <w:rPr>
                <w:webHidden/>
              </w:rPr>
              <w:fldChar w:fldCharType="separate"/>
            </w:r>
            <w:r w:rsidR="00D676D5">
              <w:rPr>
                <w:webHidden/>
              </w:rPr>
              <w:t>79</w:t>
            </w:r>
            <w:r w:rsidR="00D676D5">
              <w:rPr>
                <w:webHidden/>
              </w:rPr>
              <w:fldChar w:fldCharType="end"/>
            </w:r>
          </w:hyperlink>
        </w:p>
        <w:p w14:paraId="1A8FE2DB"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38" w:history="1">
            <w:r w:rsidR="00D676D5" w:rsidRPr="00603669">
              <w:rPr>
                <w:rStyle w:val="Hiperhivatkozs"/>
              </w:rPr>
              <w:t>6.2</w:t>
            </w:r>
            <w:r w:rsidR="00D676D5">
              <w:rPr>
                <w:rFonts w:asciiTheme="minorHAnsi" w:eastAsiaTheme="minorEastAsia" w:hAnsiTheme="minorHAnsi" w:cstheme="minorBidi"/>
                <w:b w:val="0"/>
                <w:i w:val="0"/>
                <w:sz w:val="22"/>
                <w:szCs w:val="22"/>
                <w:lang w:eastAsia="hu-HU"/>
              </w:rPr>
              <w:tab/>
            </w:r>
            <w:r w:rsidR="00D676D5" w:rsidRPr="00603669">
              <w:rPr>
                <w:rStyle w:val="Hiperhivatkozs"/>
              </w:rPr>
              <w:t>Indikátorok</w:t>
            </w:r>
            <w:r w:rsidR="00D676D5">
              <w:rPr>
                <w:webHidden/>
              </w:rPr>
              <w:tab/>
            </w:r>
            <w:r w:rsidR="00D676D5">
              <w:rPr>
                <w:webHidden/>
              </w:rPr>
              <w:fldChar w:fldCharType="begin"/>
            </w:r>
            <w:r w:rsidR="00D676D5">
              <w:rPr>
                <w:webHidden/>
              </w:rPr>
              <w:instrText xml:space="preserve"> PAGEREF _Toc46822738 \h </w:instrText>
            </w:r>
            <w:r w:rsidR="00D676D5">
              <w:rPr>
                <w:webHidden/>
              </w:rPr>
            </w:r>
            <w:r w:rsidR="00D676D5">
              <w:rPr>
                <w:webHidden/>
              </w:rPr>
              <w:fldChar w:fldCharType="separate"/>
            </w:r>
            <w:r w:rsidR="00D676D5">
              <w:rPr>
                <w:webHidden/>
              </w:rPr>
              <w:t>79</w:t>
            </w:r>
            <w:r w:rsidR="00D676D5">
              <w:rPr>
                <w:webHidden/>
              </w:rPr>
              <w:fldChar w:fldCharType="end"/>
            </w:r>
          </w:hyperlink>
        </w:p>
        <w:p w14:paraId="1CFEBA9C" w14:textId="77777777" w:rsidR="00D676D5" w:rsidRDefault="00BE288F">
          <w:pPr>
            <w:pStyle w:val="TJ2"/>
            <w:rPr>
              <w:rFonts w:asciiTheme="minorHAnsi" w:eastAsiaTheme="minorEastAsia" w:hAnsiTheme="minorHAnsi" w:cstheme="minorBidi"/>
              <w:b w:val="0"/>
              <w:i w:val="0"/>
              <w:sz w:val="22"/>
              <w:szCs w:val="22"/>
              <w:lang w:eastAsia="hu-HU"/>
            </w:rPr>
          </w:pPr>
          <w:hyperlink w:anchor="_Toc46822739" w:history="1">
            <w:r w:rsidR="00D676D5" w:rsidRPr="00603669">
              <w:rPr>
                <w:rStyle w:val="Hiperhivatkozs"/>
              </w:rPr>
              <w:t>6.3 Monitoring</w:t>
            </w:r>
            <w:r w:rsidR="00D676D5">
              <w:rPr>
                <w:webHidden/>
              </w:rPr>
              <w:tab/>
            </w:r>
            <w:r w:rsidR="00D676D5">
              <w:rPr>
                <w:webHidden/>
              </w:rPr>
              <w:fldChar w:fldCharType="begin"/>
            </w:r>
            <w:r w:rsidR="00D676D5">
              <w:rPr>
                <w:webHidden/>
              </w:rPr>
              <w:instrText xml:space="preserve"> PAGEREF _Toc46822739 \h </w:instrText>
            </w:r>
            <w:r w:rsidR="00D676D5">
              <w:rPr>
                <w:webHidden/>
              </w:rPr>
            </w:r>
            <w:r w:rsidR="00D676D5">
              <w:rPr>
                <w:webHidden/>
              </w:rPr>
              <w:fldChar w:fldCharType="separate"/>
            </w:r>
            <w:r w:rsidR="00D676D5">
              <w:rPr>
                <w:webHidden/>
              </w:rPr>
              <w:t>81</w:t>
            </w:r>
            <w:r w:rsidR="00D676D5">
              <w:rPr>
                <w:webHidden/>
              </w:rPr>
              <w:fldChar w:fldCharType="end"/>
            </w:r>
          </w:hyperlink>
        </w:p>
        <w:p w14:paraId="715B3DA4" w14:textId="77777777" w:rsidR="00B86FE8" w:rsidRPr="00DC6C83" w:rsidRDefault="00983D18" w:rsidP="00B86FE8">
          <w:pPr>
            <w:spacing w:line="276" w:lineRule="auto"/>
            <w:ind w:right="-2570"/>
            <w:rPr>
              <w:rFonts w:asciiTheme="majorHAnsi" w:hAnsiTheme="majorHAnsi" w:cstheme="majorHAnsi"/>
            </w:rPr>
          </w:pPr>
          <w:r w:rsidRPr="00DC6C83">
            <w:rPr>
              <w:rFonts w:asciiTheme="majorHAnsi" w:hAnsiTheme="majorHAnsi" w:cstheme="majorHAnsi"/>
              <w:b/>
              <w:color w:val="000000" w:themeColor="text1"/>
            </w:rPr>
            <w:fldChar w:fldCharType="end"/>
          </w:r>
        </w:p>
      </w:sdtContent>
    </w:sdt>
    <w:p w14:paraId="5458A8C6" w14:textId="77777777" w:rsidR="00B86FE8" w:rsidRPr="00DC6C83" w:rsidRDefault="00B86FE8" w:rsidP="00B86FE8">
      <w:pPr>
        <w:pStyle w:val="Cmsor1"/>
        <w:spacing w:line="276" w:lineRule="auto"/>
        <w:rPr>
          <w:rFonts w:asciiTheme="majorHAnsi" w:hAnsiTheme="majorHAnsi" w:cstheme="majorHAnsi"/>
        </w:rPr>
      </w:pPr>
      <w:bookmarkStart w:id="0" w:name="_Toc424297680"/>
      <w:bookmarkStart w:id="1" w:name="_Toc35596109"/>
      <w:bookmarkStart w:id="2" w:name="_Toc46822685"/>
      <w:bookmarkEnd w:id="0"/>
      <w:r w:rsidRPr="00DC6C83">
        <w:rPr>
          <w:rFonts w:asciiTheme="majorHAnsi" w:hAnsiTheme="majorHAnsi" w:cstheme="majorHAnsi"/>
        </w:rPr>
        <w:lastRenderedPageBreak/>
        <w:t>Bevezetés</w:t>
      </w:r>
      <w:bookmarkEnd w:id="1"/>
      <w:bookmarkEnd w:id="2"/>
    </w:p>
    <w:p w14:paraId="684F98DB" w14:textId="2FB9F118" w:rsidR="00C24A11" w:rsidRDefault="00C24A11" w:rsidP="00C24A11">
      <w:pPr>
        <w:spacing w:line="276" w:lineRule="auto"/>
        <w:rPr>
          <w:rFonts w:asciiTheme="majorHAnsi" w:hAnsiTheme="majorHAnsi" w:cstheme="majorHAnsi"/>
        </w:rPr>
      </w:pPr>
      <w:r w:rsidRPr="00DC6C83">
        <w:rPr>
          <w:rFonts w:asciiTheme="majorHAnsi" w:hAnsiTheme="majorHAnsi" w:cstheme="majorHAnsi"/>
        </w:rPr>
        <w:t xml:space="preserve">Magyarország </w:t>
      </w:r>
      <w:r w:rsidR="007E0CCD">
        <w:rPr>
          <w:rFonts w:asciiTheme="majorHAnsi" w:hAnsiTheme="majorHAnsi" w:cstheme="majorHAnsi"/>
        </w:rPr>
        <w:t xml:space="preserve">az elmúlt években </w:t>
      </w:r>
      <w:r>
        <w:rPr>
          <w:rFonts w:asciiTheme="majorHAnsi" w:hAnsiTheme="majorHAnsi" w:cstheme="majorHAnsi"/>
        </w:rPr>
        <w:t xml:space="preserve">gazdasági szempontból </w:t>
      </w:r>
      <w:r w:rsidRPr="00DC6C83">
        <w:rPr>
          <w:rFonts w:asciiTheme="majorHAnsi" w:hAnsiTheme="majorHAnsi" w:cstheme="majorHAnsi"/>
        </w:rPr>
        <w:t>az Európai Unió egyik leggyorsabban növekvő országa</w:t>
      </w:r>
      <w:r w:rsidR="007E0CCD">
        <w:rPr>
          <w:rFonts w:asciiTheme="majorHAnsi" w:hAnsiTheme="majorHAnsi" w:cstheme="majorHAnsi"/>
        </w:rPr>
        <w:t xml:space="preserve"> volt, okkal bizakodunk abban, hogy a jelenlegi veszélyhelyzet leküzdése után újrainduló európai növekedésben is tartani tudjuk majd ezt a pozíciót</w:t>
      </w:r>
      <w:r w:rsidRPr="00DC6C83">
        <w:rPr>
          <w:rFonts w:asciiTheme="majorHAnsi" w:hAnsiTheme="majorHAnsi" w:cstheme="majorHAnsi"/>
        </w:rPr>
        <w:t>. A társadalmi kohézió erősítés</w:t>
      </w:r>
      <w:r w:rsidR="006371E5">
        <w:rPr>
          <w:rFonts w:asciiTheme="majorHAnsi" w:hAnsiTheme="majorHAnsi" w:cstheme="majorHAnsi"/>
        </w:rPr>
        <w:t>éhez</w:t>
      </w:r>
      <w:r w:rsidRPr="00DC6C83">
        <w:rPr>
          <w:rFonts w:asciiTheme="majorHAnsi" w:hAnsiTheme="majorHAnsi" w:cstheme="majorHAnsi"/>
        </w:rPr>
        <w:t>, a gazdasági fejlődés fenntartás</w:t>
      </w:r>
      <w:r w:rsidR="006371E5">
        <w:rPr>
          <w:rFonts w:asciiTheme="majorHAnsi" w:hAnsiTheme="majorHAnsi" w:cstheme="majorHAnsi"/>
        </w:rPr>
        <w:t>ához</w:t>
      </w:r>
      <w:r w:rsidRPr="00DC6C83">
        <w:rPr>
          <w:rFonts w:asciiTheme="majorHAnsi" w:hAnsiTheme="majorHAnsi" w:cstheme="majorHAnsi"/>
        </w:rPr>
        <w:t xml:space="preserve"> és a polgárok életminőségének folyamatos növelés</w:t>
      </w:r>
      <w:r w:rsidR="006371E5">
        <w:rPr>
          <w:rFonts w:asciiTheme="majorHAnsi" w:hAnsiTheme="majorHAnsi" w:cstheme="majorHAnsi"/>
        </w:rPr>
        <w:t>éhez</w:t>
      </w:r>
      <w:r w:rsidRPr="00DC6C83">
        <w:rPr>
          <w:rFonts w:asciiTheme="majorHAnsi" w:hAnsiTheme="majorHAnsi" w:cstheme="majorHAnsi"/>
        </w:rPr>
        <w:t xml:space="preserve"> szükség van az oktatási rendszer minőségi fejlesztésére, versenyképességének fokozására és a vele szemben támasztott társadalmi-gazdasági elvárásokra való felkészítésére</w:t>
      </w:r>
      <w:r>
        <w:rPr>
          <w:rFonts w:asciiTheme="majorHAnsi" w:hAnsiTheme="majorHAnsi" w:cstheme="majorHAnsi"/>
        </w:rPr>
        <w:t>, a</w:t>
      </w:r>
      <w:r w:rsidRPr="00DC6C83">
        <w:rPr>
          <w:rFonts w:asciiTheme="majorHAnsi" w:hAnsiTheme="majorHAnsi" w:cstheme="majorHAnsi"/>
        </w:rPr>
        <w:t>z átadott tudás társadalmi hasznosságára. Figyelmet kell fordítani a tehetséggondozásra</w:t>
      </w:r>
      <w:r w:rsidR="006371E5">
        <w:rPr>
          <w:rFonts w:asciiTheme="majorHAnsi" w:hAnsiTheme="majorHAnsi" w:cstheme="majorHAnsi"/>
        </w:rPr>
        <w:t>,</w:t>
      </w:r>
      <w:r w:rsidRPr="00DC6C83">
        <w:rPr>
          <w:rFonts w:asciiTheme="majorHAnsi" w:hAnsiTheme="majorHAnsi" w:cstheme="majorHAnsi"/>
        </w:rPr>
        <w:t xml:space="preserve"> és arra, hogy legjobb szakembereink hazánkban hasznosítsák az itt</w:t>
      </w:r>
      <w:r w:rsidR="006371E5">
        <w:rPr>
          <w:rFonts w:asciiTheme="majorHAnsi" w:hAnsiTheme="majorHAnsi" w:cstheme="majorHAnsi"/>
        </w:rPr>
        <w:t>hon</w:t>
      </w:r>
      <w:r w:rsidRPr="00DC6C83">
        <w:rPr>
          <w:rFonts w:asciiTheme="majorHAnsi" w:hAnsiTheme="majorHAnsi" w:cstheme="majorHAnsi"/>
        </w:rPr>
        <w:t xml:space="preserve"> vagy akár külföldön megszerzett tudást. </w:t>
      </w:r>
      <w:r w:rsidR="00766253" w:rsidRPr="00DC6C83">
        <w:rPr>
          <w:rFonts w:asciiTheme="majorHAnsi" w:hAnsiTheme="majorHAnsi" w:cstheme="majorHAnsi"/>
        </w:rPr>
        <w:t xml:space="preserve">A folyamatban lévő technológiai változások </w:t>
      </w:r>
      <w:r w:rsidR="00766253">
        <w:rPr>
          <w:rFonts w:asciiTheme="majorHAnsi" w:hAnsiTheme="majorHAnsi" w:cstheme="majorHAnsi"/>
        </w:rPr>
        <w:t>miatt</w:t>
      </w:r>
      <w:r w:rsidR="00766253" w:rsidRPr="00DC6C83">
        <w:rPr>
          <w:rFonts w:asciiTheme="majorHAnsi" w:hAnsiTheme="majorHAnsi" w:cstheme="majorHAnsi"/>
        </w:rPr>
        <w:t xml:space="preserve"> a </w:t>
      </w:r>
      <w:proofErr w:type="spellStart"/>
      <w:r w:rsidR="00766253" w:rsidRPr="00DC6C83">
        <w:rPr>
          <w:rFonts w:asciiTheme="majorHAnsi" w:hAnsiTheme="majorHAnsi" w:cstheme="majorHAnsi"/>
        </w:rPr>
        <w:t>tudásintenzív</w:t>
      </w:r>
      <w:proofErr w:type="spellEnd"/>
      <w:r w:rsidR="00766253" w:rsidRPr="00DC6C83">
        <w:rPr>
          <w:rFonts w:asciiTheme="majorHAnsi" w:hAnsiTheme="majorHAnsi" w:cstheme="majorHAnsi"/>
        </w:rPr>
        <w:t>, fenntartható növekedés előmozdításához a fiatalok alapkészségeinek megszilárdítására, a pedagógusok szakmai fejlődésé</w:t>
      </w:r>
      <w:r w:rsidR="00766253">
        <w:rPr>
          <w:rFonts w:asciiTheme="majorHAnsi" w:hAnsiTheme="majorHAnsi" w:cstheme="majorHAnsi"/>
        </w:rPr>
        <w:t xml:space="preserve">re </w:t>
      </w:r>
      <w:r w:rsidR="00766253" w:rsidRPr="00DC6C83">
        <w:rPr>
          <w:rFonts w:asciiTheme="majorHAnsi" w:hAnsiTheme="majorHAnsi" w:cstheme="majorHAnsi"/>
        </w:rPr>
        <w:t>és az iskolarendszerű oktatás megerősítésére van szükség, figyelmet fordítva a minőségi oktatáshoz való egyenlő hozzáférés</w:t>
      </w:r>
      <w:r w:rsidR="00766253">
        <w:rPr>
          <w:rFonts w:asciiTheme="majorHAnsi" w:hAnsiTheme="majorHAnsi" w:cstheme="majorHAnsi"/>
        </w:rPr>
        <w:t>re</w:t>
      </w:r>
      <w:r w:rsidR="00766253" w:rsidRPr="00DC6C83">
        <w:rPr>
          <w:rFonts w:asciiTheme="majorHAnsi" w:hAnsiTheme="majorHAnsi" w:cstheme="majorHAnsi"/>
        </w:rPr>
        <w:t xml:space="preserve">. A Kormány éppen ezért tette állami </w:t>
      </w:r>
      <w:r w:rsidR="00CA2327">
        <w:rPr>
          <w:rFonts w:asciiTheme="majorHAnsi" w:hAnsiTheme="majorHAnsi" w:cstheme="majorHAnsi"/>
        </w:rPr>
        <w:t>köz</w:t>
      </w:r>
      <w:r w:rsidR="00766253" w:rsidRPr="00DC6C83">
        <w:rPr>
          <w:rFonts w:asciiTheme="majorHAnsi" w:hAnsiTheme="majorHAnsi" w:cstheme="majorHAnsi"/>
        </w:rPr>
        <w:t>feladattá a</w:t>
      </w:r>
      <w:r w:rsidR="00766253">
        <w:rPr>
          <w:rFonts w:asciiTheme="majorHAnsi" w:hAnsiTheme="majorHAnsi" w:cstheme="majorHAnsi"/>
        </w:rPr>
        <w:t xml:space="preserve"> köznevelési</w:t>
      </w:r>
      <w:r w:rsidR="00766253" w:rsidRPr="00DC6C83">
        <w:rPr>
          <w:rFonts w:asciiTheme="majorHAnsi" w:hAnsiTheme="majorHAnsi" w:cstheme="majorHAnsi"/>
        </w:rPr>
        <w:t xml:space="preserve"> rendszer megszervezését, </w:t>
      </w:r>
      <w:r w:rsidR="00766253">
        <w:rPr>
          <w:rFonts w:asciiTheme="majorHAnsi" w:hAnsiTheme="majorHAnsi" w:cstheme="majorHAnsi"/>
        </w:rPr>
        <w:t>a</w:t>
      </w:r>
      <w:r w:rsidR="00766253" w:rsidRPr="00DC6C83">
        <w:rPr>
          <w:rFonts w:asciiTheme="majorHAnsi" w:hAnsiTheme="majorHAnsi" w:cstheme="majorHAnsi"/>
        </w:rPr>
        <w:t xml:space="preserve">melyben a nemzetközi </w:t>
      </w:r>
      <w:r w:rsidR="00766253">
        <w:rPr>
          <w:rFonts w:asciiTheme="majorHAnsi" w:hAnsiTheme="majorHAnsi" w:cstheme="majorHAnsi"/>
        </w:rPr>
        <w:t xml:space="preserve">egyezmények </w:t>
      </w:r>
      <w:r w:rsidR="00766253" w:rsidRPr="00DC6C83">
        <w:rPr>
          <w:rFonts w:asciiTheme="majorHAnsi" w:hAnsiTheme="majorHAnsi" w:cstheme="majorHAnsi"/>
        </w:rPr>
        <w:t>és hazai jogszabályok alapján az egyházak és magánintézmények is szerepet vállal</w:t>
      </w:r>
      <w:r w:rsidR="00CA2327">
        <w:rPr>
          <w:rFonts w:asciiTheme="majorHAnsi" w:hAnsiTheme="majorHAnsi" w:cstheme="majorHAnsi"/>
        </w:rPr>
        <w:t>hat</w:t>
      </w:r>
      <w:r w:rsidR="00766253" w:rsidRPr="00DC6C83">
        <w:rPr>
          <w:rFonts w:asciiTheme="majorHAnsi" w:hAnsiTheme="majorHAnsi" w:cstheme="majorHAnsi"/>
        </w:rPr>
        <w:t>nak.</w:t>
      </w:r>
    </w:p>
    <w:p w14:paraId="57A5855E" w14:textId="34DE5604" w:rsidR="00C24A11" w:rsidRPr="00DC6C83" w:rsidRDefault="00766253" w:rsidP="00BF7688">
      <w:pPr>
        <w:spacing w:line="276" w:lineRule="auto"/>
        <w:rPr>
          <w:rFonts w:asciiTheme="majorHAnsi" w:hAnsiTheme="majorHAnsi" w:cstheme="majorHAnsi"/>
        </w:rPr>
      </w:pPr>
      <w:r w:rsidRPr="00DC6C83">
        <w:rPr>
          <w:rFonts w:asciiTheme="majorHAnsi" w:hAnsiTheme="majorHAnsi" w:cstheme="majorHAnsi"/>
        </w:rPr>
        <w:t>A</w:t>
      </w:r>
      <w:r w:rsidR="0051027E">
        <w:rPr>
          <w:rFonts w:asciiTheme="majorHAnsi" w:hAnsiTheme="majorHAnsi" w:cstheme="majorHAnsi"/>
        </w:rPr>
        <w:t>z Európai Unió számára készített</w:t>
      </w:r>
      <w:r w:rsidRPr="00DC6C83">
        <w:rPr>
          <w:rFonts w:asciiTheme="majorHAnsi" w:hAnsiTheme="majorHAnsi" w:cstheme="majorHAnsi"/>
        </w:rPr>
        <w:t xml:space="preserve"> köznevelési stratégia</w:t>
      </w:r>
      <w:r w:rsidR="0028395E">
        <w:rPr>
          <w:rFonts w:asciiTheme="majorHAnsi" w:hAnsiTheme="majorHAnsi" w:cstheme="majorHAnsi"/>
        </w:rPr>
        <w:t xml:space="preserve"> (a továbbiakban: stratégia)</w:t>
      </w:r>
      <w:r w:rsidRPr="00DC6C83">
        <w:rPr>
          <w:rFonts w:asciiTheme="majorHAnsi" w:hAnsiTheme="majorHAnsi" w:cstheme="majorHAnsi"/>
        </w:rPr>
        <w:t xml:space="preserve"> a</w:t>
      </w:r>
      <w:r w:rsidR="00CA2327">
        <w:rPr>
          <w:rFonts w:asciiTheme="majorHAnsi" w:hAnsiTheme="majorHAnsi" w:cstheme="majorHAnsi"/>
        </w:rPr>
        <w:t>z</w:t>
      </w:r>
      <w:r w:rsidRPr="00DC6C83">
        <w:rPr>
          <w:rFonts w:asciiTheme="majorHAnsi" w:hAnsiTheme="majorHAnsi" w:cstheme="majorHAnsi"/>
        </w:rPr>
        <w:t xml:space="preserve"> oktatás</w:t>
      </w:r>
      <w:r>
        <w:rPr>
          <w:rFonts w:asciiTheme="majorHAnsi" w:hAnsiTheme="majorHAnsi" w:cstheme="majorHAnsi"/>
        </w:rPr>
        <w:t xml:space="preserve">i rendszer </w:t>
      </w:r>
      <w:r w:rsidRPr="00DC6C83">
        <w:rPr>
          <w:rFonts w:asciiTheme="majorHAnsi" w:hAnsiTheme="majorHAnsi" w:cstheme="majorHAnsi"/>
        </w:rPr>
        <w:t>célj</w:t>
      </w:r>
      <w:r>
        <w:rPr>
          <w:rFonts w:asciiTheme="majorHAnsi" w:hAnsiTheme="majorHAnsi" w:cstheme="majorHAnsi"/>
        </w:rPr>
        <w:t xml:space="preserve">ának a </w:t>
      </w:r>
      <w:r w:rsidRPr="00DC6C83">
        <w:rPr>
          <w:rFonts w:asciiTheme="majorHAnsi" w:hAnsiTheme="majorHAnsi" w:cstheme="majorHAnsi"/>
        </w:rPr>
        <w:t>társadalom és ezen belül az egyén jólétének elősegítés</w:t>
      </w:r>
      <w:r>
        <w:rPr>
          <w:rFonts w:asciiTheme="majorHAnsi" w:hAnsiTheme="majorHAnsi" w:cstheme="majorHAnsi"/>
        </w:rPr>
        <w:t>ét</w:t>
      </w:r>
      <w:r w:rsidRPr="00DC6C83">
        <w:rPr>
          <w:rFonts w:asciiTheme="majorHAnsi" w:hAnsiTheme="majorHAnsi" w:cstheme="majorHAnsi"/>
        </w:rPr>
        <w:t>, a társadalmi kohézió előmozdítás</w:t>
      </w:r>
      <w:r>
        <w:rPr>
          <w:rFonts w:asciiTheme="majorHAnsi" w:hAnsiTheme="majorHAnsi" w:cstheme="majorHAnsi"/>
        </w:rPr>
        <w:t>át</w:t>
      </w:r>
      <w:r w:rsidRPr="00DC6C83">
        <w:rPr>
          <w:rFonts w:asciiTheme="majorHAnsi" w:hAnsiTheme="majorHAnsi" w:cstheme="majorHAnsi"/>
        </w:rPr>
        <w:t>, a nemzeti összetartozás és identitás megerősítés</w:t>
      </w:r>
      <w:r>
        <w:rPr>
          <w:rFonts w:asciiTheme="majorHAnsi" w:hAnsiTheme="majorHAnsi" w:cstheme="majorHAnsi"/>
        </w:rPr>
        <w:t>ét tekinti</w:t>
      </w:r>
      <w:r w:rsidRPr="00DC6C83">
        <w:rPr>
          <w:rFonts w:asciiTheme="majorHAnsi" w:hAnsiTheme="majorHAnsi" w:cstheme="majorHAnsi"/>
        </w:rPr>
        <w:t xml:space="preserve">. </w:t>
      </w:r>
      <w:r w:rsidR="00C24A11" w:rsidRPr="00DC6C83">
        <w:rPr>
          <w:rFonts w:asciiTheme="majorHAnsi" w:hAnsiTheme="majorHAnsi" w:cstheme="majorHAnsi"/>
        </w:rPr>
        <w:t xml:space="preserve">A </w:t>
      </w:r>
      <w:r w:rsidR="00C24A11">
        <w:rPr>
          <w:rFonts w:asciiTheme="majorHAnsi" w:hAnsiTheme="majorHAnsi" w:cstheme="majorHAnsi"/>
        </w:rPr>
        <w:t>köznevelés</w:t>
      </w:r>
      <w:r w:rsidR="00C24A11" w:rsidRPr="00DC6C83">
        <w:rPr>
          <w:rFonts w:asciiTheme="majorHAnsi" w:hAnsiTheme="majorHAnsi" w:cstheme="majorHAnsi"/>
        </w:rPr>
        <w:t xml:space="preserve"> rendszer</w:t>
      </w:r>
      <w:r w:rsidR="00C24A11">
        <w:rPr>
          <w:rFonts w:asciiTheme="majorHAnsi" w:hAnsiTheme="majorHAnsi" w:cstheme="majorHAnsi"/>
        </w:rPr>
        <w:t>é</w:t>
      </w:r>
      <w:r w:rsidR="00C24A11" w:rsidRPr="00DC6C83">
        <w:rPr>
          <w:rFonts w:asciiTheme="majorHAnsi" w:hAnsiTheme="majorHAnsi" w:cstheme="majorHAnsi"/>
        </w:rPr>
        <w:t xml:space="preserve">t ezen túl a társadalmi mobilitás </w:t>
      </w:r>
      <w:r w:rsidR="00C24A11">
        <w:rPr>
          <w:rFonts w:asciiTheme="majorHAnsi" w:hAnsiTheme="majorHAnsi" w:cstheme="majorHAnsi"/>
        </w:rPr>
        <w:t>egyik eszközének tartjuk</w:t>
      </w:r>
      <w:r w:rsidR="00C24A11" w:rsidRPr="00DC6C83">
        <w:rPr>
          <w:rFonts w:asciiTheme="majorHAnsi" w:hAnsiTheme="majorHAnsi" w:cstheme="majorHAnsi"/>
        </w:rPr>
        <w:t xml:space="preserve">, amely célja szerint képes a hozott egyéni hátrányok mérséklésére, </w:t>
      </w:r>
      <w:r w:rsidR="00C24A11">
        <w:rPr>
          <w:rFonts w:asciiTheme="majorHAnsi" w:hAnsiTheme="majorHAnsi" w:cstheme="majorHAnsi"/>
        </w:rPr>
        <w:t xml:space="preserve">a különbségek </w:t>
      </w:r>
      <w:r w:rsidR="00C24A11" w:rsidRPr="00DC6C83">
        <w:rPr>
          <w:rFonts w:asciiTheme="majorHAnsi" w:hAnsiTheme="majorHAnsi" w:cstheme="majorHAnsi"/>
        </w:rPr>
        <w:t>kiegyenlítésére. A köz</w:t>
      </w:r>
      <w:r w:rsidR="00C24A11">
        <w:rPr>
          <w:rFonts w:asciiTheme="majorHAnsi" w:hAnsiTheme="majorHAnsi" w:cstheme="majorHAnsi"/>
        </w:rPr>
        <w:t>nevelés</w:t>
      </w:r>
      <w:r w:rsidR="00C24A11" w:rsidRPr="00DC6C83">
        <w:rPr>
          <w:rFonts w:asciiTheme="majorHAnsi" w:hAnsiTheme="majorHAnsi" w:cstheme="majorHAnsi"/>
        </w:rPr>
        <w:t xml:space="preserve"> felelős gyermekeink </w:t>
      </w:r>
      <w:r w:rsidR="00F70556" w:rsidRPr="00DC6C83">
        <w:rPr>
          <w:rFonts w:asciiTheme="majorHAnsi" w:hAnsiTheme="majorHAnsi" w:cstheme="majorHAnsi"/>
        </w:rPr>
        <w:t>testi</w:t>
      </w:r>
      <w:r w:rsidR="00F70556">
        <w:rPr>
          <w:rFonts w:asciiTheme="majorHAnsi" w:hAnsiTheme="majorHAnsi" w:cstheme="majorHAnsi"/>
        </w:rPr>
        <w:t>,</w:t>
      </w:r>
      <w:r w:rsidR="009B770D">
        <w:rPr>
          <w:rFonts w:asciiTheme="majorHAnsi" w:hAnsiTheme="majorHAnsi" w:cstheme="majorHAnsi"/>
        </w:rPr>
        <w:t xml:space="preserve"> </w:t>
      </w:r>
      <w:r w:rsidR="00C24A11" w:rsidRPr="00DC6C83">
        <w:rPr>
          <w:rFonts w:asciiTheme="majorHAnsi" w:hAnsiTheme="majorHAnsi" w:cstheme="majorHAnsi"/>
        </w:rPr>
        <w:t>lelki és értelmi fejlődésének lehető legmagasabb szintű kibontakoztatásáért</w:t>
      </w:r>
      <w:r w:rsidR="00C24A11">
        <w:rPr>
          <w:rFonts w:asciiTheme="majorHAnsi" w:hAnsiTheme="majorHAnsi" w:cstheme="majorHAnsi"/>
        </w:rPr>
        <w:t>. S</w:t>
      </w:r>
      <w:r w:rsidR="00C24A11" w:rsidRPr="0051277E">
        <w:rPr>
          <w:rFonts w:asciiTheme="majorHAnsi" w:hAnsiTheme="majorHAnsi" w:cstheme="majorHAnsi"/>
        </w:rPr>
        <w:t>egíti a szülőket gyermekeik felkészítésében a felnőtt társadalomba való beilleszkedésre és a felnőtt életre.</w:t>
      </w:r>
      <w:r w:rsidR="00C24A11" w:rsidRPr="00DC6C83">
        <w:rPr>
          <w:rFonts w:asciiTheme="majorHAnsi" w:hAnsiTheme="majorHAnsi" w:cstheme="majorHAnsi"/>
        </w:rPr>
        <w:t xml:space="preserve"> Kiemelt célja a társadalmi felzárkózás és a tehetséggondozás, továbbá a hátrányos társadalmi helyzetű</w:t>
      </w:r>
      <w:r w:rsidR="001C67FA">
        <w:rPr>
          <w:rFonts w:asciiTheme="majorHAnsi" w:hAnsiTheme="majorHAnsi" w:cstheme="majorHAnsi"/>
        </w:rPr>
        <w:t>, illetve sérülékeny</w:t>
      </w:r>
      <w:r w:rsidR="00C24A11" w:rsidRPr="00DC6C83">
        <w:rPr>
          <w:rFonts w:asciiTheme="majorHAnsi" w:hAnsiTheme="majorHAnsi" w:cstheme="majorHAnsi"/>
        </w:rPr>
        <w:t xml:space="preserve"> </w:t>
      </w:r>
      <w:r w:rsidR="001C67FA">
        <w:rPr>
          <w:rFonts w:asciiTheme="majorHAnsi" w:hAnsiTheme="majorHAnsi" w:cstheme="majorHAnsi"/>
        </w:rPr>
        <w:t xml:space="preserve">tanulói </w:t>
      </w:r>
      <w:r w:rsidR="00C24A11" w:rsidRPr="00DC6C83">
        <w:rPr>
          <w:rFonts w:asciiTheme="majorHAnsi" w:hAnsiTheme="majorHAnsi" w:cstheme="majorHAnsi"/>
        </w:rPr>
        <w:t>csoportok jó minőségű oktatáshoz való hozzáférés</w:t>
      </w:r>
      <w:r w:rsidR="004673D6">
        <w:rPr>
          <w:rFonts w:asciiTheme="majorHAnsi" w:hAnsiTheme="majorHAnsi" w:cstheme="majorHAnsi"/>
        </w:rPr>
        <w:t>i esélyeinek további</w:t>
      </w:r>
      <w:r w:rsidR="009B770D">
        <w:rPr>
          <w:rFonts w:asciiTheme="majorHAnsi" w:hAnsiTheme="majorHAnsi" w:cstheme="majorHAnsi"/>
        </w:rPr>
        <w:t xml:space="preserve"> </w:t>
      </w:r>
      <w:r w:rsidR="00C24A11" w:rsidRPr="00DC6C83">
        <w:rPr>
          <w:rFonts w:asciiTheme="majorHAnsi" w:hAnsiTheme="majorHAnsi" w:cstheme="majorHAnsi"/>
        </w:rPr>
        <w:t>javítása,</w:t>
      </w:r>
      <w:r w:rsidR="004673D6">
        <w:rPr>
          <w:rFonts w:asciiTheme="majorHAnsi" w:hAnsiTheme="majorHAnsi" w:cstheme="majorHAnsi"/>
        </w:rPr>
        <w:t xml:space="preserve"> </w:t>
      </w:r>
      <w:r w:rsidR="00BF7688">
        <w:rPr>
          <w:rFonts w:asciiTheme="majorHAnsi" w:hAnsiTheme="majorHAnsi" w:cstheme="majorHAnsi"/>
        </w:rPr>
        <w:t xml:space="preserve">a </w:t>
      </w:r>
      <w:r w:rsidR="009B770D">
        <w:rPr>
          <w:rFonts w:asciiTheme="majorHAnsi" w:hAnsiTheme="majorHAnsi" w:cstheme="majorHAnsi"/>
        </w:rPr>
        <w:t>bármely</w:t>
      </w:r>
      <w:r w:rsidR="00C24A11" w:rsidRPr="00DC6C83">
        <w:rPr>
          <w:rFonts w:asciiTheme="majorHAnsi" w:hAnsiTheme="majorHAnsi" w:cstheme="majorHAnsi"/>
        </w:rPr>
        <w:t xml:space="preserve"> okból alulteljesítő gyermekek tanulási eredményesség</w:t>
      </w:r>
      <w:r w:rsidR="004673D6">
        <w:rPr>
          <w:rFonts w:asciiTheme="majorHAnsi" w:hAnsiTheme="majorHAnsi" w:cstheme="majorHAnsi"/>
        </w:rPr>
        <w:t>ének</w:t>
      </w:r>
      <w:r w:rsidR="009B770D">
        <w:rPr>
          <w:rFonts w:asciiTheme="majorHAnsi" w:hAnsiTheme="majorHAnsi" w:cstheme="majorHAnsi"/>
        </w:rPr>
        <w:t xml:space="preserve"> </w:t>
      </w:r>
      <w:r w:rsidR="004673D6">
        <w:rPr>
          <w:rFonts w:asciiTheme="majorHAnsi" w:hAnsiTheme="majorHAnsi" w:cstheme="majorHAnsi"/>
        </w:rPr>
        <w:t>növelése</w:t>
      </w:r>
      <w:r w:rsidR="00C24A11" w:rsidRPr="00DC6C83">
        <w:rPr>
          <w:rFonts w:asciiTheme="majorHAnsi" w:hAnsiTheme="majorHAnsi" w:cstheme="majorHAnsi"/>
        </w:rPr>
        <w:t>. Ezzel az ország gazdaság</w:t>
      </w:r>
      <w:r w:rsidR="00C24A11">
        <w:rPr>
          <w:rFonts w:asciiTheme="majorHAnsi" w:hAnsiTheme="majorHAnsi" w:cstheme="majorHAnsi"/>
        </w:rPr>
        <w:t>a</w:t>
      </w:r>
      <w:r w:rsidR="00C24A11" w:rsidRPr="00DC6C83">
        <w:rPr>
          <w:rFonts w:asciiTheme="majorHAnsi" w:hAnsiTheme="majorHAnsi" w:cstheme="majorHAnsi"/>
        </w:rPr>
        <w:t xml:space="preserve"> jelentős </w:t>
      </w:r>
      <w:r w:rsidR="00C24A11">
        <w:rPr>
          <w:rFonts w:asciiTheme="majorHAnsi" w:hAnsiTheme="majorHAnsi" w:cstheme="majorHAnsi"/>
        </w:rPr>
        <w:t>plusz</w:t>
      </w:r>
      <w:r w:rsidR="00C24A11" w:rsidRPr="00DC6C83">
        <w:rPr>
          <w:rFonts w:asciiTheme="majorHAnsi" w:hAnsiTheme="majorHAnsi" w:cstheme="majorHAnsi"/>
        </w:rPr>
        <w:t xml:space="preserve"> erőforráshoz juthat</w:t>
      </w:r>
      <w:r w:rsidR="00C24A11">
        <w:rPr>
          <w:rFonts w:asciiTheme="majorHAnsi" w:hAnsiTheme="majorHAnsi" w:cstheme="majorHAnsi"/>
        </w:rPr>
        <w:t>,</w:t>
      </w:r>
      <w:r w:rsidR="009B770D">
        <w:rPr>
          <w:rFonts w:asciiTheme="majorHAnsi" w:hAnsiTheme="majorHAnsi" w:cstheme="majorHAnsi"/>
        </w:rPr>
        <w:t xml:space="preserve"> </w:t>
      </w:r>
      <w:r w:rsidR="00C24A11">
        <w:rPr>
          <w:rFonts w:asciiTheme="majorHAnsi" w:hAnsiTheme="majorHAnsi" w:cstheme="majorHAnsi"/>
        </w:rPr>
        <w:t xml:space="preserve">versenyképessége is növekedhet </w:t>
      </w:r>
      <w:r w:rsidR="00C24A11" w:rsidRPr="00DC6C83">
        <w:rPr>
          <w:rFonts w:asciiTheme="majorHAnsi" w:hAnsiTheme="majorHAnsi" w:cstheme="majorHAnsi"/>
        </w:rPr>
        <w:t>a képzett és</w:t>
      </w:r>
      <w:r w:rsidR="00F70556">
        <w:rPr>
          <w:rFonts w:asciiTheme="majorHAnsi" w:hAnsiTheme="majorHAnsi" w:cstheme="majorHAnsi"/>
        </w:rPr>
        <w:t xml:space="preserve"> a</w:t>
      </w:r>
      <w:r w:rsidR="00257245">
        <w:rPr>
          <w:rFonts w:asciiTheme="majorHAnsi" w:hAnsiTheme="majorHAnsi" w:cstheme="majorHAnsi"/>
        </w:rPr>
        <w:t>z</w:t>
      </w:r>
      <w:r w:rsidR="009B770D">
        <w:rPr>
          <w:rFonts w:asciiTheme="majorHAnsi" w:hAnsiTheme="majorHAnsi" w:cstheme="majorHAnsi"/>
        </w:rPr>
        <w:t xml:space="preserve"> </w:t>
      </w:r>
      <w:r w:rsidR="00C24A11" w:rsidRPr="00DC6C83">
        <w:rPr>
          <w:rFonts w:asciiTheme="majorHAnsi" w:hAnsiTheme="majorHAnsi" w:cstheme="majorHAnsi"/>
        </w:rPr>
        <w:t xml:space="preserve">egész életen át tartó tanulásra képes fiatalok arányának növekedésével. </w:t>
      </w:r>
      <w:r w:rsidR="00BF7688">
        <w:rPr>
          <w:rFonts w:asciiTheme="majorHAnsi" w:hAnsiTheme="majorHAnsi" w:cstheme="majorHAnsi"/>
        </w:rPr>
        <w:t xml:space="preserve">A </w:t>
      </w:r>
      <w:r w:rsidR="00BF7688" w:rsidRPr="00DC6C83">
        <w:rPr>
          <w:rFonts w:asciiTheme="majorHAnsi" w:hAnsiTheme="majorHAnsi" w:cstheme="majorHAnsi"/>
        </w:rPr>
        <w:t xml:space="preserve">köznevelés </w:t>
      </w:r>
      <w:r w:rsidR="00BF7688">
        <w:rPr>
          <w:rFonts w:asciiTheme="majorHAnsi" w:hAnsiTheme="majorHAnsi" w:cstheme="majorHAnsi"/>
        </w:rPr>
        <w:t xml:space="preserve">ezért kiemelt </w:t>
      </w:r>
      <w:r w:rsidR="00BF7688" w:rsidRPr="00DC6C83">
        <w:rPr>
          <w:rFonts w:asciiTheme="majorHAnsi" w:hAnsiTheme="majorHAnsi" w:cstheme="majorHAnsi"/>
        </w:rPr>
        <w:t xml:space="preserve">közszolgálat, </w:t>
      </w:r>
      <w:r w:rsidR="00BF7688">
        <w:rPr>
          <w:rFonts w:asciiTheme="majorHAnsi" w:hAnsiTheme="majorHAnsi" w:cstheme="majorHAnsi"/>
        </w:rPr>
        <w:t>a</w:t>
      </w:r>
      <w:r w:rsidR="00BF7688" w:rsidRPr="00DC6C83">
        <w:rPr>
          <w:rFonts w:asciiTheme="majorHAnsi" w:hAnsiTheme="majorHAnsi" w:cstheme="majorHAnsi"/>
        </w:rPr>
        <w:t xml:space="preserve">mely a felnövekvő nemzedék érdekében megteremti a magyar társadalom hosszú távú fejlődésének feltételeit, </w:t>
      </w:r>
      <w:r w:rsidR="00BF7688">
        <w:rPr>
          <w:rFonts w:asciiTheme="majorHAnsi" w:hAnsiTheme="majorHAnsi" w:cstheme="majorHAnsi"/>
        </w:rPr>
        <w:t>amelynek</w:t>
      </w:r>
      <w:r w:rsidR="00BF7688" w:rsidRPr="00DC6C83">
        <w:rPr>
          <w:rFonts w:asciiTheme="majorHAnsi" w:hAnsiTheme="majorHAnsi" w:cstheme="majorHAnsi"/>
        </w:rPr>
        <w:t xml:space="preserve"> általános kereteit és garanciáit az állam biztosítja.</w:t>
      </w:r>
    </w:p>
    <w:p w14:paraId="03FA4676" w14:textId="77777777" w:rsidR="00C24A11" w:rsidRPr="00DC6C83" w:rsidRDefault="00C24A11" w:rsidP="00C24A11">
      <w:pPr>
        <w:spacing w:line="276" w:lineRule="auto"/>
        <w:rPr>
          <w:rFonts w:asciiTheme="majorHAnsi" w:hAnsiTheme="majorHAnsi" w:cstheme="majorHAnsi"/>
        </w:rPr>
      </w:pPr>
      <w:r w:rsidRPr="00DC6C83">
        <w:rPr>
          <w:rFonts w:asciiTheme="majorHAnsi" w:hAnsiTheme="majorHAnsi" w:cstheme="majorHAnsi"/>
        </w:rPr>
        <w:t xml:space="preserve">A tehetségek folyamatos segítése, fejlesztése a nemzet egészének érdeke és feladata. Magyarország gazdasági </w:t>
      </w:r>
      <w:r w:rsidR="009B770D">
        <w:rPr>
          <w:rFonts w:asciiTheme="majorHAnsi" w:hAnsiTheme="majorHAnsi" w:cstheme="majorHAnsi"/>
        </w:rPr>
        <w:t>szempontjából</w:t>
      </w:r>
      <w:r w:rsidRPr="00DC6C83">
        <w:rPr>
          <w:rFonts w:asciiTheme="majorHAnsi" w:hAnsiTheme="majorHAnsi" w:cstheme="majorHAnsi"/>
        </w:rPr>
        <w:t xml:space="preserve"> kulcsfontosságú, hogy a magyar köznevelési rendszer olyan versenyképes tudás</w:t>
      </w:r>
      <w:r>
        <w:rPr>
          <w:rFonts w:asciiTheme="majorHAnsi" w:hAnsiTheme="majorHAnsi" w:cstheme="majorHAnsi"/>
        </w:rPr>
        <w:t>sal</w:t>
      </w:r>
      <w:r w:rsidR="00BF0964">
        <w:rPr>
          <w:rFonts w:asciiTheme="majorHAnsi" w:hAnsiTheme="majorHAnsi" w:cstheme="majorHAnsi"/>
        </w:rPr>
        <w:t xml:space="preserve"> </w:t>
      </w:r>
      <w:r>
        <w:rPr>
          <w:rFonts w:asciiTheme="majorHAnsi" w:hAnsiTheme="majorHAnsi" w:cstheme="majorHAnsi"/>
        </w:rPr>
        <w:t>rendelkező</w:t>
      </w:r>
      <w:r w:rsidRPr="00DC6C83">
        <w:rPr>
          <w:rFonts w:asciiTheme="majorHAnsi" w:hAnsiTheme="majorHAnsi" w:cstheme="majorHAnsi"/>
        </w:rPr>
        <w:t xml:space="preserve"> fiatalokat képezzen, akik tudnak és akarnak dolgozni maguk és családjuk boldogulásáért. </w:t>
      </w:r>
    </w:p>
    <w:p w14:paraId="336DD224" w14:textId="3131C947" w:rsidR="00C24A11" w:rsidRPr="00DC6C83" w:rsidRDefault="00C24A11" w:rsidP="00C24A11">
      <w:pPr>
        <w:spacing w:line="276" w:lineRule="auto"/>
        <w:rPr>
          <w:rFonts w:asciiTheme="majorHAnsi" w:hAnsiTheme="majorHAnsi" w:cstheme="majorHAnsi"/>
        </w:rPr>
      </w:pPr>
      <w:r w:rsidRPr="00DC6C83">
        <w:rPr>
          <w:rFonts w:asciiTheme="majorHAnsi" w:hAnsiTheme="majorHAnsi" w:cstheme="majorHAnsi"/>
        </w:rPr>
        <w:t>A</w:t>
      </w:r>
      <w:r>
        <w:rPr>
          <w:rFonts w:asciiTheme="majorHAnsi" w:hAnsiTheme="majorHAnsi" w:cstheme="majorHAnsi"/>
        </w:rPr>
        <w:t xml:space="preserve"> hazaszeretetre és felelősségvállalásra épülő, korszerű felkészültséget adó, a társadalomban</w:t>
      </w:r>
      <w:r w:rsidR="00F70556">
        <w:rPr>
          <w:rFonts w:asciiTheme="majorHAnsi" w:hAnsiTheme="majorHAnsi" w:cstheme="majorHAnsi"/>
        </w:rPr>
        <w:t>, a családi életben</w:t>
      </w:r>
      <w:r>
        <w:rPr>
          <w:rFonts w:asciiTheme="majorHAnsi" w:hAnsiTheme="majorHAnsi" w:cstheme="majorHAnsi"/>
        </w:rPr>
        <w:t xml:space="preserve"> és a munkaerőpiacon való boldogulást egyaránt támogató </w:t>
      </w:r>
      <w:r>
        <w:rPr>
          <w:rFonts w:asciiTheme="majorHAnsi" w:hAnsiTheme="majorHAnsi" w:cstheme="majorHAnsi"/>
        </w:rPr>
        <w:lastRenderedPageBreak/>
        <w:t xml:space="preserve">köznevelésben kulcsszerepe van az oktatás-nevelés módszertani alapelveit megfogalmazó </w:t>
      </w:r>
      <w:r w:rsidR="003E289D">
        <w:rPr>
          <w:rFonts w:asciiTheme="majorHAnsi" w:hAnsiTheme="majorHAnsi" w:cstheme="majorHAnsi"/>
        </w:rPr>
        <w:t>Nemzeti Alaptantervnek (</w:t>
      </w:r>
      <w:proofErr w:type="spellStart"/>
      <w:r w:rsidR="003E289D">
        <w:rPr>
          <w:rFonts w:asciiTheme="majorHAnsi" w:hAnsiTheme="majorHAnsi" w:cstheme="majorHAnsi"/>
        </w:rPr>
        <w:t>Nat</w:t>
      </w:r>
      <w:proofErr w:type="spellEnd"/>
      <w:r>
        <w:rPr>
          <w:rFonts w:asciiTheme="majorHAnsi" w:hAnsiTheme="majorHAnsi" w:cstheme="majorHAnsi"/>
        </w:rPr>
        <w:t xml:space="preserve">). A 2012-ben </w:t>
      </w:r>
      <w:r w:rsidR="003E289D">
        <w:rPr>
          <w:rFonts w:asciiTheme="majorHAnsi" w:hAnsiTheme="majorHAnsi" w:cstheme="majorHAnsi"/>
        </w:rPr>
        <w:t xml:space="preserve">kiadott, 2020-ban megújított </w:t>
      </w:r>
      <w:proofErr w:type="spellStart"/>
      <w:r w:rsidR="003E289D">
        <w:rPr>
          <w:rFonts w:asciiTheme="majorHAnsi" w:hAnsiTheme="majorHAnsi" w:cstheme="majorHAnsi"/>
        </w:rPr>
        <w:t>Nat</w:t>
      </w:r>
      <w:proofErr w:type="spellEnd"/>
      <w:r>
        <w:rPr>
          <w:rFonts w:asciiTheme="majorHAnsi" w:hAnsiTheme="majorHAnsi" w:cstheme="majorHAnsi"/>
        </w:rPr>
        <w:t xml:space="preserve"> megközelítéséből érdemes kiemelni a hazafias nevelés</w:t>
      </w:r>
      <w:r w:rsidR="00F70556">
        <w:rPr>
          <w:rFonts w:asciiTheme="majorHAnsi" w:hAnsiTheme="majorHAnsi" w:cstheme="majorHAnsi"/>
        </w:rPr>
        <w:t>, a családi életre és egészségre nevelés</w:t>
      </w:r>
      <w:r>
        <w:rPr>
          <w:rFonts w:asciiTheme="majorHAnsi" w:hAnsiTheme="majorHAnsi" w:cstheme="majorHAnsi"/>
        </w:rPr>
        <w:t xml:space="preserve"> iránti elkötelezettséget, </w:t>
      </w:r>
      <w:r w:rsidR="00F70556">
        <w:rPr>
          <w:rFonts w:asciiTheme="majorHAnsi" w:hAnsiTheme="majorHAnsi" w:cstheme="majorHAnsi"/>
        </w:rPr>
        <w:t xml:space="preserve">valamint az </w:t>
      </w:r>
      <w:r>
        <w:rPr>
          <w:rFonts w:asciiTheme="majorHAnsi" w:hAnsiTheme="majorHAnsi" w:cstheme="majorHAnsi"/>
        </w:rPr>
        <w:t xml:space="preserve">ismeretátadás, készség- vagy képességfejlesztés és magatartásformálás egyensúlyát, a </w:t>
      </w:r>
      <w:r w:rsidRPr="00606613">
        <w:t xml:space="preserve">több tantárgy ismereteinek integrálását igénylő </w:t>
      </w:r>
      <w:r>
        <w:t xml:space="preserve">témák, aktív tanulási alapelvek szerint szerveződő, jelenségeket feldolgozó témanapok, témahetek és projektek támogatását, valamint a </w:t>
      </w:r>
      <w:r>
        <w:rPr>
          <w:rFonts w:asciiTheme="majorHAnsi" w:hAnsiTheme="majorHAnsi" w:cstheme="majorHAnsi"/>
        </w:rPr>
        <w:t xml:space="preserve">korszerű tanulási környezet jelentőségének megerősítését. </w:t>
      </w:r>
      <w:r w:rsidRPr="00DC6C83">
        <w:rPr>
          <w:rFonts w:asciiTheme="majorHAnsi" w:hAnsiTheme="majorHAnsi" w:cstheme="majorHAnsi"/>
        </w:rPr>
        <w:t>A tartalmi szabályo</w:t>
      </w:r>
      <w:r>
        <w:rPr>
          <w:rFonts w:asciiTheme="majorHAnsi" w:hAnsiTheme="majorHAnsi" w:cstheme="majorHAnsi"/>
        </w:rPr>
        <w:t>zók felülvizsgálata folytatódik:</w:t>
      </w:r>
      <w:r w:rsidR="009B770D">
        <w:rPr>
          <w:rFonts w:asciiTheme="majorHAnsi" w:hAnsiTheme="majorHAnsi" w:cstheme="majorHAnsi"/>
        </w:rPr>
        <w:t xml:space="preserve"> </w:t>
      </w:r>
      <w:r>
        <w:rPr>
          <w:rFonts w:asciiTheme="majorHAnsi" w:hAnsiTheme="majorHAnsi" w:cstheme="majorHAnsi"/>
        </w:rPr>
        <w:t>elkötelezettek vagyunk az ismeretanyag mennyiségének racionalizálás</w:t>
      </w:r>
      <w:r w:rsidR="009B770D">
        <w:rPr>
          <w:rFonts w:asciiTheme="majorHAnsi" w:hAnsiTheme="majorHAnsi" w:cstheme="majorHAnsi"/>
        </w:rPr>
        <w:t>a iránt, amelynek</w:t>
      </w:r>
      <w:r w:rsidR="004673D6">
        <w:rPr>
          <w:rFonts w:asciiTheme="majorHAnsi" w:hAnsiTheme="majorHAnsi" w:cstheme="majorHAnsi"/>
        </w:rPr>
        <w:t xml:space="preserve"> </w:t>
      </w:r>
      <w:r>
        <w:rPr>
          <w:rFonts w:asciiTheme="majorHAnsi" w:hAnsiTheme="majorHAnsi" w:cstheme="majorHAnsi"/>
        </w:rPr>
        <w:t>kapcsán k</w:t>
      </w:r>
      <w:r w:rsidRPr="00DC6C83">
        <w:rPr>
          <w:rFonts w:asciiTheme="majorHAnsi" w:hAnsiTheme="majorHAnsi" w:cstheme="majorHAnsi"/>
        </w:rPr>
        <w:t xml:space="preserve">övetni kell a XXI. század változó kihívásai, a pedagógusok és tanulók, </w:t>
      </w:r>
      <w:r>
        <w:rPr>
          <w:rFonts w:asciiTheme="majorHAnsi" w:hAnsiTheme="majorHAnsi" w:cstheme="majorHAnsi"/>
        </w:rPr>
        <w:t xml:space="preserve">a szülők, </w:t>
      </w:r>
      <w:r w:rsidRPr="00DC6C83">
        <w:rPr>
          <w:rFonts w:asciiTheme="majorHAnsi" w:hAnsiTheme="majorHAnsi" w:cstheme="majorHAnsi"/>
        </w:rPr>
        <w:t xml:space="preserve">valamint a nemzetközi összehasonlításban is megjelenő mérések eredményei által generált elvárásokat. </w:t>
      </w:r>
      <w:r w:rsidR="005A2F7C">
        <w:rPr>
          <w:rFonts w:asciiTheme="majorHAnsi" w:hAnsiTheme="majorHAnsi" w:cstheme="majorHAnsi"/>
        </w:rPr>
        <w:t>A megúj</w:t>
      </w:r>
      <w:r w:rsidR="00817521">
        <w:rPr>
          <w:rFonts w:asciiTheme="majorHAnsi" w:hAnsiTheme="majorHAnsi" w:cstheme="majorHAnsi"/>
        </w:rPr>
        <w:t xml:space="preserve">ított </w:t>
      </w:r>
      <w:proofErr w:type="spellStart"/>
      <w:r w:rsidR="00817521">
        <w:rPr>
          <w:rFonts w:asciiTheme="majorHAnsi" w:hAnsiTheme="majorHAnsi" w:cstheme="majorHAnsi"/>
        </w:rPr>
        <w:t>Nat-hoz</w:t>
      </w:r>
      <w:proofErr w:type="spellEnd"/>
      <w:r w:rsidR="00817521">
        <w:rPr>
          <w:rFonts w:asciiTheme="majorHAnsi" w:hAnsiTheme="majorHAnsi" w:cstheme="majorHAnsi"/>
        </w:rPr>
        <w:t xml:space="preserve"> kapcsolódó</w:t>
      </w:r>
      <w:r w:rsidR="005A2F7C">
        <w:rPr>
          <w:rFonts w:asciiTheme="majorHAnsi" w:hAnsiTheme="majorHAnsi" w:cstheme="majorHAnsi"/>
        </w:rPr>
        <w:t xml:space="preserve"> kerettantervek egy része már elkészült és elérhető a www.oktatas.hu weboldalon.</w:t>
      </w:r>
    </w:p>
    <w:p w14:paraId="17238E8A" w14:textId="77777777" w:rsidR="00C24A11" w:rsidRPr="00DC6C83" w:rsidRDefault="00C24A11" w:rsidP="00C24A11">
      <w:pPr>
        <w:spacing w:line="276" w:lineRule="auto"/>
        <w:rPr>
          <w:rFonts w:asciiTheme="majorHAnsi" w:hAnsiTheme="majorHAnsi" w:cstheme="majorHAnsi"/>
        </w:rPr>
      </w:pPr>
      <w:r w:rsidRPr="00DC6C83">
        <w:rPr>
          <w:rFonts w:asciiTheme="majorHAnsi" w:hAnsiTheme="majorHAnsi" w:cstheme="majorHAnsi"/>
        </w:rPr>
        <w:t xml:space="preserve">A piaci alapon megszervezett tankönyvellátásban a tankönyvek </w:t>
      </w:r>
      <w:r>
        <w:rPr>
          <w:rFonts w:asciiTheme="majorHAnsi" w:hAnsiTheme="majorHAnsi" w:cstheme="majorHAnsi"/>
        </w:rPr>
        <w:t xml:space="preserve">indokolatlanul </w:t>
      </w:r>
      <w:r w:rsidRPr="00DC6C83">
        <w:rPr>
          <w:rFonts w:asciiTheme="majorHAnsi" w:hAnsiTheme="majorHAnsi" w:cstheme="majorHAnsi"/>
        </w:rPr>
        <w:t xml:space="preserve">drágák és nagyon eltérő színvonalúak voltak. Az </w:t>
      </w:r>
      <w:r>
        <w:rPr>
          <w:rFonts w:asciiTheme="majorHAnsi" w:hAnsiTheme="majorHAnsi" w:cstheme="majorHAnsi"/>
        </w:rPr>
        <w:t xml:space="preserve">állami feladattá tett tankönyvellátás működőképesnek bizonyult, az </w:t>
      </w:r>
      <w:r w:rsidRPr="00DC6C83">
        <w:rPr>
          <w:rFonts w:asciiTheme="majorHAnsi" w:hAnsiTheme="majorHAnsi" w:cstheme="majorHAnsi"/>
        </w:rPr>
        <w:t xml:space="preserve">elmúlt években elkezdődött a </w:t>
      </w:r>
      <w:r>
        <w:rPr>
          <w:rFonts w:asciiTheme="majorHAnsi" w:hAnsiTheme="majorHAnsi" w:cstheme="majorHAnsi"/>
        </w:rPr>
        <w:t>digitális</w:t>
      </w:r>
      <w:r w:rsidRPr="00DC6C83">
        <w:rPr>
          <w:rFonts w:asciiTheme="majorHAnsi" w:hAnsiTheme="majorHAnsi" w:cstheme="majorHAnsi"/>
        </w:rPr>
        <w:t xml:space="preserve">, interaktív tananyagok </w:t>
      </w:r>
      <w:r w:rsidR="004673D6">
        <w:rPr>
          <w:rFonts w:asciiTheme="majorHAnsi" w:hAnsiTheme="majorHAnsi" w:cstheme="majorHAnsi"/>
        </w:rPr>
        <w:t>kidolgozása</w:t>
      </w:r>
      <w:r w:rsidRPr="00DC6C83">
        <w:rPr>
          <w:rFonts w:asciiTheme="majorHAnsi" w:hAnsiTheme="majorHAnsi" w:cstheme="majorHAnsi"/>
        </w:rPr>
        <w:t xml:space="preserve"> és elterjesztése</w:t>
      </w:r>
      <w:r>
        <w:rPr>
          <w:rFonts w:asciiTheme="majorHAnsi" w:hAnsiTheme="majorHAnsi" w:cstheme="majorHAnsi"/>
        </w:rPr>
        <w:t xml:space="preserve"> is</w:t>
      </w:r>
      <w:r w:rsidRPr="00DC6C83">
        <w:rPr>
          <w:rFonts w:asciiTheme="majorHAnsi" w:hAnsiTheme="majorHAnsi" w:cstheme="majorHAnsi"/>
        </w:rPr>
        <w:t xml:space="preserve">. </w:t>
      </w:r>
    </w:p>
    <w:p w14:paraId="4A200758" w14:textId="3BC22EED" w:rsidR="00C24A11" w:rsidRDefault="00C24A11" w:rsidP="00C24A11">
      <w:pPr>
        <w:spacing w:line="276" w:lineRule="auto"/>
        <w:rPr>
          <w:rFonts w:asciiTheme="majorHAnsi" w:hAnsiTheme="majorHAnsi" w:cstheme="majorHAnsi"/>
        </w:rPr>
      </w:pPr>
      <w:r w:rsidRPr="00DC6C83">
        <w:rPr>
          <w:rFonts w:asciiTheme="majorHAnsi" w:hAnsiTheme="majorHAnsi" w:cstheme="majorHAnsi"/>
        </w:rPr>
        <w:t>Az iskolák infrastruktúrája és a pedagógusok felkészültsége</w:t>
      </w:r>
      <w:r>
        <w:rPr>
          <w:rFonts w:asciiTheme="majorHAnsi" w:hAnsiTheme="majorHAnsi" w:cstheme="majorHAnsi"/>
        </w:rPr>
        <w:t xml:space="preserve"> </w:t>
      </w:r>
      <w:r w:rsidR="00AF5BCF">
        <w:rPr>
          <w:rFonts w:asciiTheme="majorHAnsi" w:hAnsiTheme="majorHAnsi" w:cstheme="majorHAnsi"/>
        </w:rPr>
        <w:t>−</w:t>
      </w:r>
      <w:r>
        <w:rPr>
          <w:rFonts w:asciiTheme="majorHAnsi" w:hAnsiTheme="majorHAnsi" w:cstheme="majorHAnsi"/>
        </w:rPr>
        <w:t xml:space="preserve"> a számos megvalósult beruházás és célirányos továbbképzés mellett is </w:t>
      </w:r>
      <w:r w:rsidR="00AF5BCF">
        <w:rPr>
          <w:rFonts w:asciiTheme="majorHAnsi" w:hAnsiTheme="majorHAnsi" w:cstheme="majorHAnsi"/>
        </w:rPr>
        <w:t xml:space="preserve">− </w:t>
      </w:r>
      <w:r>
        <w:rPr>
          <w:rFonts w:asciiTheme="majorHAnsi" w:hAnsiTheme="majorHAnsi" w:cstheme="majorHAnsi"/>
        </w:rPr>
        <w:t xml:space="preserve">további fejlesztésre ad </w:t>
      </w:r>
      <w:r w:rsidR="00AF5BCF">
        <w:rPr>
          <w:rFonts w:asciiTheme="majorHAnsi" w:hAnsiTheme="majorHAnsi" w:cstheme="majorHAnsi"/>
        </w:rPr>
        <w:t>lehetőséget</w:t>
      </w:r>
      <w:r>
        <w:rPr>
          <w:rFonts w:asciiTheme="majorHAnsi" w:hAnsiTheme="majorHAnsi" w:cstheme="majorHAnsi"/>
        </w:rPr>
        <w:t xml:space="preserve"> </w:t>
      </w:r>
      <w:r w:rsidRPr="00DC6C83">
        <w:rPr>
          <w:rFonts w:asciiTheme="majorHAnsi" w:hAnsiTheme="majorHAnsi" w:cstheme="majorHAnsi"/>
        </w:rPr>
        <w:t xml:space="preserve">a </w:t>
      </w:r>
      <w:r>
        <w:rPr>
          <w:rFonts w:asciiTheme="majorHAnsi" w:hAnsiTheme="majorHAnsi" w:cstheme="majorHAnsi"/>
        </w:rPr>
        <w:t xml:space="preserve">tanulói és tanári </w:t>
      </w:r>
      <w:r w:rsidRPr="00DC6C83">
        <w:rPr>
          <w:rFonts w:asciiTheme="majorHAnsi" w:hAnsiTheme="majorHAnsi" w:cstheme="majorHAnsi"/>
        </w:rPr>
        <w:t xml:space="preserve">digitális kompetenciák </w:t>
      </w:r>
      <w:r>
        <w:rPr>
          <w:rFonts w:asciiTheme="majorHAnsi" w:hAnsiTheme="majorHAnsi" w:cstheme="majorHAnsi"/>
        </w:rPr>
        <w:t>szintjének emeléséhez</w:t>
      </w:r>
      <w:r w:rsidRPr="00DC6C83">
        <w:rPr>
          <w:rFonts w:asciiTheme="majorHAnsi" w:hAnsiTheme="majorHAnsi" w:cstheme="majorHAnsi"/>
        </w:rPr>
        <w:t>, ezért foly</w:t>
      </w:r>
      <w:r>
        <w:rPr>
          <w:rFonts w:asciiTheme="majorHAnsi" w:hAnsiTheme="majorHAnsi" w:cstheme="majorHAnsi"/>
        </w:rPr>
        <w:t>tatódik</w:t>
      </w:r>
      <w:r w:rsidRPr="00DC6C83">
        <w:rPr>
          <w:rFonts w:asciiTheme="majorHAnsi" w:hAnsiTheme="majorHAnsi" w:cstheme="majorHAnsi"/>
        </w:rPr>
        <w:t xml:space="preserve"> az iskolák szélessávú internettel, korszerű </w:t>
      </w:r>
      <w:proofErr w:type="spellStart"/>
      <w:r>
        <w:rPr>
          <w:rFonts w:asciiTheme="majorHAnsi" w:hAnsiTheme="majorHAnsi" w:cstheme="majorHAnsi"/>
        </w:rPr>
        <w:t>WiFi</w:t>
      </w:r>
      <w:r w:rsidRPr="00DC6C83">
        <w:rPr>
          <w:rFonts w:asciiTheme="majorHAnsi" w:hAnsiTheme="majorHAnsi" w:cstheme="majorHAnsi"/>
        </w:rPr>
        <w:t>-hálózattal</w:t>
      </w:r>
      <w:proofErr w:type="spellEnd"/>
      <w:r w:rsidRPr="00DC6C83">
        <w:rPr>
          <w:rFonts w:asciiTheme="majorHAnsi" w:hAnsiTheme="majorHAnsi" w:cstheme="majorHAnsi"/>
        </w:rPr>
        <w:t xml:space="preserve"> és informatikai eszközökkel történő felszerelése</w:t>
      </w:r>
      <w:r w:rsidR="00AF5BCF">
        <w:rPr>
          <w:rFonts w:asciiTheme="majorHAnsi" w:hAnsiTheme="majorHAnsi" w:cstheme="majorHAnsi"/>
        </w:rPr>
        <w:t>. Folytatódik</w:t>
      </w:r>
      <w:r w:rsidR="007904B7">
        <w:rPr>
          <w:rFonts w:asciiTheme="majorHAnsi" w:hAnsiTheme="majorHAnsi" w:cstheme="majorHAnsi"/>
        </w:rPr>
        <w:t xml:space="preserve"> </w:t>
      </w:r>
      <w:r w:rsidRPr="00DC6C83">
        <w:rPr>
          <w:rFonts w:asciiTheme="majorHAnsi" w:hAnsiTheme="majorHAnsi" w:cstheme="majorHAnsi"/>
        </w:rPr>
        <w:t xml:space="preserve">a pedagógusok továbbképzése </w:t>
      </w:r>
      <w:r>
        <w:rPr>
          <w:rFonts w:asciiTheme="majorHAnsi" w:hAnsiTheme="majorHAnsi" w:cstheme="majorHAnsi"/>
        </w:rPr>
        <w:t>ezen</w:t>
      </w:r>
      <w:r w:rsidRPr="00DC6C83">
        <w:rPr>
          <w:rFonts w:asciiTheme="majorHAnsi" w:hAnsiTheme="majorHAnsi" w:cstheme="majorHAnsi"/>
        </w:rPr>
        <w:t xml:space="preserve"> eszközök </w:t>
      </w:r>
      <w:r>
        <w:rPr>
          <w:rFonts w:asciiTheme="majorHAnsi" w:hAnsiTheme="majorHAnsi" w:cstheme="majorHAnsi"/>
        </w:rPr>
        <w:t xml:space="preserve">és a digitális pedagógiai módszerek </w:t>
      </w:r>
      <w:r w:rsidR="007904B7">
        <w:rPr>
          <w:rFonts w:asciiTheme="majorHAnsi" w:hAnsiTheme="majorHAnsi" w:cstheme="majorHAnsi"/>
        </w:rPr>
        <w:t>alkal</w:t>
      </w:r>
      <w:r w:rsidR="00967D06">
        <w:rPr>
          <w:rFonts w:asciiTheme="majorHAnsi" w:hAnsiTheme="majorHAnsi" w:cstheme="majorHAnsi"/>
        </w:rPr>
        <w:t>mazására</w:t>
      </w:r>
      <w:r>
        <w:rPr>
          <w:rFonts w:asciiTheme="majorHAnsi" w:hAnsiTheme="majorHAnsi" w:cstheme="majorHAnsi"/>
        </w:rPr>
        <w:t>.</w:t>
      </w:r>
      <w:r w:rsidR="007904B7">
        <w:rPr>
          <w:rFonts w:asciiTheme="majorHAnsi" w:hAnsiTheme="majorHAnsi" w:cstheme="majorHAnsi"/>
        </w:rPr>
        <w:t xml:space="preserve"> </w:t>
      </w:r>
      <w:r w:rsidR="000F3647">
        <w:rPr>
          <w:rFonts w:asciiTheme="majorHAnsi" w:hAnsiTheme="majorHAnsi" w:cstheme="majorHAnsi"/>
        </w:rPr>
        <w:t>Ennek fontosságát az elmúlt időszak</w:t>
      </w:r>
      <w:r w:rsidR="00CD0CE8" w:rsidRPr="00CD0CE8">
        <w:t xml:space="preserve"> </w:t>
      </w:r>
      <w:r w:rsidR="00CD0CE8" w:rsidRPr="00CD0CE8">
        <w:rPr>
          <w:rFonts w:asciiTheme="majorHAnsi" w:hAnsiTheme="majorHAnsi" w:cstheme="majorHAnsi"/>
        </w:rPr>
        <w:t>járványügyi veszélyhelyzet</w:t>
      </w:r>
      <w:r w:rsidR="00CD0CE8">
        <w:rPr>
          <w:rFonts w:asciiTheme="majorHAnsi" w:hAnsiTheme="majorHAnsi" w:cstheme="majorHAnsi"/>
        </w:rPr>
        <w:t>e miatt kialakult</w:t>
      </w:r>
      <w:r w:rsidR="000F3647">
        <w:rPr>
          <w:rFonts w:asciiTheme="majorHAnsi" w:hAnsiTheme="majorHAnsi" w:cstheme="majorHAnsi"/>
        </w:rPr>
        <w:t xml:space="preserve"> rendkívüli eseménye</w:t>
      </w:r>
      <w:r w:rsidR="00CD0CE8">
        <w:rPr>
          <w:rFonts w:asciiTheme="majorHAnsi" w:hAnsiTheme="majorHAnsi" w:cstheme="majorHAnsi"/>
        </w:rPr>
        <w:t>k</w:t>
      </w:r>
      <w:r w:rsidR="000F3647">
        <w:rPr>
          <w:rFonts w:asciiTheme="majorHAnsi" w:hAnsiTheme="majorHAnsi" w:cstheme="majorHAnsi"/>
        </w:rPr>
        <w:t xml:space="preserve"> is megerősítették, ezért különösen fontos lesz a jövőben a minőségbiztosítás hatékonyságának fejlesztése.</w:t>
      </w:r>
    </w:p>
    <w:p w14:paraId="49C6922F" w14:textId="4D6E4C22" w:rsidR="0087525D" w:rsidRDefault="00C24A11" w:rsidP="00C24A11">
      <w:pPr>
        <w:spacing w:line="276" w:lineRule="auto"/>
        <w:rPr>
          <w:rFonts w:asciiTheme="majorHAnsi" w:hAnsiTheme="majorHAnsi" w:cstheme="majorHAnsi"/>
        </w:rPr>
      </w:pPr>
      <w:r w:rsidRPr="00DC6C83">
        <w:rPr>
          <w:rFonts w:asciiTheme="majorHAnsi" w:hAnsiTheme="majorHAnsi" w:cstheme="majorHAnsi"/>
        </w:rPr>
        <w:t xml:space="preserve">A 2014-ben elindított Nemzeti Köznevelési Infrastruktúra Fejlesztési Program keretében európai színvonalú tornatermek, tantermek és tanuszodák épülnek. Az iskolák, kollégiumok </w:t>
      </w:r>
      <w:r w:rsidR="005625B0">
        <w:rPr>
          <w:rFonts w:asciiTheme="majorHAnsi" w:hAnsiTheme="majorHAnsi" w:cstheme="majorHAnsi"/>
        </w:rPr>
        <w:t>nem megfelelő</w:t>
      </w:r>
      <w:r>
        <w:rPr>
          <w:rFonts w:asciiTheme="majorHAnsi" w:hAnsiTheme="majorHAnsi" w:cstheme="majorHAnsi"/>
        </w:rPr>
        <w:t xml:space="preserve"> </w:t>
      </w:r>
      <w:r w:rsidRPr="00DC6C83">
        <w:rPr>
          <w:rFonts w:asciiTheme="majorHAnsi" w:hAnsiTheme="majorHAnsi" w:cstheme="majorHAnsi"/>
        </w:rPr>
        <w:t>műszaki állapotú épületeinek felújítása, korszerűsítése, bővítése az EFOP és KEHOP konstrukciók, illetve a Modern Városok Program kereteiben kezdődött</w:t>
      </w:r>
      <w:r w:rsidR="00AF5BCF">
        <w:rPr>
          <w:rFonts w:asciiTheme="majorHAnsi" w:hAnsiTheme="majorHAnsi" w:cstheme="majorHAnsi"/>
        </w:rPr>
        <w:t xml:space="preserve"> meg. Azonban</w:t>
      </w:r>
      <w:r w:rsidRPr="00DC6C83">
        <w:rPr>
          <w:rFonts w:asciiTheme="majorHAnsi" w:hAnsiTheme="majorHAnsi" w:cstheme="majorHAnsi"/>
        </w:rPr>
        <w:t xml:space="preserve"> a több évtizedes elmaradás miatt további jelentős fejlesztések szükségesek, különösen a </w:t>
      </w:r>
      <w:r>
        <w:rPr>
          <w:rFonts w:asciiTheme="majorHAnsi" w:hAnsiTheme="majorHAnsi" w:cstheme="majorHAnsi"/>
        </w:rPr>
        <w:t>k</w:t>
      </w:r>
      <w:r w:rsidRPr="00DC6C83">
        <w:rPr>
          <w:rFonts w:asciiTheme="majorHAnsi" w:hAnsiTheme="majorHAnsi" w:cstheme="majorHAnsi"/>
        </w:rPr>
        <w:t>özép-</w:t>
      </w:r>
      <w:r>
        <w:rPr>
          <w:rFonts w:asciiTheme="majorHAnsi" w:hAnsiTheme="majorHAnsi" w:cstheme="majorHAnsi"/>
        </w:rPr>
        <w:t>m</w:t>
      </w:r>
      <w:r w:rsidRPr="00DC6C83">
        <w:rPr>
          <w:rFonts w:asciiTheme="majorHAnsi" w:hAnsiTheme="majorHAnsi" w:cstheme="majorHAnsi"/>
        </w:rPr>
        <w:t>agyarország</w:t>
      </w:r>
      <w:r>
        <w:rPr>
          <w:rFonts w:asciiTheme="majorHAnsi" w:hAnsiTheme="majorHAnsi" w:cstheme="majorHAnsi"/>
        </w:rPr>
        <w:t>i</w:t>
      </w:r>
      <w:r w:rsidRPr="00DC6C83">
        <w:rPr>
          <w:rFonts w:asciiTheme="majorHAnsi" w:hAnsiTheme="majorHAnsi" w:cstheme="majorHAnsi"/>
        </w:rPr>
        <w:t xml:space="preserve"> régióban</w:t>
      </w:r>
      <w:r w:rsidR="00AF5BCF">
        <w:rPr>
          <w:rFonts w:asciiTheme="majorHAnsi" w:hAnsiTheme="majorHAnsi" w:cstheme="majorHAnsi"/>
        </w:rPr>
        <w:t>.</w:t>
      </w:r>
      <w:r w:rsidR="0095580E">
        <w:rPr>
          <w:rFonts w:asciiTheme="majorHAnsi" w:hAnsiTheme="majorHAnsi" w:cstheme="majorHAnsi"/>
        </w:rPr>
        <w:t xml:space="preserve"> </w:t>
      </w:r>
      <w:r w:rsidR="00AF5BCF">
        <w:rPr>
          <w:rFonts w:asciiTheme="majorHAnsi" w:hAnsiTheme="majorHAnsi" w:cstheme="majorHAnsi"/>
        </w:rPr>
        <w:t>A</w:t>
      </w:r>
      <w:r w:rsidRPr="00DC6C83">
        <w:rPr>
          <w:rFonts w:asciiTheme="majorHAnsi" w:hAnsiTheme="majorHAnsi" w:cstheme="majorHAnsi"/>
        </w:rPr>
        <w:t xml:space="preserve"> Kormány családpolitikai intézkedéseinek is köszönhetően a budapesti agglomeráció több településén nő a népesség, </w:t>
      </w:r>
      <w:r>
        <w:rPr>
          <w:rFonts w:asciiTheme="majorHAnsi" w:hAnsiTheme="majorHAnsi" w:cstheme="majorHAnsi"/>
        </w:rPr>
        <w:t xml:space="preserve">az </w:t>
      </w:r>
      <w:r w:rsidR="00AF5BCF">
        <w:rPr>
          <w:rFonts w:asciiTheme="majorHAnsi" w:hAnsiTheme="majorHAnsi" w:cstheme="majorHAnsi"/>
        </w:rPr>
        <w:t>emiatt</w:t>
      </w:r>
      <w:r>
        <w:rPr>
          <w:rFonts w:asciiTheme="majorHAnsi" w:hAnsiTheme="majorHAnsi" w:cstheme="majorHAnsi"/>
        </w:rPr>
        <w:t xml:space="preserve"> fellépő </w:t>
      </w:r>
      <w:r w:rsidRPr="00DC6C83">
        <w:rPr>
          <w:rFonts w:asciiTheme="majorHAnsi" w:hAnsiTheme="majorHAnsi" w:cstheme="majorHAnsi"/>
        </w:rPr>
        <w:t xml:space="preserve">iskolai kapacitáshiány </w:t>
      </w:r>
      <w:r>
        <w:rPr>
          <w:rFonts w:asciiTheme="majorHAnsi" w:hAnsiTheme="majorHAnsi" w:cstheme="majorHAnsi"/>
        </w:rPr>
        <w:t>megelőzés</w:t>
      </w:r>
      <w:r w:rsidR="00AF5BCF">
        <w:rPr>
          <w:rFonts w:asciiTheme="majorHAnsi" w:hAnsiTheme="majorHAnsi" w:cstheme="majorHAnsi"/>
        </w:rPr>
        <w:t>ére</w:t>
      </w:r>
      <w:r w:rsidR="007904B7">
        <w:rPr>
          <w:rFonts w:asciiTheme="majorHAnsi" w:hAnsiTheme="majorHAnsi" w:cstheme="majorHAnsi"/>
        </w:rPr>
        <w:t xml:space="preserve"> </w:t>
      </w:r>
      <w:r w:rsidR="00AF5BCF">
        <w:rPr>
          <w:rFonts w:asciiTheme="majorHAnsi" w:hAnsiTheme="majorHAnsi" w:cstheme="majorHAnsi"/>
        </w:rPr>
        <w:t>szükségessé válik ezen a területen</w:t>
      </w:r>
      <w:r>
        <w:rPr>
          <w:rFonts w:asciiTheme="majorHAnsi" w:hAnsiTheme="majorHAnsi" w:cstheme="majorHAnsi"/>
        </w:rPr>
        <w:t xml:space="preserve"> </w:t>
      </w:r>
      <w:r w:rsidRPr="00DC6C83">
        <w:rPr>
          <w:rFonts w:asciiTheme="majorHAnsi" w:hAnsiTheme="majorHAnsi" w:cstheme="majorHAnsi"/>
        </w:rPr>
        <w:t>a meglévő intézmények bővítése, új iskolák építése</w:t>
      </w:r>
      <w:r w:rsidR="00AF5BCF">
        <w:rPr>
          <w:rFonts w:asciiTheme="majorHAnsi" w:hAnsiTheme="majorHAnsi" w:cstheme="majorHAnsi"/>
        </w:rPr>
        <w:t>.</w:t>
      </w:r>
    </w:p>
    <w:p w14:paraId="61E2FF65" w14:textId="1B6B96E3" w:rsidR="00C24A11" w:rsidRPr="00DC6C83" w:rsidRDefault="00C53ECE" w:rsidP="00C24A11">
      <w:pPr>
        <w:spacing w:line="276" w:lineRule="auto"/>
        <w:rPr>
          <w:rFonts w:asciiTheme="majorHAnsi" w:hAnsiTheme="majorHAnsi" w:cstheme="majorHAnsi"/>
        </w:rPr>
      </w:pPr>
      <w:r>
        <w:rPr>
          <w:rFonts w:asciiTheme="majorHAnsi" w:hAnsiTheme="majorHAnsi" w:cstheme="majorHAnsi"/>
        </w:rPr>
        <w:t>Hazánk, kapcsolódva a</w:t>
      </w:r>
      <w:r w:rsidR="0087525D">
        <w:rPr>
          <w:rFonts w:asciiTheme="majorHAnsi" w:hAnsiTheme="majorHAnsi" w:cstheme="majorHAnsi"/>
        </w:rPr>
        <w:t>z EU 2020 stratégiai cél</w:t>
      </w:r>
      <w:r>
        <w:rPr>
          <w:rFonts w:asciiTheme="majorHAnsi" w:hAnsiTheme="majorHAnsi" w:cstheme="majorHAnsi"/>
        </w:rPr>
        <w:t>jaihoz</w:t>
      </w:r>
      <w:r w:rsidR="007D2F2F">
        <w:rPr>
          <w:rFonts w:asciiTheme="majorHAnsi" w:hAnsiTheme="majorHAnsi" w:cstheme="majorHAnsi"/>
        </w:rPr>
        <w:t>,</w:t>
      </w:r>
      <w:r w:rsidR="0095580E">
        <w:rPr>
          <w:rFonts w:asciiTheme="majorHAnsi" w:hAnsiTheme="majorHAnsi" w:cstheme="majorHAnsi"/>
        </w:rPr>
        <w:t xml:space="preserve"> </w:t>
      </w:r>
      <w:r>
        <w:rPr>
          <w:rFonts w:asciiTheme="majorHAnsi" w:hAnsiTheme="majorHAnsi" w:cstheme="majorHAnsi"/>
        </w:rPr>
        <w:t>vállalta</w:t>
      </w:r>
      <w:r w:rsidR="0087525D">
        <w:rPr>
          <w:rFonts w:asciiTheme="majorHAnsi" w:hAnsiTheme="majorHAnsi" w:cstheme="majorHAnsi"/>
        </w:rPr>
        <w:t xml:space="preserve"> a végzettség nélküli iskolaelhagyók arányának 10%-ra történő csökkentését 2020-ig. A korai iskolaelhagyók aránya a 18-24 éves korosztályban az Európai Unió országainak átlagában csökkenést mutat, míg a magyar adatok stagnálnak. </w:t>
      </w:r>
      <w:r w:rsidR="00C24A11" w:rsidRPr="00DC6C83">
        <w:rPr>
          <w:rFonts w:asciiTheme="majorHAnsi" w:hAnsiTheme="majorHAnsi" w:cstheme="majorHAnsi"/>
        </w:rPr>
        <w:t xml:space="preserve">A bevezetett intézkedések hangsúlyos eleme a megelőzés, </w:t>
      </w:r>
      <w:r>
        <w:rPr>
          <w:rFonts w:asciiTheme="majorHAnsi" w:hAnsiTheme="majorHAnsi" w:cstheme="majorHAnsi"/>
        </w:rPr>
        <w:t>a</w:t>
      </w:r>
      <w:r w:rsidR="009B4A4F">
        <w:rPr>
          <w:rFonts w:asciiTheme="majorHAnsi" w:hAnsiTheme="majorHAnsi" w:cstheme="majorHAnsi"/>
        </w:rPr>
        <w:t>melyet 2015 óta szolgál a három</w:t>
      </w:r>
      <w:r w:rsidR="00C24A11" w:rsidRPr="00DC6C83">
        <w:rPr>
          <w:rFonts w:asciiTheme="majorHAnsi" w:hAnsiTheme="majorHAnsi" w:cstheme="majorHAnsi"/>
        </w:rPr>
        <w:t xml:space="preserve">éves kortól kötelező </w:t>
      </w:r>
      <w:r>
        <w:rPr>
          <w:rFonts w:asciiTheme="majorHAnsi" w:hAnsiTheme="majorHAnsi" w:cstheme="majorHAnsi"/>
        </w:rPr>
        <w:t>óvodai nevelésben való részvétel</w:t>
      </w:r>
      <w:r w:rsidR="00C24A11" w:rsidRPr="00DC6C83">
        <w:rPr>
          <w:rFonts w:asciiTheme="majorHAnsi" w:hAnsiTheme="majorHAnsi" w:cstheme="majorHAnsi"/>
        </w:rPr>
        <w:t xml:space="preserve"> is. A </w:t>
      </w:r>
      <w:r w:rsidR="00C24A11" w:rsidRPr="00DC6C83">
        <w:rPr>
          <w:rFonts w:asciiTheme="majorHAnsi" w:hAnsiTheme="majorHAnsi" w:cstheme="majorHAnsi"/>
        </w:rPr>
        <w:lastRenderedPageBreak/>
        <w:t>2016-ban bevezetett</w:t>
      </w:r>
      <w:r w:rsidR="00A34CF7">
        <w:rPr>
          <w:rFonts w:asciiTheme="majorHAnsi" w:hAnsiTheme="majorHAnsi" w:cstheme="majorHAnsi"/>
        </w:rPr>
        <w:t xml:space="preserve"> </w:t>
      </w:r>
      <w:r w:rsidR="00C24A11" w:rsidRPr="00DC6C83">
        <w:rPr>
          <w:rFonts w:asciiTheme="majorHAnsi" w:hAnsiTheme="majorHAnsi" w:cstheme="majorHAnsi"/>
        </w:rPr>
        <w:t xml:space="preserve">lemorzsolódás megelőzését szolgáló korai jelző- és pedagógiai támogató rendszerrel létrejött egy országos szintű adatbázis, amely </w:t>
      </w:r>
      <w:r w:rsidR="00C24A11">
        <w:rPr>
          <w:rFonts w:asciiTheme="majorHAnsi" w:hAnsiTheme="majorHAnsi" w:cstheme="majorHAnsi"/>
        </w:rPr>
        <w:t xml:space="preserve">pontos és naprakész </w:t>
      </w:r>
      <w:r w:rsidR="00C24A11" w:rsidRPr="00DC6C83">
        <w:rPr>
          <w:rFonts w:asciiTheme="majorHAnsi" w:hAnsiTheme="majorHAnsi" w:cstheme="majorHAnsi"/>
        </w:rPr>
        <w:t>információt nyújt a végzettség nélküli iskolaelhagyással veszélyeztetett tanulók számáról, arányáról és a lemorzsolódást kiváltó</w:t>
      </w:r>
      <w:r w:rsidR="00C24A11">
        <w:rPr>
          <w:rFonts w:asciiTheme="majorHAnsi" w:hAnsiTheme="majorHAnsi" w:cstheme="majorHAnsi"/>
        </w:rPr>
        <w:t xml:space="preserve"> főbb</w:t>
      </w:r>
      <w:r w:rsidR="00C24A11" w:rsidRPr="00DC6C83">
        <w:rPr>
          <w:rFonts w:asciiTheme="majorHAnsi" w:hAnsiTheme="majorHAnsi" w:cstheme="majorHAnsi"/>
        </w:rPr>
        <w:t xml:space="preserve"> tényezők alakulásáról</w:t>
      </w:r>
      <w:r w:rsidR="008C1069">
        <w:rPr>
          <w:rFonts w:asciiTheme="majorHAnsi" w:hAnsiTheme="majorHAnsi" w:cstheme="majorHAnsi"/>
        </w:rPr>
        <w:t>.</w:t>
      </w:r>
      <w:r w:rsidR="007904B7">
        <w:rPr>
          <w:rFonts w:asciiTheme="majorHAnsi" w:hAnsiTheme="majorHAnsi" w:cstheme="majorHAnsi"/>
        </w:rPr>
        <w:t xml:space="preserve"> </w:t>
      </w:r>
      <w:r>
        <w:t>Í</w:t>
      </w:r>
      <w:r w:rsidRPr="00B56E51">
        <w:t xml:space="preserve">gy </w:t>
      </w:r>
      <w:r>
        <w:t>lehetőség nyílik arra, hogy mind</w:t>
      </w:r>
      <w:r w:rsidR="00C24A11">
        <w:t xml:space="preserve"> </w:t>
      </w:r>
      <w:r w:rsidR="00C24A11" w:rsidRPr="00B56E51">
        <w:t xml:space="preserve">tanulói, </w:t>
      </w:r>
      <w:r>
        <w:t xml:space="preserve">mind </w:t>
      </w:r>
      <w:r w:rsidR="00C24A11" w:rsidRPr="00B56E51">
        <w:t>intézményi és fenntartói szinten</w:t>
      </w:r>
      <w:r>
        <w:t xml:space="preserve"> az azonnali beavatkozás elinduljon, megtörténjen.</w:t>
      </w:r>
      <w:r w:rsidR="00C24A11" w:rsidRPr="00DC6C83">
        <w:rPr>
          <w:rFonts w:asciiTheme="majorHAnsi" w:hAnsiTheme="majorHAnsi" w:cstheme="majorHAnsi"/>
        </w:rPr>
        <w:t xml:space="preserve"> A veszélyeztetett tanulói csoportok iskolai sikerességét a köznevelési rendszer komplex, módszertani, tartalmi, digitális és infrastrukturális fejlesztés</w:t>
      </w:r>
      <w:r>
        <w:rPr>
          <w:rFonts w:asciiTheme="majorHAnsi" w:hAnsiTheme="majorHAnsi" w:cstheme="majorHAnsi"/>
        </w:rPr>
        <w:t>é</w:t>
      </w:r>
      <w:r w:rsidR="00C24A11" w:rsidRPr="00DC6C83">
        <w:rPr>
          <w:rFonts w:asciiTheme="majorHAnsi" w:hAnsiTheme="majorHAnsi" w:cstheme="majorHAnsi"/>
        </w:rPr>
        <w:t xml:space="preserve">t segítő EFOP konstrukciókon kívül </w:t>
      </w:r>
      <w:r w:rsidR="00C24A11">
        <w:rPr>
          <w:rFonts w:asciiTheme="majorHAnsi" w:hAnsiTheme="majorHAnsi" w:cstheme="majorHAnsi"/>
        </w:rPr>
        <w:t>több program támogatja</w:t>
      </w:r>
      <w:r w:rsidR="007904B7">
        <w:rPr>
          <w:rFonts w:asciiTheme="majorHAnsi" w:hAnsiTheme="majorHAnsi" w:cstheme="majorHAnsi"/>
        </w:rPr>
        <w:t xml:space="preserve"> </w:t>
      </w:r>
      <w:r w:rsidR="008C1069">
        <w:rPr>
          <w:rFonts w:asciiTheme="majorHAnsi" w:hAnsiTheme="majorHAnsi" w:cstheme="majorHAnsi"/>
        </w:rPr>
        <w:t xml:space="preserve">(pl. </w:t>
      </w:r>
      <w:r w:rsidR="00C24A11" w:rsidRPr="00DC6C83">
        <w:rPr>
          <w:rFonts w:asciiTheme="majorHAnsi" w:hAnsiTheme="majorHAnsi" w:cstheme="majorHAnsi"/>
        </w:rPr>
        <w:t>tanodák</w:t>
      </w:r>
      <w:r w:rsidR="00967D06">
        <w:rPr>
          <w:rFonts w:asciiTheme="majorHAnsi" w:hAnsiTheme="majorHAnsi" w:cstheme="majorHAnsi"/>
        </w:rPr>
        <w:t>,</w:t>
      </w:r>
      <w:r w:rsidR="007904B7">
        <w:rPr>
          <w:rFonts w:asciiTheme="majorHAnsi" w:hAnsiTheme="majorHAnsi" w:cstheme="majorHAnsi"/>
        </w:rPr>
        <w:t xml:space="preserve"> </w:t>
      </w:r>
      <w:r w:rsidR="00C24A11" w:rsidRPr="00DC6C83">
        <w:rPr>
          <w:rFonts w:asciiTheme="majorHAnsi" w:hAnsiTheme="majorHAnsi" w:cstheme="majorHAnsi"/>
        </w:rPr>
        <w:t>komplex felzárkózási programok</w:t>
      </w:r>
      <w:r w:rsidR="008C1069">
        <w:rPr>
          <w:rFonts w:asciiTheme="majorHAnsi" w:hAnsiTheme="majorHAnsi" w:cstheme="majorHAnsi"/>
        </w:rPr>
        <w:t>)</w:t>
      </w:r>
      <w:r w:rsidR="00C24A11" w:rsidRPr="00DC6C83">
        <w:rPr>
          <w:rFonts w:asciiTheme="majorHAnsi" w:hAnsiTheme="majorHAnsi" w:cstheme="majorHAnsi"/>
        </w:rPr>
        <w:t xml:space="preserve">. </w:t>
      </w:r>
      <w:r w:rsidR="00766253">
        <w:rPr>
          <w:rFonts w:asciiTheme="majorHAnsi" w:hAnsiTheme="majorHAnsi" w:cstheme="majorHAnsi"/>
        </w:rPr>
        <w:t xml:space="preserve">A még iskolába járó tanulókat érintő, </w:t>
      </w:r>
      <w:r w:rsidR="00766253" w:rsidRPr="00DC6C83">
        <w:rPr>
          <w:rFonts w:asciiTheme="majorHAnsi" w:hAnsiTheme="majorHAnsi" w:cstheme="majorHAnsi"/>
        </w:rPr>
        <w:t>a lemorzsolódás megelőzésére</w:t>
      </w:r>
      <w:r w:rsidR="00766253">
        <w:rPr>
          <w:rFonts w:asciiTheme="majorHAnsi" w:hAnsiTheme="majorHAnsi" w:cstheme="majorHAnsi"/>
        </w:rPr>
        <w:t xml:space="preserve"> irányuló, prevenciós beavatkozások </w:t>
      </w:r>
      <w:r w:rsidR="00766253" w:rsidRPr="00DC6C83">
        <w:rPr>
          <w:rFonts w:asciiTheme="majorHAnsi" w:hAnsiTheme="majorHAnsi" w:cstheme="majorHAnsi"/>
        </w:rPr>
        <w:t xml:space="preserve">a </w:t>
      </w:r>
      <w:r w:rsidR="00766253">
        <w:rPr>
          <w:rFonts w:asciiTheme="majorHAnsi" w:hAnsiTheme="majorHAnsi" w:cstheme="majorHAnsi"/>
        </w:rPr>
        <w:t xml:space="preserve">jelenlegi </w:t>
      </w:r>
      <w:r w:rsidR="00766253" w:rsidRPr="00DC6C83">
        <w:rPr>
          <w:rFonts w:asciiTheme="majorHAnsi" w:hAnsiTheme="majorHAnsi" w:cstheme="majorHAnsi"/>
        </w:rPr>
        <w:t xml:space="preserve">18-24 évesek </w:t>
      </w:r>
      <w:r w:rsidR="00766253">
        <w:rPr>
          <w:rFonts w:asciiTheme="majorHAnsi" w:hAnsiTheme="majorHAnsi" w:cstheme="majorHAnsi"/>
        </w:rPr>
        <w:t>végzettség nélküli iskolaelhagyás</w:t>
      </w:r>
      <w:r w:rsidR="00766253" w:rsidRPr="00DC6C83">
        <w:rPr>
          <w:rFonts w:asciiTheme="majorHAnsi" w:hAnsiTheme="majorHAnsi" w:cstheme="majorHAnsi"/>
        </w:rPr>
        <w:t>i arányá</w:t>
      </w:r>
      <w:r w:rsidR="00766253">
        <w:rPr>
          <w:rFonts w:asciiTheme="majorHAnsi" w:hAnsiTheme="majorHAnsi" w:cstheme="majorHAnsi"/>
        </w:rPr>
        <w:t xml:space="preserve">nak csökkentésére még </w:t>
      </w:r>
      <w:r w:rsidR="00766253" w:rsidRPr="00DC6C83">
        <w:rPr>
          <w:rFonts w:asciiTheme="majorHAnsi" w:hAnsiTheme="majorHAnsi" w:cstheme="majorHAnsi"/>
        </w:rPr>
        <w:t xml:space="preserve">nem </w:t>
      </w:r>
      <w:r w:rsidR="00766253">
        <w:rPr>
          <w:rFonts w:asciiTheme="majorHAnsi" w:hAnsiTheme="majorHAnsi" w:cstheme="majorHAnsi"/>
        </w:rPr>
        <w:t xml:space="preserve">tudtak hatást gyakorolni, de </w:t>
      </w:r>
      <w:r w:rsidR="00766253" w:rsidRPr="00DC6C83">
        <w:rPr>
          <w:rFonts w:asciiTheme="majorHAnsi" w:hAnsiTheme="majorHAnsi" w:cstheme="majorHAnsi"/>
        </w:rPr>
        <w:t xml:space="preserve">a lemorzsolódás </w:t>
      </w:r>
      <w:r w:rsidR="00766253">
        <w:rPr>
          <w:rFonts w:asciiTheme="majorHAnsi" w:hAnsiTheme="majorHAnsi" w:cstheme="majorHAnsi"/>
        </w:rPr>
        <w:t xml:space="preserve">arányszámát csökkentették. </w:t>
      </w:r>
      <w:r w:rsidR="003C0ED8">
        <w:rPr>
          <w:rFonts w:asciiTheme="majorHAnsi" w:hAnsiTheme="majorHAnsi" w:cstheme="majorHAnsi"/>
        </w:rPr>
        <w:t xml:space="preserve">A bíztató adatok </w:t>
      </w:r>
      <w:r w:rsidR="00711FEE">
        <w:rPr>
          <w:rFonts w:asciiTheme="majorHAnsi" w:hAnsiTheme="majorHAnsi" w:cstheme="majorHAnsi"/>
        </w:rPr>
        <w:t>további javítása érdekében</w:t>
      </w:r>
      <w:r w:rsidR="003C0ED8">
        <w:rPr>
          <w:rFonts w:asciiTheme="majorHAnsi" w:hAnsiTheme="majorHAnsi" w:cstheme="majorHAnsi"/>
        </w:rPr>
        <w:t xml:space="preserve"> folytatni szükséges</w:t>
      </w:r>
      <w:r w:rsidR="007904B7">
        <w:rPr>
          <w:rFonts w:asciiTheme="majorHAnsi" w:hAnsiTheme="majorHAnsi" w:cstheme="majorHAnsi"/>
        </w:rPr>
        <w:t xml:space="preserve"> </w:t>
      </w:r>
      <w:r w:rsidR="003C0ED8">
        <w:rPr>
          <w:rFonts w:asciiTheme="majorHAnsi" w:hAnsiTheme="majorHAnsi" w:cstheme="majorHAnsi"/>
        </w:rPr>
        <w:t>a prevenciós</w:t>
      </w:r>
      <w:r w:rsidR="00C24A11" w:rsidRPr="00DC6C83">
        <w:rPr>
          <w:rFonts w:asciiTheme="majorHAnsi" w:hAnsiTheme="majorHAnsi" w:cstheme="majorHAnsi"/>
        </w:rPr>
        <w:t xml:space="preserve"> beavatkozások</w:t>
      </w:r>
      <w:r w:rsidR="003C0ED8">
        <w:rPr>
          <w:rFonts w:asciiTheme="majorHAnsi" w:hAnsiTheme="majorHAnsi" w:cstheme="majorHAnsi"/>
        </w:rPr>
        <w:t>at</w:t>
      </w:r>
      <w:r w:rsidR="00C24A11" w:rsidRPr="00DC6C83">
        <w:rPr>
          <w:rFonts w:asciiTheme="majorHAnsi" w:hAnsiTheme="majorHAnsi" w:cstheme="majorHAnsi"/>
        </w:rPr>
        <w:t xml:space="preserve">. </w:t>
      </w:r>
    </w:p>
    <w:p w14:paraId="5C6CBC3A" w14:textId="4358ABB9" w:rsidR="00C24A11" w:rsidRDefault="001A7EA8" w:rsidP="00C24A11">
      <w:pPr>
        <w:spacing w:line="276" w:lineRule="auto"/>
        <w:rPr>
          <w:rFonts w:asciiTheme="majorHAnsi" w:hAnsiTheme="majorHAnsi" w:cstheme="majorHAnsi"/>
        </w:rPr>
      </w:pPr>
      <w:r>
        <w:rPr>
          <w:rFonts w:asciiTheme="majorHAnsi" w:hAnsiTheme="majorHAnsi" w:cstheme="majorHAnsi"/>
        </w:rPr>
        <w:t>A 2018</w:t>
      </w:r>
      <w:r w:rsidR="00616C93">
        <w:rPr>
          <w:rFonts w:asciiTheme="majorHAnsi" w:hAnsiTheme="majorHAnsi" w:cstheme="majorHAnsi"/>
        </w:rPr>
        <w:t>-as</w:t>
      </w:r>
      <w:r w:rsidR="00C24A11">
        <w:rPr>
          <w:rFonts w:asciiTheme="majorHAnsi" w:hAnsiTheme="majorHAnsi" w:cstheme="majorHAnsi"/>
        </w:rPr>
        <w:t xml:space="preserve"> </w:t>
      </w:r>
      <w:proofErr w:type="gramStart"/>
      <w:r w:rsidR="00C24A11">
        <w:rPr>
          <w:rFonts w:asciiTheme="majorHAnsi" w:hAnsiTheme="majorHAnsi" w:cstheme="majorHAnsi"/>
        </w:rPr>
        <w:t>PISA</w:t>
      </w:r>
      <w:proofErr w:type="gramEnd"/>
      <w:r w:rsidR="00C24A11">
        <w:rPr>
          <w:rFonts w:asciiTheme="majorHAnsi" w:hAnsiTheme="majorHAnsi" w:cstheme="majorHAnsi"/>
        </w:rPr>
        <w:t xml:space="preserve"> felmérés</w:t>
      </w:r>
      <w:r w:rsidR="00C24A11" w:rsidRPr="00DC6C83">
        <w:rPr>
          <w:rFonts w:asciiTheme="majorHAnsi" w:hAnsiTheme="majorHAnsi" w:cstheme="majorHAnsi"/>
        </w:rPr>
        <w:t xml:space="preserve"> szerint minden területen javult a 15 éves magyar tanulók teljesítménye, Magyarország eredménye közelíti a világ legfejlettebb országait tömörítő OECD átlagát. Szintén pozitív, hogy a családi háttér miatti különbségek egyre kevesebb szerepet játszanak a magyar tanulók teljesítményében, kevesebb az iskolai hiányzás és a magyar tanulók 68 százaléka elégedett az életével, ami ugyancsak megfelel az OECD átlagnak. A javuló tendenciák mögött ott vannak a</w:t>
      </w:r>
      <w:r w:rsidR="00C24A11">
        <w:rPr>
          <w:rFonts w:asciiTheme="majorHAnsi" w:hAnsiTheme="majorHAnsi" w:cstheme="majorHAnsi"/>
        </w:rPr>
        <w:t>z</w:t>
      </w:r>
      <w:r w:rsidR="00C24A11" w:rsidRPr="00DC6C83">
        <w:rPr>
          <w:rFonts w:asciiTheme="majorHAnsi" w:hAnsiTheme="majorHAnsi" w:cstheme="majorHAnsi"/>
        </w:rPr>
        <w:t xml:space="preserve"> elindított fejlesztések, az állami felelősségvállalás az iskolák fenntartásáért, a családokat és az iskoláztatást segítő </w:t>
      </w:r>
      <w:r w:rsidR="00C24A11">
        <w:rPr>
          <w:rFonts w:asciiTheme="majorHAnsi" w:hAnsiTheme="majorHAnsi" w:cstheme="majorHAnsi"/>
        </w:rPr>
        <w:t xml:space="preserve">további </w:t>
      </w:r>
      <w:r w:rsidR="00C24A11" w:rsidRPr="00DC6C83">
        <w:rPr>
          <w:rFonts w:asciiTheme="majorHAnsi" w:hAnsiTheme="majorHAnsi" w:cstheme="majorHAnsi"/>
        </w:rPr>
        <w:t>kormányzati intézkedések.</w:t>
      </w:r>
    </w:p>
    <w:p w14:paraId="527DE48C" w14:textId="77777777" w:rsidR="00C24A11" w:rsidRPr="00DC6C83" w:rsidRDefault="00C24A11" w:rsidP="00C24A11">
      <w:pPr>
        <w:spacing w:line="276" w:lineRule="auto"/>
        <w:rPr>
          <w:rFonts w:asciiTheme="majorHAnsi" w:hAnsiTheme="majorHAnsi" w:cstheme="majorHAnsi"/>
        </w:rPr>
      </w:pPr>
      <w:r>
        <w:rPr>
          <w:rFonts w:asciiTheme="majorHAnsi" w:hAnsiTheme="majorHAnsi" w:cstheme="majorHAnsi"/>
        </w:rPr>
        <w:t xml:space="preserve">Ez egyfelől visszaigazolja a törekvések helyességét, ugyanakkor sok tennivaló </w:t>
      </w:r>
      <w:r w:rsidR="00C20D0A">
        <w:rPr>
          <w:rFonts w:asciiTheme="majorHAnsi" w:hAnsiTheme="majorHAnsi" w:cstheme="majorHAnsi"/>
        </w:rPr>
        <w:t>van még</w:t>
      </w:r>
      <w:r>
        <w:rPr>
          <w:rFonts w:asciiTheme="majorHAnsi" w:hAnsiTheme="majorHAnsi" w:cstheme="majorHAnsi"/>
        </w:rPr>
        <w:t>, például a digitális kompetenciák fejlesztése</w:t>
      </w:r>
      <w:r w:rsidR="00616C93">
        <w:rPr>
          <w:rFonts w:asciiTheme="majorHAnsi" w:hAnsiTheme="majorHAnsi" w:cstheme="majorHAnsi"/>
        </w:rPr>
        <w:t xml:space="preserve">, </w:t>
      </w:r>
      <w:r>
        <w:rPr>
          <w:rFonts w:asciiTheme="majorHAnsi" w:hAnsiTheme="majorHAnsi" w:cstheme="majorHAnsi"/>
        </w:rPr>
        <w:t>a</w:t>
      </w:r>
      <w:r w:rsidR="00616C93">
        <w:rPr>
          <w:rFonts w:asciiTheme="majorHAnsi" w:hAnsiTheme="majorHAnsi" w:cstheme="majorHAnsi"/>
        </w:rPr>
        <w:t xml:space="preserve"> pedagógusok </w:t>
      </w:r>
      <w:r w:rsidR="0012395C">
        <w:rPr>
          <w:rFonts w:asciiTheme="majorHAnsi" w:hAnsiTheme="majorHAnsi" w:cstheme="majorHAnsi"/>
        </w:rPr>
        <w:t>felkészültségének</w:t>
      </w:r>
      <w:r w:rsidR="00616C93">
        <w:rPr>
          <w:rFonts w:asciiTheme="majorHAnsi" w:hAnsiTheme="majorHAnsi" w:cstheme="majorHAnsi"/>
        </w:rPr>
        <w:t xml:space="preserve"> növelése</w:t>
      </w:r>
      <w:r w:rsidR="0012395C">
        <w:rPr>
          <w:rFonts w:asciiTheme="majorHAnsi" w:hAnsiTheme="majorHAnsi" w:cstheme="majorHAnsi"/>
        </w:rPr>
        <w:t xml:space="preserve"> </w:t>
      </w:r>
      <w:r>
        <w:rPr>
          <w:rFonts w:asciiTheme="majorHAnsi" w:hAnsiTheme="majorHAnsi" w:cstheme="majorHAnsi"/>
        </w:rPr>
        <w:t>vagy éppen a korai iskolaelhagyók arányának csökkentése. Ezeket a stratégiai</w:t>
      </w:r>
      <w:r w:rsidR="0095580E">
        <w:rPr>
          <w:rFonts w:asciiTheme="majorHAnsi" w:hAnsiTheme="majorHAnsi" w:cstheme="majorHAnsi"/>
        </w:rPr>
        <w:t xml:space="preserve"> fejlesztési irányokat foglalja</w:t>
      </w:r>
      <w:r>
        <w:rPr>
          <w:rFonts w:asciiTheme="majorHAnsi" w:hAnsiTheme="majorHAnsi" w:cstheme="majorHAnsi"/>
        </w:rPr>
        <w:t xml:space="preserve"> össze </w:t>
      </w:r>
      <w:r w:rsidR="0095580E">
        <w:rPr>
          <w:rFonts w:asciiTheme="majorHAnsi" w:hAnsiTheme="majorHAnsi" w:cstheme="majorHAnsi"/>
        </w:rPr>
        <w:t>ez</w:t>
      </w:r>
      <w:r>
        <w:rPr>
          <w:rFonts w:asciiTheme="majorHAnsi" w:hAnsiTheme="majorHAnsi" w:cstheme="majorHAnsi"/>
        </w:rPr>
        <w:t xml:space="preserve"> a dokumentum.</w:t>
      </w:r>
    </w:p>
    <w:p w14:paraId="42B5A2C7" w14:textId="77777777" w:rsidR="00B86FE8" w:rsidRPr="00DC6C83" w:rsidRDefault="00BD0322" w:rsidP="00B86FE8">
      <w:pPr>
        <w:pStyle w:val="Cmsor1"/>
        <w:spacing w:line="276" w:lineRule="auto"/>
        <w:rPr>
          <w:rFonts w:asciiTheme="majorHAnsi" w:hAnsiTheme="majorHAnsi" w:cstheme="majorHAnsi"/>
        </w:rPr>
      </w:pPr>
      <w:bookmarkStart w:id="3" w:name="_Toc35596110"/>
      <w:bookmarkStart w:id="4" w:name="_Toc46822686"/>
      <w:r>
        <w:rPr>
          <w:rFonts w:asciiTheme="majorHAnsi" w:hAnsiTheme="majorHAnsi" w:cstheme="majorHAnsi"/>
        </w:rPr>
        <w:lastRenderedPageBreak/>
        <w:t xml:space="preserve">A </w:t>
      </w:r>
      <w:r w:rsidR="00616C93">
        <w:rPr>
          <w:rFonts w:asciiTheme="majorHAnsi" w:hAnsiTheme="majorHAnsi" w:cstheme="majorHAnsi"/>
        </w:rPr>
        <w:t>stratégiaalkotás</w:t>
      </w:r>
      <w:r>
        <w:rPr>
          <w:rFonts w:asciiTheme="majorHAnsi" w:hAnsiTheme="majorHAnsi" w:cstheme="majorHAnsi"/>
        </w:rPr>
        <w:t xml:space="preserve"> keretei</w:t>
      </w:r>
      <w:bookmarkEnd w:id="3"/>
      <w:bookmarkEnd w:id="4"/>
    </w:p>
    <w:p w14:paraId="4D3296EA" w14:textId="77777777" w:rsidR="00BD0322" w:rsidRDefault="00BD0322" w:rsidP="00516997">
      <w:pPr>
        <w:pStyle w:val="Cmsor2"/>
      </w:pPr>
      <w:bookmarkStart w:id="5" w:name="_Toc35596111"/>
      <w:bookmarkStart w:id="6" w:name="_Toc46822687"/>
      <w:r>
        <w:t>A stratégia célja és időtávja</w:t>
      </w:r>
      <w:bookmarkEnd w:id="5"/>
      <w:bookmarkEnd w:id="6"/>
    </w:p>
    <w:p w14:paraId="28D47B0E" w14:textId="48B859AA" w:rsidR="00BD0322" w:rsidRDefault="00BD0322" w:rsidP="00516997">
      <w:pPr>
        <w:rPr>
          <w:rFonts w:asciiTheme="majorHAnsi" w:hAnsiTheme="majorHAnsi" w:cstheme="majorHAnsi"/>
        </w:rPr>
      </w:pPr>
      <w:r>
        <w:t>A stratégia célja, hogy meghatározza a köznevelés</w:t>
      </w:r>
      <w:r w:rsidR="00CC13CE">
        <w:t>,</w:t>
      </w:r>
      <w:r>
        <w:t xml:space="preserve"> mint állami közszolgálat alapvető fejlesztési irányait annak érdekében, hogy</w:t>
      </w:r>
      <w:r>
        <w:rPr>
          <w:rFonts w:asciiTheme="majorHAnsi" w:hAnsiTheme="majorHAnsi" w:cstheme="majorHAnsi"/>
        </w:rPr>
        <w:t xml:space="preserve"> a változó külső környezet mellett is </w:t>
      </w:r>
      <w:r w:rsidR="00616C93">
        <w:rPr>
          <w:rFonts w:asciiTheme="majorHAnsi" w:hAnsiTheme="majorHAnsi" w:cstheme="majorHAnsi"/>
        </w:rPr>
        <w:t>megteremthesse</w:t>
      </w:r>
      <w:r>
        <w:rPr>
          <w:rFonts w:asciiTheme="majorHAnsi" w:hAnsiTheme="majorHAnsi" w:cstheme="majorHAnsi"/>
        </w:rPr>
        <w:t xml:space="preserve"> </w:t>
      </w:r>
      <w:r w:rsidR="00F903BE">
        <w:rPr>
          <w:rFonts w:asciiTheme="majorHAnsi" w:hAnsiTheme="majorHAnsi" w:cstheme="majorHAnsi"/>
        </w:rPr>
        <w:t xml:space="preserve">a </w:t>
      </w:r>
      <w:r w:rsidRPr="00DC6C83">
        <w:rPr>
          <w:rFonts w:asciiTheme="majorHAnsi" w:hAnsiTheme="majorHAnsi" w:cstheme="majorHAnsi"/>
        </w:rPr>
        <w:t>magyar társadalom hosszú távú fejlődésének feltételeit</w:t>
      </w:r>
      <w:r>
        <w:rPr>
          <w:rFonts w:asciiTheme="majorHAnsi" w:hAnsiTheme="majorHAnsi" w:cstheme="majorHAnsi"/>
        </w:rPr>
        <w:t xml:space="preserve">. </w:t>
      </w:r>
    </w:p>
    <w:p w14:paraId="7A819F13" w14:textId="6354A214" w:rsidR="00BD0322" w:rsidRPr="00BD0322" w:rsidRDefault="00BD0322" w:rsidP="00516997">
      <w:r>
        <w:t>A stratégia időtávja 10 éves, a 2021</w:t>
      </w:r>
      <w:r w:rsidR="00616C93">
        <w:t>−</w:t>
      </w:r>
      <w:r>
        <w:t>2030 közötti időszakra terjed ki. Ez az időtáv egy</w:t>
      </w:r>
      <w:r w:rsidR="00F67101">
        <w:t>részt illeszkedik</w:t>
      </w:r>
      <w:r>
        <w:t xml:space="preserve"> az európai uniós finanszírozási ciklus</w:t>
      </w:r>
      <w:r w:rsidR="008628A4">
        <w:t>hoz</w:t>
      </w:r>
      <w:r w:rsidR="00F67101">
        <w:t xml:space="preserve">, így tartalmazza a források felhasználására vonatkozó </w:t>
      </w:r>
      <w:r w:rsidR="00B84973">
        <w:t>súlypontokat</w:t>
      </w:r>
      <w:r w:rsidR="00F67101">
        <w:t>, másrészt</w:t>
      </w:r>
      <w:r w:rsidR="008628A4">
        <w:t xml:space="preserve"> igazodva a kormányzati stratégiai irányításra vonatkozó jogszabályi rendelkezésekhez </w:t>
      </w:r>
      <w:r w:rsidR="00F67101">
        <w:t xml:space="preserve">ezzel az időtartammal kiszámíthatóbbá teszi </w:t>
      </w:r>
      <w:r w:rsidR="00F903BE">
        <w:t xml:space="preserve">a </w:t>
      </w:r>
      <w:r w:rsidR="008628A4">
        <w:t>köznevelés</w:t>
      </w:r>
      <w:r w:rsidR="00F903BE">
        <w:t xml:space="preserve"> </w:t>
      </w:r>
      <w:r w:rsidR="008628A4">
        <w:t>fejlesztés</w:t>
      </w:r>
      <w:r w:rsidR="00F67101">
        <w:t>ét.</w:t>
      </w:r>
    </w:p>
    <w:p w14:paraId="59C097AF" w14:textId="77777777" w:rsidR="00BD0322" w:rsidRDefault="00BD0322" w:rsidP="00516997">
      <w:pPr>
        <w:pStyle w:val="Cmsor2"/>
        <w:numPr>
          <w:ilvl w:val="0"/>
          <w:numId w:val="0"/>
        </w:numPr>
        <w:ind w:left="576" w:hanging="576"/>
      </w:pPr>
      <w:bookmarkStart w:id="7" w:name="_Toc35596112"/>
      <w:bookmarkStart w:id="8" w:name="_Toc46822688"/>
      <w:r>
        <w:t>2.2 Felhasznált nemzetközi és hazai szakpolitikai források</w:t>
      </w:r>
      <w:bookmarkEnd w:id="7"/>
      <w:bookmarkEnd w:id="8"/>
    </w:p>
    <w:p w14:paraId="4C87F11C"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Jelen szakpolitikai stratégia készítésekor elsősorban a hazai és nemzetközi értékelések és mérések adataira támaszkodtunk, illetve a hatályos jogszabályok elemzését végeztük el, vizsgálatunkba főként a következő dokumentumokat vontuk be: </w:t>
      </w:r>
    </w:p>
    <w:p w14:paraId="1639A587" w14:textId="77777777" w:rsidR="00B86FE8" w:rsidRDefault="00711835" w:rsidP="007E1EA0">
      <w:pPr>
        <w:spacing w:after="0" w:line="276" w:lineRule="auto"/>
        <w:rPr>
          <w:rFonts w:asciiTheme="majorHAnsi" w:hAnsiTheme="majorHAnsi" w:cstheme="majorHAnsi"/>
        </w:rPr>
      </w:pPr>
      <w:r>
        <w:rPr>
          <w:rFonts w:asciiTheme="majorHAnsi" w:hAnsiTheme="majorHAnsi" w:cstheme="majorHAnsi"/>
        </w:rPr>
        <w:t>Hazai szabályozók:</w:t>
      </w:r>
    </w:p>
    <w:p w14:paraId="3C8FE42A" w14:textId="77777777" w:rsidR="00A52B9E" w:rsidRPr="00711835"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a nemzeti közn</w:t>
      </w:r>
      <w:r w:rsidR="00711835">
        <w:rPr>
          <w:rFonts w:asciiTheme="majorHAnsi" w:hAnsiTheme="majorHAnsi" w:cstheme="majorHAnsi"/>
        </w:rPr>
        <w:t>evelésről szóló 2011. évi CXC törvény</w:t>
      </w:r>
    </w:p>
    <w:p w14:paraId="7730FAF8" w14:textId="77777777" w:rsidR="00A52B9E"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az oktatási nyilvántartá</w:t>
      </w:r>
      <w:r w:rsidR="00711835">
        <w:rPr>
          <w:rFonts w:asciiTheme="majorHAnsi" w:hAnsiTheme="majorHAnsi" w:cstheme="majorHAnsi"/>
        </w:rPr>
        <w:t>sról szóló 2018. évi LXXXIX. törvény</w:t>
      </w:r>
    </w:p>
    <w:p w14:paraId="3B89AF74" w14:textId="1AB1D174" w:rsidR="009D3E10" w:rsidRPr="00711835" w:rsidRDefault="009D3E10" w:rsidP="00FE07E1">
      <w:pPr>
        <w:pStyle w:val="Listaszerbekezds"/>
        <w:numPr>
          <w:ilvl w:val="0"/>
          <w:numId w:val="13"/>
        </w:numPr>
        <w:spacing w:line="276" w:lineRule="auto"/>
        <w:rPr>
          <w:rFonts w:asciiTheme="majorHAnsi" w:hAnsiTheme="majorHAnsi" w:cstheme="majorHAnsi"/>
        </w:rPr>
      </w:pPr>
      <w:r>
        <w:rPr>
          <w:rFonts w:asciiTheme="majorHAnsi" w:hAnsiTheme="majorHAnsi" w:cstheme="majorHAnsi"/>
        </w:rPr>
        <w:t>a szakképzésről szóló 2019. évi LXXX. törvény</w:t>
      </w:r>
    </w:p>
    <w:p w14:paraId="2D18E286" w14:textId="77777777" w:rsidR="00A52B9E" w:rsidRPr="00711835"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a pedagógus-továbbképzésről, a pedagógus-szakvizsgáról, valamint a továbbképzésben résztvevők juttatásairól és kedvezményeiről szóló 277/1997. (XII. 22.) Korm. rendelet</w:t>
      </w:r>
    </w:p>
    <w:p w14:paraId="2EB6EDD8" w14:textId="77777777" w:rsidR="00A52B9E" w:rsidRPr="00711835"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az idegennyelv-tudást igazoló államilag elismert nyelvvizsgáztatásról és a külföldön kiállított, idegennyelv-tudást igazoló nyelvvizsga-bizonyítványok Magyarországon történő honosításáról szóló 137/2008. (V. 16.) Korm. rendelet</w:t>
      </w:r>
    </w:p>
    <w:p w14:paraId="3ACF5607" w14:textId="77777777" w:rsidR="00A52B9E" w:rsidRPr="00711835"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a nemzeti köznevelésről szóló törvény végrehajtásáról szóló 229/2012. (VIII. 28.) Korm. rendelet</w:t>
      </w:r>
    </w:p>
    <w:p w14:paraId="3F242D39" w14:textId="77777777" w:rsidR="00A52B9E" w:rsidRPr="00711835"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a pedagógusok előmeneteli rendszeréről és a közalkalmazottak jogállásáról szóló 1992. évi XXXIII. törvény köznevelési intézményekben történő végrehajtásáról szóló 326/2013. (VIII. 30.) Korm. rendelet</w:t>
      </w:r>
    </w:p>
    <w:p w14:paraId="69E7C603" w14:textId="77777777" w:rsidR="00A52B9E" w:rsidRPr="00711835"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az Oktatási Hivatalról szóló 121/2013. (IV. 26.) Korm. rendelet</w:t>
      </w:r>
    </w:p>
    <w:p w14:paraId="7BA446EA" w14:textId="77777777" w:rsidR="00A52B9E"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 xml:space="preserve">az állami köznevelési közfeladat ellátásában fenntartóként részt vevő szervekről, valamint a Klebelsberg Központról szóló 134/2016. (VI. 10.) Korm. rendelet </w:t>
      </w:r>
    </w:p>
    <w:p w14:paraId="48AEC074" w14:textId="738C50C8" w:rsidR="007E1EA0" w:rsidRPr="00711835" w:rsidRDefault="007E1EA0" w:rsidP="00FE07E1">
      <w:pPr>
        <w:pStyle w:val="Listaszerbekezds"/>
        <w:numPr>
          <w:ilvl w:val="0"/>
          <w:numId w:val="13"/>
        </w:numPr>
        <w:spacing w:line="276" w:lineRule="auto"/>
        <w:rPr>
          <w:rFonts w:asciiTheme="majorHAnsi" w:hAnsiTheme="majorHAnsi" w:cstheme="majorHAnsi"/>
        </w:rPr>
      </w:pPr>
      <w:r>
        <w:rPr>
          <w:rFonts w:asciiTheme="majorHAnsi" w:hAnsiTheme="majorHAnsi" w:cstheme="majorHAnsi"/>
        </w:rPr>
        <w:t>Nemzeti Információs Infrastruktúra Fejlesztési Programról szóló 5/2011. (II.3.) Korm. rendelet</w:t>
      </w:r>
    </w:p>
    <w:p w14:paraId="68417970" w14:textId="77777777" w:rsidR="00A52B9E" w:rsidRPr="00711835"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lastRenderedPageBreak/>
        <w:t>a nevelési-oktatási intézmények működéséről és a köznevelési intézmények névhasználatáról szóló 20/2012. (VIII. 31.) EMMI rendelet</w:t>
      </w:r>
    </w:p>
    <w:p w14:paraId="32DCB666" w14:textId="77777777" w:rsidR="00A52B9E" w:rsidRPr="00711835"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a pedagógiai-szakmai szolgáltatásokról, a pedagógiai-szakmai szolgáltatásokat ellátó intézményekről és a pedagógiai-szakmai szolgáltatásokban való közreműködés feltételeiről szóló 48/2012. (XII. 12.) EMMI rendelet</w:t>
      </w:r>
    </w:p>
    <w:p w14:paraId="584E326E" w14:textId="77777777" w:rsidR="00A52B9E" w:rsidRPr="00711835" w:rsidRDefault="00A52B9E" w:rsidP="00FE07E1">
      <w:pPr>
        <w:pStyle w:val="Listaszerbekezds"/>
        <w:numPr>
          <w:ilvl w:val="0"/>
          <w:numId w:val="13"/>
        </w:numPr>
        <w:spacing w:line="276" w:lineRule="auto"/>
        <w:rPr>
          <w:rFonts w:asciiTheme="majorHAnsi" w:hAnsiTheme="majorHAnsi" w:cstheme="majorHAnsi"/>
        </w:rPr>
      </w:pPr>
      <w:r w:rsidRPr="00711835">
        <w:rPr>
          <w:rFonts w:asciiTheme="majorHAnsi" w:hAnsiTheme="majorHAnsi" w:cstheme="majorHAnsi"/>
        </w:rPr>
        <w:t>a pedagógiai szakszolgálati intézmények működéséről szóló 15/2013. (II. 26.) EMMI rendelet</w:t>
      </w:r>
    </w:p>
    <w:p w14:paraId="4AF19BD3" w14:textId="47989555" w:rsidR="00A52B9E" w:rsidRDefault="00711835" w:rsidP="007E1EA0">
      <w:pPr>
        <w:spacing w:after="0" w:line="276" w:lineRule="auto"/>
        <w:rPr>
          <w:rFonts w:asciiTheme="majorHAnsi" w:hAnsiTheme="majorHAnsi" w:cstheme="majorHAnsi"/>
        </w:rPr>
      </w:pPr>
      <w:r w:rsidRPr="00711835">
        <w:rPr>
          <w:rFonts w:asciiTheme="majorHAnsi" w:hAnsiTheme="majorHAnsi" w:cstheme="majorHAnsi"/>
        </w:rPr>
        <w:t>Értékelések</w:t>
      </w:r>
      <w:r w:rsidR="00E623A9">
        <w:rPr>
          <w:rFonts w:asciiTheme="majorHAnsi" w:hAnsiTheme="majorHAnsi" w:cstheme="majorHAnsi"/>
        </w:rPr>
        <w:t>,</w:t>
      </w:r>
      <w:r w:rsidR="0017145A">
        <w:rPr>
          <w:rFonts w:asciiTheme="majorHAnsi" w:hAnsiTheme="majorHAnsi" w:cstheme="majorHAnsi"/>
        </w:rPr>
        <w:t xml:space="preserve"> keretrendszerek statisztikák</w:t>
      </w:r>
      <w:r>
        <w:rPr>
          <w:rFonts w:asciiTheme="majorHAnsi" w:hAnsiTheme="majorHAnsi" w:cstheme="majorHAnsi"/>
        </w:rPr>
        <w:t>:</w:t>
      </w:r>
    </w:p>
    <w:p w14:paraId="31F3BCC7" w14:textId="77777777" w:rsidR="00711835" w:rsidRPr="00711835" w:rsidRDefault="00711835" w:rsidP="00FE07E1">
      <w:pPr>
        <w:pStyle w:val="Listaszerbekezds"/>
        <w:numPr>
          <w:ilvl w:val="0"/>
          <w:numId w:val="14"/>
        </w:numPr>
        <w:spacing w:line="276" w:lineRule="auto"/>
        <w:rPr>
          <w:rFonts w:asciiTheme="majorHAnsi" w:hAnsiTheme="majorHAnsi" w:cstheme="majorHAnsi"/>
        </w:rPr>
      </w:pPr>
      <w:r w:rsidRPr="00711835">
        <w:rPr>
          <w:rFonts w:asciiTheme="majorHAnsi" w:hAnsiTheme="majorHAnsi" w:cstheme="majorHAnsi"/>
        </w:rPr>
        <w:t xml:space="preserve">OECD: </w:t>
      </w:r>
      <w:proofErr w:type="gramStart"/>
      <w:r w:rsidRPr="00711835">
        <w:rPr>
          <w:rFonts w:asciiTheme="majorHAnsi" w:hAnsiTheme="majorHAnsi" w:cstheme="majorHAnsi"/>
        </w:rPr>
        <w:t>PISA</w:t>
      </w:r>
      <w:proofErr w:type="gramEnd"/>
      <w:r w:rsidRPr="00711835">
        <w:rPr>
          <w:rFonts w:asciiTheme="majorHAnsi" w:hAnsiTheme="majorHAnsi" w:cstheme="majorHAnsi"/>
        </w:rPr>
        <w:t>, TALIS</w:t>
      </w:r>
    </w:p>
    <w:p w14:paraId="6E9DF0F0" w14:textId="77777777" w:rsidR="00711835" w:rsidRPr="00711835" w:rsidRDefault="00711835" w:rsidP="00FE07E1">
      <w:pPr>
        <w:pStyle w:val="Listaszerbekezds"/>
        <w:numPr>
          <w:ilvl w:val="0"/>
          <w:numId w:val="14"/>
        </w:numPr>
        <w:spacing w:line="276" w:lineRule="auto"/>
        <w:rPr>
          <w:rFonts w:asciiTheme="majorHAnsi" w:hAnsiTheme="majorHAnsi" w:cstheme="majorHAnsi"/>
        </w:rPr>
      </w:pPr>
      <w:r w:rsidRPr="00711835">
        <w:rPr>
          <w:rFonts w:asciiTheme="majorHAnsi" w:hAnsiTheme="majorHAnsi" w:cstheme="majorHAnsi"/>
        </w:rPr>
        <w:t>IEA: TIMSS, PIRLS</w:t>
      </w:r>
    </w:p>
    <w:p w14:paraId="3C310E70" w14:textId="77777777" w:rsidR="00711835" w:rsidRPr="00711835" w:rsidRDefault="00711835" w:rsidP="00FE07E1">
      <w:pPr>
        <w:pStyle w:val="Listaszerbekezds"/>
        <w:numPr>
          <w:ilvl w:val="0"/>
          <w:numId w:val="14"/>
        </w:numPr>
        <w:spacing w:line="276" w:lineRule="auto"/>
        <w:rPr>
          <w:rFonts w:asciiTheme="majorHAnsi" w:hAnsiTheme="majorHAnsi" w:cstheme="majorHAnsi"/>
        </w:rPr>
      </w:pPr>
      <w:proofErr w:type="spellStart"/>
      <w:r w:rsidRPr="00711835">
        <w:rPr>
          <w:rFonts w:asciiTheme="majorHAnsi" w:hAnsiTheme="majorHAnsi" w:cstheme="majorHAnsi"/>
        </w:rPr>
        <w:t>Eurostat</w:t>
      </w:r>
      <w:proofErr w:type="spellEnd"/>
    </w:p>
    <w:p w14:paraId="488B508A" w14:textId="77777777" w:rsidR="00711835" w:rsidRDefault="00711835" w:rsidP="00FE07E1">
      <w:pPr>
        <w:pStyle w:val="Listaszerbekezds"/>
        <w:numPr>
          <w:ilvl w:val="0"/>
          <w:numId w:val="14"/>
        </w:numPr>
        <w:spacing w:line="276" w:lineRule="auto"/>
        <w:rPr>
          <w:rFonts w:asciiTheme="majorHAnsi" w:hAnsiTheme="majorHAnsi" w:cstheme="majorHAnsi"/>
        </w:rPr>
      </w:pPr>
      <w:r w:rsidRPr="00711835">
        <w:rPr>
          <w:rFonts w:asciiTheme="majorHAnsi" w:hAnsiTheme="majorHAnsi" w:cstheme="majorHAnsi"/>
        </w:rPr>
        <w:t xml:space="preserve">European </w:t>
      </w:r>
      <w:proofErr w:type="spellStart"/>
      <w:r w:rsidRPr="00711835">
        <w:rPr>
          <w:rFonts w:asciiTheme="majorHAnsi" w:hAnsiTheme="majorHAnsi" w:cstheme="majorHAnsi"/>
        </w:rPr>
        <w:t>Schoolnet</w:t>
      </w:r>
      <w:proofErr w:type="spellEnd"/>
    </w:p>
    <w:p w14:paraId="43A5C9DA" w14:textId="386D69B5" w:rsidR="0017145A" w:rsidRPr="00711835" w:rsidRDefault="0017145A" w:rsidP="00FE07E1">
      <w:pPr>
        <w:pStyle w:val="Listaszerbekezds"/>
        <w:numPr>
          <w:ilvl w:val="0"/>
          <w:numId w:val="14"/>
        </w:numPr>
        <w:spacing w:line="276" w:lineRule="auto"/>
        <w:rPr>
          <w:rFonts w:asciiTheme="majorHAnsi" w:hAnsiTheme="majorHAnsi" w:cstheme="majorHAnsi"/>
        </w:rPr>
      </w:pPr>
      <w:r>
        <w:rPr>
          <w:rFonts w:asciiTheme="majorHAnsi" w:hAnsiTheme="majorHAnsi" w:cstheme="majorHAnsi"/>
        </w:rPr>
        <w:t xml:space="preserve">Digital </w:t>
      </w:r>
      <w:proofErr w:type="spellStart"/>
      <w:r>
        <w:rPr>
          <w:rFonts w:asciiTheme="majorHAnsi" w:hAnsiTheme="majorHAnsi" w:cstheme="majorHAnsi"/>
        </w:rPr>
        <w:t>Competence</w:t>
      </w:r>
      <w:proofErr w:type="spellEnd"/>
      <w:r>
        <w:rPr>
          <w:rFonts w:asciiTheme="majorHAnsi" w:hAnsiTheme="majorHAnsi" w:cstheme="majorHAnsi"/>
        </w:rPr>
        <w:t xml:space="preserve"> Framework (</w:t>
      </w:r>
      <w:proofErr w:type="spellStart"/>
      <w:r>
        <w:rPr>
          <w:rFonts w:asciiTheme="majorHAnsi" w:hAnsiTheme="majorHAnsi" w:cstheme="majorHAnsi"/>
        </w:rPr>
        <w:t>DigComp</w:t>
      </w:r>
      <w:proofErr w:type="spellEnd"/>
      <w:r>
        <w:rPr>
          <w:rFonts w:asciiTheme="majorHAnsi" w:hAnsiTheme="majorHAnsi" w:cstheme="majorHAnsi"/>
        </w:rPr>
        <w:t>)</w:t>
      </w:r>
    </w:p>
    <w:p w14:paraId="239DA0D1" w14:textId="77777777" w:rsidR="00711835" w:rsidRPr="00711835" w:rsidRDefault="00711835" w:rsidP="00FE07E1">
      <w:pPr>
        <w:pStyle w:val="Listaszerbekezds"/>
        <w:numPr>
          <w:ilvl w:val="0"/>
          <w:numId w:val="14"/>
        </w:numPr>
        <w:spacing w:line="276" w:lineRule="auto"/>
        <w:rPr>
          <w:rFonts w:asciiTheme="majorHAnsi" w:hAnsiTheme="majorHAnsi" w:cstheme="majorHAnsi"/>
        </w:rPr>
      </w:pPr>
      <w:r w:rsidRPr="00711835">
        <w:rPr>
          <w:rFonts w:asciiTheme="majorHAnsi" w:hAnsiTheme="majorHAnsi" w:cstheme="majorHAnsi"/>
        </w:rPr>
        <w:t>KSH</w:t>
      </w:r>
    </w:p>
    <w:p w14:paraId="712F2DDE" w14:textId="77777777" w:rsidR="00711835" w:rsidRPr="00711835" w:rsidRDefault="00711835" w:rsidP="00FE07E1">
      <w:pPr>
        <w:pStyle w:val="Listaszerbekezds"/>
        <w:numPr>
          <w:ilvl w:val="0"/>
          <w:numId w:val="14"/>
        </w:numPr>
        <w:spacing w:line="276" w:lineRule="auto"/>
        <w:rPr>
          <w:rFonts w:asciiTheme="majorHAnsi" w:hAnsiTheme="majorHAnsi" w:cstheme="majorHAnsi"/>
        </w:rPr>
      </w:pPr>
      <w:r w:rsidRPr="00711835">
        <w:rPr>
          <w:rFonts w:asciiTheme="majorHAnsi" w:hAnsiTheme="majorHAnsi" w:cstheme="majorHAnsi"/>
        </w:rPr>
        <w:t>Oktatási statisztika</w:t>
      </w:r>
    </w:p>
    <w:p w14:paraId="39FF837A" w14:textId="77777777" w:rsidR="00711835" w:rsidRPr="00711835" w:rsidRDefault="00711835" w:rsidP="00FE07E1">
      <w:pPr>
        <w:pStyle w:val="Listaszerbekezds"/>
        <w:numPr>
          <w:ilvl w:val="0"/>
          <w:numId w:val="14"/>
        </w:numPr>
        <w:spacing w:line="276" w:lineRule="auto"/>
        <w:rPr>
          <w:rFonts w:asciiTheme="majorHAnsi" w:hAnsiTheme="majorHAnsi" w:cstheme="majorHAnsi"/>
        </w:rPr>
      </w:pPr>
      <w:r w:rsidRPr="00711835">
        <w:rPr>
          <w:rFonts w:asciiTheme="majorHAnsi" w:hAnsiTheme="majorHAnsi" w:cstheme="majorHAnsi"/>
        </w:rPr>
        <w:t>Országos kompetenciamérések</w:t>
      </w:r>
    </w:p>
    <w:p w14:paraId="7DE8B564" w14:textId="77777777" w:rsidR="00711835" w:rsidRPr="00711835" w:rsidRDefault="00711835" w:rsidP="00FE07E1">
      <w:pPr>
        <w:pStyle w:val="Listaszerbekezds"/>
        <w:numPr>
          <w:ilvl w:val="0"/>
          <w:numId w:val="14"/>
        </w:numPr>
        <w:spacing w:line="276" w:lineRule="auto"/>
        <w:rPr>
          <w:rFonts w:asciiTheme="majorHAnsi" w:hAnsiTheme="majorHAnsi" w:cstheme="majorHAnsi"/>
        </w:rPr>
      </w:pPr>
      <w:r w:rsidRPr="00711835">
        <w:rPr>
          <w:rFonts w:asciiTheme="majorHAnsi" w:hAnsiTheme="majorHAnsi" w:cstheme="majorHAnsi"/>
        </w:rPr>
        <w:t>NETFIT mérés</w:t>
      </w:r>
    </w:p>
    <w:p w14:paraId="50EB1211" w14:textId="6EF7469E" w:rsidR="00B86FE8" w:rsidRPr="00DC6C83" w:rsidRDefault="00B86FE8" w:rsidP="00B86FE8">
      <w:pPr>
        <w:pStyle w:val="Cmsor2"/>
        <w:spacing w:line="276" w:lineRule="auto"/>
        <w:rPr>
          <w:rFonts w:asciiTheme="majorHAnsi" w:hAnsiTheme="majorHAnsi" w:cstheme="majorHAnsi"/>
        </w:rPr>
      </w:pPr>
      <w:bookmarkStart w:id="9" w:name="_Toc35596113"/>
      <w:bookmarkStart w:id="10" w:name="_Toc46822689"/>
      <w:r w:rsidRPr="00DC6C83">
        <w:rPr>
          <w:rFonts w:asciiTheme="majorHAnsi" w:hAnsiTheme="majorHAnsi" w:cstheme="majorHAnsi"/>
        </w:rPr>
        <w:t>Kapcsolódás hazai szakpolitikai és EU-s stratégiák</w:t>
      </w:r>
      <w:r w:rsidR="007D2F2F">
        <w:rPr>
          <w:rFonts w:asciiTheme="majorHAnsi" w:hAnsiTheme="majorHAnsi" w:cstheme="majorHAnsi"/>
        </w:rPr>
        <w:t>hoz</w:t>
      </w:r>
      <w:bookmarkEnd w:id="9"/>
      <w:bookmarkEnd w:id="10"/>
    </w:p>
    <w:p w14:paraId="6520E7FF" w14:textId="2C4552AF" w:rsidR="00A7422C"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 </w:t>
      </w:r>
      <w:r w:rsidR="00351CA7">
        <w:rPr>
          <w:rFonts w:asciiTheme="majorHAnsi" w:hAnsiTheme="majorHAnsi" w:cstheme="majorHAnsi"/>
        </w:rPr>
        <w:t>releváns stratégiai tér vizsgálata</w:t>
      </w:r>
      <w:r w:rsidR="00F67101">
        <w:rPr>
          <w:rFonts w:asciiTheme="majorHAnsi" w:hAnsiTheme="majorHAnsi" w:cstheme="majorHAnsi"/>
        </w:rPr>
        <w:t>kor</w:t>
      </w:r>
      <w:r w:rsidR="00351CA7">
        <w:rPr>
          <w:rFonts w:asciiTheme="majorHAnsi" w:hAnsiTheme="majorHAnsi" w:cstheme="majorHAnsi"/>
        </w:rPr>
        <w:t xml:space="preserve"> részletes elemzést végeztünk a kapcsolódó stratégiai dokumentumok és a jelen stratégia fejlesztési irányai</w:t>
      </w:r>
      <w:r w:rsidR="00F67101">
        <w:rPr>
          <w:rFonts w:asciiTheme="majorHAnsi" w:hAnsiTheme="majorHAnsi" w:cstheme="majorHAnsi"/>
        </w:rPr>
        <w:t xml:space="preserve">nak </w:t>
      </w:r>
      <w:r w:rsidR="00351CA7">
        <w:rPr>
          <w:rFonts w:asciiTheme="majorHAnsi" w:hAnsiTheme="majorHAnsi" w:cstheme="majorHAnsi"/>
        </w:rPr>
        <w:t>kapcsolódás</w:t>
      </w:r>
      <w:r w:rsidR="00F67101">
        <w:rPr>
          <w:rFonts w:asciiTheme="majorHAnsi" w:hAnsiTheme="majorHAnsi" w:cstheme="majorHAnsi"/>
        </w:rPr>
        <w:t>ainak összevetésével</w:t>
      </w:r>
      <w:r w:rsidR="00351CA7">
        <w:rPr>
          <w:rFonts w:asciiTheme="majorHAnsi" w:hAnsiTheme="majorHAnsi" w:cstheme="majorHAnsi"/>
        </w:rPr>
        <w:t xml:space="preserve">. Amint az alábbi áttekintő táblázatból látható, a tervezett fejlesztési irányok összhangban vannak </w:t>
      </w:r>
      <w:r w:rsidRPr="00DC6C83">
        <w:rPr>
          <w:rFonts w:asciiTheme="majorHAnsi" w:hAnsiTheme="majorHAnsi" w:cstheme="majorHAnsi"/>
        </w:rPr>
        <w:t xml:space="preserve">a hazai </w:t>
      </w:r>
      <w:r w:rsidR="00351CA7">
        <w:rPr>
          <w:rFonts w:asciiTheme="majorHAnsi" w:hAnsiTheme="majorHAnsi" w:cstheme="majorHAnsi"/>
        </w:rPr>
        <w:t xml:space="preserve">és </w:t>
      </w:r>
      <w:r w:rsidR="00F67101">
        <w:rPr>
          <w:rFonts w:asciiTheme="majorHAnsi" w:hAnsiTheme="majorHAnsi" w:cstheme="majorHAnsi"/>
        </w:rPr>
        <w:t>kapcsolódó e</w:t>
      </w:r>
      <w:r w:rsidR="00351CA7">
        <w:rPr>
          <w:rFonts w:asciiTheme="majorHAnsi" w:hAnsiTheme="majorHAnsi" w:cstheme="majorHAnsi"/>
        </w:rPr>
        <w:t xml:space="preserve">urópai </w:t>
      </w:r>
      <w:r w:rsidR="00F67101">
        <w:rPr>
          <w:rFonts w:asciiTheme="majorHAnsi" w:hAnsiTheme="majorHAnsi" w:cstheme="majorHAnsi"/>
        </w:rPr>
        <w:t>u</w:t>
      </w:r>
      <w:r w:rsidR="00351CA7">
        <w:rPr>
          <w:rFonts w:asciiTheme="majorHAnsi" w:hAnsiTheme="majorHAnsi" w:cstheme="majorHAnsi"/>
        </w:rPr>
        <w:t>niós stratégiáknak a köznevelést érintő aspektusaival</w:t>
      </w:r>
      <w:r w:rsidRPr="00DC6C83">
        <w:rPr>
          <w:rFonts w:asciiTheme="majorHAnsi" w:hAnsiTheme="majorHAnsi" w:cstheme="majorHAnsi"/>
        </w:rPr>
        <w:t xml:space="preserve">. </w:t>
      </w:r>
    </w:p>
    <w:p w14:paraId="3A7108F7" w14:textId="77777777" w:rsidR="000E4B48" w:rsidRDefault="000E4B48" w:rsidP="000E4B48">
      <w:pPr>
        <w:pStyle w:val="Abracim"/>
      </w:pPr>
      <w:r>
        <w:t xml:space="preserve">Ábra: Kapcsolódás </w:t>
      </w:r>
      <w:r w:rsidR="00203537">
        <w:t>a</w:t>
      </w:r>
      <w:r w:rsidR="00766253">
        <w:t xml:space="preserve"> </w:t>
      </w:r>
      <w:r w:rsidRPr="00DC6C83">
        <w:rPr>
          <w:rFonts w:asciiTheme="majorHAnsi" w:hAnsiTheme="majorHAnsi" w:cstheme="majorHAnsi"/>
        </w:rPr>
        <w:t>hazai sza</w:t>
      </w:r>
      <w:r w:rsidR="00203537">
        <w:rPr>
          <w:rFonts w:asciiTheme="majorHAnsi" w:hAnsiTheme="majorHAnsi" w:cstheme="majorHAnsi"/>
        </w:rPr>
        <w:t xml:space="preserve">kpolitikai és </w:t>
      </w:r>
      <w:proofErr w:type="spellStart"/>
      <w:r w:rsidR="00203537">
        <w:rPr>
          <w:rFonts w:asciiTheme="majorHAnsi" w:hAnsiTheme="majorHAnsi" w:cstheme="majorHAnsi"/>
        </w:rPr>
        <w:t>eu</w:t>
      </w:r>
      <w:r w:rsidR="00AB2A4C">
        <w:rPr>
          <w:rFonts w:asciiTheme="majorHAnsi" w:hAnsiTheme="majorHAnsi" w:cstheme="majorHAnsi"/>
        </w:rPr>
        <w:t>-s</w:t>
      </w:r>
      <w:proofErr w:type="spellEnd"/>
      <w:r w:rsidR="00AB2A4C">
        <w:rPr>
          <w:rFonts w:asciiTheme="majorHAnsi" w:hAnsiTheme="majorHAnsi" w:cstheme="majorHAnsi"/>
        </w:rPr>
        <w:t xml:space="preserve"> stratégiákhoz</w:t>
      </w:r>
    </w:p>
    <w:tbl>
      <w:tblPr>
        <w:tblW w:w="9398" w:type="dxa"/>
        <w:tblInd w:w="-142" w:type="dxa"/>
        <w:tblLayout w:type="fixed"/>
        <w:tblCellMar>
          <w:left w:w="70" w:type="dxa"/>
          <w:right w:w="70" w:type="dxa"/>
        </w:tblCellMar>
        <w:tblLook w:val="04A0" w:firstRow="1" w:lastRow="0" w:firstColumn="1" w:lastColumn="0" w:noHBand="0" w:noVBand="1"/>
      </w:tblPr>
      <w:tblGrid>
        <w:gridCol w:w="2197"/>
        <w:gridCol w:w="354"/>
        <w:gridCol w:w="284"/>
        <w:gridCol w:w="353"/>
        <w:gridCol w:w="275"/>
        <w:gridCol w:w="347"/>
        <w:gridCol w:w="211"/>
        <w:gridCol w:w="434"/>
        <w:gridCol w:w="364"/>
        <w:gridCol w:w="442"/>
        <w:gridCol w:w="280"/>
        <w:gridCol w:w="283"/>
        <w:gridCol w:w="270"/>
        <w:gridCol w:w="426"/>
        <w:gridCol w:w="355"/>
        <w:gridCol w:w="425"/>
        <w:gridCol w:w="255"/>
        <w:gridCol w:w="451"/>
        <w:gridCol w:w="598"/>
        <w:gridCol w:w="265"/>
        <w:gridCol w:w="271"/>
        <w:gridCol w:w="258"/>
      </w:tblGrid>
      <w:tr w:rsidR="00BD03D1" w:rsidRPr="00A7422C" w14:paraId="30C7555B" w14:textId="77777777" w:rsidTr="00BD03D1">
        <w:trPr>
          <w:trHeight w:hRule="exact" w:val="2808"/>
          <w:tblHeader/>
        </w:trPr>
        <w:tc>
          <w:tcPr>
            <w:tcW w:w="2197" w:type="dxa"/>
            <w:tcBorders>
              <w:top w:val="nil"/>
              <w:left w:val="nil"/>
              <w:bottom w:val="single" w:sz="4" w:space="0" w:color="auto"/>
              <w:right w:val="single" w:sz="4" w:space="0" w:color="auto"/>
            </w:tcBorders>
            <w:shd w:val="clear" w:color="auto" w:fill="D1CFCF" w:themeFill="accent6" w:themeFillShade="E6"/>
            <w:textDirection w:val="btLr"/>
            <w:vAlign w:val="center"/>
            <w:hideMark/>
          </w:tcPr>
          <w:p w14:paraId="1D71B1B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4"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2DBB85F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A végzettség nélküli iskolaelhagyás elleni középtávú stratégia</w:t>
            </w:r>
          </w:p>
        </w:tc>
        <w:tc>
          <w:tcPr>
            <w:tcW w:w="284"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0E0FD97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Digitális Munkaerő Program</w:t>
            </w:r>
          </w:p>
        </w:tc>
        <w:tc>
          <w:tcPr>
            <w:tcW w:w="353"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111721B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Magyarország Digitális Oktatási Stratégiája</w:t>
            </w:r>
          </w:p>
        </w:tc>
        <w:tc>
          <w:tcPr>
            <w:tcW w:w="275"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3F75681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Nemzeti Ifjúsági Stratégia 2009-2024</w:t>
            </w:r>
          </w:p>
        </w:tc>
        <w:tc>
          <w:tcPr>
            <w:tcW w:w="347"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1627D2F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Nemzeti Intelligens Szakosodási Stratégia</w:t>
            </w:r>
          </w:p>
        </w:tc>
        <w:tc>
          <w:tcPr>
            <w:tcW w:w="211"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10D50A9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Szakképzés 4.0 stratégia</w:t>
            </w:r>
          </w:p>
        </w:tc>
        <w:tc>
          <w:tcPr>
            <w:tcW w:w="434" w:type="dxa"/>
            <w:tcBorders>
              <w:top w:val="single" w:sz="4" w:space="0" w:color="auto"/>
              <w:left w:val="nil"/>
              <w:bottom w:val="single" w:sz="4" w:space="0" w:color="auto"/>
              <w:right w:val="single" w:sz="4" w:space="0" w:color="auto"/>
            </w:tcBorders>
            <w:shd w:val="clear" w:color="auto" w:fill="CAB7AA" w:themeFill="accent3" w:themeFillTint="66"/>
            <w:textDirection w:val="btLr"/>
          </w:tcPr>
          <w:p w14:paraId="2CD42F33" w14:textId="652535CA"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Magyar Nemzeti Társadalmi Felzárkózási Stratégia</w:t>
            </w:r>
          </w:p>
        </w:tc>
        <w:tc>
          <w:tcPr>
            <w:tcW w:w="364" w:type="dxa"/>
            <w:tcBorders>
              <w:top w:val="nil"/>
              <w:left w:val="single" w:sz="4" w:space="0" w:color="auto"/>
              <w:bottom w:val="single" w:sz="4" w:space="0" w:color="auto"/>
              <w:right w:val="single" w:sz="4" w:space="0" w:color="auto"/>
            </w:tcBorders>
            <w:shd w:val="clear" w:color="auto" w:fill="CAB7AA" w:themeFill="accent3" w:themeFillTint="66"/>
            <w:textDirection w:val="btLr"/>
            <w:vAlign w:val="center"/>
            <w:hideMark/>
          </w:tcPr>
          <w:p w14:paraId="58036FC2" w14:textId="251EE216"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Versenyképességi program 330 pontban</w:t>
            </w:r>
          </w:p>
        </w:tc>
        <w:tc>
          <w:tcPr>
            <w:tcW w:w="442" w:type="dxa"/>
            <w:tcBorders>
              <w:top w:val="single" w:sz="4" w:space="0" w:color="auto"/>
              <w:left w:val="nil"/>
              <w:bottom w:val="single" w:sz="4" w:space="0" w:color="auto"/>
              <w:right w:val="single" w:sz="4" w:space="0" w:color="auto"/>
            </w:tcBorders>
            <w:shd w:val="clear" w:color="auto" w:fill="CAB7AA" w:themeFill="accent3" w:themeFillTint="66"/>
            <w:textDirection w:val="btLr"/>
          </w:tcPr>
          <w:p w14:paraId="4CAD6424" w14:textId="70F73D93" w:rsidR="00BD03D1" w:rsidRPr="00A7422C" w:rsidRDefault="00BD03D1" w:rsidP="007116A6">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Fokozatváltás a felsőoktatásban középtávú szakpolitikai stratégia 2016</w:t>
            </w:r>
          </w:p>
        </w:tc>
        <w:tc>
          <w:tcPr>
            <w:tcW w:w="280" w:type="dxa"/>
            <w:tcBorders>
              <w:top w:val="nil"/>
              <w:left w:val="single" w:sz="4" w:space="0" w:color="auto"/>
              <w:bottom w:val="single" w:sz="4" w:space="0" w:color="auto"/>
              <w:right w:val="single" w:sz="4" w:space="0" w:color="auto"/>
            </w:tcBorders>
            <w:shd w:val="clear" w:color="auto" w:fill="CAB7AA" w:themeFill="accent3" w:themeFillTint="66"/>
            <w:textDirection w:val="btLr"/>
            <w:vAlign w:val="center"/>
            <w:hideMark/>
          </w:tcPr>
          <w:p w14:paraId="16E354D3" w14:textId="3D99B479"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Nemzeti Táborozási Koncepció</w:t>
            </w:r>
          </w:p>
        </w:tc>
        <w:tc>
          <w:tcPr>
            <w:tcW w:w="283"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2A39D2F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Országos Fogyatékosságügyi Program</w:t>
            </w:r>
          </w:p>
        </w:tc>
        <w:tc>
          <w:tcPr>
            <w:tcW w:w="270"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075FC718" w14:textId="44D3E297" w:rsidR="00BD03D1" w:rsidRPr="00A7422C" w:rsidRDefault="00BD03D1" w:rsidP="007116A6">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xml:space="preserve">Az </w:t>
            </w:r>
            <w:r>
              <w:rPr>
                <w:rFonts w:asciiTheme="majorHAnsi" w:hAnsiTheme="majorHAnsi" w:cstheme="majorHAnsi"/>
                <w:color w:val="000000"/>
                <w:sz w:val="16"/>
                <w:lang w:eastAsia="hu-HU"/>
              </w:rPr>
              <w:t>EU</w:t>
            </w:r>
            <w:r w:rsidRPr="00A7422C">
              <w:rPr>
                <w:rFonts w:asciiTheme="majorHAnsi" w:hAnsiTheme="majorHAnsi" w:cstheme="majorHAnsi"/>
                <w:color w:val="000000"/>
                <w:sz w:val="16"/>
                <w:lang w:eastAsia="hu-HU"/>
              </w:rPr>
              <w:t xml:space="preserve"> Duna régióra vonatkozó stratégiája</w:t>
            </w:r>
          </w:p>
        </w:tc>
        <w:tc>
          <w:tcPr>
            <w:tcW w:w="426"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0065AA6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Fenntartható Fejlődési Keretrendszer 2030 – Agenda 2030</w:t>
            </w:r>
          </w:p>
        </w:tc>
        <w:tc>
          <w:tcPr>
            <w:tcW w:w="355" w:type="dxa"/>
            <w:tcBorders>
              <w:top w:val="single" w:sz="4" w:space="0" w:color="auto"/>
              <w:left w:val="nil"/>
              <w:bottom w:val="single" w:sz="4" w:space="0" w:color="auto"/>
              <w:right w:val="single" w:sz="4" w:space="0" w:color="auto"/>
            </w:tcBorders>
            <w:shd w:val="clear" w:color="auto" w:fill="CAB7AA" w:themeFill="accent3" w:themeFillTint="66"/>
            <w:textDirection w:val="btLr"/>
          </w:tcPr>
          <w:p w14:paraId="2456992D" w14:textId="154234FC" w:rsidR="00BD03D1" w:rsidRPr="00A7422C" w:rsidRDefault="001734D4"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 xml:space="preserve">II. </w:t>
            </w:r>
            <w:r w:rsidR="00BD03D1" w:rsidRPr="00BD03D1">
              <w:rPr>
                <w:rFonts w:asciiTheme="majorHAnsi" w:hAnsiTheme="majorHAnsi" w:cstheme="majorHAnsi"/>
                <w:color w:val="000000"/>
                <w:sz w:val="16"/>
                <w:lang w:eastAsia="hu-HU"/>
              </w:rPr>
              <w:t xml:space="preserve">Nemzeti </w:t>
            </w:r>
            <w:proofErr w:type="spellStart"/>
            <w:r w:rsidR="00BD03D1" w:rsidRPr="00BD03D1">
              <w:rPr>
                <w:rFonts w:asciiTheme="majorHAnsi" w:hAnsiTheme="majorHAnsi" w:cstheme="majorHAnsi"/>
                <w:color w:val="000000"/>
                <w:sz w:val="16"/>
                <w:lang w:eastAsia="hu-HU"/>
              </w:rPr>
              <w:t>Éghajlatváltozási</w:t>
            </w:r>
            <w:proofErr w:type="spellEnd"/>
            <w:r w:rsidR="00BD03D1" w:rsidRPr="00BD03D1">
              <w:rPr>
                <w:rFonts w:asciiTheme="majorHAnsi" w:hAnsiTheme="majorHAnsi" w:cstheme="majorHAnsi"/>
                <w:color w:val="000000"/>
                <w:sz w:val="16"/>
                <w:lang w:eastAsia="hu-HU"/>
              </w:rPr>
              <w:t xml:space="preserve"> Stratégia</w:t>
            </w:r>
          </w:p>
        </w:tc>
        <w:tc>
          <w:tcPr>
            <w:tcW w:w="425" w:type="dxa"/>
            <w:tcBorders>
              <w:top w:val="nil"/>
              <w:left w:val="single" w:sz="4" w:space="0" w:color="auto"/>
              <w:bottom w:val="single" w:sz="4" w:space="0" w:color="auto"/>
              <w:right w:val="single" w:sz="4" w:space="0" w:color="auto"/>
            </w:tcBorders>
            <w:shd w:val="clear" w:color="auto" w:fill="CAB7AA" w:themeFill="accent3" w:themeFillTint="66"/>
            <w:textDirection w:val="btLr"/>
            <w:vAlign w:val="center"/>
            <w:hideMark/>
          </w:tcPr>
          <w:p w14:paraId="574609BA" w14:textId="2431C4C6"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Pénzügyi tudatosság fejlesztésének stratégiája</w:t>
            </w:r>
          </w:p>
        </w:tc>
        <w:tc>
          <w:tcPr>
            <w:tcW w:w="255"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34F0112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Digitális Gyermekvédelmi Stratégia</w:t>
            </w:r>
          </w:p>
        </w:tc>
        <w:tc>
          <w:tcPr>
            <w:tcW w:w="451"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78CE81D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EU Tanács ajánlása a nyelvtanítás és a nyelvtanulás átfogó megközelítéséről</w:t>
            </w:r>
          </w:p>
        </w:tc>
        <w:tc>
          <w:tcPr>
            <w:tcW w:w="598" w:type="dxa"/>
            <w:tcBorders>
              <w:top w:val="nil"/>
              <w:left w:val="nil"/>
              <w:bottom w:val="single" w:sz="4" w:space="0" w:color="auto"/>
              <w:right w:val="single" w:sz="4" w:space="0" w:color="auto"/>
            </w:tcBorders>
            <w:shd w:val="clear" w:color="auto" w:fill="CAB7AA" w:themeFill="accent3" w:themeFillTint="66"/>
            <w:textDirection w:val="btLr"/>
            <w:vAlign w:val="center"/>
            <w:hideMark/>
          </w:tcPr>
          <w:p w14:paraId="2559222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EU Tanács ajánlása a magas színvonalú kisgyermekkori nevelési és gondozási rendszerekről (2019/C 189/02)</w:t>
            </w:r>
          </w:p>
        </w:tc>
        <w:tc>
          <w:tcPr>
            <w:tcW w:w="265" w:type="dxa"/>
            <w:tcBorders>
              <w:top w:val="single" w:sz="4" w:space="0" w:color="auto"/>
              <w:left w:val="nil"/>
              <w:bottom w:val="single" w:sz="4" w:space="0" w:color="auto"/>
              <w:right w:val="single" w:sz="4" w:space="0" w:color="auto"/>
            </w:tcBorders>
            <w:shd w:val="clear" w:color="auto" w:fill="CAB7AA" w:themeFill="accent3" w:themeFillTint="66"/>
            <w:textDirection w:val="btLr"/>
          </w:tcPr>
          <w:p w14:paraId="677FF96C" w14:textId="77777777" w:rsidR="00BD03D1" w:rsidRPr="00A7422C" w:rsidRDefault="00BD03D1" w:rsidP="00B05F3F">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Egészségügyi Ágazati Stratégia</w:t>
            </w:r>
          </w:p>
        </w:tc>
        <w:tc>
          <w:tcPr>
            <w:tcW w:w="271" w:type="dxa"/>
            <w:tcBorders>
              <w:top w:val="single" w:sz="4" w:space="0" w:color="auto"/>
              <w:left w:val="single" w:sz="4" w:space="0" w:color="auto"/>
              <w:bottom w:val="single" w:sz="4" w:space="0" w:color="auto"/>
              <w:right w:val="single" w:sz="4" w:space="0" w:color="auto"/>
            </w:tcBorders>
            <w:shd w:val="clear" w:color="auto" w:fill="CAB7AA" w:themeFill="accent3" w:themeFillTint="66"/>
            <w:textDirection w:val="btLr"/>
          </w:tcPr>
          <w:p w14:paraId="33909A79" w14:textId="77777777" w:rsidR="00BD03D1" w:rsidRPr="00A7422C" w:rsidRDefault="00BD03D1" w:rsidP="00B05F3F">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Nemzeti Drogellenes Stratégia</w:t>
            </w:r>
          </w:p>
        </w:tc>
        <w:tc>
          <w:tcPr>
            <w:tcW w:w="258" w:type="dxa"/>
            <w:tcBorders>
              <w:top w:val="single" w:sz="4" w:space="0" w:color="auto"/>
              <w:left w:val="single" w:sz="4" w:space="0" w:color="auto"/>
              <w:bottom w:val="single" w:sz="4" w:space="0" w:color="auto"/>
              <w:right w:val="single" w:sz="4" w:space="0" w:color="auto"/>
            </w:tcBorders>
            <w:shd w:val="clear" w:color="auto" w:fill="CAB7AA" w:themeFill="accent3" w:themeFillTint="66"/>
            <w:textDirection w:val="btLr"/>
          </w:tcPr>
          <w:p w14:paraId="4D82DF8F" w14:textId="77777777" w:rsidR="00BD03D1" w:rsidRPr="00A7422C" w:rsidRDefault="00BD03D1" w:rsidP="00B05F3F">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Nemzeti Bűnmegelőzési Stratégia</w:t>
            </w:r>
          </w:p>
        </w:tc>
      </w:tr>
      <w:tr w:rsidR="00BD03D1" w:rsidRPr="00A7422C" w14:paraId="1CC17267" w14:textId="77777777" w:rsidTr="00BD03D1">
        <w:trPr>
          <w:trHeight w:hRule="exact" w:val="423"/>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6A2246D1" w14:textId="77777777" w:rsidR="00BD03D1" w:rsidRPr="00A11E6B" w:rsidRDefault="00BD03D1" w:rsidP="0093108E">
            <w:pPr>
              <w:spacing w:after="0" w:line="240" w:lineRule="auto"/>
              <w:jc w:val="left"/>
              <w:rPr>
                <w:rFonts w:asciiTheme="majorHAnsi" w:hAnsiTheme="majorHAnsi" w:cstheme="majorHAnsi"/>
                <w:sz w:val="16"/>
                <w:lang w:eastAsia="hu-HU"/>
              </w:rPr>
            </w:pPr>
            <w:r w:rsidRPr="00A11E6B">
              <w:rPr>
                <w:rFonts w:asciiTheme="majorHAnsi" w:hAnsiTheme="majorHAnsi" w:cstheme="majorHAnsi"/>
                <w:sz w:val="16"/>
                <w:lang w:eastAsia="hu-HU"/>
              </w:rPr>
              <w:t>A nevelés-oktatás belső egyensúlyának biztosítása</w:t>
            </w:r>
          </w:p>
        </w:tc>
        <w:tc>
          <w:tcPr>
            <w:tcW w:w="354" w:type="dxa"/>
            <w:tcBorders>
              <w:top w:val="nil"/>
              <w:left w:val="nil"/>
              <w:bottom w:val="single" w:sz="4" w:space="0" w:color="auto"/>
              <w:right w:val="single" w:sz="4" w:space="0" w:color="auto"/>
            </w:tcBorders>
            <w:shd w:val="clear" w:color="auto" w:fill="auto"/>
            <w:noWrap/>
            <w:vAlign w:val="center"/>
            <w:hideMark/>
          </w:tcPr>
          <w:p w14:paraId="4003BA0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6A05AE2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76F642A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606763D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47" w:type="dxa"/>
            <w:tcBorders>
              <w:top w:val="nil"/>
              <w:left w:val="nil"/>
              <w:bottom w:val="single" w:sz="4" w:space="0" w:color="auto"/>
              <w:right w:val="single" w:sz="4" w:space="0" w:color="auto"/>
            </w:tcBorders>
            <w:shd w:val="clear" w:color="auto" w:fill="auto"/>
            <w:noWrap/>
            <w:vAlign w:val="center"/>
            <w:hideMark/>
          </w:tcPr>
          <w:p w14:paraId="796D4BD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7102C40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vAlign w:val="center"/>
          </w:tcPr>
          <w:p w14:paraId="63761862" w14:textId="2DD4E6A6"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2263900" w14:textId="63237CC2"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7AD65DB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F65785C" w14:textId="32E79F48"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r>
              <w:rPr>
                <w:rFonts w:asciiTheme="majorHAnsi" w:hAnsiTheme="majorHAnsi" w:cstheme="majorHAnsi"/>
                <w:color w:val="000000"/>
                <w:sz w:val="16"/>
                <w:lang w:eastAsia="hu-HU"/>
              </w:rPr>
              <w:t>x</w:t>
            </w:r>
          </w:p>
        </w:tc>
        <w:tc>
          <w:tcPr>
            <w:tcW w:w="283" w:type="dxa"/>
            <w:tcBorders>
              <w:top w:val="nil"/>
              <w:left w:val="nil"/>
              <w:bottom w:val="single" w:sz="4" w:space="0" w:color="auto"/>
              <w:right w:val="single" w:sz="4" w:space="0" w:color="auto"/>
            </w:tcBorders>
            <w:shd w:val="clear" w:color="auto" w:fill="auto"/>
            <w:noWrap/>
            <w:vAlign w:val="center"/>
            <w:hideMark/>
          </w:tcPr>
          <w:p w14:paraId="52C7469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41EB577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7C8800F7" w14:textId="32C3E87D" w:rsidR="00BD03D1" w:rsidRPr="00A7422C" w:rsidRDefault="006C4058"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r w:rsidR="00BD03D1"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7667EB1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89A0A88" w14:textId="293F247F"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55" w:type="dxa"/>
            <w:tcBorders>
              <w:top w:val="nil"/>
              <w:left w:val="nil"/>
              <w:bottom w:val="single" w:sz="4" w:space="0" w:color="auto"/>
              <w:right w:val="single" w:sz="4" w:space="0" w:color="auto"/>
            </w:tcBorders>
            <w:shd w:val="clear" w:color="auto" w:fill="auto"/>
            <w:noWrap/>
            <w:vAlign w:val="center"/>
            <w:hideMark/>
          </w:tcPr>
          <w:p w14:paraId="1892AE3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51" w:type="dxa"/>
            <w:tcBorders>
              <w:top w:val="nil"/>
              <w:left w:val="nil"/>
              <w:bottom w:val="single" w:sz="4" w:space="0" w:color="auto"/>
              <w:right w:val="single" w:sz="4" w:space="0" w:color="auto"/>
            </w:tcBorders>
            <w:shd w:val="clear" w:color="auto" w:fill="auto"/>
            <w:noWrap/>
            <w:vAlign w:val="center"/>
            <w:hideMark/>
          </w:tcPr>
          <w:p w14:paraId="4E315CC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598" w:type="dxa"/>
            <w:tcBorders>
              <w:top w:val="nil"/>
              <w:left w:val="nil"/>
              <w:bottom w:val="single" w:sz="4" w:space="0" w:color="auto"/>
              <w:right w:val="single" w:sz="4" w:space="0" w:color="auto"/>
            </w:tcBorders>
            <w:shd w:val="clear" w:color="auto" w:fill="auto"/>
            <w:noWrap/>
            <w:vAlign w:val="center"/>
            <w:hideMark/>
          </w:tcPr>
          <w:p w14:paraId="56C1030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459D067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71" w:type="dxa"/>
            <w:tcBorders>
              <w:top w:val="single" w:sz="4" w:space="0" w:color="auto"/>
              <w:left w:val="single" w:sz="4" w:space="0" w:color="auto"/>
              <w:bottom w:val="single" w:sz="4" w:space="0" w:color="auto"/>
              <w:right w:val="single" w:sz="4" w:space="0" w:color="auto"/>
            </w:tcBorders>
            <w:vAlign w:val="center"/>
          </w:tcPr>
          <w:p w14:paraId="340EF46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58" w:type="dxa"/>
            <w:tcBorders>
              <w:top w:val="single" w:sz="4" w:space="0" w:color="auto"/>
              <w:left w:val="single" w:sz="4" w:space="0" w:color="auto"/>
              <w:bottom w:val="single" w:sz="4" w:space="0" w:color="auto"/>
              <w:right w:val="single" w:sz="4" w:space="0" w:color="auto"/>
            </w:tcBorders>
            <w:vAlign w:val="center"/>
          </w:tcPr>
          <w:p w14:paraId="3CC2EB1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r>
      <w:tr w:rsidR="00BD03D1" w:rsidRPr="00A7422C" w14:paraId="6D1DCD6B" w14:textId="77777777" w:rsidTr="00BD03D1">
        <w:trPr>
          <w:trHeight w:hRule="exact" w:val="415"/>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444E90DD" w14:textId="77777777" w:rsidR="00BD03D1" w:rsidRPr="00A11E6B" w:rsidRDefault="00BD03D1" w:rsidP="0093108E">
            <w:pPr>
              <w:spacing w:after="0" w:line="240" w:lineRule="auto"/>
              <w:jc w:val="left"/>
              <w:rPr>
                <w:rFonts w:asciiTheme="majorHAnsi" w:hAnsiTheme="majorHAnsi" w:cstheme="majorHAnsi"/>
                <w:sz w:val="16"/>
                <w:lang w:eastAsia="hu-HU"/>
              </w:rPr>
            </w:pPr>
            <w:r w:rsidRPr="00A11E6B">
              <w:rPr>
                <w:rFonts w:asciiTheme="majorHAnsi" w:hAnsiTheme="majorHAnsi" w:cstheme="majorHAnsi"/>
                <w:sz w:val="16"/>
                <w:lang w:eastAsia="hu-HU"/>
              </w:rPr>
              <w:t>A k</w:t>
            </w:r>
            <w:r>
              <w:rPr>
                <w:rFonts w:asciiTheme="majorHAnsi" w:hAnsiTheme="majorHAnsi" w:cstheme="majorHAnsi"/>
                <w:sz w:val="16"/>
                <w:lang w:eastAsia="hu-HU"/>
              </w:rPr>
              <w:t>is</w:t>
            </w:r>
            <w:r w:rsidRPr="00A11E6B">
              <w:rPr>
                <w:rFonts w:asciiTheme="majorHAnsi" w:hAnsiTheme="majorHAnsi" w:cstheme="majorHAnsi"/>
                <w:sz w:val="16"/>
                <w:lang w:eastAsia="hu-HU"/>
              </w:rPr>
              <w:t>gyermekkori intézményes nevelésoktatás</w:t>
            </w:r>
          </w:p>
        </w:tc>
        <w:tc>
          <w:tcPr>
            <w:tcW w:w="354" w:type="dxa"/>
            <w:tcBorders>
              <w:top w:val="nil"/>
              <w:left w:val="nil"/>
              <w:bottom w:val="single" w:sz="4" w:space="0" w:color="auto"/>
              <w:right w:val="single" w:sz="4" w:space="0" w:color="auto"/>
            </w:tcBorders>
            <w:shd w:val="clear" w:color="auto" w:fill="auto"/>
            <w:noWrap/>
            <w:vAlign w:val="center"/>
            <w:hideMark/>
          </w:tcPr>
          <w:p w14:paraId="1518580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61F529E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15547ED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65920F3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47" w:type="dxa"/>
            <w:tcBorders>
              <w:top w:val="nil"/>
              <w:left w:val="nil"/>
              <w:bottom w:val="single" w:sz="4" w:space="0" w:color="auto"/>
              <w:right w:val="single" w:sz="4" w:space="0" w:color="auto"/>
            </w:tcBorders>
            <w:shd w:val="clear" w:color="auto" w:fill="auto"/>
            <w:noWrap/>
            <w:vAlign w:val="center"/>
            <w:hideMark/>
          </w:tcPr>
          <w:p w14:paraId="2F5E6B0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543DA2C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34" w:type="dxa"/>
            <w:tcBorders>
              <w:top w:val="single" w:sz="4" w:space="0" w:color="auto"/>
              <w:left w:val="nil"/>
              <w:bottom w:val="single" w:sz="4" w:space="0" w:color="auto"/>
              <w:right w:val="single" w:sz="4" w:space="0" w:color="auto"/>
            </w:tcBorders>
            <w:vAlign w:val="center"/>
          </w:tcPr>
          <w:p w14:paraId="3CF05AAD" w14:textId="5EECAF0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B9B341D" w14:textId="449255BF"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7B5B63A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C2B2BBA" w14:textId="0CD5A659"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4F396DB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0" w:type="dxa"/>
            <w:tcBorders>
              <w:top w:val="nil"/>
              <w:left w:val="nil"/>
              <w:bottom w:val="single" w:sz="4" w:space="0" w:color="auto"/>
              <w:right w:val="single" w:sz="4" w:space="0" w:color="auto"/>
            </w:tcBorders>
            <w:shd w:val="clear" w:color="auto" w:fill="auto"/>
            <w:noWrap/>
            <w:vAlign w:val="center"/>
            <w:hideMark/>
          </w:tcPr>
          <w:p w14:paraId="6931E12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3997D52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7FB2461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D86121" w14:textId="0BB37C3F"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5812F86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6AD0FB0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6E3A694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65" w:type="dxa"/>
            <w:tcBorders>
              <w:top w:val="single" w:sz="4" w:space="0" w:color="auto"/>
              <w:left w:val="nil"/>
              <w:bottom w:val="single" w:sz="4" w:space="0" w:color="auto"/>
              <w:right w:val="single" w:sz="4" w:space="0" w:color="auto"/>
            </w:tcBorders>
            <w:vAlign w:val="center"/>
          </w:tcPr>
          <w:p w14:paraId="51E56B7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71" w:type="dxa"/>
            <w:tcBorders>
              <w:top w:val="single" w:sz="4" w:space="0" w:color="auto"/>
              <w:left w:val="single" w:sz="4" w:space="0" w:color="auto"/>
              <w:bottom w:val="single" w:sz="4" w:space="0" w:color="auto"/>
              <w:right w:val="single" w:sz="4" w:space="0" w:color="auto"/>
            </w:tcBorders>
            <w:vAlign w:val="center"/>
          </w:tcPr>
          <w:p w14:paraId="695951C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58" w:type="dxa"/>
            <w:tcBorders>
              <w:top w:val="single" w:sz="4" w:space="0" w:color="auto"/>
              <w:left w:val="single" w:sz="4" w:space="0" w:color="auto"/>
              <w:bottom w:val="single" w:sz="4" w:space="0" w:color="auto"/>
              <w:right w:val="single" w:sz="4" w:space="0" w:color="auto"/>
            </w:tcBorders>
            <w:vAlign w:val="center"/>
          </w:tcPr>
          <w:p w14:paraId="22A3486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r>
      <w:tr w:rsidR="00BD03D1" w:rsidRPr="00A7422C" w14:paraId="30D9D417" w14:textId="77777777" w:rsidTr="00BD03D1">
        <w:trPr>
          <w:trHeight w:hRule="exact" w:val="278"/>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2B5E6394" w14:textId="77777777" w:rsidR="00BD03D1" w:rsidRPr="00A7422C" w:rsidRDefault="00BD03D1" w:rsidP="0093108E">
            <w:pPr>
              <w:spacing w:after="0" w:line="240" w:lineRule="auto"/>
              <w:jc w:val="left"/>
              <w:rPr>
                <w:rFonts w:asciiTheme="majorHAnsi" w:hAnsiTheme="majorHAnsi" w:cstheme="majorHAnsi"/>
                <w:color w:val="000000"/>
                <w:sz w:val="16"/>
                <w:lang w:eastAsia="hu-HU"/>
              </w:rPr>
            </w:pPr>
            <w:r>
              <w:rPr>
                <w:rFonts w:asciiTheme="majorHAnsi" w:hAnsiTheme="majorHAnsi" w:cstheme="majorHAnsi"/>
                <w:color w:val="000000"/>
                <w:sz w:val="16"/>
                <w:lang w:eastAsia="hu-HU"/>
              </w:rPr>
              <w:t>Pedagógusképzés</w:t>
            </w:r>
          </w:p>
        </w:tc>
        <w:tc>
          <w:tcPr>
            <w:tcW w:w="354" w:type="dxa"/>
            <w:tcBorders>
              <w:top w:val="nil"/>
              <w:left w:val="nil"/>
              <w:bottom w:val="single" w:sz="4" w:space="0" w:color="auto"/>
              <w:right w:val="single" w:sz="4" w:space="0" w:color="auto"/>
            </w:tcBorders>
            <w:shd w:val="clear" w:color="auto" w:fill="auto"/>
            <w:noWrap/>
            <w:vAlign w:val="center"/>
            <w:hideMark/>
          </w:tcPr>
          <w:p w14:paraId="5F1EF93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424B5B4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5FFA1B7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18FBBE0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47" w:type="dxa"/>
            <w:tcBorders>
              <w:top w:val="nil"/>
              <w:left w:val="nil"/>
              <w:bottom w:val="single" w:sz="4" w:space="0" w:color="auto"/>
              <w:right w:val="single" w:sz="4" w:space="0" w:color="auto"/>
            </w:tcBorders>
            <w:shd w:val="clear" w:color="auto" w:fill="auto"/>
            <w:noWrap/>
            <w:vAlign w:val="center"/>
            <w:hideMark/>
          </w:tcPr>
          <w:p w14:paraId="0CB5F5A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3B9EAD3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tcPr>
          <w:p w14:paraId="2A14B1C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168CA43" w14:textId="6BD373F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42" w:type="dxa"/>
            <w:tcBorders>
              <w:top w:val="single" w:sz="4" w:space="0" w:color="auto"/>
              <w:left w:val="nil"/>
              <w:bottom w:val="single" w:sz="4" w:space="0" w:color="auto"/>
              <w:right w:val="single" w:sz="4" w:space="0" w:color="auto"/>
            </w:tcBorders>
            <w:vAlign w:val="center"/>
          </w:tcPr>
          <w:p w14:paraId="3E46AC20" w14:textId="48EA6EED"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3C2442A8" w14:textId="7C0A9D6F"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561E0A7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0" w:type="dxa"/>
            <w:tcBorders>
              <w:top w:val="nil"/>
              <w:left w:val="nil"/>
              <w:bottom w:val="single" w:sz="4" w:space="0" w:color="auto"/>
              <w:right w:val="single" w:sz="4" w:space="0" w:color="auto"/>
            </w:tcBorders>
            <w:shd w:val="clear" w:color="auto" w:fill="auto"/>
            <w:noWrap/>
            <w:vAlign w:val="center"/>
            <w:hideMark/>
          </w:tcPr>
          <w:p w14:paraId="59842C2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3E9DD0F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7898232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76691E9" w14:textId="7537CBF3"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55" w:type="dxa"/>
            <w:tcBorders>
              <w:top w:val="nil"/>
              <w:left w:val="nil"/>
              <w:bottom w:val="single" w:sz="4" w:space="0" w:color="auto"/>
              <w:right w:val="single" w:sz="4" w:space="0" w:color="auto"/>
            </w:tcBorders>
            <w:shd w:val="clear" w:color="auto" w:fill="auto"/>
            <w:noWrap/>
            <w:vAlign w:val="center"/>
            <w:hideMark/>
          </w:tcPr>
          <w:p w14:paraId="44F86CF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51" w:type="dxa"/>
            <w:tcBorders>
              <w:top w:val="nil"/>
              <w:left w:val="nil"/>
              <w:bottom w:val="single" w:sz="4" w:space="0" w:color="auto"/>
              <w:right w:val="single" w:sz="4" w:space="0" w:color="auto"/>
            </w:tcBorders>
            <w:shd w:val="clear" w:color="auto" w:fill="auto"/>
            <w:noWrap/>
            <w:vAlign w:val="center"/>
            <w:hideMark/>
          </w:tcPr>
          <w:p w14:paraId="0979FB7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27B161C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65" w:type="dxa"/>
            <w:tcBorders>
              <w:top w:val="single" w:sz="4" w:space="0" w:color="auto"/>
              <w:left w:val="nil"/>
              <w:bottom w:val="single" w:sz="4" w:space="0" w:color="auto"/>
              <w:right w:val="single" w:sz="4" w:space="0" w:color="auto"/>
            </w:tcBorders>
            <w:vAlign w:val="center"/>
          </w:tcPr>
          <w:p w14:paraId="5B0186D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649F5EC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5104666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0301CF66" w14:textId="77777777" w:rsidTr="006C4058">
        <w:trPr>
          <w:trHeight w:hRule="exact" w:val="464"/>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2FAA3931" w14:textId="77777777" w:rsidR="00BD03D1" w:rsidRPr="00A7422C" w:rsidRDefault="00BD03D1" w:rsidP="0093108E">
            <w:pPr>
              <w:spacing w:after="0" w:line="240" w:lineRule="auto"/>
              <w:jc w:val="left"/>
              <w:rPr>
                <w:rFonts w:asciiTheme="majorHAnsi" w:hAnsiTheme="majorHAnsi" w:cstheme="majorHAnsi"/>
                <w:color w:val="000000"/>
                <w:sz w:val="16"/>
                <w:lang w:eastAsia="hu-HU"/>
              </w:rPr>
            </w:pPr>
            <w:r>
              <w:rPr>
                <w:rFonts w:asciiTheme="majorHAnsi" w:hAnsiTheme="majorHAnsi" w:cstheme="majorHAnsi"/>
                <w:color w:val="000000"/>
                <w:sz w:val="16"/>
                <w:lang w:eastAsia="hu-HU"/>
              </w:rPr>
              <w:t>P</w:t>
            </w:r>
            <w:r w:rsidRPr="00A7422C">
              <w:rPr>
                <w:rFonts w:asciiTheme="majorHAnsi" w:hAnsiTheme="majorHAnsi" w:cstheme="majorHAnsi"/>
                <w:color w:val="000000"/>
                <w:sz w:val="16"/>
                <w:lang w:eastAsia="hu-HU"/>
              </w:rPr>
              <w:t xml:space="preserve">edagógus-továbbképzési rendszer </w:t>
            </w:r>
          </w:p>
        </w:tc>
        <w:tc>
          <w:tcPr>
            <w:tcW w:w="354" w:type="dxa"/>
            <w:tcBorders>
              <w:top w:val="nil"/>
              <w:left w:val="nil"/>
              <w:bottom w:val="single" w:sz="4" w:space="0" w:color="auto"/>
              <w:right w:val="single" w:sz="4" w:space="0" w:color="auto"/>
            </w:tcBorders>
            <w:shd w:val="clear" w:color="auto" w:fill="auto"/>
            <w:noWrap/>
            <w:vAlign w:val="center"/>
            <w:hideMark/>
          </w:tcPr>
          <w:p w14:paraId="3060E78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109F71B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4FD9AE5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6D019F3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7246AF0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1CB50DC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tcPr>
          <w:p w14:paraId="10E33A2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8DEB00F" w14:textId="76F43005"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vAlign w:val="center"/>
          </w:tcPr>
          <w:p w14:paraId="76E313DD" w14:textId="305407EA"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21519B3" w14:textId="38462AC2"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3E87B13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76A7100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021ED67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069A0E9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415E7FE" w14:textId="7F8AB04A"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55" w:type="dxa"/>
            <w:tcBorders>
              <w:top w:val="nil"/>
              <w:left w:val="nil"/>
              <w:bottom w:val="single" w:sz="4" w:space="0" w:color="auto"/>
              <w:right w:val="single" w:sz="4" w:space="0" w:color="auto"/>
            </w:tcBorders>
            <w:shd w:val="clear" w:color="auto" w:fill="auto"/>
            <w:noWrap/>
            <w:vAlign w:val="center"/>
            <w:hideMark/>
          </w:tcPr>
          <w:p w14:paraId="077202E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51" w:type="dxa"/>
            <w:tcBorders>
              <w:top w:val="nil"/>
              <w:left w:val="nil"/>
              <w:bottom w:val="single" w:sz="4" w:space="0" w:color="auto"/>
              <w:right w:val="single" w:sz="4" w:space="0" w:color="auto"/>
            </w:tcBorders>
            <w:shd w:val="clear" w:color="auto" w:fill="auto"/>
            <w:noWrap/>
            <w:vAlign w:val="center"/>
            <w:hideMark/>
          </w:tcPr>
          <w:p w14:paraId="3BE5F34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7FB25D0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78A6DF6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71" w:type="dxa"/>
            <w:tcBorders>
              <w:top w:val="single" w:sz="4" w:space="0" w:color="auto"/>
              <w:left w:val="single" w:sz="4" w:space="0" w:color="auto"/>
              <w:bottom w:val="single" w:sz="4" w:space="0" w:color="auto"/>
              <w:right w:val="single" w:sz="4" w:space="0" w:color="auto"/>
            </w:tcBorders>
            <w:vAlign w:val="center"/>
          </w:tcPr>
          <w:p w14:paraId="34D47B5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58" w:type="dxa"/>
            <w:tcBorders>
              <w:top w:val="single" w:sz="4" w:space="0" w:color="auto"/>
              <w:left w:val="single" w:sz="4" w:space="0" w:color="auto"/>
              <w:bottom w:val="single" w:sz="4" w:space="0" w:color="auto"/>
              <w:right w:val="single" w:sz="4" w:space="0" w:color="auto"/>
            </w:tcBorders>
            <w:vAlign w:val="center"/>
          </w:tcPr>
          <w:p w14:paraId="568D3A4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r>
      <w:tr w:rsidR="00BD03D1" w:rsidRPr="00A7422C" w14:paraId="682D99F5" w14:textId="77777777" w:rsidTr="00BD03D1">
        <w:trPr>
          <w:trHeight w:hRule="exact" w:val="286"/>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777E3D77" w14:textId="77777777" w:rsidR="00BD03D1" w:rsidRPr="00A7422C" w:rsidRDefault="00BD03D1" w:rsidP="0093108E">
            <w:pPr>
              <w:spacing w:after="0" w:line="240" w:lineRule="auto"/>
              <w:jc w:val="left"/>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Pedagógus minősítési</w:t>
            </w:r>
            <w:r>
              <w:rPr>
                <w:rFonts w:asciiTheme="majorHAnsi" w:hAnsiTheme="majorHAnsi" w:cstheme="majorHAnsi"/>
                <w:color w:val="000000"/>
                <w:sz w:val="16"/>
                <w:lang w:eastAsia="hu-HU"/>
              </w:rPr>
              <w:t>-</w:t>
            </w:r>
            <w:r w:rsidRPr="00A7422C">
              <w:rPr>
                <w:rFonts w:asciiTheme="majorHAnsi" w:hAnsiTheme="majorHAnsi" w:cstheme="majorHAnsi"/>
                <w:color w:val="000000"/>
                <w:sz w:val="16"/>
                <w:lang w:eastAsia="hu-HU"/>
              </w:rPr>
              <w:t>rendszer</w:t>
            </w:r>
          </w:p>
        </w:tc>
        <w:tc>
          <w:tcPr>
            <w:tcW w:w="354" w:type="dxa"/>
            <w:tcBorders>
              <w:top w:val="nil"/>
              <w:left w:val="nil"/>
              <w:bottom w:val="single" w:sz="4" w:space="0" w:color="auto"/>
              <w:right w:val="single" w:sz="4" w:space="0" w:color="auto"/>
            </w:tcBorders>
            <w:shd w:val="clear" w:color="auto" w:fill="auto"/>
            <w:noWrap/>
            <w:vAlign w:val="center"/>
            <w:hideMark/>
          </w:tcPr>
          <w:p w14:paraId="4108EE0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4" w:type="dxa"/>
            <w:tcBorders>
              <w:top w:val="nil"/>
              <w:left w:val="nil"/>
              <w:bottom w:val="single" w:sz="4" w:space="0" w:color="auto"/>
              <w:right w:val="single" w:sz="4" w:space="0" w:color="auto"/>
            </w:tcBorders>
            <w:shd w:val="clear" w:color="auto" w:fill="auto"/>
            <w:noWrap/>
            <w:vAlign w:val="center"/>
            <w:hideMark/>
          </w:tcPr>
          <w:p w14:paraId="0EA04D6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36C6072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660CB5A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10A2F0F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5602E6E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tcPr>
          <w:p w14:paraId="6685C90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8612E71" w14:textId="783A100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7BBCB42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33F8EEC" w14:textId="007DF8C1"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485AE6D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6256067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1943E17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06ED981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C2CABCD" w14:textId="5F2E1BCE"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38C7CC1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63EC4D9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7B687FA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72F60A8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63FF97D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5F70099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7DF17CEB" w14:textId="77777777" w:rsidTr="00BD03D1">
        <w:trPr>
          <w:trHeight w:hRule="exact" w:val="277"/>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3878489C" w14:textId="77777777" w:rsidR="00BD03D1" w:rsidRPr="00A7422C" w:rsidRDefault="00BD03D1" w:rsidP="0093108E">
            <w:pPr>
              <w:spacing w:after="0" w:line="240" w:lineRule="auto"/>
              <w:jc w:val="left"/>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Pályaszocializáció elősegítése</w:t>
            </w:r>
          </w:p>
        </w:tc>
        <w:tc>
          <w:tcPr>
            <w:tcW w:w="354" w:type="dxa"/>
            <w:tcBorders>
              <w:top w:val="nil"/>
              <w:left w:val="nil"/>
              <w:bottom w:val="single" w:sz="4" w:space="0" w:color="auto"/>
              <w:right w:val="single" w:sz="4" w:space="0" w:color="auto"/>
            </w:tcBorders>
            <w:shd w:val="clear" w:color="auto" w:fill="auto"/>
            <w:noWrap/>
            <w:vAlign w:val="center"/>
            <w:hideMark/>
          </w:tcPr>
          <w:p w14:paraId="7986652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33E2A8B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197016F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5" w:type="dxa"/>
            <w:tcBorders>
              <w:top w:val="nil"/>
              <w:left w:val="nil"/>
              <w:bottom w:val="single" w:sz="4" w:space="0" w:color="auto"/>
              <w:right w:val="single" w:sz="4" w:space="0" w:color="auto"/>
            </w:tcBorders>
            <w:shd w:val="clear" w:color="auto" w:fill="auto"/>
            <w:noWrap/>
            <w:vAlign w:val="center"/>
            <w:hideMark/>
          </w:tcPr>
          <w:p w14:paraId="7C2E571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18D14C7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306ED24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tcPr>
          <w:p w14:paraId="4C12189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68613B0" w14:textId="357E5F12"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6C8D320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0AE0043" w14:textId="1157B37B"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2E4CBC1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50D8AF9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23D46AF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14CE62C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7194022" w14:textId="63F04D32"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0EBE122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2CCA0AD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5E0E192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5DE767C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1184EDC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33A28C6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622B963C" w14:textId="77777777" w:rsidTr="00BD03D1">
        <w:trPr>
          <w:trHeight w:hRule="exact" w:val="422"/>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34524F57" w14:textId="68CDF082" w:rsidR="00BD03D1" w:rsidRPr="00A7422C" w:rsidRDefault="00BD03D1" w:rsidP="0093108E">
            <w:pPr>
              <w:spacing w:after="0" w:line="240" w:lineRule="auto"/>
              <w:jc w:val="left"/>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lastRenderedPageBreak/>
              <w:t>A pedagógiai szakmai munka értékelése, tanf</w:t>
            </w:r>
            <w:r>
              <w:rPr>
                <w:rFonts w:asciiTheme="majorHAnsi" w:hAnsiTheme="majorHAnsi" w:cstheme="majorHAnsi"/>
                <w:color w:val="000000"/>
                <w:sz w:val="16"/>
                <w:lang w:eastAsia="hu-HU"/>
              </w:rPr>
              <w:t>elügyelet</w:t>
            </w:r>
            <w:r w:rsidRPr="00A7422C">
              <w:rPr>
                <w:rFonts w:asciiTheme="majorHAnsi" w:hAnsiTheme="majorHAnsi" w:cstheme="majorHAnsi"/>
                <w:color w:val="000000"/>
                <w:sz w:val="16"/>
                <w:lang w:eastAsia="hu-HU"/>
              </w:rPr>
              <w:t xml:space="preserve"> szaktanácsadás</w:t>
            </w:r>
          </w:p>
        </w:tc>
        <w:tc>
          <w:tcPr>
            <w:tcW w:w="354" w:type="dxa"/>
            <w:tcBorders>
              <w:top w:val="nil"/>
              <w:left w:val="nil"/>
              <w:bottom w:val="single" w:sz="4" w:space="0" w:color="auto"/>
              <w:right w:val="single" w:sz="4" w:space="0" w:color="auto"/>
            </w:tcBorders>
            <w:shd w:val="clear" w:color="auto" w:fill="auto"/>
            <w:noWrap/>
            <w:vAlign w:val="center"/>
            <w:hideMark/>
          </w:tcPr>
          <w:p w14:paraId="54BA7BC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112B132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3C89954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5" w:type="dxa"/>
            <w:tcBorders>
              <w:top w:val="nil"/>
              <w:left w:val="nil"/>
              <w:bottom w:val="single" w:sz="4" w:space="0" w:color="auto"/>
              <w:right w:val="single" w:sz="4" w:space="0" w:color="auto"/>
            </w:tcBorders>
            <w:shd w:val="clear" w:color="auto" w:fill="auto"/>
            <w:noWrap/>
            <w:vAlign w:val="center"/>
            <w:hideMark/>
          </w:tcPr>
          <w:p w14:paraId="0531B3A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5EC5806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59DBE9D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tcPr>
          <w:p w14:paraId="3F911D9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64A72264" w14:textId="6D465E00"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42" w:type="dxa"/>
            <w:tcBorders>
              <w:top w:val="single" w:sz="4" w:space="0" w:color="auto"/>
              <w:left w:val="nil"/>
              <w:bottom w:val="single" w:sz="4" w:space="0" w:color="auto"/>
              <w:right w:val="single" w:sz="4" w:space="0" w:color="auto"/>
            </w:tcBorders>
          </w:tcPr>
          <w:p w14:paraId="1F18F22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ADF3A21" w14:textId="7FC40C4D"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60C6021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274B212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08444F4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098EEBC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A23CC5" w14:textId="4CAFA662"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4E02339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4581585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0E277F9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1C577AB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630C49D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6979011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21A6F5E3" w14:textId="77777777" w:rsidTr="00BD03D1">
        <w:trPr>
          <w:trHeight w:hRule="exact" w:val="444"/>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3D2F758E" w14:textId="77777777" w:rsidR="00BD03D1" w:rsidRPr="00A7422C" w:rsidRDefault="00BD03D1" w:rsidP="0093108E">
            <w:pPr>
              <w:spacing w:after="0" w:line="240" w:lineRule="auto"/>
              <w:jc w:val="left"/>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Az intézményvezetői munka hatékonyságának növelése</w:t>
            </w:r>
          </w:p>
        </w:tc>
        <w:tc>
          <w:tcPr>
            <w:tcW w:w="354" w:type="dxa"/>
            <w:tcBorders>
              <w:top w:val="nil"/>
              <w:left w:val="nil"/>
              <w:bottom w:val="single" w:sz="4" w:space="0" w:color="auto"/>
              <w:right w:val="single" w:sz="4" w:space="0" w:color="auto"/>
            </w:tcBorders>
            <w:shd w:val="clear" w:color="auto" w:fill="auto"/>
            <w:noWrap/>
            <w:vAlign w:val="center"/>
            <w:hideMark/>
          </w:tcPr>
          <w:p w14:paraId="60BDA8C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6701564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3957B62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74F430F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5707470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4D3D96F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34" w:type="dxa"/>
            <w:tcBorders>
              <w:top w:val="single" w:sz="4" w:space="0" w:color="auto"/>
              <w:left w:val="nil"/>
              <w:bottom w:val="single" w:sz="4" w:space="0" w:color="auto"/>
              <w:right w:val="single" w:sz="4" w:space="0" w:color="auto"/>
            </w:tcBorders>
          </w:tcPr>
          <w:p w14:paraId="632A5E4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4ED54205" w14:textId="3D28D96F"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2AE88D9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6528DCF" w14:textId="1B0F0968"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08172FC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7C91404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6B5CEE1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7AE339F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5D438" w14:textId="4AF6D8AD"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314B64A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34611B4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0C5F7C7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46375BC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71" w:type="dxa"/>
            <w:tcBorders>
              <w:top w:val="single" w:sz="4" w:space="0" w:color="auto"/>
              <w:left w:val="single" w:sz="4" w:space="0" w:color="auto"/>
              <w:bottom w:val="single" w:sz="4" w:space="0" w:color="auto"/>
              <w:right w:val="single" w:sz="4" w:space="0" w:color="auto"/>
            </w:tcBorders>
            <w:vAlign w:val="center"/>
          </w:tcPr>
          <w:p w14:paraId="54C93DC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58" w:type="dxa"/>
            <w:tcBorders>
              <w:top w:val="single" w:sz="4" w:space="0" w:color="auto"/>
              <w:left w:val="single" w:sz="4" w:space="0" w:color="auto"/>
              <w:bottom w:val="single" w:sz="4" w:space="0" w:color="auto"/>
              <w:right w:val="single" w:sz="4" w:space="0" w:color="auto"/>
            </w:tcBorders>
            <w:vAlign w:val="center"/>
          </w:tcPr>
          <w:p w14:paraId="4754F77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r>
      <w:tr w:rsidR="00BD03D1" w:rsidRPr="00A7422C" w14:paraId="7F5EFB96" w14:textId="77777777" w:rsidTr="00BD03D1">
        <w:trPr>
          <w:trHeight w:hRule="exact" w:val="421"/>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1D33D4E4" w14:textId="77777777" w:rsidR="00BD03D1" w:rsidRPr="00A7422C" w:rsidRDefault="00BD03D1" w:rsidP="0093108E">
            <w:pPr>
              <w:spacing w:after="0" w:line="240" w:lineRule="auto"/>
              <w:jc w:val="left"/>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Intézményvezetők mérése, ellenőrzése (monitoring rendszer)</w:t>
            </w:r>
          </w:p>
        </w:tc>
        <w:tc>
          <w:tcPr>
            <w:tcW w:w="354" w:type="dxa"/>
            <w:tcBorders>
              <w:top w:val="nil"/>
              <w:left w:val="nil"/>
              <w:bottom w:val="single" w:sz="4" w:space="0" w:color="auto"/>
              <w:right w:val="single" w:sz="4" w:space="0" w:color="auto"/>
            </w:tcBorders>
            <w:shd w:val="clear" w:color="auto" w:fill="auto"/>
            <w:noWrap/>
            <w:vAlign w:val="center"/>
            <w:hideMark/>
          </w:tcPr>
          <w:p w14:paraId="687AF6F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4" w:type="dxa"/>
            <w:tcBorders>
              <w:top w:val="nil"/>
              <w:left w:val="nil"/>
              <w:bottom w:val="single" w:sz="4" w:space="0" w:color="auto"/>
              <w:right w:val="single" w:sz="4" w:space="0" w:color="auto"/>
            </w:tcBorders>
            <w:shd w:val="clear" w:color="auto" w:fill="auto"/>
            <w:noWrap/>
            <w:vAlign w:val="center"/>
            <w:hideMark/>
          </w:tcPr>
          <w:p w14:paraId="5061F85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597FFBF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5" w:type="dxa"/>
            <w:tcBorders>
              <w:top w:val="nil"/>
              <w:left w:val="nil"/>
              <w:bottom w:val="single" w:sz="4" w:space="0" w:color="auto"/>
              <w:right w:val="single" w:sz="4" w:space="0" w:color="auto"/>
            </w:tcBorders>
            <w:shd w:val="clear" w:color="auto" w:fill="auto"/>
            <w:noWrap/>
            <w:vAlign w:val="center"/>
            <w:hideMark/>
          </w:tcPr>
          <w:p w14:paraId="1DF10F1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43DCA43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0294E16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tcPr>
          <w:p w14:paraId="3272ABB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497AC7F" w14:textId="6B6F934C"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44373FA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69C13E95" w14:textId="368C6CD0"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358ABEA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26C2104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7DF718F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2984A60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B854C71" w14:textId="7A339FC1"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13D2520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06A0F11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674DDB7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30E860F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5DDC67D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6B88EFA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28035301" w14:textId="77777777" w:rsidTr="00BD03D1">
        <w:trPr>
          <w:trHeight w:hRule="exact" w:val="413"/>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79E6978F" w14:textId="77777777" w:rsidR="00BD03D1" w:rsidRPr="00A11E6B" w:rsidRDefault="00BD03D1" w:rsidP="0093108E">
            <w:pPr>
              <w:spacing w:after="0" w:line="240" w:lineRule="auto"/>
              <w:jc w:val="left"/>
              <w:rPr>
                <w:rFonts w:asciiTheme="majorHAnsi" w:hAnsiTheme="majorHAnsi" w:cstheme="majorHAnsi"/>
                <w:sz w:val="16"/>
                <w:lang w:eastAsia="hu-HU"/>
              </w:rPr>
            </w:pPr>
            <w:r w:rsidRPr="00A11E6B">
              <w:rPr>
                <w:rFonts w:asciiTheme="majorHAnsi" w:hAnsiTheme="majorHAnsi" w:cstheme="majorHAnsi"/>
                <w:sz w:val="16"/>
                <w:lang w:eastAsia="hu-HU"/>
              </w:rPr>
              <w:t>Alulteljesítők</w:t>
            </w:r>
            <w:r>
              <w:rPr>
                <w:rFonts w:asciiTheme="majorHAnsi" w:hAnsiTheme="majorHAnsi" w:cstheme="majorHAnsi"/>
                <w:sz w:val="16"/>
                <w:lang w:eastAsia="hu-HU"/>
              </w:rPr>
              <w:t xml:space="preserve">, korai iskolaelhagyók </w:t>
            </w:r>
            <w:r w:rsidRPr="00A11E6B">
              <w:rPr>
                <w:rFonts w:asciiTheme="majorHAnsi" w:hAnsiTheme="majorHAnsi" w:cstheme="majorHAnsi"/>
                <w:sz w:val="16"/>
                <w:lang w:eastAsia="hu-HU"/>
              </w:rPr>
              <w:t>arányának csökkentése</w:t>
            </w:r>
          </w:p>
        </w:tc>
        <w:tc>
          <w:tcPr>
            <w:tcW w:w="354" w:type="dxa"/>
            <w:tcBorders>
              <w:top w:val="nil"/>
              <w:left w:val="nil"/>
              <w:bottom w:val="single" w:sz="4" w:space="0" w:color="auto"/>
              <w:right w:val="single" w:sz="4" w:space="0" w:color="auto"/>
            </w:tcBorders>
            <w:shd w:val="clear" w:color="auto" w:fill="auto"/>
            <w:noWrap/>
            <w:vAlign w:val="center"/>
            <w:hideMark/>
          </w:tcPr>
          <w:p w14:paraId="1E5142B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2E78FA0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721D14C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60B299D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47" w:type="dxa"/>
            <w:tcBorders>
              <w:top w:val="nil"/>
              <w:left w:val="nil"/>
              <w:bottom w:val="single" w:sz="4" w:space="0" w:color="auto"/>
              <w:right w:val="single" w:sz="4" w:space="0" w:color="auto"/>
            </w:tcBorders>
            <w:shd w:val="clear" w:color="auto" w:fill="auto"/>
            <w:noWrap/>
            <w:vAlign w:val="center"/>
            <w:hideMark/>
          </w:tcPr>
          <w:p w14:paraId="3EC3AF1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74208F6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vAlign w:val="center"/>
          </w:tcPr>
          <w:p w14:paraId="4EBBB190" w14:textId="3E5CC47D"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029FC92" w14:textId="743274E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42" w:type="dxa"/>
            <w:tcBorders>
              <w:top w:val="single" w:sz="4" w:space="0" w:color="auto"/>
              <w:left w:val="nil"/>
              <w:bottom w:val="single" w:sz="4" w:space="0" w:color="auto"/>
              <w:right w:val="single" w:sz="4" w:space="0" w:color="auto"/>
            </w:tcBorders>
          </w:tcPr>
          <w:p w14:paraId="17056E4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5CB2FA7" w14:textId="1692C111"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5EEFDF8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335E166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3B8F472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5CC795E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2A8E701" w14:textId="60E21835"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24B2CA5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7A08145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23011DB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7CDD62F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71" w:type="dxa"/>
            <w:tcBorders>
              <w:top w:val="single" w:sz="4" w:space="0" w:color="auto"/>
              <w:left w:val="single" w:sz="4" w:space="0" w:color="auto"/>
              <w:bottom w:val="single" w:sz="4" w:space="0" w:color="auto"/>
              <w:right w:val="single" w:sz="4" w:space="0" w:color="auto"/>
            </w:tcBorders>
            <w:vAlign w:val="center"/>
          </w:tcPr>
          <w:p w14:paraId="542AC97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258" w:type="dxa"/>
            <w:tcBorders>
              <w:top w:val="single" w:sz="4" w:space="0" w:color="auto"/>
              <w:left w:val="single" w:sz="4" w:space="0" w:color="auto"/>
              <w:bottom w:val="single" w:sz="4" w:space="0" w:color="auto"/>
              <w:right w:val="single" w:sz="4" w:space="0" w:color="auto"/>
            </w:tcBorders>
            <w:vAlign w:val="center"/>
          </w:tcPr>
          <w:p w14:paraId="087FC05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r>
      <w:tr w:rsidR="00BD03D1" w:rsidRPr="00A7422C" w14:paraId="16183F78" w14:textId="77777777" w:rsidTr="006C4058">
        <w:trPr>
          <w:trHeight w:hRule="exact" w:val="457"/>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22940F14" w14:textId="77777777" w:rsidR="00BD03D1" w:rsidRPr="00A11E6B" w:rsidRDefault="00BD03D1" w:rsidP="0093108E">
            <w:pPr>
              <w:spacing w:after="0" w:line="240" w:lineRule="auto"/>
              <w:jc w:val="left"/>
              <w:rPr>
                <w:rFonts w:asciiTheme="majorHAnsi" w:hAnsiTheme="majorHAnsi" w:cstheme="majorHAnsi"/>
                <w:sz w:val="16"/>
                <w:lang w:eastAsia="hu-HU"/>
              </w:rPr>
            </w:pPr>
            <w:r w:rsidRPr="00A11E6B">
              <w:rPr>
                <w:rFonts w:asciiTheme="majorHAnsi" w:hAnsiTheme="majorHAnsi" w:cstheme="majorHAnsi"/>
                <w:sz w:val="16"/>
                <w:lang w:eastAsia="hu-HU"/>
              </w:rPr>
              <w:t>Inkluzív nevelés-oktatás elősegítése</w:t>
            </w:r>
          </w:p>
        </w:tc>
        <w:tc>
          <w:tcPr>
            <w:tcW w:w="354" w:type="dxa"/>
            <w:tcBorders>
              <w:top w:val="nil"/>
              <w:left w:val="nil"/>
              <w:bottom w:val="single" w:sz="4" w:space="0" w:color="auto"/>
              <w:right w:val="single" w:sz="4" w:space="0" w:color="auto"/>
            </w:tcBorders>
            <w:shd w:val="clear" w:color="auto" w:fill="auto"/>
            <w:noWrap/>
            <w:vAlign w:val="center"/>
            <w:hideMark/>
          </w:tcPr>
          <w:p w14:paraId="2513313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6C5387E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5B91BE5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013F577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47" w:type="dxa"/>
            <w:tcBorders>
              <w:top w:val="nil"/>
              <w:left w:val="nil"/>
              <w:bottom w:val="single" w:sz="4" w:space="0" w:color="auto"/>
              <w:right w:val="single" w:sz="4" w:space="0" w:color="auto"/>
            </w:tcBorders>
            <w:shd w:val="clear" w:color="auto" w:fill="auto"/>
            <w:noWrap/>
            <w:vAlign w:val="center"/>
            <w:hideMark/>
          </w:tcPr>
          <w:p w14:paraId="760C080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469C3E5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34" w:type="dxa"/>
            <w:tcBorders>
              <w:top w:val="single" w:sz="4" w:space="0" w:color="auto"/>
              <w:left w:val="nil"/>
              <w:bottom w:val="single" w:sz="4" w:space="0" w:color="auto"/>
              <w:right w:val="single" w:sz="4" w:space="0" w:color="auto"/>
            </w:tcBorders>
            <w:vAlign w:val="center"/>
          </w:tcPr>
          <w:p w14:paraId="02E87062" w14:textId="29F252D0"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3119B73" w14:textId="1197AD85"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7CADCB4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5857BEC" w14:textId="4663C5F3"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r>
              <w:rPr>
                <w:rFonts w:asciiTheme="majorHAnsi" w:hAnsiTheme="majorHAnsi" w:cstheme="majorHAnsi"/>
                <w:color w:val="000000"/>
                <w:sz w:val="16"/>
                <w:lang w:eastAsia="hu-HU"/>
              </w:rPr>
              <w:t>x</w:t>
            </w:r>
          </w:p>
        </w:tc>
        <w:tc>
          <w:tcPr>
            <w:tcW w:w="283" w:type="dxa"/>
            <w:tcBorders>
              <w:top w:val="nil"/>
              <w:left w:val="nil"/>
              <w:bottom w:val="single" w:sz="4" w:space="0" w:color="auto"/>
              <w:right w:val="single" w:sz="4" w:space="0" w:color="auto"/>
            </w:tcBorders>
            <w:shd w:val="clear" w:color="auto" w:fill="auto"/>
            <w:noWrap/>
            <w:vAlign w:val="center"/>
            <w:hideMark/>
          </w:tcPr>
          <w:p w14:paraId="6CEFCAF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0" w:type="dxa"/>
            <w:tcBorders>
              <w:top w:val="nil"/>
              <w:left w:val="nil"/>
              <w:bottom w:val="single" w:sz="4" w:space="0" w:color="auto"/>
              <w:right w:val="single" w:sz="4" w:space="0" w:color="auto"/>
            </w:tcBorders>
            <w:shd w:val="clear" w:color="auto" w:fill="auto"/>
            <w:noWrap/>
            <w:vAlign w:val="center"/>
            <w:hideMark/>
          </w:tcPr>
          <w:p w14:paraId="464B96A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5CDFE5A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55" w:type="dxa"/>
            <w:tcBorders>
              <w:top w:val="single" w:sz="4" w:space="0" w:color="auto"/>
              <w:left w:val="nil"/>
              <w:bottom w:val="single" w:sz="4" w:space="0" w:color="auto"/>
              <w:right w:val="single" w:sz="4" w:space="0" w:color="auto"/>
            </w:tcBorders>
          </w:tcPr>
          <w:p w14:paraId="6035054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47B0999" w14:textId="6FCE80ED"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4F2BEDB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634AD1E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4864728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65" w:type="dxa"/>
            <w:tcBorders>
              <w:top w:val="single" w:sz="4" w:space="0" w:color="auto"/>
              <w:left w:val="nil"/>
              <w:bottom w:val="single" w:sz="4" w:space="0" w:color="auto"/>
              <w:right w:val="single" w:sz="4" w:space="0" w:color="auto"/>
            </w:tcBorders>
            <w:vAlign w:val="center"/>
          </w:tcPr>
          <w:p w14:paraId="5089669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4230F99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6BE39D5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2C4BBA92" w14:textId="77777777" w:rsidTr="00BD03D1">
        <w:trPr>
          <w:trHeight w:hRule="exact" w:val="278"/>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3B4793DE" w14:textId="77777777" w:rsidR="00BD03D1" w:rsidRPr="00A11E6B" w:rsidRDefault="00BD03D1" w:rsidP="0093108E">
            <w:pPr>
              <w:spacing w:after="0" w:line="240" w:lineRule="auto"/>
              <w:jc w:val="left"/>
              <w:rPr>
                <w:rFonts w:asciiTheme="majorHAnsi" w:hAnsiTheme="majorHAnsi" w:cstheme="majorHAnsi"/>
                <w:sz w:val="16"/>
                <w:lang w:eastAsia="hu-HU"/>
              </w:rPr>
            </w:pPr>
            <w:r w:rsidRPr="00A11E6B">
              <w:rPr>
                <w:rFonts w:asciiTheme="majorHAnsi" w:hAnsiTheme="majorHAnsi" w:cstheme="majorHAnsi"/>
                <w:sz w:val="16"/>
                <w:lang w:eastAsia="hu-HU"/>
              </w:rPr>
              <w:t>Tehetséggondozás</w:t>
            </w:r>
          </w:p>
        </w:tc>
        <w:tc>
          <w:tcPr>
            <w:tcW w:w="354" w:type="dxa"/>
            <w:tcBorders>
              <w:top w:val="nil"/>
              <w:left w:val="nil"/>
              <w:bottom w:val="single" w:sz="4" w:space="0" w:color="auto"/>
              <w:right w:val="single" w:sz="4" w:space="0" w:color="auto"/>
            </w:tcBorders>
            <w:shd w:val="clear" w:color="auto" w:fill="auto"/>
            <w:noWrap/>
            <w:vAlign w:val="center"/>
            <w:hideMark/>
          </w:tcPr>
          <w:p w14:paraId="44008B1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63E5746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74AEAAD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5" w:type="dxa"/>
            <w:tcBorders>
              <w:top w:val="nil"/>
              <w:left w:val="nil"/>
              <w:bottom w:val="single" w:sz="4" w:space="0" w:color="auto"/>
              <w:right w:val="single" w:sz="4" w:space="0" w:color="auto"/>
            </w:tcBorders>
            <w:shd w:val="clear" w:color="auto" w:fill="auto"/>
            <w:noWrap/>
            <w:vAlign w:val="center"/>
            <w:hideMark/>
          </w:tcPr>
          <w:p w14:paraId="6BDBFE3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47" w:type="dxa"/>
            <w:tcBorders>
              <w:top w:val="nil"/>
              <w:left w:val="nil"/>
              <w:bottom w:val="single" w:sz="4" w:space="0" w:color="auto"/>
              <w:right w:val="single" w:sz="4" w:space="0" w:color="auto"/>
            </w:tcBorders>
            <w:shd w:val="clear" w:color="auto" w:fill="auto"/>
            <w:noWrap/>
            <w:vAlign w:val="center"/>
            <w:hideMark/>
          </w:tcPr>
          <w:p w14:paraId="71B5AD7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11" w:type="dxa"/>
            <w:tcBorders>
              <w:top w:val="nil"/>
              <w:left w:val="nil"/>
              <w:bottom w:val="single" w:sz="4" w:space="0" w:color="auto"/>
              <w:right w:val="single" w:sz="4" w:space="0" w:color="auto"/>
            </w:tcBorders>
            <w:shd w:val="clear" w:color="auto" w:fill="auto"/>
            <w:noWrap/>
            <w:vAlign w:val="center"/>
            <w:hideMark/>
          </w:tcPr>
          <w:p w14:paraId="61CDCFA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vAlign w:val="center"/>
          </w:tcPr>
          <w:p w14:paraId="753E5675" w14:textId="44929C25"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FA436E0" w14:textId="2A2C0165"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42" w:type="dxa"/>
            <w:tcBorders>
              <w:top w:val="single" w:sz="4" w:space="0" w:color="auto"/>
              <w:left w:val="nil"/>
              <w:bottom w:val="single" w:sz="4" w:space="0" w:color="auto"/>
              <w:right w:val="single" w:sz="4" w:space="0" w:color="auto"/>
            </w:tcBorders>
          </w:tcPr>
          <w:p w14:paraId="3A01D7D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49D9F6DB" w14:textId="325D2283"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r>
              <w:rPr>
                <w:rFonts w:asciiTheme="majorHAnsi" w:hAnsiTheme="majorHAnsi" w:cstheme="majorHAnsi"/>
                <w:color w:val="000000"/>
                <w:sz w:val="16"/>
                <w:lang w:eastAsia="hu-HU"/>
              </w:rPr>
              <w:t>x</w:t>
            </w:r>
          </w:p>
        </w:tc>
        <w:tc>
          <w:tcPr>
            <w:tcW w:w="283" w:type="dxa"/>
            <w:tcBorders>
              <w:top w:val="nil"/>
              <w:left w:val="nil"/>
              <w:bottom w:val="single" w:sz="4" w:space="0" w:color="auto"/>
              <w:right w:val="single" w:sz="4" w:space="0" w:color="auto"/>
            </w:tcBorders>
            <w:shd w:val="clear" w:color="auto" w:fill="auto"/>
            <w:noWrap/>
            <w:vAlign w:val="center"/>
            <w:hideMark/>
          </w:tcPr>
          <w:p w14:paraId="49E0145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34790CD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22EEA00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53A826E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7CD832" w14:textId="6D182DF6"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4B7ED8D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5C51B8C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462A69C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64280B8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6F4FCC0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635418E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01C53F36" w14:textId="77777777" w:rsidTr="006C4058">
        <w:trPr>
          <w:trHeight w:hRule="exact" w:val="426"/>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70414169" w14:textId="418BB07B" w:rsidR="00BD03D1" w:rsidRPr="00A11E6B" w:rsidRDefault="00BD03D1" w:rsidP="00EA5F43">
            <w:pPr>
              <w:spacing w:after="0" w:line="240" w:lineRule="auto"/>
              <w:jc w:val="left"/>
              <w:rPr>
                <w:rFonts w:asciiTheme="majorHAnsi" w:hAnsiTheme="majorHAnsi" w:cstheme="majorHAnsi"/>
                <w:sz w:val="16"/>
                <w:lang w:eastAsia="hu-HU"/>
              </w:rPr>
            </w:pPr>
            <w:r w:rsidRPr="00A11E6B">
              <w:rPr>
                <w:rFonts w:asciiTheme="majorHAnsi" w:hAnsiTheme="majorHAnsi" w:cstheme="majorHAnsi"/>
                <w:sz w:val="16"/>
                <w:lang w:eastAsia="hu-HU"/>
              </w:rPr>
              <w:t xml:space="preserve">Digitális </w:t>
            </w:r>
            <w:r>
              <w:rPr>
                <w:rFonts w:asciiTheme="majorHAnsi" w:hAnsiTheme="majorHAnsi" w:cstheme="majorHAnsi"/>
                <w:sz w:val="16"/>
                <w:lang w:eastAsia="hu-HU"/>
              </w:rPr>
              <w:t>kompetenciák</w:t>
            </w:r>
            <w:r w:rsidRPr="00A11E6B">
              <w:rPr>
                <w:rFonts w:asciiTheme="majorHAnsi" w:hAnsiTheme="majorHAnsi" w:cstheme="majorHAnsi"/>
                <w:sz w:val="16"/>
                <w:lang w:eastAsia="hu-HU"/>
              </w:rPr>
              <w:t xml:space="preserve"> fejlesztése</w:t>
            </w:r>
          </w:p>
        </w:tc>
        <w:tc>
          <w:tcPr>
            <w:tcW w:w="354" w:type="dxa"/>
            <w:tcBorders>
              <w:top w:val="nil"/>
              <w:left w:val="nil"/>
              <w:bottom w:val="single" w:sz="4" w:space="0" w:color="auto"/>
              <w:right w:val="single" w:sz="4" w:space="0" w:color="auto"/>
            </w:tcBorders>
            <w:shd w:val="clear" w:color="auto" w:fill="auto"/>
            <w:noWrap/>
            <w:vAlign w:val="center"/>
            <w:hideMark/>
          </w:tcPr>
          <w:p w14:paraId="1277593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07A5BD5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53" w:type="dxa"/>
            <w:tcBorders>
              <w:top w:val="nil"/>
              <w:left w:val="nil"/>
              <w:bottom w:val="single" w:sz="4" w:space="0" w:color="auto"/>
              <w:right w:val="single" w:sz="4" w:space="0" w:color="auto"/>
            </w:tcBorders>
            <w:shd w:val="clear" w:color="auto" w:fill="auto"/>
            <w:noWrap/>
            <w:vAlign w:val="center"/>
            <w:hideMark/>
          </w:tcPr>
          <w:p w14:paraId="7C5D74D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28584BD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5E61B0E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64CC39D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vAlign w:val="center"/>
          </w:tcPr>
          <w:p w14:paraId="3A85C36F" w14:textId="7EB60482"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9D33E6E" w14:textId="7387C461"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42" w:type="dxa"/>
            <w:tcBorders>
              <w:top w:val="single" w:sz="4" w:space="0" w:color="auto"/>
              <w:left w:val="nil"/>
              <w:bottom w:val="single" w:sz="4" w:space="0" w:color="auto"/>
              <w:right w:val="single" w:sz="4" w:space="0" w:color="auto"/>
            </w:tcBorders>
          </w:tcPr>
          <w:p w14:paraId="67B692BD" w14:textId="77777777" w:rsidR="00BD03D1"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80EAF39" w14:textId="73C1AA7E" w:rsidR="00BD03D1" w:rsidRPr="00A7422C" w:rsidRDefault="00BD03D1" w:rsidP="0093108E">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3664C61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53105CE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35C845F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3EA2BC5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30AB82" w14:textId="74E98BBD"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69307C7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51" w:type="dxa"/>
            <w:tcBorders>
              <w:top w:val="nil"/>
              <w:left w:val="nil"/>
              <w:bottom w:val="single" w:sz="4" w:space="0" w:color="auto"/>
              <w:right w:val="single" w:sz="4" w:space="0" w:color="auto"/>
            </w:tcBorders>
            <w:shd w:val="clear" w:color="auto" w:fill="auto"/>
            <w:noWrap/>
            <w:vAlign w:val="center"/>
            <w:hideMark/>
          </w:tcPr>
          <w:p w14:paraId="0423735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598" w:type="dxa"/>
            <w:tcBorders>
              <w:top w:val="nil"/>
              <w:left w:val="nil"/>
              <w:bottom w:val="single" w:sz="4" w:space="0" w:color="auto"/>
              <w:right w:val="single" w:sz="4" w:space="0" w:color="auto"/>
            </w:tcBorders>
            <w:shd w:val="clear" w:color="auto" w:fill="auto"/>
            <w:noWrap/>
            <w:vAlign w:val="center"/>
            <w:hideMark/>
          </w:tcPr>
          <w:p w14:paraId="5F0D8EF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2632DEA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089420E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35BF2A4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7300806D" w14:textId="77777777" w:rsidTr="00BD03D1">
        <w:trPr>
          <w:trHeight w:hRule="exact" w:val="272"/>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07169931" w14:textId="77777777" w:rsidR="00BD03D1" w:rsidRPr="00A7422C" w:rsidRDefault="00BD03D1" w:rsidP="0093108E">
            <w:pPr>
              <w:spacing w:after="0" w:line="240" w:lineRule="auto"/>
              <w:jc w:val="left"/>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Tankönyvfejlesztés</w:t>
            </w:r>
          </w:p>
        </w:tc>
        <w:tc>
          <w:tcPr>
            <w:tcW w:w="354" w:type="dxa"/>
            <w:tcBorders>
              <w:top w:val="nil"/>
              <w:left w:val="nil"/>
              <w:bottom w:val="single" w:sz="4" w:space="0" w:color="auto"/>
              <w:right w:val="single" w:sz="4" w:space="0" w:color="auto"/>
            </w:tcBorders>
            <w:shd w:val="clear" w:color="auto" w:fill="auto"/>
            <w:noWrap/>
            <w:vAlign w:val="center"/>
            <w:hideMark/>
          </w:tcPr>
          <w:p w14:paraId="08FFA47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5255A53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3AB015D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10418F8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3E2CD68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592F161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34" w:type="dxa"/>
            <w:tcBorders>
              <w:top w:val="single" w:sz="4" w:space="0" w:color="auto"/>
              <w:left w:val="nil"/>
              <w:bottom w:val="single" w:sz="4" w:space="0" w:color="auto"/>
              <w:right w:val="single" w:sz="4" w:space="0" w:color="auto"/>
            </w:tcBorders>
          </w:tcPr>
          <w:p w14:paraId="0805AEB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7E6F65C4" w14:textId="38A75F74"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41909B2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12A0023F" w14:textId="62285D4F"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1F82F00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7D3FC8E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130C6B1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7C8DC5C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E752B58" w14:textId="0420E214"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55" w:type="dxa"/>
            <w:tcBorders>
              <w:top w:val="nil"/>
              <w:left w:val="nil"/>
              <w:bottom w:val="single" w:sz="4" w:space="0" w:color="auto"/>
              <w:right w:val="single" w:sz="4" w:space="0" w:color="auto"/>
            </w:tcBorders>
            <w:shd w:val="clear" w:color="auto" w:fill="auto"/>
            <w:noWrap/>
            <w:vAlign w:val="center"/>
            <w:hideMark/>
          </w:tcPr>
          <w:p w14:paraId="500CAE9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51" w:type="dxa"/>
            <w:tcBorders>
              <w:top w:val="nil"/>
              <w:left w:val="nil"/>
              <w:bottom w:val="single" w:sz="4" w:space="0" w:color="auto"/>
              <w:right w:val="single" w:sz="4" w:space="0" w:color="auto"/>
            </w:tcBorders>
            <w:shd w:val="clear" w:color="auto" w:fill="auto"/>
            <w:noWrap/>
            <w:vAlign w:val="center"/>
            <w:hideMark/>
          </w:tcPr>
          <w:p w14:paraId="119234E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3104C3F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1EDF5F4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7A56301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5780607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32AED6A4" w14:textId="77777777" w:rsidTr="00BD03D1">
        <w:trPr>
          <w:trHeight w:hRule="exact" w:val="291"/>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754BCA55" w14:textId="77777777" w:rsidR="00BD03D1" w:rsidRPr="00A7422C" w:rsidRDefault="00BD03D1" w:rsidP="0093108E">
            <w:pPr>
              <w:spacing w:after="0" w:line="240" w:lineRule="auto"/>
              <w:jc w:val="left"/>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Digitális tartalomfejlesztés</w:t>
            </w:r>
          </w:p>
        </w:tc>
        <w:tc>
          <w:tcPr>
            <w:tcW w:w="354" w:type="dxa"/>
            <w:tcBorders>
              <w:top w:val="nil"/>
              <w:left w:val="nil"/>
              <w:bottom w:val="single" w:sz="4" w:space="0" w:color="auto"/>
              <w:right w:val="single" w:sz="4" w:space="0" w:color="auto"/>
            </w:tcBorders>
            <w:shd w:val="clear" w:color="auto" w:fill="auto"/>
            <w:noWrap/>
            <w:vAlign w:val="center"/>
            <w:hideMark/>
          </w:tcPr>
          <w:p w14:paraId="779E1F1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081B3A6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179B554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3D2488C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3D9FDBF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38C54F0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tcPr>
          <w:p w14:paraId="4AEC0CA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4753B93" w14:textId="5D0CB0EB"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4374952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207B3831" w14:textId="639E1ABC"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322775B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2EDB8CA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37AFABB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39801C4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5BB5DD" w14:textId="65E912B8"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7E5CE16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51" w:type="dxa"/>
            <w:tcBorders>
              <w:top w:val="nil"/>
              <w:left w:val="nil"/>
              <w:bottom w:val="single" w:sz="4" w:space="0" w:color="auto"/>
              <w:right w:val="single" w:sz="4" w:space="0" w:color="auto"/>
            </w:tcBorders>
            <w:shd w:val="clear" w:color="auto" w:fill="auto"/>
            <w:noWrap/>
            <w:vAlign w:val="center"/>
            <w:hideMark/>
          </w:tcPr>
          <w:p w14:paraId="4C414CB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598" w:type="dxa"/>
            <w:tcBorders>
              <w:top w:val="nil"/>
              <w:left w:val="nil"/>
              <w:bottom w:val="single" w:sz="4" w:space="0" w:color="auto"/>
              <w:right w:val="single" w:sz="4" w:space="0" w:color="auto"/>
            </w:tcBorders>
            <w:shd w:val="clear" w:color="auto" w:fill="auto"/>
            <w:noWrap/>
            <w:vAlign w:val="center"/>
            <w:hideMark/>
          </w:tcPr>
          <w:p w14:paraId="0029102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425E665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3A87EE5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0BCF81A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2419C8A4" w14:textId="77777777" w:rsidTr="006C4058">
        <w:trPr>
          <w:trHeight w:hRule="exact" w:val="425"/>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786D10AA" w14:textId="77777777" w:rsidR="00BD03D1" w:rsidRPr="00A7422C" w:rsidRDefault="00BD03D1" w:rsidP="0093108E">
            <w:pPr>
              <w:spacing w:after="0" w:line="240" w:lineRule="auto"/>
              <w:jc w:val="left"/>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Köznevelési LMS rendszer fejlesztése</w:t>
            </w:r>
          </w:p>
        </w:tc>
        <w:tc>
          <w:tcPr>
            <w:tcW w:w="354" w:type="dxa"/>
            <w:tcBorders>
              <w:top w:val="nil"/>
              <w:left w:val="nil"/>
              <w:bottom w:val="single" w:sz="4" w:space="0" w:color="auto"/>
              <w:right w:val="single" w:sz="4" w:space="0" w:color="auto"/>
            </w:tcBorders>
            <w:shd w:val="clear" w:color="auto" w:fill="auto"/>
            <w:noWrap/>
            <w:vAlign w:val="center"/>
            <w:hideMark/>
          </w:tcPr>
          <w:p w14:paraId="0B2547B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4" w:type="dxa"/>
            <w:tcBorders>
              <w:top w:val="nil"/>
              <w:left w:val="nil"/>
              <w:bottom w:val="single" w:sz="4" w:space="0" w:color="auto"/>
              <w:right w:val="single" w:sz="4" w:space="0" w:color="auto"/>
            </w:tcBorders>
            <w:shd w:val="clear" w:color="auto" w:fill="auto"/>
            <w:noWrap/>
            <w:vAlign w:val="center"/>
            <w:hideMark/>
          </w:tcPr>
          <w:p w14:paraId="303CF7F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2E02B42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38C6E13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40BABDA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570B15E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34" w:type="dxa"/>
            <w:tcBorders>
              <w:top w:val="single" w:sz="4" w:space="0" w:color="auto"/>
              <w:left w:val="nil"/>
              <w:bottom w:val="single" w:sz="4" w:space="0" w:color="auto"/>
              <w:right w:val="single" w:sz="4" w:space="0" w:color="auto"/>
            </w:tcBorders>
          </w:tcPr>
          <w:p w14:paraId="4365A78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5F54DF8A" w14:textId="5CAF1280"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4E87CB0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610A50C" w14:textId="6A8A1656"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5798971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13EA715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240A810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2A11146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204B765" w14:textId="02CA6854"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49FC6CF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73ED204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6AFD7C1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198DA4A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69F2FDC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29FE83F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37836F1F" w14:textId="77777777" w:rsidTr="00BD03D1">
        <w:trPr>
          <w:trHeight w:hRule="exact" w:val="285"/>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0C33059C" w14:textId="21E8B21D" w:rsidR="00BD03D1" w:rsidRPr="00A7422C" w:rsidRDefault="00BD03D1" w:rsidP="0093108E">
            <w:pPr>
              <w:spacing w:after="0" w:line="240" w:lineRule="auto"/>
              <w:jc w:val="left"/>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Idegen</w:t>
            </w:r>
            <w:r w:rsidR="00C4697D">
              <w:rPr>
                <w:rFonts w:asciiTheme="majorHAnsi" w:hAnsiTheme="majorHAnsi" w:cstheme="majorHAnsi"/>
                <w:color w:val="000000"/>
                <w:sz w:val="16"/>
                <w:lang w:eastAsia="hu-HU"/>
              </w:rPr>
              <w:t xml:space="preserve"> </w:t>
            </w:r>
            <w:r w:rsidRPr="00A7422C">
              <w:rPr>
                <w:rFonts w:asciiTheme="majorHAnsi" w:hAnsiTheme="majorHAnsi" w:cstheme="majorHAnsi"/>
                <w:color w:val="000000"/>
                <w:sz w:val="16"/>
                <w:lang w:eastAsia="hu-HU"/>
              </w:rPr>
              <w:t>nyelvi tudás fejlesztése</w:t>
            </w:r>
          </w:p>
        </w:tc>
        <w:tc>
          <w:tcPr>
            <w:tcW w:w="354" w:type="dxa"/>
            <w:tcBorders>
              <w:top w:val="nil"/>
              <w:left w:val="nil"/>
              <w:bottom w:val="single" w:sz="4" w:space="0" w:color="auto"/>
              <w:right w:val="single" w:sz="4" w:space="0" w:color="auto"/>
            </w:tcBorders>
            <w:shd w:val="clear" w:color="auto" w:fill="auto"/>
            <w:noWrap/>
            <w:vAlign w:val="center"/>
            <w:hideMark/>
          </w:tcPr>
          <w:p w14:paraId="1C6AF6D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4E8C15F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6F3323E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17F5553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47" w:type="dxa"/>
            <w:tcBorders>
              <w:top w:val="nil"/>
              <w:left w:val="nil"/>
              <w:bottom w:val="single" w:sz="4" w:space="0" w:color="auto"/>
              <w:right w:val="single" w:sz="4" w:space="0" w:color="auto"/>
            </w:tcBorders>
            <w:shd w:val="clear" w:color="auto" w:fill="auto"/>
            <w:noWrap/>
            <w:vAlign w:val="center"/>
            <w:hideMark/>
          </w:tcPr>
          <w:p w14:paraId="39D237C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50B3AF1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tcPr>
          <w:p w14:paraId="075EBD3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18516D69" w14:textId="2DD960AE"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42" w:type="dxa"/>
            <w:tcBorders>
              <w:top w:val="single" w:sz="4" w:space="0" w:color="auto"/>
              <w:left w:val="nil"/>
              <w:bottom w:val="single" w:sz="4" w:space="0" w:color="auto"/>
              <w:right w:val="single" w:sz="4" w:space="0" w:color="auto"/>
            </w:tcBorders>
          </w:tcPr>
          <w:p w14:paraId="71C60C1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6DF1D61" w14:textId="4A852AC1"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3876C99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4021486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57E466D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22D386C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04B5AB7" w14:textId="6C480ACF"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15E4194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6AAAFAA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598" w:type="dxa"/>
            <w:tcBorders>
              <w:top w:val="nil"/>
              <w:left w:val="nil"/>
              <w:bottom w:val="single" w:sz="4" w:space="0" w:color="auto"/>
              <w:right w:val="single" w:sz="4" w:space="0" w:color="auto"/>
            </w:tcBorders>
            <w:shd w:val="clear" w:color="auto" w:fill="auto"/>
            <w:noWrap/>
            <w:vAlign w:val="center"/>
            <w:hideMark/>
          </w:tcPr>
          <w:p w14:paraId="3C5DEF0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7AA7684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0359823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1BE4E72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74F3C06F" w14:textId="77777777" w:rsidTr="006C4058">
        <w:trPr>
          <w:trHeight w:hRule="exact" w:val="1036"/>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484AD074" w14:textId="4CC2598C" w:rsidR="00BD03D1" w:rsidRPr="00A11E6B" w:rsidRDefault="00BD03D1" w:rsidP="00BF1AA0">
            <w:pPr>
              <w:spacing w:after="0" w:line="240" w:lineRule="auto"/>
              <w:jc w:val="left"/>
              <w:rPr>
                <w:rFonts w:asciiTheme="majorHAnsi" w:hAnsiTheme="majorHAnsi" w:cstheme="majorHAnsi"/>
                <w:sz w:val="16"/>
                <w:lang w:eastAsia="hu-HU"/>
              </w:rPr>
            </w:pPr>
            <w:r w:rsidRPr="00537F65">
              <w:rPr>
                <w:rFonts w:asciiTheme="majorHAnsi" w:hAnsiTheme="majorHAnsi" w:cstheme="majorHAnsi"/>
                <w:sz w:val="16"/>
                <w:lang w:eastAsia="hu-HU"/>
              </w:rPr>
              <w:t>A köznevelési intézmények infrastruktúrájának korszerű fejlesztése a</w:t>
            </w:r>
            <w:r w:rsidR="00BF1AA0">
              <w:rPr>
                <w:rFonts w:asciiTheme="majorHAnsi" w:hAnsiTheme="majorHAnsi" w:cstheme="majorHAnsi"/>
                <w:sz w:val="16"/>
                <w:lang w:eastAsia="hu-HU"/>
              </w:rPr>
              <w:t>z</w:t>
            </w:r>
            <w:r w:rsidRPr="00537F65">
              <w:rPr>
                <w:rFonts w:asciiTheme="majorHAnsi" w:hAnsiTheme="majorHAnsi" w:cstheme="majorHAnsi"/>
                <w:sz w:val="16"/>
                <w:lang w:eastAsia="hu-HU"/>
              </w:rPr>
              <w:t xml:space="preserve"> oktatás hatékonyságának növelése érdekében</w:t>
            </w:r>
          </w:p>
        </w:tc>
        <w:tc>
          <w:tcPr>
            <w:tcW w:w="354" w:type="dxa"/>
            <w:tcBorders>
              <w:top w:val="nil"/>
              <w:left w:val="nil"/>
              <w:bottom w:val="single" w:sz="4" w:space="0" w:color="auto"/>
              <w:right w:val="single" w:sz="4" w:space="0" w:color="auto"/>
            </w:tcBorders>
            <w:shd w:val="clear" w:color="auto" w:fill="auto"/>
            <w:noWrap/>
            <w:vAlign w:val="center"/>
            <w:hideMark/>
          </w:tcPr>
          <w:p w14:paraId="792BC3F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84" w:type="dxa"/>
            <w:tcBorders>
              <w:top w:val="nil"/>
              <w:left w:val="nil"/>
              <w:bottom w:val="single" w:sz="4" w:space="0" w:color="auto"/>
              <w:right w:val="single" w:sz="4" w:space="0" w:color="auto"/>
            </w:tcBorders>
            <w:shd w:val="clear" w:color="auto" w:fill="auto"/>
            <w:noWrap/>
            <w:vAlign w:val="center"/>
            <w:hideMark/>
          </w:tcPr>
          <w:p w14:paraId="1F099BB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4EA6C1B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75" w:type="dxa"/>
            <w:tcBorders>
              <w:top w:val="nil"/>
              <w:left w:val="nil"/>
              <w:bottom w:val="single" w:sz="4" w:space="0" w:color="auto"/>
              <w:right w:val="single" w:sz="4" w:space="0" w:color="auto"/>
            </w:tcBorders>
            <w:shd w:val="clear" w:color="auto" w:fill="auto"/>
            <w:noWrap/>
            <w:vAlign w:val="center"/>
            <w:hideMark/>
          </w:tcPr>
          <w:p w14:paraId="6E62A9A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5A14390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11" w:type="dxa"/>
            <w:tcBorders>
              <w:top w:val="nil"/>
              <w:left w:val="nil"/>
              <w:bottom w:val="single" w:sz="4" w:space="0" w:color="auto"/>
              <w:right w:val="single" w:sz="4" w:space="0" w:color="auto"/>
            </w:tcBorders>
            <w:shd w:val="clear" w:color="auto" w:fill="auto"/>
            <w:noWrap/>
            <w:vAlign w:val="center"/>
            <w:hideMark/>
          </w:tcPr>
          <w:p w14:paraId="54DC79A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34" w:type="dxa"/>
            <w:tcBorders>
              <w:top w:val="single" w:sz="4" w:space="0" w:color="auto"/>
              <w:left w:val="nil"/>
              <w:bottom w:val="single" w:sz="4" w:space="0" w:color="auto"/>
              <w:right w:val="single" w:sz="4" w:space="0" w:color="auto"/>
            </w:tcBorders>
          </w:tcPr>
          <w:p w14:paraId="764FDE2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9344A79" w14:textId="588EB8AE"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425CAF8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5619C405" w14:textId="55CA0633"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3581D945"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517903A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r>
              <w:rPr>
                <w:rFonts w:asciiTheme="majorHAnsi" w:hAnsiTheme="majorHAnsi" w:cstheme="majorHAnsi"/>
                <w:color w:val="000000"/>
                <w:sz w:val="16"/>
                <w:lang w:eastAsia="hu-HU"/>
              </w:rPr>
              <w:t>x</w:t>
            </w:r>
          </w:p>
        </w:tc>
        <w:tc>
          <w:tcPr>
            <w:tcW w:w="426" w:type="dxa"/>
            <w:tcBorders>
              <w:top w:val="nil"/>
              <w:left w:val="nil"/>
              <w:bottom w:val="single" w:sz="4" w:space="0" w:color="auto"/>
              <w:right w:val="single" w:sz="4" w:space="0" w:color="auto"/>
            </w:tcBorders>
            <w:shd w:val="clear" w:color="auto" w:fill="auto"/>
            <w:noWrap/>
            <w:vAlign w:val="center"/>
            <w:hideMark/>
          </w:tcPr>
          <w:p w14:paraId="2A8E2AD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vAlign w:val="center"/>
          </w:tcPr>
          <w:p w14:paraId="77CD194E" w14:textId="20BAC4E6" w:rsidR="00BD03D1" w:rsidRPr="00A7422C" w:rsidRDefault="006C4058" w:rsidP="006C4058">
            <w:pPr>
              <w:spacing w:after="0" w:line="240" w:lineRule="auto"/>
              <w:jc w:val="center"/>
              <w:rPr>
                <w:rFonts w:asciiTheme="majorHAnsi" w:hAnsiTheme="majorHAnsi" w:cstheme="majorHAnsi"/>
                <w:color w:val="000000"/>
                <w:sz w:val="16"/>
                <w:lang w:eastAsia="hu-HU"/>
              </w:rPr>
            </w:pPr>
            <w:r>
              <w:rPr>
                <w:rFonts w:asciiTheme="majorHAnsi" w:hAnsiTheme="majorHAnsi" w:cstheme="majorHAnsi"/>
                <w:color w:val="000000"/>
                <w:sz w:val="16"/>
                <w:lang w:eastAsia="hu-HU"/>
              </w:rPr>
              <w:t>x</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B0E0F50" w14:textId="27E78459"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556E330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7FA93C0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1A70F59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265" w:type="dxa"/>
            <w:tcBorders>
              <w:top w:val="single" w:sz="4" w:space="0" w:color="auto"/>
              <w:left w:val="nil"/>
              <w:bottom w:val="single" w:sz="4" w:space="0" w:color="auto"/>
              <w:right w:val="single" w:sz="4" w:space="0" w:color="auto"/>
            </w:tcBorders>
            <w:vAlign w:val="center"/>
          </w:tcPr>
          <w:p w14:paraId="7A8A974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31D9FDB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12E84D8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7784F393" w14:textId="77777777" w:rsidTr="006C4058">
        <w:trPr>
          <w:trHeight w:hRule="exact" w:val="379"/>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462A5497" w14:textId="77777777" w:rsidR="00BD03D1" w:rsidRPr="00A11E6B" w:rsidRDefault="00BD03D1" w:rsidP="0093108E">
            <w:pPr>
              <w:spacing w:after="0" w:line="240" w:lineRule="auto"/>
              <w:jc w:val="left"/>
              <w:rPr>
                <w:rFonts w:asciiTheme="majorHAnsi" w:hAnsiTheme="majorHAnsi" w:cstheme="majorHAnsi"/>
                <w:sz w:val="16"/>
                <w:lang w:eastAsia="hu-HU"/>
              </w:rPr>
            </w:pPr>
            <w:r w:rsidRPr="00A11E6B">
              <w:rPr>
                <w:rFonts w:asciiTheme="majorHAnsi" w:hAnsiTheme="majorHAnsi" w:cstheme="majorHAnsi"/>
                <w:sz w:val="16"/>
                <w:lang w:eastAsia="hu-HU"/>
              </w:rPr>
              <w:t>A Kárpát-medencei oktatási térség</w:t>
            </w:r>
          </w:p>
        </w:tc>
        <w:tc>
          <w:tcPr>
            <w:tcW w:w="354" w:type="dxa"/>
            <w:tcBorders>
              <w:top w:val="nil"/>
              <w:left w:val="nil"/>
              <w:bottom w:val="single" w:sz="4" w:space="0" w:color="auto"/>
              <w:right w:val="single" w:sz="4" w:space="0" w:color="auto"/>
            </w:tcBorders>
            <w:shd w:val="clear" w:color="auto" w:fill="auto"/>
            <w:noWrap/>
            <w:vAlign w:val="center"/>
            <w:hideMark/>
          </w:tcPr>
          <w:p w14:paraId="60FBFED8"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4" w:type="dxa"/>
            <w:tcBorders>
              <w:top w:val="nil"/>
              <w:left w:val="nil"/>
              <w:bottom w:val="single" w:sz="4" w:space="0" w:color="auto"/>
              <w:right w:val="single" w:sz="4" w:space="0" w:color="auto"/>
            </w:tcBorders>
            <w:shd w:val="clear" w:color="auto" w:fill="auto"/>
            <w:noWrap/>
            <w:vAlign w:val="center"/>
            <w:hideMark/>
          </w:tcPr>
          <w:p w14:paraId="3E6C841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6413C469"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5" w:type="dxa"/>
            <w:tcBorders>
              <w:top w:val="nil"/>
              <w:left w:val="nil"/>
              <w:bottom w:val="single" w:sz="4" w:space="0" w:color="auto"/>
              <w:right w:val="single" w:sz="4" w:space="0" w:color="auto"/>
            </w:tcBorders>
            <w:shd w:val="clear" w:color="auto" w:fill="auto"/>
            <w:noWrap/>
            <w:vAlign w:val="center"/>
            <w:hideMark/>
          </w:tcPr>
          <w:p w14:paraId="6562E57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347" w:type="dxa"/>
            <w:tcBorders>
              <w:top w:val="nil"/>
              <w:left w:val="nil"/>
              <w:bottom w:val="single" w:sz="4" w:space="0" w:color="auto"/>
              <w:right w:val="single" w:sz="4" w:space="0" w:color="auto"/>
            </w:tcBorders>
            <w:shd w:val="clear" w:color="auto" w:fill="auto"/>
            <w:noWrap/>
            <w:vAlign w:val="center"/>
            <w:hideMark/>
          </w:tcPr>
          <w:p w14:paraId="1E0A8AC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1579FD9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x</w:t>
            </w:r>
          </w:p>
        </w:tc>
        <w:tc>
          <w:tcPr>
            <w:tcW w:w="434" w:type="dxa"/>
            <w:tcBorders>
              <w:top w:val="single" w:sz="4" w:space="0" w:color="auto"/>
              <w:left w:val="nil"/>
              <w:bottom w:val="single" w:sz="4" w:space="0" w:color="auto"/>
              <w:right w:val="single" w:sz="4" w:space="0" w:color="auto"/>
            </w:tcBorders>
          </w:tcPr>
          <w:p w14:paraId="32C86E8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040307F1" w14:textId="710A4A11"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6388A816"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035459DC" w14:textId="78C61E63"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5607EDF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0940FA8C"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1CD880DD"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3C8C755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8D45402" w14:textId="1250B069"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44A7B3A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70A31EB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3CDD927E"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1B49C11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77827177"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6247CCB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r w:rsidR="00BD03D1" w:rsidRPr="00A7422C" w14:paraId="34E4DB2D" w14:textId="77777777" w:rsidTr="00BD03D1">
        <w:trPr>
          <w:trHeight w:hRule="exact" w:val="435"/>
        </w:trPr>
        <w:tc>
          <w:tcPr>
            <w:tcW w:w="2197" w:type="dxa"/>
            <w:tcBorders>
              <w:top w:val="nil"/>
              <w:left w:val="nil"/>
              <w:bottom w:val="single" w:sz="4" w:space="0" w:color="auto"/>
              <w:right w:val="single" w:sz="4" w:space="0" w:color="auto"/>
            </w:tcBorders>
            <w:shd w:val="clear" w:color="auto" w:fill="D1CFCF" w:themeFill="accent6" w:themeFillShade="E6"/>
            <w:vAlign w:val="center"/>
            <w:hideMark/>
          </w:tcPr>
          <w:p w14:paraId="4281349B" w14:textId="77777777" w:rsidR="00BD03D1" w:rsidRPr="00A11E6B" w:rsidRDefault="00BD03D1" w:rsidP="0093108E">
            <w:pPr>
              <w:spacing w:after="0" w:line="240" w:lineRule="auto"/>
              <w:jc w:val="left"/>
              <w:rPr>
                <w:rFonts w:asciiTheme="majorHAnsi" w:hAnsiTheme="majorHAnsi" w:cstheme="majorHAnsi"/>
                <w:sz w:val="16"/>
                <w:lang w:eastAsia="hu-HU"/>
              </w:rPr>
            </w:pPr>
            <w:r w:rsidRPr="00A11E6B">
              <w:rPr>
                <w:rFonts w:asciiTheme="majorHAnsi" w:hAnsiTheme="majorHAnsi" w:cstheme="majorHAnsi"/>
                <w:sz w:val="16"/>
                <w:lang w:eastAsia="hu-HU"/>
              </w:rPr>
              <w:t>A Magyarországon élő nemzetiségek oktatása</w:t>
            </w:r>
          </w:p>
        </w:tc>
        <w:tc>
          <w:tcPr>
            <w:tcW w:w="354" w:type="dxa"/>
            <w:tcBorders>
              <w:top w:val="nil"/>
              <w:left w:val="nil"/>
              <w:bottom w:val="single" w:sz="4" w:space="0" w:color="auto"/>
              <w:right w:val="single" w:sz="4" w:space="0" w:color="auto"/>
            </w:tcBorders>
            <w:shd w:val="clear" w:color="auto" w:fill="auto"/>
            <w:noWrap/>
            <w:vAlign w:val="center"/>
            <w:hideMark/>
          </w:tcPr>
          <w:p w14:paraId="71CBEED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4" w:type="dxa"/>
            <w:tcBorders>
              <w:top w:val="nil"/>
              <w:left w:val="nil"/>
              <w:bottom w:val="single" w:sz="4" w:space="0" w:color="auto"/>
              <w:right w:val="single" w:sz="4" w:space="0" w:color="auto"/>
            </w:tcBorders>
            <w:shd w:val="clear" w:color="auto" w:fill="auto"/>
            <w:noWrap/>
            <w:vAlign w:val="center"/>
            <w:hideMark/>
          </w:tcPr>
          <w:p w14:paraId="37972B8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3" w:type="dxa"/>
            <w:tcBorders>
              <w:top w:val="nil"/>
              <w:left w:val="nil"/>
              <w:bottom w:val="single" w:sz="4" w:space="0" w:color="auto"/>
              <w:right w:val="single" w:sz="4" w:space="0" w:color="auto"/>
            </w:tcBorders>
            <w:shd w:val="clear" w:color="auto" w:fill="auto"/>
            <w:noWrap/>
            <w:vAlign w:val="center"/>
            <w:hideMark/>
          </w:tcPr>
          <w:p w14:paraId="3D6D266B"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5" w:type="dxa"/>
            <w:tcBorders>
              <w:top w:val="nil"/>
              <w:left w:val="nil"/>
              <w:bottom w:val="single" w:sz="4" w:space="0" w:color="auto"/>
              <w:right w:val="single" w:sz="4" w:space="0" w:color="auto"/>
            </w:tcBorders>
            <w:shd w:val="clear" w:color="auto" w:fill="auto"/>
            <w:noWrap/>
            <w:vAlign w:val="center"/>
            <w:hideMark/>
          </w:tcPr>
          <w:p w14:paraId="1F67AAF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47" w:type="dxa"/>
            <w:tcBorders>
              <w:top w:val="nil"/>
              <w:left w:val="nil"/>
              <w:bottom w:val="single" w:sz="4" w:space="0" w:color="auto"/>
              <w:right w:val="single" w:sz="4" w:space="0" w:color="auto"/>
            </w:tcBorders>
            <w:shd w:val="clear" w:color="auto" w:fill="auto"/>
            <w:noWrap/>
            <w:vAlign w:val="center"/>
            <w:hideMark/>
          </w:tcPr>
          <w:p w14:paraId="6715B1B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11" w:type="dxa"/>
            <w:tcBorders>
              <w:top w:val="nil"/>
              <w:left w:val="nil"/>
              <w:bottom w:val="single" w:sz="4" w:space="0" w:color="auto"/>
              <w:right w:val="single" w:sz="4" w:space="0" w:color="auto"/>
            </w:tcBorders>
            <w:shd w:val="clear" w:color="auto" w:fill="auto"/>
            <w:noWrap/>
            <w:vAlign w:val="center"/>
            <w:hideMark/>
          </w:tcPr>
          <w:p w14:paraId="4650D03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34" w:type="dxa"/>
            <w:tcBorders>
              <w:top w:val="single" w:sz="4" w:space="0" w:color="auto"/>
              <w:left w:val="nil"/>
              <w:bottom w:val="single" w:sz="4" w:space="0" w:color="auto"/>
              <w:right w:val="single" w:sz="4" w:space="0" w:color="auto"/>
            </w:tcBorders>
          </w:tcPr>
          <w:p w14:paraId="4A9F87B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364" w:type="dxa"/>
            <w:tcBorders>
              <w:top w:val="nil"/>
              <w:left w:val="single" w:sz="4" w:space="0" w:color="auto"/>
              <w:bottom w:val="single" w:sz="4" w:space="0" w:color="auto"/>
              <w:right w:val="single" w:sz="4" w:space="0" w:color="auto"/>
            </w:tcBorders>
            <w:shd w:val="clear" w:color="auto" w:fill="auto"/>
            <w:noWrap/>
            <w:vAlign w:val="center"/>
            <w:hideMark/>
          </w:tcPr>
          <w:p w14:paraId="254FBF8B" w14:textId="4E4510BA"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42" w:type="dxa"/>
            <w:tcBorders>
              <w:top w:val="single" w:sz="4" w:space="0" w:color="auto"/>
              <w:left w:val="nil"/>
              <w:bottom w:val="single" w:sz="4" w:space="0" w:color="auto"/>
              <w:right w:val="single" w:sz="4" w:space="0" w:color="auto"/>
            </w:tcBorders>
          </w:tcPr>
          <w:p w14:paraId="387D0EC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80" w:type="dxa"/>
            <w:tcBorders>
              <w:top w:val="nil"/>
              <w:left w:val="single" w:sz="4" w:space="0" w:color="auto"/>
              <w:bottom w:val="single" w:sz="4" w:space="0" w:color="auto"/>
              <w:right w:val="single" w:sz="4" w:space="0" w:color="auto"/>
            </w:tcBorders>
            <w:shd w:val="clear" w:color="auto" w:fill="auto"/>
            <w:noWrap/>
            <w:vAlign w:val="center"/>
            <w:hideMark/>
          </w:tcPr>
          <w:p w14:paraId="7F7405DE" w14:textId="0CA53208"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83" w:type="dxa"/>
            <w:tcBorders>
              <w:top w:val="nil"/>
              <w:left w:val="nil"/>
              <w:bottom w:val="single" w:sz="4" w:space="0" w:color="auto"/>
              <w:right w:val="single" w:sz="4" w:space="0" w:color="auto"/>
            </w:tcBorders>
            <w:shd w:val="clear" w:color="auto" w:fill="auto"/>
            <w:noWrap/>
            <w:vAlign w:val="center"/>
            <w:hideMark/>
          </w:tcPr>
          <w:p w14:paraId="211215B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70" w:type="dxa"/>
            <w:tcBorders>
              <w:top w:val="nil"/>
              <w:left w:val="nil"/>
              <w:bottom w:val="single" w:sz="4" w:space="0" w:color="auto"/>
              <w:right w:val="single" w:sz="4" w:space="0" w:color="auto"/>
            </w:tcBorders>
            <w:shd w:val="clear" w:color="auto" w:fill="auto"/>
            <w:noWrap/>
            <w:vAlign w:val="center"/>
            <w:hideMark/>
          </w:tcPr>
          <w:p w14:paraId="4DD75E3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26" w:type="dxa"/>
            <w:tcBorders>
              <w:top w:val="nil"/>
              <w:left w:val="nil"/>
              <w:bottom w:val="single" w:sz="4" w:space="0" w:color="auto"/>
              <w:right w:val="single" w:sz="4" w:space="0" w:color="auto"/>
            </w:tcBorders>
            <w:shd w:val="clear" w:color="auto" w:fill="auto"/>
            <w:noWrap/>
            <w:vAlign w:val="center"/>
            <w:hideMark/>
          </w:tcPr>
          <w:p w14:paraId="5A45B320"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355" w:type="dxa"/>
            <w:tcBorders>
              <w:top w:val="single" w:sz="4" w:space="0" w:color="auto"/>
              <w:left w:val="nil"/>
              <w:bottom w:val="single" w:sz="4" w:space="0" w:color="auto"/>
              <w:right w:val="single" w:sz="4" w:space="0" w:color="auto"/>
            </w:tcBorders>
          </w:tcPr>
          <w:p w14:paraId="6108F80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EF5C258" w14:textId="737EC2ED"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55" w:type="dxa"/>
            <w:tcBorders>
              <w:top w:val="nil"/>
              <w:left w:val="nil"/>
              <w:bottom w:val="single" w:sz="4" w:space="0" w:color="auto"/>
              <w:right w:val="single" w:sz="4" w:space="0" w:color="auto"/>
            </w:tcBorders>
            <w:shd w:val="clear" w:color="auto" w:fill="auto"/>
            <w:noWrap/>
            <w:vAlign w:val="center"/>
            <w:hideMark/>
          </w:tcPr>
          <w:p w14:paraId="752D7D23"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451" w:type="dxa"/>
            <w:tcBorders>
              <w:top w:val="nil"/>
              <w:left w:val="nil"/>
              <w:bottom w:val="single" w:sz="4" w:space="0" w:color="auto"/>
              <w:right w:val="single" w:sz="4" w:space="0" w:color="auto"/>
            </w:tcBorders>
            <w:shd w:val="clear" w:color="auto" w:fill="auto"/>
            <w:noWrap/>
            <w:vAlign w:val="center"/>
            <w:hideMark/>
          </w:tcPr>
          <w:p w14:paraId="6D269961"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598" w:type="dxa"/>
            <w:tcBorders>
              <w:top w:val="nil"/>
              <w:left w:val="nil"/>
              <w:bottom w:val="single" w:sz="4" w:space="0" w:color="auto"/>
              <w:right w:val="single" w:sz="4" w:space="0" w:color="auto"/>
            </w:tcBorders>
            <w:shd w:val="clear" w:color="auto" w:fill="auto"/>
            <w:noWrap/>
            <w:vAlign w:val="center"/>
            <w:hideMark/>
          </w:tcPr>
          <w:p w14:paraId="7CD70D34"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r w:rsidRPr="00A7422C">
              <w:rPr>
                <w:rFonts w:asciiTheme="majorHAnsi" w:hAnsiTheme="majorHAnsi" w:cstheme="majorHAnsi"/>
                <w:color w:val="000000"/>
                <w:sz w:val="16"/>
                <w:lang w:eastAsia="hu-HU"/>
              </w:rPr>
              <w:t> </w:t>
            </w:r>
          </w:p>
        </w:tc>
        <w:tc>
          <w:tcPr>
            <w:tcW w:w="265" w:type="dxa"/>
            <w:tcBorders>
              <w:top w:val="single" w:sz="4" w:space="0" w:color="auto"/>
              <w:left w:val="nil"/>
              <w:bottom w:val="single" w:sz="4" w:space="0" w:color="auto"/>
              <w:right w:val="single" w:sz="4" w:space="0" w:color="auto"/>
            </w:tcBorders>
            <w:vAlign w:val="center"/>
          </w:tcPr>
          <w:p w14:paraId="6122848A"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71" w:type="dxa"/>
            <w:tcBorders>
              <w:top w:val="single" w:sz="4" w:space="0" w:color="auto"/>
              <w:left w:val="single" w:sz="4" w:space="0" w:color="auto"/>
              <w:bottom w:val="single" w:sz="4" w:space="0" w:color="auto"/>
              <w:right w:val="single" w:sz="4" w:space="0" w:color="auto"/>
            </w:tcBorders>
            <w:vAlign w:val="center"/>
          </w:tcPr>
          <w:p w14:paraId="04439DB2"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c>
          <w:tcPr>
            <w:tcW w:w="258" w:type="dxa"/>
            <w:tcBorders>
              <w:top w:val="single" w:sz="4" w:space="0" w:color="auto"/>
              <w:left w:val="single" w:sz="4" w:space="0" w:color="auto"/>
              <w:bottom w:val="single" w:sz="4" w:space="0" w:color="auto"/>
              <w:right w:val="single" w:sz="4" w:space="0" w:color="auto"/>
            </w:tcBorders>
            <w:vAlign w:val="center"/>
          </w:tcPr>
          <w:p w14:paraId="310556EF" w14:textId="77777777" w:rsidR="00BD03D1" w:rsidRPr="00A7422C" w:rsidRDefault="00BD03D1" w:rsidP="0093108E">
            <w:pPr>
              <w:spacing w:after="0" w:line="240" w:lineRule="auto"/>
              <w:jc w:val="center"/>
              <w:rPr>
                <w:rFonts w:asciiTheme="majorHAnsi" w:hAnsiTheme="majorHAnsi" w:cstheme="majorHAnsi"/>
                <w:color w:val="000000"/>
                <w:sz w:val="16"/>
                <w:lang w:eastAsia="hu-HU"/>
              </w:rPr>
            </w:pPr>
          </w:p>
        </w:tc>
      </w:tr>
    </w:tbl>
    <w:p w14:paraId="4AB92AB5" w14:textId="77777777" w:rsidR="008D3E8B" w:rsidRDefault="008D3E8B" w:rsidP="00394666">
      <w:pPr>
        <w:pStyle w:val="Forrs"/>
        <w:spacing w:after="120" w:line="276" w:lineRule="auto"/>
        <w:jc w:val="both"/>
        <w:rPr>
          <w:rFonts w:asciiTheme="majorHAnsi" w:hAnsiTheme="majorHAnsi" w:cstheme="majorHAnsi"/>
          <w:i w:val="0"/>
          <w:sz w:val="24"/>
        </w:rPr>
      </w:pPr>
    </w:p>
    <w:p w14:paraId="3CA84808" w14:textId="7EDAABD0" w:rsidR="00394666" w:rsidRDefault="00394666" w:rsidP="00394666">
      <w:pPr>
        <w:pStyle w:val="Forrs"/>
        <w:spacing w:after="120" w:line="276" w:lineRule="auto"/>
        <w:jc w:val="both"/>
        <w:rPr>
          <w:rFonts w:asciiTheme="majorHAnsi" w:hAnsiTheme="majorHAnsi" w:cstheme="majorHAnsi"/>
          <w:i w:val="0"/>
          <w:sz w:val="24"/>
        </w:rPr>
      </w:pPr>
      <w:r w:rsidRPr="00394666">
        <w:rPr>
          <w:rFonts w:asciiTheme="majorHAnsi" w:hAnsiTheme="majorHAnsi" w:cstheme="majorHAnsi"/>
          <w:i w:val="0"/>
          <w:sz w:val="24"/>
        </w:rPr>
        <w:t>A stratégiai illeszkedés</w:t>
      </w:r>
      <w:r w:rsidR="008B061E">
        <w:rPr>
          <w:rFonts w:asciiTheme="majorHAnsi" w:hAnsiTheme="majorHAnsi" w:cstheme="majorHAnsi"/>
          <w:i w:val="0"/>
          <w:sz w:val="24"/>
        </w:rPr>
        <w:t>t</w:t>
      </w:r>
      <w:r w:rsidR="008635FA">
        <w:rPr>
          <w:rFonts w:asciiTheme="majorHAnsi" w:hAnsiTheme="majorHAnsi" w:cstheme="majorHAnsi"/>
          <w:i w:val="0"/>
          <w:sz w:val="24"/>
        </w:rPr>
        <w:t xml:space="preserve"> </w:t>
      </w:r>
      <w:r w:rsidR="00032AF7" w:rsidRPr="00394666">
        <w:rPr>
          <w:rFonts w:asciiTheme="majorHAnsi" w:hAnsiTheme="majorHAnsi" w:cstheme="majorHAnsi"/>
          <w:i w:val="0"/>
          <w:sz w:val="24"/>
        </w:rPr>
        <w:t>tekint</w:t>
      </w:r>
      <w:r w:rsidR="00032AF7">
        <w:rPr>
          <w:rFonts w:asciiTheme="majorHAnsi" w:hAnsiTheme="majorHAnsi" w:cstheme="majorHAnsi"/>
          <w:i w:val="0"/>
          <w:sz w:val="24"/>
        </w:rPr>
        <w:t>ve</w:t>
      </w:r>
      <w:r w:rsidRPr="00394666">
        <w:rPr>
          <w:rFonts w:asciiTheme="majorHAnsi" w:hAnsiTheme="majorHAnsi" w:cstheme="majorHAnsi"/>
          <w:i w:val="0"/>
          <w:sz w:val="24"/>
        </w:rPr>
        <w:t xml:space="preserve"> külön is megvizsgáltuk az Európai Bizottság által </w:t>
      </w:r>
      <w:r w:rsidR="004139ED" w:rsidRPr="00394666">
        <w:rPr>
          <w:rFonts w:asciiTheme="majorHAnsi" w:hAnsiTheme="majorHAnsi" w:cstheme="majorHAnsi"/>
          <w:i w:val="0"/>
          <w:sz w:val="24"/>
        </w:rPr>
        <w:t>a 2021</w:t>
      </w:r>
      <w:r w:rsidR="008B061E">
        <w:rPr>
          <w:rFonts w:asciiTheme="majorHAnsi" w:hAnsiTheme="majorHAnsi" w:cstheme="majorHAnsi"/>
          <w:i w:val="0"/>
          <w:sz w:val="24"/>
        </w:rPr>
        <w:t>−</w:t>
      </w:r>
      <w:r w:rsidR="004139ED" w:rsidRPr="00394666">
        <w:rPr>
          <w:rFonts w:asciiTheme="majorHAnsi" w:hAnsiTheme="majorHAnsi" w:cstheme="majorHAnsi"/>
          <w:i w:val="0"/>
          <w:sz w:val="24"/>
        </w:rPr>
        <w:t>2027 közötti támogatási időszak</w:t>
      </w:r>
      <w:r w:rsidR="004139ED">
        <w:rPr>
          <w:rFonts w:asciiTheme="majorHAnsi" w:hAnsiTheme="majorHAnsi" w:cstheme="majorHAnsi"/>
          <w:i w:val="0"/>
          <w:sz w:val="24"/>
        </w:rPr>
        <w:t xml:space="preserve">ra vonatkozó, </w:t>
      </w:r>
      <w:r w:rsidR="00152195" w:rsidRPr="00394666">
        <w:rPr>
          <w:rFonts w:asciiTheme="majorHAnsi" w:hAnsiTheme="majorHAnsi" w:cstheme="majorHAnsi"/>
          <w:i w:val="0"/>
          <w:sz w:val="24"/>
        </w:rPr>
        <w:t>a</w:t>
      </w:r>
      <w:r w:rsidR="00152195">
        <w:rPr>
          <w:rFonts w:asciiTheme="majorHAnsi" w:hAnsiTheme="majorHAnsi" w:cstheme="majorHAnsi"/>
          <w:i w:val="0"/>
          <w:sz w:val="24"/>
        </w:rPr>
        <w:t>z oktatási</w:t>
      </w:r>
      <w:r w:rsidR="008A4147">
        <w:rPr>
          <w:rFonts w:asciiTheme="majorHAnsi" w:hAnsiTheme="majorHAnsi" w:cstheme="majorHAnsi"/>
          <w:i w:val="0"/>
          <w:sz w:val="24"/>
        </w:rPr>
        <w:t xml:space="preserve"> és képzési</w:t>
      </w:r>
      <w:r w:rsidR="0054059A">
        <w:rPr>
          <w:rFonts w:asciiTheme="majorHAnsi" w:hAnsiTheme="majorHAnsi" w:cstheme="majorHAnsi"/>
          <w:i w:val="0"/>
          <w:sz w:val="24"/>
        </w:rPr>
        <w:t xml:space="preserve"> </w:t>
      </w:r>
      <w:r w:rsidR="008A4147">
        <w:rPr>
          <w:rFonts w:asciiTheme="majorHAnsi" w:hAnsiTheme="majorHAnsi" w:cstheme="majorHAnsi"/>
          <w:i w:val="0"/>
          <w:sz w:val="24"/>
        </w:rPr>
        <w:t xml:space="preserve">rendszert </w:t>
      </w:r>
      <w:r w:rsidRPr="00394666">
        <w:rPr>
          <w:rFonts w:asciiTheme="majorHAnsi" w:hAnsiTheme="majorHAnsi" w:cstheme="majorHAnsi"/>
          <w:i w:val="0"/>
          <w:sz w:val="24"/>
        </w:rPr>
        <w:t>éri</w:t>
      </w:r>
      <w:r w:rsidR="009721AE">
        <w:rPr>
          <w:rFonts w:asciiTheme="majorHAnsi" w:hAnsiTheme="majorHAnsi" w:cstheme="majorHAnsi"/>
          <w:i w:val="0"/>
          <w:sz w:val="24"/>
        </w:rPr>
        <w:t>ntő szakpolitikai javaslat</w:t>
      </w:r>
      <w:r w:rsidR="004139ED">
        <w:rPr>
          <w:rFonts w:asciiTheme="majorHAnsi" w:hAnsiTheme="majorHAnsi" w:cstheme="majorHAnsi"/>
          <w:i w:val="0"/>
          <w:sz w:val="24"/>
        </w:rPr>
        <w:t xml:space="preserve">ainak </w:t>
      </w:r>
      <w:proofErr w:type="gramStart"/>
      <w:r w:rsidR="004139ED">
        <w:rPr>
          <w:rFonts w:asciiTheme="majorHAnsi" w:hAnsiTheme="majorHAnsi" w:cstheme="majorHAnsi"/>
          <w:i w:val="0"/>
          <w:sz w:val="24"/>
        </w:rPr>
        <w:t>tervezetét</w:t>
      </w:r>
      <w:r w:rsidR="00D80E8F">
        <w:rPr>
          <w:rStyle w:val="Lbjegyzet-hivatkozs"/>
          <w:rFonts w:asciiTheme="majorHAnsi" w:hAnsiTheme="majorHAnsi" w:cstheme="majorHAnsi"/>
          <w:i w:val="0"/>
          <w:sz w:val="24"/>
        </w:rPr>
        <w:footnoteReference w:id="1"/>
      </w:r>
      <w:r w:rsidR="009721AE">
        <w:rPr>
          <w:rFonts w:asciiTheme="majorHAnsi" w:hAnsiTheme="majorHAnsi" w:cstheme="majorHAnsi"/>
          <w:i w:val="0"/>
          <w:sz w:val="24"/>
        </w:rPr>
        <w:t>.</w:t>
      </w:r>
      <w:proofErr w:type="gramEnd"/>
      <w:r w:rsidR="009721AE">
        <w:rPr>
          <w:rFonts w:asciiTheme="majorHAnsi" w:hAnsiTheme="majorHAnsi" w:cstheme="majorHAnsi"/>
          <w:i w:val="0"/>
          <w:sz w:val="24"/>
        </w:rPr>
        <w:t xml:space="preserve"> Az ún. feljogosító feltételek között összesen 7 elem jelent meg, </w:t>
      </w:r>
      <w:r w:rsidR="008B061E">
        <w:rPr>
          <w:rFonts w:asciiTheme="majorHAnsi" w:hAnsiTheme="majorHAnsi" w:cstheme="majorHAnsi"/>
          <w:i w:val="0"/>
          <w:sz w:val="24"/>
        </w:rPr>
        <w:t>és</w:t>
      </w:r>
      <w:r w:rsidR="009721AE">
        <w:rPr>
          <w:rFonts w:asciiTheme="majorHAnsi" w:hAnsiTheme="majorHAnsi" w:cstheme="majorHAnsi"/>
          <w:i w:val="0"/>
          <w:sz w:val="24"/>
        </w:rPr>
        <w:t xml:space="preserve"> elvárás, hogy azok</w:t>
      </w:r>
      <w:r w:rsidR="008A4147">
        <w:rPr>
          <w:rFonts w:asciiTheme="majorHAnsi" w:hAnsiTheme="majorHAnsi" w:cstheme="majorHAnsi"/>
          <w:i w:val="0"/>
          <w:sz w:val="24"/>
        </w:rPr>
        <w:t xml:space="preserve">nak </w:t>
      </w:r>
      <w:r w:rsidR="004470B2">
        <w:rPr>
          <w:rFonts w:asciiTheme="majorHAnsi" w:hAnsiTheme="majorHAnsi" w:cstheme="majorHAnsi"/>
          <w:i w:val="0"/>
          <w:sz w:val="24"/>
        </w:rPr>
        <w:t>feleljen</w:t>
      </w:r>
      <w:r w:rsidR="008A4147">
        <w:rPr>
          <w:rFonts w:asciiTheme="majorHAnsi" w:hAnsiTheme="majorHAnsi" w:cstheme="majorHAnsi"/>
          <w:i w:val="0"/>
          <w:sz w:val="24"/>
        </w:rPr>
        <w:t xml:space="preserve"> meg </w:t>
      </w:r>
      <w:r w:rsidR="009721AE">
        <w:rPr>
          <w:rFonts w:asciiTheme="majorHAnsi" w:hAnsiTheme="majorHAnsi" w:cstheme="majorHAnsi"/>
          <w:i w:val="0"/>
          <w:sz w:val="24"/>
        </w:rPr>
        <w:t>az oktatási és képzési rendszerre vonatkozó nemzeti</w:t>
      </w:r>
      <w:r w:rsidR="008B061E">
        <w:rPr>
          <w:rFonts w:asciiTheme="majorHAnsi" w:hAnsiTheme="majorHAnsi" w:cstheme="majorHAnsi"/>
          <w:i w:val="0"/>
          <w:sz w:val="24"/>
        </w:rPr>
        <w:t>,</w:t>
      </w:r>
      <w:r w:rsidR="009721AE">
        <w:rPr>
          <w:rFonts w:asciiTheme="majorHAnsi" w:hAnsiTheme="majorHAnsi" w:cstheme="majorHAnsi"/>
          <w:i w:val="0"/>
          <w:sz w:val="24"/>
        </w:rPr>
        <w:t xml:space="preserve"> stratégiai szakpolitikai keret (a releváns jogszabályok</w:t>
      </w:r>
      <w:r w:rsidR="008B061E">
        <w:rPr>
          <w:rFonts w:asciiTheme="majorHAnsi" w:hAnsiTheme="majorHAnsi" w:cstheme="majorHAnsi"/>
          <w:i w:val="0"/>
          <w:sz w:val="24"/>
        </w:rPr>
        <w:t>kal együtt</w:t>
      </w:r>
      <w:r w:rsidR="009721AE">
        <w:rPr>
          <w:rFonts w:asciiTheme="majorHAnsi" w:hAnsiTheme="majorHAnsi" w:cstheme="majorHAnsi"/>
          <w:i w:val="0"/>
          <w:sz w:val="24"/>
        </w:rPr>
        <w:t>). Ezek a következők:</w:t>
      </w:r>
    </w:p>
    <w:p w14:paraId="1EE0326D" w14:textId="77777777" w:rsidR="009721AE" w:rsidRDefault="009721AE" w:rsidP="00FE07E1">
      <w:pPr>
        <w:pStyle w:val="Forrs"/>
        <w:numPr>
          <w:ilvl w:val="0"/>
          <w:numId w:val="10"/>
        </w:numPr>
        <w:spacing w:after="120" w:line="276" w:lineRule="auto"/>
        <w:jc w:val="both"/>
        <w:rPr>
          <w:rFonts w:asciiTheme="majorHAnsi" w:hAnsiTheme="majorHAnsi" w:cstheme="majorHAnsi"/>
          <w:i w:val="0"/>
          <w:sz w:val="24"/>
        </w:rPr>
      </w:pPr>
      <w:r>
        <w:rPr>
          <w:rFonts w:asciiTheme="majorHAnsi" w:hAnsiTheme="majorHAnsi" w:cstheme="majorHAnsi"/>
          <w:i w:val="0"/>
          <w:sz w:val="24"/>
        </w:rPr>
        <w:t>tényeken alapuló rendszerek a készségek előrejelzés</w:t>
      </w:r>
      <w:r w:rsidR="00FA4358">
        <w:rPr>
          <w:rFonts w:asciiTheme="majorHAnsi" w:hAnsiTheme="majorHAnsi" w:cstheme="majorHAnsi"/>
          <w:i w:val="0"/>
          <w:sz w:val="24"/>
        </w:rPr>
        <w:t>e</w:t>
      </w:r>
      <w:r>
        <w:rPr>
          <w:rFonts w:asciiTheme="majorHAnsi" w:hAnsiTheme="majorHAnsi" w:cstheme="majorHAnsi"/>
          <w:i w:val="0"/>
          <w:sz w:val="24"/>
        </w:rPr>
        <w:t xml:space="preserve"> (</w:t>
      </w:r>
      <w:r w:rsidR="00394666" w:rsidRPr="009721AE">
        <w:rPr>
          <w:i w:val="0"/>
          <w:sz w:val="24"/>
          <w:lang w:eastAsia="hu-HU"/>
        </w:rPr>
        <w:t>pályakövetési mechanizmusok, valamint minőségi és hatékony iránymutatás a külö</w:t>
      </w:r>
      <w:r>
        <w:rPr>
          <w:i w:val="0"/>
          <w:sz w:val="24"/>
          <w:lang w:eastAsia="hu-HU"/>
        </w:rPr>
        <w:t>nböző életkorú tanulók számára);</w:t>
      </w:r>
    </w:p>
    <w:p w14:paraId="19FB3912" w14:textId="77777777" w:rsidR="00394666" w:rsidRPr="009721AE" w:rsidRDefault="00394666" w:rsidP="00FE07E1">
      <w:pPr>
        <w:pStyle w:val="Forrs"/>
        <w:numPr>
          <w:ilvl w:val="0"/>
          <w:numId w:val="10"/>
        </w:numPr>
        <w:spacing w:after="120" w:line="276" w:lineRule="auto"/>
        <w:jc w:val="both"/>
        <w:rPr>
          <w:rFonts w:asciiTheme="majorHAnsi" w:hAnsiTheme="majorHAnsi" w:cstheme="majorHAnsi"/>
          <w:i w:val="0"/>
          <w:sz w:val="24"/>
        </w:rPr>
      </w:pPr>
      <w:r w:rsidRPr="009721AE">
        <w:rPr>
          <w:i w:val="0"/>
          <w:sz w:val="24"/>
          <w:lang w:eastAsia="hu-HU"/>
        </w:rPr>
        <w:lastRenderedPageBreak/>
        <w:t xml:space="preserve">intézkedések </w:t>
      </w:r>
      <w:r w:rsidR="009721AE">
        <w:rPr>
          <w:i w:val="0"/>
          <w:sz w:val="24"/>
          <w:lang w:eastAsia="hu-HU"/>
        </w:rPr>
        <w:t xml:space="preserve">a </w:t>
      </w:r>
      <w:r w:rsidRPr="009721AE">
        <w:rPr>
          <w:i w:val="0"/>
          <w:sz w:val="24"/>
          <w:lang w:eastAsia="hu-HU"/>
        </w:rPr>
        <w:t xml:space="preserve">minőségi, megfizethető, releváns, </w:t>
      </w:r>
      <w:proofErr w:type="spellStart"/>
      <w:r w:rsidRPr="009721AE">
        <w:rPr>
          <w:i w:val="0"/>
          <w:sz w:val="24"/>
          <w:lang w:eastAsia="hu-HU"/>
        </w:rPr>
        <w:t>nem-szegregált</w:t>
      </w:r>
      <w:proofErr w:type="spellEnd"/>
      <w:r w:rsidRPr="009721AE">
        <w:rPr>
          <w:i w:val="0"/>
          <w:sz w:val="24"/>
          <w:lang w:eastAsia="hu-HU"/>
        </w:rPr>
        <w:t xml:space="preserve"> és inkluzív oktatáshoz</w:t>
      </w:r>
      <w:r w:rsidR="008B061E">
        <w:rPr>
          <w:i w:val="0"/>
          <w:sz w:val="24"/>
          <w:lang w:eastAsia="hu-HU"/>
        </w:rPr>
        <w:t>-</w:t>
      </w:r>
      <w:r w:rsidRPr="009721AE">
        <w:rPr>
          <w:i w:val="0"/>
          <w:sz w:val="24"/>
          <w:lang w:eastAsia="hu-HU"/>
        </w:rPr>
        <w:t>ké</w:t>
      </w:r>
      <w:r w:rsidR="009721AE">
        <w:rPr>
          <w:i w:val="0"/>
          <w:sz w:val="24"/>
          <w:lang w:eastAsia="hu-HU"/>
        </w:rPr>
        <w:t>pzéshez való egyenlő hozzáférés</w:t>
      </w:r>
      <w:r w:rsidR="008B061E">
        <w:rPr>
          <w:i w:val="0"/>
          <w:sz w:val="24"/>
          <w:lang w:eastAsia="hu-HU"/>
        </w:rPr>
        <w:t xml:space="preserve"> elérés</w:t>
      </w:r>
      <w:r w:rsidR="00FA4358">
        <w:rPr>
          <w:i w:val="0"/>
          <w:sz w:val="24"/>
          <w:lang w:eastAsia="hu-HU"/>
        </w:rPr>
        <w:t>e</w:t>
      </w:r>
      <w:r w:rsidRPr="009721AE">
        <w:rPr>
          <w:i w:val="0"/>
          <w:sz w:val="24"/>
          <w:lang w:eastAsia="hu-HU"/>
        </w:rPr>
        <w:t xml:space="preserve">, </w:t>
      </w:r>
      <w:r w:rsidR="009721AE">
        <w:rPr>
          <w:i w:val="0"/>
          <w:sz w:val="24"/>
          <w:lang w:eastAsia="hu-HU"/>
        </w:rPr>
        <w:t>az</w:t>
      </w:r>
      <w:r w:rsidRPr="009721AE">
        <w:rPr>
          <w:i w:val="0"/>
          <w:sz w:val="24"/>
          <w:lang w:eastAsia="hu-HU"/>
        </w:rPr>
        <w:t xml:space="preserve"> oktatásban és képzésben való részvétel és annak befejezése</w:t>
      </w:r>
      <w:r w:rsidR="009721AE">
        <w:rPr>
          <w:i w:val="0"/>
          <w:sz w:val="24"/>
          <w:lang w:eastAsia="hu-HU"/>
        </w:rPr>
        <w:t>;</w:t>
      </w:r>
    </w:p>
    <w:p w14:paraId="55C9273A" w14:textId="77777777" w:rsidR="009721AE" w:rsidRDefault="009721AE" w:rsidP="00FE07E1">
      <w:pPr>
        <w:pStyle w:val="Forrs"/>
        <w:numPr>
          <w:ilvl w:val="0"/>
          <w:numId w:val="10"/>
        </w:numPr>
        <w:spacing w:after="120" w:line="276" w:lineRule="auto"/>
        <w:jc w:val="both"/>
        <w:rPr>
          <w:rFonts w:asciiTheme="majorHAnsi" w:hAnsiTheme="majorHAnsi" w:cstheme="majorHAnsi"/>
          <w:i w:val="0"/>
          <w:sz w:val="24"/>
        </w:rPr>
      </w:pPr>
      <w:r>
        <w:rPr>
          <w:i w:val="0"/>
          <w:sz w:val="24"/>
          <w:lang w:eastAsia="hu-HU"/>
        </w:rPr>
        <w:t>koordinációs mechanizmus</w:t>
      </w:r>
      <w:r w:rsidR="008B061E">
        <w:rPr>
          <w:i w:val="0"/>
          <w:sz w:val="24"/>
          <w:lang w:eastAsia="hu-HU"/>
        </w:rPr>
        <w:t>kialakítása</w:t>
      </w:r>
      <w:r w:rsidR="00394666" w:rsidRPr="009721AE">
        <w:rPr>
          <w:i w:val="0"/>
          <w:sz w:val="24"/>
          <w:lang w:eastAsia="hu-HU"/>
        </w:rPr>
        <w:t xml:space="preserve"> az oktatás és képzés valamennyi szintjén</w:t>
      </w:r>
      <w:r>
        <w:rPr>
          <w:i w:val="0"/>
          <w:sz w:val="24"/>
          <w:lang w:eastAsia="hu-HU"/>
        </w:rPr>
        <w:t>,</w:t>
      </w:r>
      <w:r w:rsidR="00394666" w:rsidRPr="009721AE">
        <w:rPr>
          <w:i w:val="0"/>
          <w:sz w:val="24"/>
          <w:lang w:eastAsia="hu-HU"/>
        </w:rPr>
        <w:t xml:space="preserve"> valamint a feladatok egyértelmű </w:t>
      </w:r>
      <w:r>
        <w:rPr>
          <w:i w:val="0"/>
          <w:sz w:val="24"/>
          <w:lang w:eastAsia="hu-HU"/>
        </w:rPr>
        <w:t>kijelölése</w:t>
      </w:r>
      <w:r w:rsidR="00394666" w:rsidRPr="009721AE">
        <w:rPr>
          <w:i w:val="0"/>
          <w:sz w:val="24"/>
          <w:lang w:eastAsia="hu-HU"/>
        </w:rPr>
        <w:t xml:space="preserve"> a releváns nemzeti és/vagy regionális testületek között</w:t>
      </w:r>
      <w:r>
        <w:rPr>
          <w:i w:val="0"/>
          <w:sz w:val="24"/>
          <w:lang w:eastAsia="hu-HU"/>
        </w:rPr>
        <w:t>;</w:t>
      </w:r>
    </w:p>
    <w:p w14:paraId="20F2C50C" w14:textId="77777777" w:rsidR="009721AE" w:rsidRPr="009721AE" w:rsidRDefault="009721AE" w:rsidP="00FE07E1">
      <w:pPr>
        <w:pStyle w:val="Forrs"/>
        <w:numPr>
          <w:ilvl w:val="0"/>
          <w:numId w:val="10"/>
        </w:numPr>
        <w:spacing w:after="120" w:line="276" w:lineRule="auto"/>
        <w:jc w:val="both"/>
        <w:rPr>
          <w:rFonts w:asciiTheme="majorHAnsi" w:hAnsiTheme="majorHAnsi" w:cstheme="majorHAnsi"/>
          <w:i w:val="0"/>
          <w:sz w:val="24"/>
        </w:rPr>
      </w:pPr>
      <w:r w:rsidRPr="009721AE">
        <w:rPr>
          <w:i w:val="0"/>
          <w:sz w:val="24"/>
          <w:lang w:eastAsia="hu-HU"/>
        </w:rPr>
        <w:t>r</w:t>
      </w:r>
      <w:r w:rsidR="00394666" w:rsidRPr="009721AE">
        <w:rPr>
          <w:i w:val="0"/>
          <w:sz w:val="24"/>
          <w:lang w:eastAsia="hu-HU"/>
        </w:rPr>
        <w:t>endelkezések a stratégiai szakpolitikai keret nyomon követéséről, értékeléséről és felülvizsgálatáról</w:t>
      </w:r>
      <w:r>
        <w:rPr>
          <w:i w:val="0"/>
          <w:sz w:val="24"/>
          <w:lang w:eastAsia="hu-HU"/>
        </w:rPr>
        <w:t>;</w:t>
      </w:r>
    </w:p>
    <w:p w14:paraId="1C7E2332" w14:textId="77777777" w:rsidR="009721AE" w:rsidRDefault="009721AE" w:rsidP="00FE07E1">
      <w:pPr>
        <w:pStyle w:val="Forrs"/>
        <w:numPr>
          <w:ilvl w:val="0"/>
          <w:numId w:val="10"/>
        </w:numPr>
        <w:spacing w:after="120" w:line="276" w:lineRule="auto"/>
        <w:jc w:val="both"/>
        <w:rPr>
          <w:rFonts w:asciiTheme="majorHAnsi" w:hAnsiTheme="majorHAnsi" w:cstheme="majorHAnsi"/>
          <w:i w:val="0"/>
          <w:sz w:val="24"/>
        </w:rPr>
      </w:pPr>
      <w:r>
        <w:rPr>
          <w:i w:val="0"/>
          <w:sz w:val="24"/>
          <w:lang w:eastAsia="hu-HU"/>
        </w:rPr>
        <w:t>az alacsony képzettségű</w:t>
      </w:r>
      <w:r w:rsidR="00394666" w:rsidRPr="009721AE">
        <w:rPr>
          <w:i w:val="0"/>
          <w:sz w:val="24"/>
          <w:lang w:eastAsia="hu-HU"/>
        </w:rPr>
        <w:t>/végzettségű felnőttekre és a hátrányos társadalmi-gazdasági hátterű személyekre irányuló intézkedés</w:t>
      </w:r>
      <w:r>
        <w:rPr>
          <w:i w:val="0"/>
          <w:sz w:val="24"/>
          <w:lang w:eastAsia="hu-HU"/>
        </w:rPr>
        <w:t>ek és készségfejlesztési pályák</w:t>
      </w:r>
      <w:r w:rsidR="008B061E">
        <w:rPr>
          <w:i w:val="0"/>
          <w:sz w:val="24"/>
          <w:lang w:eastAsia="hu-HU"/>
        </w:rPr>
        <w:t xml:space="preserve"> kialakítása</w:t>
      </w:r>
      <w:r>
        <w:rPr>
          <w:i w:val="0"/>
          <w:sz w:val="24"/>
          <w:lang w:eastAsia="hu-HU"/>
        </w:rPr>
        <w:t>;</w:t>
      </w:r>
    </w:p>
    <w:p w14:paraId="2E18F3BB" w14:textId="77777777" w:rsidR="00394666" w:rsidRPr="009721AE" w:rsidRDefault="009721AE" w:rsidP="00FE07E1">
      <w:pPr>
        <w:pStyle w:val="Forrs"/>
        <w:numPr>
          <w:ilvl w:val="0"/>
          <w:numId w:val="10"/>
        </w:numPr>
        <w:spacing w:after="120" w:line="276" w:lineRule="auto"/>
        <w:jc w:val="both"/>
        <w:rPr>
          <w:rFonts w:asciiTheme="majorHAnsi" w:hAnsiTheme="majorHAnsi" w:cstheme="majorHAnsi"/>
          <w:i w:val="0"/>
          <w:sz w:val="24"/>
        </w:rPr>
      </w:pPr>
      <w:r>
        <w:rPr>
          <w:rFonts w:asciiTheme="majorHAnsi" w:hAnsiTheme="majorHAnsi" w:cstheme="majorHAnsi"/>
          <w:i w:val="0"/>
          <w:sz w:val="24"/>
        </w:rPr>
        <w:t>a</w:t>
      </w:r>
      <w:r>
        <w:rPr>
          <w:i w:val="0"/>
          <w:sz w:val="24"/>
          <w:lang w:eastAsia="hu-HU"/>
        </w:rPr>
        <w:t xml:space="preserve"> pedagógusok</w:t>
      </w:r>
      <w:r w:rsidR="008635FA">
        <w:rPr>
          <w:i w:val="0"/>
          <w:sz w:val="24"/>
          <w:lang w:eastAsia="hu-HU"/>
        </w:rPr>
        <w:t xml:space="preserve"> </w:t>
      </w:r>
      <w:r>
        <w:rPr>
          <w:i w:val="0"/>
          <w:sz w:val="24"/>
          <w:lang w:eastAsia="hu-HU"/>
        </w:rPr>
        <w:t>megfelelő támogatása</w:t>
      </w:r>
      <w:r w:rsidR="008635FA">
        <w:rPr>
          <w:i w:val="0"/>
          <w:sz w:val="24"/>
          <w:lang w:eastAsia="hu-HU"/>
        </w:rPr>
        <w:t xml:space="preserve"> </w:t>
      </w:r>
      <w:r>
        <w:rPr>
          <w:i w:val="0"/>
          <w:sz w:val="24"/>
          <w:lang w:eastAsia="hu-HU"/>
        </w:rPr>
        <w:t xml:space="preserve">a pedagógiai </w:t>
      </w:r>
      <w:r w:rsidR="00394666" w:rsidRPr="009721AE">
        <w:rPr>
          <w:i w:val="0"/>
          <w:sz w:val="24"/>
          <w:lang w:eastAsia="hu-HU"/>
        </w:rPr>
        <w:t>módszerek, valamint a kulcskompetenciák értékelés</w:t>
      </w:r>
      <w:r w:rsidR="008B061E">
        <w:rPr>
          <w:i w:val="0"/>
          <w:sz w:val="24"/>
          <w:lang w:eastAsia="hu-HU"/>
        </w:rPr>
        <w:t>ére</w:t>
      </w:r>
      <w:r w:rsidR="00394666" w:rsidRPr="009721AE">
        <w:rPr>
          <w:i w:val="0"/>
          <w:sz w:val="24"/>
          <w:lang w:eastAsia="hu-HU"/>
        </w:rPr>
        <w:t xml:space="preserve"> és </w:t>
      </w:r>
      <w:proofErr w:type="spellStart"/>
      <w:r w:rsidR="00394666" w:rsidRPr="009721AE">
        <w:rPr>
          <w:i w:val="0"/>
          <w:sz w:val="24"/>
          <w:lang w:eastAsia="hu-HU"/>
        </w:rPr>
        <w:t>validációj</w:t>
      </w:r>
      <w:r w:rsidR="008635FA">
        <w:rPr>
          <w:i w:val="0"/>
          <w:sz w:val="24"/>
          <w:lang w:eastAsia="hu-HU"/>
        </w:rPr>
        <w:t>á</w:t>
      </w:r>
      <w:r w:rsidR="008B061E">
        <w:rPr>
          <w:i w:val="0"/>
          <w:sz w:val="24"/>
          <w:lang w:eastAsia="hu-HU"/>
        </w:rPr>
        <w:t>ra</w:t>
      </w:r>
      <w:proofErr w:type="spellEnd"/>
      <w:r w:rsidR="008B061E">
        <w:rPr>
          <w:i w:val="0"/>
          <w:sz w:val="24"/>
          <w:lang w:eastAsia="hu-HU"/>
        </w:rPr>
        <w:t xml:space="preserve"> vonatkozóan</w:t>
      </w:r>
      <w:r>
        <w:rPr>
          <w:i w:val="0"/>
          <w:sz w:val="24"/>
          <w:lang w:eastAsia="hu-HU"/>
        </w:rPr>
        <w:t>;</w:t>
      </w:r>
    </w:p>
    <w:p w14:paraId="0E4B1A1D" w14:textId="77777777" w:rsidR="009721AE" w:rsidRDefault="00394666" w:rsidP="00FE07E1">
      <w:pPr>
        <w:pStyle w:val="Forrs"/>
        <w:numPr>
          <w:ilvl w:val="0"/>
          <w:numId w:val="10"/>
        </w:numPr>
        <w:spacing w:after="120" w:line="276" w:lineRule="auto"/>
        <w:jc w:val="both"/>
        <w:rPr>
          <w:i w:val="0"/>
          <w:sz w:val="24"/>
          <w:lang w:eastAsia="hu-HU"/>
        </w:rPr>
      </w:pPr>
      <w:r w:rsidRPr="009721AE">
        <w:rPr>
          <w:i w:val="0"/>
          <w:sz w:val="24"/>
          <w:lang w:eastAsia="hu-HU"/>
        </w:rPr>
        <w:t xml:space="preserve">a tanulók és </w:t>
      </w:r>
      <w:r w:rsidR="009721AE">
        <w:rPr>
          <w:i w:val="0"/>
          <w:sz w:val="24"/>
          <w:lang w:eastAsia="hu-HU"/>
        </w:rPr>
        <w:t xml:space="preserve">pedagógusok mobilitását, határokon átívelő </w:t>
      </w:r>
      <w:r w:rsidRPr="009721AE">
        <w:rPr>
          <w:i w:val="0"/>
          <w:sz w:val="24"/>
          <w:lang w:eastAsia="hu-HU"/>
        </w:rPr>
        <w:t>együttmű</w:t>
      </w:r>
      <w:r w:rsidR="009721AE">
        <w:rPr>
          <w:i w:val="0"/>
          <w:sz w:val="24"/>
          <w:lang w:eastAsia="hu-HU"/>
        </w:rPr>
        <w:t>ködését előmozdító intézkedések.</w:t>
      </w:r>
    </w:p>
    <w:p w14:paraId="72358174" w14:textId="77777777" w:rsidR="009721AE" w:rsidRDefault="009721AE" w:rsidP="009721AE">
      <w:pPr>
        <w:pStyle w:val="Forrs"/>
        <w:spacing w:after="120" w:line="276" w:lineRule="auto"/>
        <w:jc w:val="both"/>
        <w:rPr>
          <w:i w:val="0"/>
          <w:sz w:val="24"/>
          <w:lang w:eastAsia="hu-HU"/>
        </w:rPr>
      </w:pPr>
      <w:r>
        <w:rPr>
          <w:i w:val="0"/>
          <w:sz w:val="24"/>
          <w:lang w:eastAsia="hu-HU"/>
        </w:rPr>
        <w:t xml:space="preserve">Jelen stratégia, valamint a köznevelés jogszabályi rendszere eleget tesz a fenti feltételeknek való megfelelés követelményének. </w:t>
      </w:r>
    </w:p>
    <w:p w14:paraId="598ECAF7" w14:textId="218E8BFD" w:rsidR="00CA40AD" w:rsidRDefault="0054059A" w:rsidP="00CA40AD">
      <w:pPr>
        <w:pStyle w:val="Forrs"/>
        <w:spacing w:line="276" w:lineRule="auto"/>
        <w:jc w:val="both"/>
        <w:rPr>
          <w:i w:val="0"/>
          <w:sz w:val="24"/>
          <w:lang w:eastAsia="hu-HU"/>
        </w:rPr>
      </w:pPr>
      <w:r>
        <w:rPr>
          <w:i w:val="0"/>
          <w:sz w:val="24"/>
          <w:lang w:eastAsia="hu-HU"/>
        </w:rPr>
        <w:t xml:space="preserve">Szintén tekintettel voltunk a NEMZETI FEJLESZTÉS 2030 – </w:t>
      </w:r>
      <w:r w:rsidRPr="0054059A">
        <w:rPr>
          <w:i w:val="0"/>
          <w:sz w:val="24"/>
          <w:lang w:eastAsia="hu-HU"/>
        </w:rPr>
        <w:t>Országos Fejlesztési és Területfejlesztési Koncepció</w:t>
      </w:r>
      <w:r>
        <w:rPr>
          <w:i w:val="0"/>
          <w:sz w:val="24"/>
          <w:lang w:eastAsia="hu-HU"/>
        </w:rPr>
        <w:t xml:space="preserve">ban (OFTK) megfogalmazott </w:t>
      </w:r>
      <w:r w:rsidRPr="0054059A">
        <w:rPr>
          <w:i w:val="0"/>
          <w:sz w:val="24"/>
          <w:lang w:eastAsia="hu-HU"/>
        </w:rPr>
        <w:t xml:space="preserve">hosszú távú, 2030-ig szóló </w:t>
      </w:r>
      <w:r>
        <w:rPr>
          <w:i w:val="0"/>
          <w:sz w:val="24"/>
          <w:lang w:eastAsia="hu-HU"/>
        </w:rPr>
        <w:t>átfogó fejlesztési célokkal való összhang biztosítására</w:t>
      </w:r>
      <w:r w:rsidRPr="0054059A">
        <w:rPr>
          <w:i w:val="0"/>
          <w:sz w:val="24"/>
          <w:lang w:eastAsia="hu-HU"/>
        </w:rPr>
        <w:t xml:space="preserve">. </w:t>
      </w:r>
      <w:r>
        <w:rPr>
          <w:i w:val="0"/>
          <w:sz w:val="24"/>
          <w:lang w:eastAsia="hu-HU"/>
        </w:rPr>
        <w:t xml:space="preserve">Az OFTK a szakpolitikai és átfogó stratégiai kapcsolódások körében nem </w:t>
      </w:r>
      <w:r w:rsidR="00CA40AD">
        <w:rPr>
          <w:i w:val="0"/>
          <w:sz w:val="24"/>
          <w:lang w:eastAsia="hu-HU"/>
        </w:rPr>
        <w:t xml:space="preserve">tér ki a köznevelés-fejlesztési </w:t>
      </w:r>
      <w:proofErr w:type="gramStart"/>
      <w:r w:rsidR="00CA40AD">
        <w:rPr>
          <w:i w:val="0"/>
          <w:sz w:val="24"/>
          <w:lang w:eastAsia="hu-HU"/>
        </w:rPr>
        <w:t>stratégiára</w:t>
      </w:r>
      <w:r>
        <w:rPr>
          <w:rStyle w:val="Lbjegyzet-hivatkozs"/>
          <w:i w:val="0"/>
          <w:sz w:val="24"/>
          <w:lang w:eastAsia="hu-HU"/>
        </w:rPr>
        <w:footnoteReference w:id="2"/>
      </w:r>
      <w:r w:rsidR="00CA40AD">
        <w:rPr>
          <w:i w:val="0"/>
          <w:sz w:val="24"/>
          <w:lang w:eastAsia="hu-HU"/>
        </w:rPr>
        <w:t>,</w:t>
      </w:r>
      <w:proofErr w:type="gramEnd"/>
      <w:r w:rsidR="00CA40AD">
        <w:rPr>
          <w:i w:val="0"/>
          <w:sz w:val="24"/>
          <w:lang w:eastAsia="hu-HU"/>
        </w:rPr>
        <w:t xml:space="preserve"> ugyanakkor közép- és hosszú távú társadalomstratégiai céljai között megfogalmazza a kisgyermekkori nevelés és szolgáltatások minőségének fejlesztését, a köznevelési rendszer hátránykompenzációs képességének erősítését, a digitális társadalom megteremtését, valamint a komplex, integrált oktatás-nevelést. Jelen stratégia célrendszere és beavatkozási irányai magukba foglalják ezeket a törekvéseket.</w:t>
      </w:r>
    </w:p>
    <w:p w14:paraId="749D340F" w14:textId="77777777" w:rsidR="00B84973" w:rsidRPr="0054059A" w:rsidRDefault="00B84973" w:rsidP="00CA40AD">
      <w:pPr>
        <w:pStyle w:val="Forrs"/>
        <w:spacing w:line="276" w:lineRule="auto"/>
        <w:jc w:val="both"/>
        <w:rPr>
          <w:i w:val="0"/>
          <w:sz w:val="24"/>
          <w:lang w:eastAsia="hu-HU"/>
        </w:rPr>
      </w:pPr>
    </w:p>
    <w:p w14:paraId="63C0BB33" w14:textId="77777777" w:rsidR="00B86FE8" w:rsidRPr="00DC6C83" w:rsidRDefault="00B86FE8" w:rsidP="0066550A">
      <w:pPr>
        <w:pStyle w:val="Cmsor1"/>
        <w:spacing w:after="240" w:line="276" w:lineRule="auto"/>
        <w:ind w:left="431" w:hanging="431"/>
        <w:rPr>
          <w:rFonts w:asciiTheme="majorHAnsi" w:hAnsiTheme="majorHAnsi" w:cstheme="majorHAnsi"/>
        </w:rPr>
      </w:pPr>
      <w:bookmarkStart w:id="11" w:name="_Toc12866318"/>
      <w:r w:rsidRPr="00DC6C83">
        <w:rPr>
          <w:rFonts w:asciiTheme="majorHAnsi" w:hAnsiTheme="majorHAnsi" w:cstheme="majorHAnsi"/>
        </w:rPr>
        <w:lastRenderedPageBreak/>
        <w:tab/>
      </w:r>
      <w:bookmarkStart w:id="12" w:name="_Toc35596114"/>
      <w:bookmarkStart w:id="13" w:name="_Toc46822690"/>
      <w:r w:rsidR="000F0D05">
        <w:rPr>
          <w:rFonts w:asciiTheme="majorHAnsi" w:hAnsiTheme="majorHAnsi" w:cstheme="majorHAnsi"/>
        </w:rPr>
        <w:t>H</w:t>
      </w:r>
      <w:r w:rsidRPr="00DC6C83">
        <w:rPr>
          <w:rFonts w:asciiTheme="majorHAnsi" w:hAnsiTheme="majorHAnsi" w:cstheme="majorHAnsi"/>
        </w:rPr>
        <w:t>elyzetértékelés</w:t>
      </w:r>
      <w:bookmarkEnd w:id="12"/>
      <w:bookmarkEnd w:id="13"/>
    </w:p>
    <w:p w14:paraId="73DA72FC" w14:textId="40DAB281"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 világ minden országának oktatási rendszere egyedi jellemzőkkel, az adott állam polgárainak kulturális hagyományaira épülő erősségekkel és gyengeségekkel bír, összehasonlításuk néhány statisztikai mutató alapján fenntartásokkal kezelendő. Az utóbbi két évtizedben mégis kialakultak olyan, elsősorban a versenyképesség szempontjait feltáró mutatók, </w:t>
      </w:r>
      <w:r w:rsidR="00FA4358">
        <w:rPr>
          <w:rFonts w:asciiTheme="majorHAnsi" w:hAnsiTheme="majorHAnsi" w:cstheme="majorHAnsi"/>
        </w:rPr>
        <w:t>a</w:t>
      </w:r>
      <w:r w:rsidRPr="00DC6C83">
        <w:rPr>
          <w:rFonts w:asciiTheme="majorHAnsi" w:hAnsiTheme="majorHAnsi" w:cstheme="majorHAnsi"/>
        </w:rPr>
        <w:t xml:space="preserve">melyeket az oktatási rendszerek összehasonlítására használhatunk. Jelen stratégia ezért nagymértékben </w:t>
      </w:r>
      <w:r w:rsidR="00A257DB">
        <w:rPr>
          <w:rFonts w:asciiTheme="majorHAnsi" w:hAnsiTheme="majorHAnsi" w:cstheme="majorHAnsi"/>
        </w:rPr>
        <w:t>támaszkodik</w:t>
      </w:r>
      <w:r w:rsidR="00BF551C">
        <w:rPr>
          <w:rFonts w:asciiTheme="majorHAnsi" w:hAnsiTheme="majorHAnsi" w:cstheme="majorHAnsi"/>
        </w:rPr>
        <w:t xml:space="preserve"> </w:t>
      </w:r>
      <w:r w:rsidR="0080275D">
        <w:rPr>
          <w:rFonts w:asciiTheme="majorHAnsi" w:hAnsiTheme="majorHAnsi" w:cstheme="majorHAnsi"/>
        </w:rPr>
        <w:t>a hazai</w:t>
      </w:r>
      <w:r w:rsidR="00257245">
        <w:rPr>
          <w:rFonts w:asciiTheme="majorHAnsi" w:hAnsiTheme="majorHAnsi" w:cstheme="majorHAnsi"/>
        </w:rPr>
        <w:t xml:space="preserve"> kutatásokra</w:t>
      </w:r>
      <w:r w:rsidR="0080275D">
        <w:rPr>
          <w:rFonts w:asciiTheme="majorHAnsi" w:hAnsiTheme="majorHAnsi" w:cstheme="majorHAnsi"/>
        </w:rPr>
        <w:t xml:space="preserve">, </w:t>
      </w:r>
      <w:r w:rsidR="00257245">
        <w:rPr>
          <w:rFonts w:asciiTheme="majorHAnsi" w:hAnsiTheme="majorHAnsi" w:cstheme="majorHAnsi"/>
        </w:rPr>
        <w:t xml:space="preserve">valamint </w:t>
      </w:r>
      <w:r w:rsidRPr="00DC6C83">
        <w:rPr>
          <w:rFonts w:asciiTheme="majorHAnsi" w:hAnsiTheme="majorHAnsi" w:cstheme="majorHAnsi"/>
        </w:rPr>
        <w:t>az Európai Unió, az IEA és az OECD nemzetközi elemzéseire építkező szakmapolitikai ajánlásai</w:t>
      </w:r>
      <w:r w:rsidR="00A257DB">
        <w:rPr>
          <w:rFonts w:asciiTheme="majorHAnsi" w:hAnsiTheme="majorHAnsi" w:cstheme="majorHAnsi"/>
        </w:rPr>
        <w:t>ra.</w:t>
      </w:r>
      <w:r w:rsidR="00BF551C">
        <w:rPr>
          <w:rFonts w:asciiTheme="majorHAnsi" w:hAnsiTheme="majorHAnsi" w:cstheme="majorHAnsi"/>
        </w:rPr>
        <w:t xml:space="preserve"> </w:t>
      </w:r>
      <w:r w:rsidR="00A257DB">
        <w:rPr>
          <w:rFonts w:asciiTheme="majorHAnsi" w:hAnsiTheme="majorHAnsi" w:cstheme="majorHAnsi"/>
        </w:rPr>
        <w:t>Figyelembe veszi a</w:t>
      </w:r>
      <w:r w:rsidR="00BF551C">
        <w:rPr>
          <w:rFonts w:asciiTheme="majorHAnsi" w:hAnsiTheme="majorHAnsi" w:cstheme="majorHAnsi"/>
        </w:rPr>
        <w:t xml:space="preserve"> </w:t>
      </w:r>
      <w:r w:rsidRPr="00DC6C83">
        <w:rPr>
          <w:rFonts w:asciiTheme="majorHAnsi" w:hAnsiTheme="majorHAnsi" w:cstheme="majorHAnsi"/>
        </w:rPr>
        <w:t>gazdaság</w:t>
      </w:r>
      <w:r w:rsidR="00F70B85">
        <w:rPr>
          <w:rFonts w:asciiTheme="majorHAnsi" w:hAnsiTheme="majorHAnsi" w:cstheme="majorHAnsi"/>
        </w:rPr>
        <w:t xml:space="preserve">i </w:t>
      </w:r>
      <w:r w:rsidR="00892B9E">
        <w:rPr>
          <w:rFonts w:asciiTheme="majorHAnsi" w:hAnsiTheme="majorHAnsi" w:cstheme="majorHAnsi"/>
        </w:rPr>
        <w:t xml:space="preserve">szereplők, a </w:t>
      </w:r>
      <w:r w:rsidR="00A257DB">
        <w:rPr>
          <w:rFonts w:asciiTheme="majorHAnsi" w:hAnsiTheme="majorHAnsi" w:cstheme="majorHAnsi"/>
        </w:rPr>
        <w:t>munkáltató</w:t>
      </w:r>
      <w:r w:rsidR="00892B9E">
        <w:rPr>
          <w:rFonts w:asciiTheme="majorHAnsi" w:hAnsiTheme="majorHAnsi" w:cstheme="majorHAnsi"/>
        </w:rPr>
        <w:t>k</w:t>
      </w:r>
      <w:r w:rsidR="00A257DB">
        <w:rPr>
          <w:rFonts w:asciiTheme="majorHAnsi" w:hAnsiTheme="majorHAnsi" w:cstheme="majorHAnsi"/>
        </w:rPr>
        <w:t xml:space="preserve"> és </w:t>
      </w:r>
      <w:r w:rsidRPr="00DC6C83">
        <w:rPr>
          <w:rFonts w:asciiTheme="majorHAnsi" w:hAnsiTheme="majorHAnsi" w:cstheme="majorHAnsi"/>
        </w:rPr>
        <w:t xml:space="preserve">a </w:t>
      </w:r>
      <w:r w:rsidR="00A257DB" w:rsidRPr="00DC6C83">
        <w:rPr>
          <w:rFonts w:asciiTheme="majorHAnsi" w:hAnsiTheme="majorHAnsi" w:cstheme="majorHAnsi"/>
        </w:rPr>
        <w:t>munkavállaló</w:t>
      </w:r>
      <w:r w:rsidR="002F4A5A">
        <w:rPr>
          <w:rFonts w:asciiTheme="majorHAnsi" w:hAnsiTheme="majorHAnsi" w:cstheme="majorHAnsi"/>
        </w:rPr>
        <w:t>k</w:t>
      </w:r>
      <w:r w:rsidR="00BF551C">
        <w:rPr>
          <w:rFonts w:asciiTheme="majorHAnsi" w:hAnsiTheme="majorHAnsi" w:cstheme="majorHAnsi"/>
        </w:rPr>
        <w:t xml:space="preserve"> </w:t>
      </w:r>
      <w:r w:rsidRPr="00DC6C83">
        <w:rPr>
          <w:rFonts w:asciiTheme="majorHAnsi" w:hAnsiTheme="majorHAnsi" w:cstheme="majorHAnsi"/>
        </w:rPr>
        <w:t>igénye</w:t>
      </w:r>
      <w:r w:rsidR="00F70B85">
        <w:rPr>
          <w:rFonts w:asciiTheme="majorHAnsi" w:hAnsiTheme="majorHAnsi" w:cstheme="majorHAnsi"/>
        </w:rPr>
        <w:t>it</w:t>
      </w:r>
      <w:r w:rsidRPr="00DC6C83">
        <w:rPr>
          <w:rFonts w:asciiTheme="majorHAnsi" w:hAnsiTheme="majorHAnsi" w:cstheme="majorHAnsi"/>
        </w:rPr>
        <w:t xml:space="preserve">, valamint az oktatás és képzés egyéni és közösségi </w:t>
      </w:r>
      <w:r w:rsidR="003E70FE">
        <w:rPr>
          <w:rFonts w:asciiTheme="majorHAnsi" w:hAnsiTheme="majorHAnsi" w:cstheme="majorHAnsi"/>
        </w:rPr>
        <w:t>eredményeket</w:t>
      </w:r>
      <w:r w:rsidRPr="00DC6C83">
        <w:rPr>
          <w:rFonts w:asciiTheme="majorHAnsi" w:hAnsiTheme="majorHAnsi" w:cstheme="majorHAnsi"/>
        </w:rPr>
        <w:t xml:space="preserve"> felölelő </w:t>
      </w:r>
      <w:r w:rsidR="00A257DB" w:rsidRPr="00DC6C83">
        <w:rPr>
          <w:rFonts w:asciiTheme="majorHAnsi" w:hAnsiTheme="majorHAnsi" w:cstheme="majorHAnsi"/>
        </w:rPr>
        <w:t>elvárás</w:t>
      </w:r>
      <w:r w:rsidR="00A257DB">
        <w:rPr>
          <w:rFonts w:asciiTheme="majorHAnsi" w:hAnsiTheme="majorHAnsi" w:cstheme="majorHAnsi"/>
        </w:rPr>
        <w:t>ait</w:t>
      </w:r>
      <w:r w:rsidRPr="00DC6C83">
        <w:rPr>
          <w:rFonts w:asciiTheme="majorHAnsi" w:hAnsiTheme="majorHAnsi" w:cstheme="majorHAnsi"/>
        </w:rPr>
        <w:t xml:space="preserve">. </w:t>
      </w:r>
      <w:r w:rsidR="0011202A">
        <w:rPr>
          <w:rFonts w:asciiTheme="majorHAnsi" w:hAnsiTheme="majorHAnsi" w:cstheme="majorHAnsi"/>
        </w:rPr>
        <w:t>Ezen</w:t>
      </w:r>
      <w:r w:rsidR="000F0D05">
        <w:rPr>
          <w:rFonts w:asciiTheme="majorHAnsi" w:hAnsiTheme="majorHAnsi" w:cstheme="majorHAnsi"/>
        </w:rPr>
        <w:t xml:space="preserve"> felül</w:t>
      </w:r>
      <w:r w:rsidR="0011202A">
        <w:rPr>
          <w:rFonts w:asciiTheme="majorHAnsi" w:hAnsiTheme="majorHAnsi" w:cstheme="majorHAnsi"/>
        </w:rPr>
        <w:t xml:space="preserve"> minden ország </w:t>
      </w:r>
      <w:r w:rsidR="006A74BD">
        <w:rPr>
          <w:rFonts w:asciiTheme="majorHAnsi" w:hAnsiTheme="majorHAnsi" w:cstheme="majorHAnsi"/>
        </w:rPr>
        <w:t>oktatás</w:t>
      </w:r>
      <w:r w:rsidR="00FA4358">
        <w:rPr>
          <w:rFonts w:asciiTheme="majorHAnsi" w:hAnsiTheme="majorHAnsi" w:cstheme="majorHAnsi"/>
        </w:rPr>
        <w:t xml:space="preserve">ának </w:t>
      </w:r>
      <w:r w:rsidR="006A74BD">
        <w:rPr>
          <w:rFonts w:asciiTheme="majorHAnsi" w:hAnsiTheme="majorHAnsi" w:cstheme="majorHAnsi"/>
        </w:rPr>
        <w:t xml:space="preserve">fejlesztését </w:t>
      </w:r>
      <w:r w:rsidR="0011202A">
        <w:rPr>
          <w:rFonts w:asciiTheme="majorHAnsi" w:hAnsiTheme="majorHAnsi" w:cstheme="majorHAnsi"/>
        </w:rPr>
        <w:t>nagyban meghatározza a demográfiai környezet, a tanulói létszám növekedése vagy csökkenése, a tanulói összetétel esetleges változása, ami folyamatos beavatkozásokat te</w:t>
      </w:r>
      <w:r w:rsidR="00FA057A">
        <w:rPr>
          <w:rFonts w:asciiTheme="majorHAnsi" w:hAnsiTheme="majorHAnsi" w:cstheme="majorHAnsi"/>
        </w:rPr>
        <w:t>sz</w:t>
      </w:r>
      <w:r w:rsidR="0011202A">
        <w:rPr>
          <w:rFonts w:asciiTheme="majorHAnsi" w:hAnsiTheme="majorHAnsi" w:cstheme="majorHAnsi"/>
        </w:rPr>
        <w:t xml:space="preserve"> szükségessé.</w:t>
      </w:r>
      <w:r w:rsidR="006E5C28">
        <w:rPr>
          <w:rFonts w:asciiTheme="majorHAnsi" w:hAnsiTheme="majorHAnsi" w:cstheme="majorHAnsi"/>
        </w:rPr>
        <w:t xml:space="preserve"> A stratégia kidolgozásának időszakában speciális helyzetet teremtett a Magyarországon is megjelenő koronavírus-járvány; ennek a köznevelés szempontjából releváns tapasztalataira</w:t>
      </w:r>
      <w:r w:rsidR="0011202A">
        <w:rPr>
          <w:rFonts w:asciiTheme="majorHAnsi" w:hAnsiTheme="majorHAnsi" w:cstheme="majorHAnsi"/>
        </w:rPr>
        <w:t xml:space="preserve"> </w:t>
      </w:r>
      <w:r w:rsidR="006E5C28">
        <w:rPr>
          <w:rFonts w:asciiTheme="majorHAnsi" w:hAnsiTheme="majorHAnsi" w:cstheme="majorHAnsi"/>
        </w:rPr>
        <w:t>külön alfejezetben térünk ki.</w:t>
      </w:r>
    </w:p>
    <w:p w14:paraId="1E7A1720" w14:textId="54C9A9CA" w:rsidR="00B86FE8" w:rsidRPr="00DC6C83" w:rsidRDefault="00B86FE8" w:rsidP="00B86FE8">
      <w:pPr>
        <w:pStyle w:val="Cmsor2"/>
        <w:rPr>
          <w:rFonts w:asciiTheme="majorHAnsi" w:hAnsiTheme="majorHAnsi" w:cstheme="majorHAnsi"/>
        </w:rPr>
      </w:pPr>
      <w:bookmarkStart w:id="14" w:name="_Toc35596115"/>
      <w:bookmarkStart w:id="15" w:name="_Toc46822691"/>
      <w:r w:rsidRPr="00DC6C83">
        <w:rPr>
          <w:rFonts w:asciiTheme="majorHAnsi" w:hAnsiTheme="majorHAnsi" w:cstheme="majorHAnsi"/>
        </w:rPr>
        <w:t>A köznevelésben résztvevő</w:t>
      </w:r>
      <w:r w:rsidR="000F0D05">
        <w:rPr>
          <w:rFonts w:asciiTheme="majorHAnsi" w:hAnsiTheme="majorHAnsi" w:cstheme="majorHAnsi"/>
        </w:rPr>
        <w:t xml:space="preserve"> gyermekeket, tanulókat</w:t>
      </w:r>
      <w:r w:rsidRPr="00DC6C83">
        <w:rPr>
          <w:rFonts w:asciiTheme="majorHAnsi" w:hAnsiTheme="majorHAnsi" w:cstheme="majorHAnsi"/>
        </w:rPr>
        <w:t xml:space="preserve"> érintő demográfiai tendenciák</w:t>
      </w:r>
      <w:bookmarkEnd w:id="14"/>
      <w:bookmarkEnd w:id="15"/>
    </w:p>
    <w:p w14:paraId="4CD5D78D" w14:textId="7E0CB3A4" w:rsidR="0011202A" w:rsidRPr="00DC6C83" w:rsidRDefault="006A74BD" w:rsidP="002F4A5A">
      <w:pPr>
        <w:rPr>
          <w:rFonts w:asciiTheme="majorHAnsi" w:hAnsiTheme="majorHAnsi" w:cstheme="majorHAnsi"/>
        </w:rPr>
      </w:pPr>
      <w:r>
        <w:rPr>
          <w:rFonts w:asciiTheme="majorHAnsi" w:hAnsiTheme="majorHAnsi" w:cstheme="majorHAnsi"/>
        </w:rPr>
        <w:t>Hazánkban</w:t>
      </w:r>
      <w:r w:rsidR="00BF551C">
        <w:rPr>
          <w:rFonts w:asciiTheme="majorHAnsi" w:hAnsiTheme="majorHAnsi" w:cstheme="majorHAnsi"/>
        </w:rPr>
        <w:t xml:space="preserve"> </w:t>
      </w:r>
      <w:r>
        <w:rPr>
          <w:rFonts w:asciiTheme="majorHAnsi" w:hAnsiTheme="majorHAnsi" w:cstheme="majorHAnsi"/>
        </w:rPr>
        <w:t>a</w:t>
      </w:r>
      <w:r w:rsidRPr="00DC6C83">
        <w:rPr>
          <w:rFonts w:asciiTheme="majorHAnsi" w:hAnsiTheme="majorHAnsi" w:cstheme="majorHAnsi"/>
        </w:rPr>
        <w:t xml:space="preserve">z </w:t>
      </w:r>
      <w:r w:rsidR="00B86FE8" w:rsidRPr="00DC6C83">
        <w:rPr>
          <w:rFonts w:asciiTheme="majorHAnsi" w:hAnsiTheme="majorHAnsi" w:cstheme="majorHAnsi"/>
        </w:rPr>
        <w:t>elmúlt évtized</w:t>
      </w:r>
      <w:r w:rsidR="0011202A">
        <w:rPr>
          <w:rFonts w:asciiTheme="majorHAnsi" w:hAnsiTheme="majorHAnsi" w:cstheme="majorHAnsi"/>
        </w:rPr>
        <w:t>ek</w:t>
      </w:r>
      <w:r w:rsidR="00B86FE8" w:rsidRPr="00DC6C83">
        <w:rPr>
          <w:rFonts w:asciiTheme="majorHAnsi" w:hAnsiTheme="majorHAnsi" w:cstheme="majorHAnsi"/>
        </w:rPr>
        <w:t xml:space="preserve">ben az iskoláskorú népesség és a gyermekvállalás korában lévő nők számának csökkenése </w:t>
      </w:r>
      <w:r w:rsidR="0011202A">
        <w:rPr>
          <w:rFonts w:asciiTheme="majorHAnsi" w:hAnsiTheme="majorHAnsi" w:cstheme="majorHAnsi"/>
        </w:rPr>
        <w:t xml:space="preserve">volt </w:t>
      </w:r>
      <w:r w:rsidR="00B86FE8" w:rsidRPr="00DC6C83">
        <w:rPr>
          <w:rFonts w:asciiTheme="majorHAnsi" w:hAnsiTheme="majorHAnsi" w:cstheme="majorHAnsi"/>
        </w:rPr>
        <w:t xml:space="preserve">tapasztalható, emiatt célszerű a köznevelési kapacitások </w:t>
      </w:r>
      <w:r w:rsidR="00304F80">
        <w:rPr>
          <w:rFonts w:asciiTheme="majorHAnsi" w:hAnsiTheme="majorHAnsi" w:cstheme="majorHAnsi"/>
        </w:rPr>
        <w:t xml:space="preserve">aktuális </w:t>
      </w:r>
      <w:r w:rsidR="000F0D05" w:rsidRPr="00DC6C83">
        <w:rPr>
          <w:rFonts w:asciiTheme="majorHAnsi" w:hAnsiTheme="majorHAnsi" w:cstheme="majorHAnsi"/>
        </w:rPr>
        <w:t xml:space="preserve">helyzetének </w:t>
      </w:r>
      <w:r w:rsidR="00B86FE8" w:rsidRPr="00DC6C83">
        <w:rPr>
          <w:rFonts w:asciiTheme="majorHAnsi" w:hAnsiTheme="majorHAnsi" w:cstheme="majorHAnsi"/>
        </w:rPr>
        <w:t>(intézmények, pedagógusok, infrastruktúra) áttekintése</w:t>
      </w:r>
      <w:r w:rsidR="00304F80">
        <w:rPr>
          <w:rFonts w:asciiTheme="majorHAnsi" w:hAnsiTheme="majorHAnsi" w:cstheme="majorHAnsi"/>
        </w:rPr>
        <w:t xml:space="preserve"> is</w:t>
      </w:r>
      <w:r w:rsidR="00B86FE8" w:rsidRPr="00DC6C83">
        <w:rPr>
          <w:rFonts w:asciiTheme="majorHAnsi" w:hAnsiTheme="majorHAnsi" w:cstheme="majorHAnsi"/>
        </w:rPr>
        <w:t xml:space="preserve">. Az elmúlt évek születési adataiból </w:t>
      </w:r>
      <w:r w:rsidR="0011202A">
        <w:rPr>
          <w:rFonts w:asciiTheme="majorHAnsi" w:hAnsiTheme="majorHAnsi" w:cstheme="majorHAnsi"/>
        </w:rPr>
        <w:t xml:space="preserve">az </w:t>
      </w:r>
      <w:r w:rsidR="00B86FE8" w:rsidRPr="00DC6C83">
        <w:rPr>
          <w:rFonts w:asciiTheme="majorHAnsi" w:hAnsiTheme="majorHAnsi" w:cstheme="majorHAnsi"/>
        </w:rPr>
        <w:t xml:space="preserve">látható, </w:t>
      </w:r>
      <w:r w:rsidR="0011202A">
        <w:rPr>
          <w:rFonts w:asciiTheme="majorHAnsi" w:hAnsiTheme="majorHAnsi" w:cstheme="majorHAnsi"/>
        </w:rPr>
        <w:t>h</w:t>
      </w:r>
      <w:r w:rsidR="00B86FE8" w:rsidRPr="00DC6C83">
        <w:rPr>
          <w:rFonts w:asciiTheme="majorHAnsi" w:hAnsiTheme="majorHAnsi" w:cstheme="majorHAnsi"/>
        </w:rPr>
        <w:t xml:space="preserve">ogy </w:t>
      </w:r>
      <w:r w:rsidR="00710F10">
        <w:rPr>
          <w:rFonts w:asciiTheme="majorHAnsi" w:hAnsiTheme="majorHAnsi" w:cstheme="majorHAnsi"/>
        </w:rPr>
        <w:t xml:space="preserve">a kormányzati családpolitikai intézkedéseknek köszönhetően </w:t>
      </w:r>
      <w:r w:rsidR="00FA4358">
        <w:rPr>
          <w:rFonts w:asciiTheme="majorHAnsi" w:hAnsiTheme="majorHAnsi" w:cstheme="majorHAnsi"/>
        </w:rPr>
        <w:t xml:space="preserve">nőtt </w:t>
      </w:r>
      <w:r w:rsidR="00710F10">
        <w:rPr>
          <w:rFonts w:asciiTheme="majorHAnsi" w:hAnsiTheme="majorHAnsi" w:cstheme="majorHAnsi"/>
        </w:rPr>
        <w:t xml:space="preserve">a gyermekvállalási kedv, ami ellensúlyozza a szülőképes nők számának csökkenését. A tendenciák alapján </w:t>
      </w:r>
      <w:r w:rsidR="0011202A">
        <w:rPr>
          <w:rFonts w:asciiTheme="majorHAnsi" w:hAnsiTheme="majorHAnsi" w:cstheme="majorHAnsi"/>
        </w:rPr>
        <w:t xml:space="preserve">az elmúlt </w:t>
      </w:r>
      <w:r w:rsidR="00FA4358">
        <w:rPr>
          <w:rFonts w:asciiTheme="majorHAnsi" w:hAnsiTheme="majorHAnsi" w:cstheme="majorHAnsi"/>
        </w:rPr>
        <w:t xml:space="preserve">években− </w:t>
      </w:r>
      <w:r w:rsidR="0011202A">
        <w:rPr>
          <w:rFonts w:asciiTheme="majorHAnsi" w:hAnsiTheme="majorHAnsi" w:cstheme="majorHAnsi"/>
        </w:rPr>
        <w:t>és a következő néhány évben</w:t>
      </w:r>
      <w:r w:rsidR="00FA4358">
        <w:rPr>
          <w:rFonts w:asciiTheme="majorHAnsi" w:hAnsiTheme="majorHAnsi" w:cstheme="majorHAnsi"/>
        </w:rPr>
        <w:t>−</w:t>
      </w:r>
      <w:r w:rsidR="0011202A">
        <w:rPr>
          <w:rFonts w:asciiTheme="majorHAnsi" w:hAnsiTheme="majorHAnsi" w:cstheme="majorHAnsi"/>
        </w:rPr>
        <w:t xml:space="preserve"> </w:t>
      </w:r>
      <w:r w:rsidR="00B86FE8" w:rsidRPr="00DC6C83">
        <w:rPr>
          <w:rFonts w:asciiTheme="majorHAnsi" w:hAnsiTheme="majorHAnsi" w:cstheme="majorHAnsi"/>
        </w:rPr>
        <w:t>stabilan</w:t>
      </w:r>
      <w:r w:rsidR="00FA4358">
        <w:rPr>
          <w:rFonts w:asciiTheme="majorHAnsi" w:hAnsiTheme="majorHAnsi" w:cstheme="majorHAnsi"/>
        </w:rPr>
        <w:t>,</w:t>
      </w:r>
      <w:r w:rsidR="00E64C2F">
        <w:rPr>
          <w:rFonts w:asciiTheme="majorHAnsi" w:hAnsiTheme="majorHAnsi" w:cstheme="majorHAnsi"/>
        </w:rPr>
        <w:t xml:space="preserve"> </w:t>
      </w:r>
      <w:r w:rsidR="00710F10">
        <w:rPr>
          <w:rFonts w:asciiTheme="majorHAnsi" w:hAnsiTheme="majorHAnsi" w:cstheme="majorHAnsi"/>
        </w:rPr>
        <w:t xml:space="preserve">mintegy </w:t>
      </w:r>
      <w:r w:rsidR="00B86FE8" w:rsidRPr="00DC6C83">
        <w:rPr>
          <w:rFonts w:asciiTheme="majorHAnsi" w:hAnsiTheme="majorHAnsi" w:cstheme="majorHAnsi"/>
        </w:rPr>
        <w:t>90</w:t>
      </w:r>
      <w:r w:rsidR="00710F10">
        <w:rPr>
          <w:rFonts w:asciiTheme="majorHAnsi" w:hAnsiTheme="majorHAnsi" w:cstheme="majorHAnsi"/>
        </w:rPr>
        <w:t xml:space="preserve"> ezer</w:t>
      </w:r>
      <w:r w:rsidR="00B86FE8" w:rsidRPr="00DC6C83">
        <w:rPr>
          <w:rFonts w:asciiTheme="majorHAnsi" w:hAnsiTheme="majorHAnsi" w:cstheme="majorHAnsi"/>
        </w:rPr>
        <w:t xml:space="preserve"> születendő gyermekkel számolhatunk (</w:t>
      </w:r>
      <w:r w:rsidR="00230CD7">
        <w:t>2019-ben 89</w:t>
      </w:r>
      <w:r w:rsidR="003538D2">
        <w:t xml:space="preserve"> </w:t>
      </w:r>
      <w:r w:rsidR="00230CD7">
        <w:t>200 fő</w:t>
      </w:r>
      <w:r w:rsidR="00B86FE8" w:rsidRPr="00DC6C83">
        <w:rPr>
          <w:rFonts w:asciiTheme="majorHAnsi" w:hAnsiTheme="majorHAnsi" w:cstheme="majorHAnsi"/>
        </w:rPr>
        <w:t xml:space="preserve">), így a </w:t>
      </w:r>
      <w:r w:rsidR="00710F10">
        <w:rPr>
          <w:rFonts w:asciiTheme="majorHAnsi" w:hAnsiTheme="majorHAnsi" w:cstheme="majorHAnsi"/>
        </w:rPr>
        <w:t xml:space="preserve">következő </w:t>
      </w:r>
      <w:r w:rsidR="00B86FE8" w:rsidRPr="00DC6C83">
        <w:rPr>
          <w:rFonts w:asciiTheme="majorHAnsi" w:hAnsiTheme="majorHAnsi" w:cstheme="majorHAnsi"/>
        </w:rPr>
        <w:t xml:space="preserve">időszakra </w:t>
      </w:r>
      <w:r w:rsidR="00710F10">
        <w:rPr>
          <w:rFonts w:asciiTheme="majorHAnsi" w:hAnsiTheme="majorHAnsi" w:cstheme="majorHAnsi"/>
        </w:rPr>
        <w:t xml:space="preserve">nézve </w:t>
      </w:r>
      <w:r w:rsidR="00B86FE8" w:rsidRPr="00DC6C83">
        <w:rPr>
          <w:rFonts w:asciiTheme="majorHAnsi" w:hAnsiTheme="majorHAnsi" w:cstheme="majorHAnsi"/>
        </w:rPr>
        <w:t xml:space="preserve">országos </w:t>
      </w:r>
      <w:r>
        <w:rPr>
          <w:rFonts w:asciiTheme="majorHAnsi" w:hAnsiTheme="majorHAnsi" w:cstheme="majorHAnsi"/>
        </w:rPr>
        <w:t>viszonylatban</w:t>
      </w:r>
      <w:r w:rsidR="00BF551C">
        <w:rPr>
          <w:rFonts w:asciiTheme="majorHAnsi" w:hAnsiTheme="majorHAnsi" w:cstheme="majorHAnsi"/>
        </w:rPr>
        <w:t xml:space="preserve"> </w:t>
      </w:r>
      <w:r w:rsidR="00B86FE8" w:rsidRPr="00DC6C83">
        <w:rPr>
          <w:rFonts w:asciiTheme="majorHAnsi" w:hAnsiTheme="majorHAnsi" w:cstheme="majorHAnsi"/>
        </w:rPr>
        <w:t>stagnáló beiskolázási számokat várhatunk</w:t>
      </w:r>
      <w:r w:rsidR="002F4A5A">
        <w:rPr>
          <w:rFonts w:asciiTheme="majorHAnsi" w:hAnsiTheme="majorHAnsi" w:cstheme="majorHAnsi"/>
        </w:rPr>
        <w:t>.</w:t>
      </w:r>
    </w:p>
    <w:p w14:paraId="42BB2D84" w14:textId="77777777" w:rsidR="0011202A" w:rsidRPr="00DC6C83" w:rsidRDefault="0011202A" w:rsidP="0011202A">
      <w:pPr>
        <w:pStyle w:val="Abracim"/>
        <w:spacing w:line="276" w:lineRule="auto"/>
        <w:jc w:val="both"/>
        <w:rPr>
          <w:rFonts w:asciiTheme="majorHAnsi" w:hAnsiTheme="majorHAnsi" w:cstheme="majorHAnsi"/>
        </w:rPr>
      </w:pPr>
      <w:r w:rsidRPr="00DC6C83">
        <w:rPr>
          <w:rFonts w:asciiTheme="majorHAnsi" w:hAnsiTheme="majorHAnsi" w:cstheme="majorHAnsi"/>
        </w:rPr>
        <w:t xml:space="preserve">Ábra: Az évenkénti élve születések </w:t>
      </w:r>
      <w:r w:rsidR="00257245">
        <w:rPr>
          <w:rFonts w:asciiTheme="majorHAnsi" w:hAnsiTheme="majorHAnsi" w:cstheme="majorHAnsi"/>
        </w:rPr>
        <w:t xml:space="preserve">száma </w:t>
      </w:r>
      <w:r w:rsidRPr="00DC6C83">
        <w:rPr>
          <w:rFonts w:asciiTheme="majorHAnsi" w:hAnsiTheme="majorHAnsi" w:cstheme="majorHAnsi"/>
        </w:rPr>
        <w:t xml:space="preserve">(1980–2018) a </w:t>
      </w:r>
      <w:r w:rsidR="003A7F94">
        <w:rPr>
          <w:rFonts w:asciiTheme="majorHAnsi" w:hAnsiTheme="majorHAnsi" w:cstheme="majorHAnsi"/>
        </w:rPr>
        <w:t>15</w:t>
      </w:r>
      <w:r w:rsidRPr="00DC6C83">
        <w:rPr>
          <w:rFonts w:asciiTheme="majorHAnsi" w:hAnsiTheme="majorHAnsi" w:cstheme="majorHAnsi"/>
        </w:rPr>
        <w:t>–</w:t>
      </w:r>
      <w:r w:rsidR="00226866">
        <w:rPr>
          <w:rFonts w:asciiTheme="majorHAnsi" w:hAnsiTheme="majorHAnsi" w:cstheme="majorHAnsi"/>
        </w:rPr>
        <w:t>4</w:t>
      </w:r>
      <w:r w:rsidRPr="00DC6C83">
        <w:rPr>
          <w:rFonts w:asciiTheme="majorHAnsi" w:hAnsiTheme="majorHAnsi" w:cstheme="majorHAnsi"/>
        </w:rPr>
        <w:t xml:space="preserve">9 éves nők </w:t>
      </w:r>
      <w:r w:rsidR="00987C85">
        <w:rPr>
          <w:rFonts w:asciiTheme="majorHAnsi" w:hAnsiTheme="majorHAnsi" w:cstheme="majorHAnsi"/>
        </w:rPr>
        <w:t>Körében</w:t>
      </w:r>
      <w:r w:rsidR="005E704A">
        <w:rPr>
          <w:rFonts w:asciiTheme="majorHAnsi" w:hAnsiTheme="majorHAnsi" w:cstheme="majorHAnsi"/>
        </w:rPr>
        <w:t xml:space="preserve"> </w:t>
      </w:r>
      <w:r w:rsidRPr="00DC6C83">
        <w:rPr>
          <w:rFonts w:asciiTheme="majorHAnsi" w:hAnsiTheme="majorHAnsi" w:cstheme="majorHAnsi"/>
        </w:rPr>
        <w:t>Magyarországon</w:t>
      </w:r>
    </w:p>
    <w:p w14:paraId="21CDED02" w14:textId="77777777" w:rsidR="0011202A" w:rsidRPr="00DC6C83" w:rsidRDefault="00226866" w:rsidP="00AC6CD2">
      <w:pPr>
        <w:spacing w:line="276" w:lineRule="auto"/>
        <w:jc w:val="center"/>
        <w:rPr>
          <w:rFonts w:asciiTheme="majorHAnsi" w:hAnsiTheme="majorHAnsi" w:cstheme="majorHAnsi"/>
        </w:rPr>
      </w:pPr>
      <w:r>
        <w:rPr>
          <w:noProof/>
          <w:lang w:eastAsia="hu-HU"/>
        </w:rPr>
        <w:drawing>
          <wp:inline distT="0" distB="0" distL="0" distR="0" wp14:anchorId="22102437" wp14:editId="604A0F58">
            <wp:extent cx="5444115" cy="1881655"/>
            <wp:effectExtent l="0" t="0" r="4445" b="4445"/>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0A2736" w14:textId="77777777" w:rsidR="0011202A" w:rsidRPr="00DC6C83" w:rsidRDefault="0011202A" w:rsidP="00516997">
      <w:pPr>
        <w:spacing w:line="276" w:lineRule="auto"/>
        <w:jc w:val="center"/>
        <w:rPr>
          <w:rFonts w:asciiTheme="majorHAnsi" w:hAnsiTheme="majorHAnsi" w:cstheme="majorHAnsi"/>
          <w:i/>
          <w:sz w:val="20"/>
        </w:rPr>
      </w:pPr>
      <w:r w:rsidRPr="00DC6C83">
        <w:rPr>
          <w:rFonts w:asciiTheme="majorHAnsi" w:hAnsiTheme="majorHAnsi" w:cstheme="majorHAnsi"/>
          <w:i/>
          <w:sz w:val="20"/>
        </w:rPr>
        <w:t>Forrás: KSH adat</w:t>
      </w:r>
      <w:r w:rsidR="003A38E6">
        <w:rPr>
          <w:rFonts w:asciiTheme="majorHAnsi" w:hAnsiTheme="majorHAnsi" w:cstheme="majorHAnsi"/>
          <w:i/>
          <w:sz w:val="20"/>
        </w:rPr>
        <w:t>ai alapján saját szerkesztés</w:t>
      </w:r>
    </w:p>
    <w:p w14:paraId="448F3961" w14:textId="4EE77995" w:rsidR="009500DF" w:rsidRPr="00DC6C83" w:rsidRDefault="001724AD" w:rsidP="009500DF">
      <w:pPr>
        <w:rPr>
          <w:rFonts w:asciiTheme="majorHAnsi" w:hAnsiTheme="majorHAnsi" w:cstheme="majorHAnsi"/>
        </w:rPr>
      </w:pPr>
      <w:r>
        <w:rPr>
          <w:rFonts w:asciiTheme="majorHAnsi" w:hAnsiTheme="majorHAnsi" w:cstheme="majorHAnsi"/>
        </w:rPr>
        <w:lastRenderedPageBreak/>
        <w:t xml:space="preserve">2009 és 2019 között mintegy 75 </w:t>
      </w:r>
      <w:r w:rsidR="009500DF" w:rsidRPr="00DC6C83">
        <w:rPr>
          <w:rFonts w:asciiTheme="majorHAnsi" w:hAnsiTheme="majorHAnsi" w:cstheme="majorHAnsi"/>
        </w:rPr>
        <w:t>000 gyermekkel és tanulóval csökkent a köznevelésben résztvevők száma</w:t>
      </w:r>
      <w:r w:rsidR="00FA4358">
        <w:rPr>
          <w:rFonts w:asciiTheme="majorHAnsi" w:hAnsiTheme="majorHAnsi" w:cstheme="majorHAnsi"/>
        </w:rPr>
        <w:t xml:space="preserve">. Ezzel szemben </w:t>
      </w:r>
      <w:r w:rsidR="009500DF" w:rsidRPr="00DC6C83">
        <w:rPr>
          <w:rFonts w:asciiTheme="majorHAnsi" w:hAnsiTheme="majorHAnsi" w:cstheme="majorHAnsi"/>
        </w:rPr>
        <w:t xml:space="preserve">az oktatási infrastruktúra kapacitása </w:t>
      </w:r>
      <w:r w:rsidR="00FA4358">
        <w:rPr>
          <w:rFonts w:asciiTheme="majorHAnsi" w:hAnsiTheme="majorHAnsi" w:cstheme="majorHAnsi"/>
        </w:rPr>
        <w:t>−</w:t>
      </w:r>
      <w:r w:rsidR="009500DF" w:rsidRPr="00DC6C83">
        <w:rPr>
          <w:rFonts w:asciiTheme="majorHAnsi" w:hAnsiTheme="majorHAnsi" w:cstheme="majorHAnsi"/>
        </w:rPr>
        <w:t xml:space="preserve"> a beruházásoknak köszönhetően </w:t>
      </w:r>
      <w:r w:rsidR="00FA4358">
        <w:rPr>
          <w:rFonts w:asciiTheme="majorHAnsi" w:hAnsiTheme="majorHAnsi" w:cstheme="majorHAnsi"/>
        </w:rPr>
        <w:t>−</w:t>
      </w:r>
      <w:r w:rsidR="009500DF" w:rsidRPr="00DC6C83">
        <w:rPr>
          <w:rFonts w:asciiTheme="majorHAnsi" w:hAnsiTheme="majorHAnsi" w:cstheme="majorHAnsi"/>
        </w:rPr>
        <w:t xml:space="preserve"> még bővült is. A magyar köznevelés rendszerében – a szakképzést </w:t>
      </w:r>
      <w:r w:rsidR="00FA4358">
        <w:rPr>
          <w:rFonts w:asciiTheme="majorHAnsi" w:hAnsiTheme="majorHAnsi" w:cstheme="majorHAnsi"/>
        </w:rPr>
        <w:t>kivéve</w:t>
      </w:r>
      <w:r>
        <w:rPr>
          <w:rFonts w:asciiTheme="majorHAnsi" w:hAnsiTheme="majorHAnsi" w:cstheme="majorHAnsi"/>
        </w:rPr>
        <w:t xml:space="preserve"> – 2009-ben 1 </w:t>
      </w:r>
      <w:r w:rsidR="009500DF" w:rsidRPr="00DC6C83">
        <w:rPr>
          <w:rFonts w:asciiTheme="majorHAnsi" w:hAnsiTheme="majorHAnsi" w:cstheme="majorHAnsi"/>
        </w:rPr>
        <w:t>34</w:t>
      </w:r>
      <w:r w:rsidR="00230CD7">
        <w:rPr>
          <w:rFonts w:asciiTheme="majorHAnsi" w:hAnsiTheme="majorHAnsi" w:cstheme="majorHAnsi"/>
        </w:rPr>
        <w:t>5</w:t>
      </w:r>
      <w:r>
        <w:rPr>
          <w:rFonts w:asciiTheme="majorHAnsi" w:hAnsiTheme="majorHAnsi" w:cstheme="majorHAnsi"/>
        </w:rPr>
        <w:t xml:space="preserve"> </w:t>
      </w:r>
      <w:r w:rsidR="00230CD7">
        <w:rPr>
          <w:rFonts w:asciiTheme="majorHAnsi" w:hAnsiTheme="majorHAnsi" w:cstheme="majorHAnsi"/>
        </w:rPr>
        <w:t>4</w:t>
      </w:r>
      <w:r w:rsidR="009500DF" w:rsidRPr="00DC6C83">
        <w:rPr>
          <w:rFonts w:asciiTheme="majorHAnsi" w:hAnsiTheme="majorHAnsi" w:cstheme="majorHAnsi"/>
        </w:rPr>
        <w:t>00 gyermek és tanuló oktatása, nevelése zajlott, akik</w:t>
      </w:r>
      <w:r w:rsidR="00FA4358">
        <w:rPr>
          <w:rFonts w:asciiTheme="majorHAnsi" w:hAnsiTheme="majorHAnsi" w:cstheme="majorHAnsi"/>
        </w:rPr>
        <w:t>nek</w:t>
      </w:r>
      <w:r w:rsidR="009500DF" w:rsidRPr="00DC6C83">
        <w:rPr>
          <w:rFonts w:asciiTheme="majorHAnsi" w:hAnsiTheme="majorHAnsi" w:cstheme="majorHAnsi"/>
        </w:rPr>
        <w:t xml:space="preserve"> az óvodákban, </w:t>
      </w:r>
      <w:r w:rsidR="00766C17">
        <w:rPr>
          <w:rFonts w:asciiTheme="majorHAnsi" w:hAnsiTheme="majorHAnsi" w:cstheme="majorHAnsi"/>
        </w:rPr>
        <w:t>ál</w:t>
      </w:r>
      <w:r w:rsidR="003459D1">
        <w:rPr>
          <w:rFonts w:asciiTheme="majorHAnsi" w:hAnsiTheme="majorHAnsi" w:cstheme="majorHAnsi"/>
        </w:rPr>
        <w:t>t</w:t>
      </w:r>
      <w:r w:rsidR="00766C17">
        <w:rPr>
          <w:rFonts w:asciiTheme="majorHAnsi" w:hAnsiTheme="majorHAnsi" w:cstheme="majorHAnsi"/>
        </w:rPr>
        <w:t xml:space="preserve">alános </w:t>
      </w:r>
      <w:r w:rsidR="009500DF" w:rsidRPr="00DC6C83">
        <w:rPr>
          <w:rFonts w:asciiTheme="majorHAnsi" w:hAnsiTheme="majorHAnsi" w:cstheme="majorHAnsi"/>
        </w:rPr>
        <w:t>iskolákban, gimnáziumokban – a csoportszobák</w:t>
      </w:r>
      <w:r w:rsidR="00FA4358">
        <w:rPr>
          <w:rFonts w:asciiTheme="majorHAnsi" w:hAnsiTheme="majorHAnsi" w:cstheme="majorHAnsi"/>
        </w:rPr>
        <w:t>kal együtt</w:t>
      </w:r>
      <w:r>
        <w:rPr>
          <w:rFonts w:asciiTheme="majorHAnsi" w:hAnsiTheme="majorHAnsi" w:cstheme="majorHAnsi"/>
        </w:rPr>
        <w:t xml:space="preserve"> – mindösszesen </w:t>
      </w:r>
      <w:r>
        <w:rPr>
          <w:rFonts w:asciiTheme="majorHAnsi" w:hAnsiTheme="majorHAnsi" w:cstheme="majorHAnsi"/>
        </w:rPr>
        <w:br/>
        <w:t>1 </w:t>
      </w:r>
      <w:r w:rsidR="009500DF" w:rsidRPr="00DC6C83">
        <w:rPr>
          <w:rFonts w:asciiTheme="majorHAnsi" w:hAnsiTheme="majorHAnsi" w:cstheme="majorHAnsi"/>
        </w:rPr>
        <w:t>75</w:t>
      </w:r>
      <w:r w:rsidR="00230CD7">
        <w:rPr>
          <w:rFonts w:asciiTheme="majorHAnsi" w:hAnsiTheme="majorHAnsi" w:cstheme="majorHAnsi"/>
        </w:rPr>
        <w:t>9</w:t>
      </w:r>
      <w:r>
        <w:rPr>
          <w:rFonts w:asciiTheme="majorHAnsi" w:hAnsiTheme="majorHAnsi" w:cstheme="majorHAnsi"/>
        </w:rPr>
        <w:t xml:space="preserve"> </w:t>
      </w:r>
      <w:r w:rsidR="009500DF" w:rsidRPr="00DC6C83">
        <w:rPr>
          <w:rFonts w:asciiTheme="majorHAnsi" w:hAnsiTheme="majorHAnsi" w:cstheme="majorHAnsi"/>
        </w:rPr>
        <w:t>000 férőhely állt rendelkezés</w:t>
      </w:r>
      <w:r w:rsidR="00FA4358">
        <w:rPr>
          <w:rFonts w:asciiTheme="majorHAnsi" w:hAnsiTheme="majorHAnsi" w:cstheme="majorHAnsi"/>
        </w:rPr>
        <w:t>ükre</w:t>
      </w:r>
      <w:r w:rsidR="009500DF" w:rsidRPr="00DC6C83">
        <w:rPr>
          <w:rFonts w:asciiTheme="majorHAnsi" w:hAnsiTheme="majorHAnsi" w:cstheme="majorHAnsi"/>
        </w:rPr>
        <w:t xml:space="preserve">. </w:t>
      </w:r>
      <w:r w:rsidR="00AB3183">
        <w:rPr>
          <w:rFonts w:asciiTheme="majorHAnsi" w:hAnsiTheme="majorHAnsi" w:cstheme="majorHAnsi"/>
        </w:rPr>
        <w:t>A köznevelésben, a szakképzést nem számítva</w:t>
      </w:r>
      <w:r w:rsidR="005E704A">
        <w:rPr>
          <w:rFonts w:asciiTheme="majorHAnsi" w:hAnsiTheme="majorHAnsi" w:cstheme="majorHAnsi"/>
        </w:rPr>
        <w:t xml:space="preserve"> </w:t>
      </w:r>
      <w:r w:rsidR="009500DF" w:rsidRPr="00DC6C83">
        <w:rPr>
          <w:rFonts w:asciiTheme="majorHAnsi" w:hAnsiTheme="majorHAnsi" w:cstheme="majorHAnsi"/>
        </w:rPr>
        <w:t xml:space="preserve">2019-ben </w:t>
      </w:r>
      <w:r w:rsidR="00FA4358">
        <w:rPr>
          <w:rFonts w:asciiTheme="majorHAnsi" w:hAnsiTheme="majorHAnsi" w:cstheme="majorHAnsi"/>
        </w:rPr>
        <w:t xml:space="preserve">az </w:t>
      </w:r>
      <w:r w:rsidR="005D2831">
        <w:rPr>
          <w:rFonts w:asciiTheme="majorHAnsi" w:hAnsiTheme="majorHAnsi" w:cstheme="majorHAnsi"/>
        </w:rPr>
        <w:t xml:space="preserve">1 278 000 </w:t>
      </w:r>
      <w:r w:rsidR="009500DF" w:rsidRPr="00DC6C83">
        <w:rPr>
          <w:rFonts w:asciiTheme="majorHAnsi" w:hAnsiTheme="majorHAnsi" w:cstheme="majorHAnsi"/>
        </w:rPr>
        <w:t>gyermek</w:t>
      </w:r>
      <w:r w:rsidR="00FA4358">
        <w:rPr>
          <w:rFonts w:asciiTheme="majorHAnsi" w:hAnsiTheme="majorHAnsi" w:cstheme="majorHAnsi"/>
        </w:rPr>
        <w:t>re</w:t>
      </w:r>
      <w:r w:rsidR="009500DF" w:rsidRPr="00DC6C83">
        <w:rPr>
          <w:rFonts w:asciiTheme="majorHAnsi" w:hAnsiTheme="majorHAnsi" w:cstheme="majorHAnsi"/>
        </w:rPr>
        <w:t>, tanuló</w:t>
      </w:r>
      <w:r w:rsidR="00FA4358">
        <w:rPr>
          <w:rFonts w:asciiTheme="majorHAnsi" w:hAnsiTheme="majorHAnsi" w:cstheme="majorHAnsi"/>
        </w:rPr>
        <w:t>ra</w:t>
      </w:r>
      <w:r w:rsidR="00844335">
        <w:rPr>
          <w:rFonts w:asciiTheme="majorHAnsi" w:hAnsiTheme="majorHAnsi" w:cstheme="majorHAnsi"/>
        </w:rPr>
        <w:t xml:space="preserve"> 1 </w:t>
      </w:r>
      <w:r w:rsidR="009500DF" w:rsidRPr="00DC6C83">
        <w:rPr>
          <w:rFonts w:asciiTheme="majorHAnsi" w:hAnsiTheme="majorHAnsi" w:cstheme="majorHAnsi"/>
        </w:rPr>
        <w:t>7</w:t>
      </w:r>
      <w:r w:rsidR="00230CD7">
        <w:rPr>
          <w:rFonts w:asciiTheme="majorHAnsi" w:hAnsiTheme="majorHAnsi" w:cstheme="majorHAnsi"/>
        </w:rPr>
        <w:t>93</w:t>
      </w:r>
      <w:r w:rsidR="00844335">
        <w:rPr>
          <w:rFonts w:asciiTheme="majorHAnsi" w:hAnsiTheme="majorHAnsi" w:cstheme="majorHAnsi"/>
        </w:rPr>
        <w:t xml:space="preserve"> </w:t>
      </w:r>
      <w:r w:rsidR="009500DF" w:rsidRPr="00DC6C83">
        <w:rPr>
          <w:rFonts w:asciiTheme="majorHAnsi" w:hAnsiTheme="majorHAnsi" w:cstheme="majorHAnsi"/>
        </w:rPr>
        <w:t xml:space="preserve">000 </w:t>
      </w:r>
      <w:r w:rsidR="00FA4358">
        <w:rPr>
          <w:rFonts w:asciiTheme="majorHAnsi" w:hAnsiTheme="majorHAnsi" w:cstheme="majorHAnsi"/>
        </w:rPr>
        <w:t>férőhely jutott</w:t>
      </w:r>
      <w:r w:rsidR="005E704A">
        <w:rPr>
          <w:rFonts w:asciiTheme="majorHAnsi" w:hAnsiTheme="majorHAnsi" w:cstheme="majorHAnsi"/>
        </w:rPr>
        <w:t>.</w:t>
      </w:r>
    </w:p>
    <w:p w14:paraId="556957B3" w14:textId="7B1A56C2" w:rsidR="00454D6C" w:rsidRDefault="0011202A" w:rsidP="00454D6C">
      <w:pPr>
        <w:rPr>
          <w:rFonts w:asciiTheme="majorHAnsi" w:hAnsiTheme="majorHAnsi" w:cstheme="majorHAnsi"/>
        </w:rPr>
      </w:pPr>
      <w:r>
        <w:rPr>
          <w:rFonts w:asciiTheme="majorHAnsi" w:hAnsiTheme="majorHAnsi" w:cstheme="majorHAnsi"/>
        </w:rPr>
        <w:t xml:space="preserve">Az országos átlag mögött azonban </w:t>
      </w:r>
      <w:r w:rsidR="00174A09">
        <w:rPr>
          <w:rFonts w:asciiTheme="majorHAnsi" w:hAnsiTheme="majorHAnsi" w:cstheme="majorHAnsi"/>
        </w:rPr>
        <w:t xml:space="preserve">nem ritkán </w:t>
      </w:r>
      <w:r w:rsidR="0051277E">
        <w:rPr>
          <w:rFonts w:asciiTheme="majorHAnsi" w:hAnsiTheme="majorHAnsi" w:cstheme="majorHAnsi"/>
        </w:rPr>
        <w:t>jelentős</w:t>
      </w:r>
      <w:r w:rsidR="005E704A">
        <w:rPr>
          <w:rFonts w:asciiTheme="majorHAnsi" w:hAnsiTheme="majorHAnsi" w:cstheme="majorHAnsi"/>
        </w:rPr>
        <w:t xml:space="preserve"> </w:t>
      </w:r>
      <w:r>
        <w:rPr>
          <w:rFonts w:asciiTheme="majorHAnsi" w:hAnsiTheme="majorHAnsi" w:cstheme="majorHAnsi"/>
        </w:rPr>
        <w:t>regionális eltérések</w:t>
      </w:r>
      <w:r w:rsidR="00174A09">
        <w:rPr>
          <w:rFonts w:asciiTheme="majorHAnsi" w:hAnsiTheme="majorHAnsi" w:cstheme="majorHAnsi"/>
        </w:rPr>
        <w:t xml:space="preserve"> vannak</w:t>
      </w:r>
      <w:r w:rsidR="00FA4358">
        <w:rPr>
          <w:rFonts w:asciiTheme="majorHAnsi" w:hAnsiTheme="majorHAnsi" w:cstheme="majorHAnsi"/>
        </w:rPr>
        <w:t>.</w:t>
      </w:r>
      <w:r w:rsidR="005E704A">
        <w:rPr>
          <w:rFonts w:asciiTheme="majorHAnsi" w:hAnsiTheme="majorHAnsi" w:cstheme="majorHAnsi"/>
        </w:rPr>
        <w:t xml:space="preserve"> </w:t>
      </w:r>
      <w:r w:rsidR="00FA4358">
        <w:rPr>
          <w:rFonts w:asciiTheme="majorHAnsi" w:hAnsiTheme="majorHAnsi" w:cstheme="majorHAnsi"/>
        </w:rPr>
        <w:t>F</w:t>
      </w:r>
      <w:r w:rsidR="00B86FE8" w:rsidRPr="00DC6C83">
        <w:rPr>
          <w:rFonts w:asciiTheme="majorHAnsi" w:hAnsiTheme="majorHAnsi" w:cstheme="majorHAnsi"/>
        </w:rPr>
        <w:t xml:space="preserve">ontos kiemelni, hogy a </w:t>
      </w:r>
      <w:r>
        <w:rPr>
          <w:rFonts w:asciiTheme="majorHAnsi" w:hAnsiTheme="majorHAnsi" w:cstheme="majorHAnsi"/>
        </w:rPr>
        <w:t xml:space="preserve">következő években a </w:t>
      </w:r>
      <w:r w:rsidR="00B86FE8" w:rsidRPr="00DC6C83">
        <w:rPr>
          <w:rFonts w:asciiTheme="majorHAnsi" w:hAnsiTheme="majorHAnsi" w:cstheme="majorHAnsi"/>
        </w:rPr>
        <w:t>budapesti agglomerációban várható</w:t>
      </w:r>
      <w:r w:rsidR="00C5273A">
        <w:rPr>
          <w:rFonts w:asciiTheme="majorHAnsi" w:hAnsiTheme="majorHAnsi" w:cstheme="majorHAnsi"/>
        </w:rPr>
        <w:t>an folytatódik az</w:t>
      </w:r>
      <w:r w:rsidR="00B86FE8" w:rsidRPr="00DC6C83">
        <w:rPr>
          <w:rFonts w:asciiTheme="majorHAnsi" w:hAnsiTheme="majorHAnsi" w:cstheme="majorHAnsi"/>
        </w:rPr>
        <w:t xml:space="preserve"> érdemi népességnövekedés, amely már a következő években </w:t>
      </w:r>
      <w:r w:rsidR="002F4A5A">
        <w:rPr>
          <w:rFonts w:asciiTheme="majorHAnsi" w:hAnsiTheme="majorHAnsi" w:cstheme="majorHAnsi"/>
        </w:rPr>
        <w:t xml:space="preserve">az </w:t>
      </w:r>
      <w:r w:rsidR="00B86FE8" w:rsidRPr="00DC6C83">
        <w:rPr>
          <w:rFonts w:asciiTheme="majorHAnsi" w:hAnsiTheme="majorHAnsi" w:cstheme="majorHAnsi"/>
        </w:rPr>
        <w:t>iskolai kapacitások bővítését tesz</w:t>
      </w:r>
      <w:r w:rsidR="002F4A5A">
        <w:rPr>
          <w:rFonts w:asciiTheme="majorHAnsi" w:hAnsiTheme="majorHAnsi" w:cstheme="majorHAnsi"/>
        </w:rPr>
        <w:t>i</w:t>
      </w:r>
      <w:r w:rsidR="00B86FE8" w:rsidRPr="00DC6C83">
        <w:rPr>
          <w:rFonts w:asciiTheme="majorHAnsi" w:hAnsiTheme="majorHAnsi" w:cstheme="majorHAnsi"/>
        </w:rPr>
        <w:t xml:space="preserve"> szükségessé. </w:t>
      </w:r>
      <w:r w:rsidR="00131624">
        <w:rPr>
          <w:rFonts w:asciiTheme="majorHAnsi" w:hAnsiTheme="majorHAnsi" w:cstheme="majorHAnsi"/>
        </w:rPr>
        <w:t>Egyes</w:t>
      </w:r>
      <w:r w:rsidRPr="00DC6C83">
        <w:rPr>
          <w:rFonts w:asciiTheme="majorHAnsi" w:hAnsiTheme="majorHAnsi" w:cstheme="majorHAnsi"/>
        </w:rPr>
        <w:t xml:space="preserve"> kistelepüléseken ugyanakkor a lakosság számának csökkenése, a lakosság elvándorlása tapasztalható</w:t>
      </w:r>
      <w:r w:rsidR="0051277E">
        <w:rPr>
          <w:rFonts w:asciiTheme="majorHAnsi" w:hAnsiTheme="majorHAnsi" w:cstheme="majorHAnsi"/>
        </w:rPr>
        <w:t>,</w:t>
      </w:r>
      <w:r w:rsidR="00800FE3">
        <w:rPr>
          <w:rFonts w:asciiTheme="majorHAnsi" w:hAnsiTheme="majorHAnsi" w:cstheme="majorHAnsi"/>
        </w:rPr>
        <w:t xml:space="preserve"> amelynek</w:t>
      </w:r>
      <w:r w:rsidRPr="00DC6C83">
        <w:rPr>
          <w:rFonts w:asciiTheme="majorHAnsi" w:hAnsiTheme="majorHAnsi" w:cstheme="majorHAnsi"/>
        </w:rPr>
        <w:t xml:space="preserve"> elsősorban gazdasági</w:t>
      </w:r>
      <w:r w:rsidR="00800FE3">
        <w:rPr>
          <w:rFonts w:asciiTheme="majorHAnsi" w:hAnsiTheme="majorHAnsi" w:cstheme="majorHAnsi"/>
        </w:rPr>
        <w:t>, megélhetési okai vannak. Ugyanakkor</w:t>
      </w:r>
      <w:r w:rsidRPr="00DC6C83">
        <w:rPr>
          <w:rFonts w:asciiTheme="majorHAnsi" w:hAnsiTheme="majorHAnsi" w:cstheme="majorHAnsi"/>
        </w:rPr>
        <w:t xml:space="preserve"> az </w:t>
      </w:r>
      <w:r w:rsidR="00800FE3">
        <w:rPr>
          <w:rFonts w:asciiTheme="majorHAnsi" w:hAnsiTheme="majorHAnsi" w:cstheme="majorHAnsi"/>
        </w:rPr>
        <w:t xml:space="preserve">iskolákkal szemben elvárás, hogy legyen bizonyos </w:t>
      </w:r>
      <w:r w:rsidRPr="00DC6C83">
        <w:rPr>
          <w:rFonts w:asciiTheme="majorHAnsi" w:hAnsiTheme="majorHAnsi" w:cstheme="majorHAnsi"/>
        </w:rPr>
        <w:t xml:space="preserve">népességmegtartó </w:t>
      </w:r>
      <w:r w:rsidR="00800FE3">
        <w:rPr>
          <w:rFonts w:asciiTheme="majorHAnsi" w:hAnsiTheme="majorHAnsi" w:cstheme="majorHAnsi"/>
        </w:rPr>
        <w:t xml:space="preserve">erejük, </w:t>
      </w:r>
      <w:r w:rsidR="005E704A">
        <w:rPr>
          <w:rFonts w:asciiTheme="majorHAnsi" w:hAnsiTheme="majorHAnsi" w:cstheme="majorHAnsi"/>
        </w:rPr>
        <w:t>é</w:t>
      </w:r>
      <w:r w:rsidR="00800FE3">
        <w:rPr>
          <w:rFonts w:asciiTheme="majorHAnsi" w:hAnsiTheme="majorHAnsi" w:cstheme="majorHAnsi"/>
        </w:rPr>
        <w:t xml:space="preserve">s lehetőség szerint ez az </w:t>
      </w:r>
      <w:r w:rsidRPr="00DC6C83">
        <w:rPr>
          <w:rFonts w:asciiTheme="majorHAnsi" w:hAnsiTheme="majorHAnsi" w:cstheme="majorHAnsi"/>
        </w:rPr>
        <w:t xml:space="preserve">erő </w:t>
      </w:r>
      <w:r w:rsidR="00800FE3">
        <w:rPr>
          <w:rFonts w:asciiTheme="majorHAnsi" w:hAnsiTheme="majorHAnsi" w:cstheme="majorHAnsi"/>
        </w:rPr>
        <w:t>növekedjen</w:t>
      </w:r>
      <w:r w:rsidR="009500DF">
        <w:rPr>
          <w:rFonts w:asciiTheme="majorHAnsi" w:hAnsiTheme="majorHAnsi" w:cstheme="majorHAnsi"/>
        </w:rPr>
        <w:t xml:space="preserve"> </w:t>
      </w:r>
      <w:r w:rsidR="00800FE3">
        <w:rPr>
          <w:rFonts w:asciiTheme="majorHAnsi" w:hAnsiTheme="majorHAnsi" w:cstheme="majorHAnsi"/>
        </w:rPr>
        <w:t xml:space="preserve">is. Erre szolgál többek között az a </w:t>
      </w:r>
      <w:r w:rsidR="00131624">
        <w:rPr>
          <w:rFonts w:asciiTheme="majorHAnsi" w:hAnsiTheme="majorHAnsi" w:cstheme="majorHAnsi"/>
        </w:rPr>
        <w:t xml:space="preserve">jogszabály </w:t>
      </w:r>
      <w:r w:rsidR="00800FE3">
        <w:rPr>
          <w:rFonts w:asciiTheme="majorHAnsi" w:hAnsiTheme="majorHAnsi" w:cstheme="majorHAnsi"/>
        </w:rPr>
        <w:t>is</w:t>
      </w:r>
      <w:r w:rsidR="0003708C">
        <w:rPr>
          <w:rFonts w:asciiTheme="majorHAnsi" w:hAnsiTheme="majorHAnsi" w:cstheme="majorHAnsi"/>
        </w:rPr>
        <w:t xml:space="preserve"> (</w:t>
      </w:r>
      <w:r w:rsidR="0003708C" w:rsidRPr="0003708C">
        <w:rPr>
          <w:rFonts w:asciiTheme="majorHAnsi" w:hAnsiTheme="majorHAnsi" w:cstheme="majorHAnsi"/>
        </w:rPr>
        <w:t>2011. évi CXC. törvény 89.</w:t>
      </w:r>
      <w:r w:rsidR="0058448A">
        <w:rPr>
          <w:rFonts w:asciiTheme="majorHAnsi" w:hAnsiTheme="majorHAnsi" w:cstheme="majorHAnsi"/>
        </w:rPr>
        <w:t xml:space="preserve"> </w:t>
      </w:r>
      <w:r w:rsidR="0003708C" w:rsidRPr="0003708C">
        <w:rPr>
          <w:rFonts w:asciiTheme="majorHAnsi" w:hAnsiTheme="majorHAnsi" w:cstheme="majorHAnsi"/>
        </w:rPr>
        <w:t>§</w:t>
      </w:r>
      <w:r w:rsidR="0003708C">
        <w:rPr>
          <w:rFonts w:asciiTheme="majorHAnsi" w:hAnsiTheme="majorHAnsi" w:cstheme="majorHAnsi"/>
        </w:rPr>
        <w:t>)</w:t>
      </w:r>
      <w:r w:rsidR="00800FE3">
        <w:rPr>
          <w:rFonts w:asciiTheme="majorHAnsi" w:hAnsiTheme="majorHAnsi" w:cstheme="majorHAnsi"/>
        </w:rPr>
        <w:t xml:space="preserve">, amely védi </w:t>
      </w:r>
      <w:r w:rsidR="00131624">
        <w:rPr>
          <w:rFonts w:asciiTheme="majorHAnsi" w:hAnsiTheme="majorHAnsi" w:cstheme="majorHAnsi"/>
        </w:rPr>
        <w:t xml:space="preserve">az iskolák alsó </w:t>
      </w:r>
      <w:r w:rsidR="00800FE3">
        <w:rPr>
          <w:rFonts w:asciiTheme="majorHAnsi" w:hAnsiTheme="majorHAnsi" w:cstheme="majorHAnsi"/>
        </w:rPr>
        <w:t>tagozatát</w:t>
      </w:r>
      <w:r w:rsidR="003E70FE">
        <w:rPr>
          <w:rFonts w:asciiTheme="majorHAnsi" w:hAnsiTheme="majorHAnsi" w:cstheme="majorHAnsi"/>
        </w:rPr>
        <w:t>, e</w:t>
      </w:r>
      <w:r w:rsidR="00800FE3">
        <w:rPr>
          <w:rFonts w:asciiTheme="majorHAnsi" w:hAnsiTheme="majorHAnsi" w:cstheme="majorHAnsi"/>
        </w:rPr>
        <w:t xml:space="preserve">szerint </w:t>
      </w:r>
      <w:r w:rsidR="0003708C" w:rsidRPr="0003708C">
        <w:rPr>
          <w:rFonts w:asciiTheme="majorHAnsi" w:hAnsiTheme="majorHAnsi" w:cstheme="majorHAnsi"/>
        </w:rPr>
        <w:t>azon a településen, ahol legalább nyolc óvodáskorú vagy nyolc alsó tagozatos korú gyermek rendelkezik lakóhellyel és a demográfiai adatok alapján feltételezhető, hogy ez a létszám legalább három évig fennmarad, továbbá ha a szülők ezt igénylik</w:t>
      </w:r>
      <w:r w:rsidR="00800FE3">
        <w:rPr>
          <w:rFonts w:asciiTheme="majorHAnsi" w:hAnsiTheme="majorHAnsi" w:cstheme="majorHAnsi"/>
        </w:rPr>
        <w:t>, akkor</w:t>
      </w:r>
      <w:r w:rsidR="00131624">
        <w:rPr>
          <w:rFonts w:asciiTheme="majorHAnsi" w:hAnsiTheme="majorHAnsi" w:cstheme="majorHAnsi"/>
        </w:rPr>
        <w:t xml:space="preserve"> </w:t>
      </w:r>
      <w:r w:rsidR="003A4AA4">
        <w:rPr>
          <w:rFonts w:asciiTheme="majorHAnsi" w:hAnsiTheme="majorHAnsi" w:cstheme="majorHAnsi"/>
        </w:rPr>
        <w:t>gondoskodni kell a feladat helyben történő ellátásáról</w:t>
      </w:r>
      <w:r w:rsidR="00800FE3">
        <w:rPr>
          <w:rFonts w:asciiTheme="majorHAnsi" w:hAnsiTheme="majorHAnsi" w:cstheme="majorHAnsi"/>
        </w:rPr>
        <w:t>.</w:t>
      </w:r>
      <w:r w:rsidR="00454D6C" w:rsidRPr="00454D6C">
        <w:rPr>
          <w:rFonts w:asciiTheme="majorHAnsi" w:hAnsiTheme="majorHAnsi" w:cstheme="majorHAnsi"/>
        </w:rPr>
        <w:t xml:space="preserve"> </w:t>
      </w:r>
    </w:p>
    <w:p w14:paraId="16F4A332" w14:textId="388C7C18" w:rsidR="00454D6C" w:rsidRPr="00454D6C" w:rsidRDefault="00454D6C" w:rsidP="00C438E7">
      <w:pPr>
        <w:pStyle w:val="Tblacm"/>
        <w:ind w:left="426"/>
      </w:pPr>
      <w:r w:rsidRPr="00DC6C83">
        <w:t xml:space="preserve">Táblázat: </w:t>
      </w:r>
      <w:r>
        <w:t>Intézmények és gyermekek, tanulók száma fenntartók és intézménytípusok szerint</w:t>
      </w:r>
    </w:p>
    <w:p w14:paraId="78B966F1" w14:textId="1F1DC9AD" w:rsidR="00454D6C" w:rsidRPr="0005709D" w:rsidRDefault="0005709D" w:rsidP="0005709D">
      <w:pPr>
        <w:spacing w:after="0" w:line="240" w:lineRule="auto"/>
        <w:rPr>
          <w:rFonts w:cs="Times New Roman"/>
          <w:color w:val="000000"/>
          <w:sz w:val="22"/>
          <w:szCs w:val="22"/>
          <w:lang w:eastAsia="hu-HU"/>
        </w:rPr>
      </w:pPr>
      <w:r w:rsidRPr="0005709D">
        <w:rPr>
          <w:noProof/>
          <w:lang w:eastAsia="hu-HU"/>
        </w:rPr>
        <w:drawing>
          <wp:inline distT="0" distB="0" distL="0" distR="0" wp14:anchorId="0ECAFF05" wp14:editId="2F2AFC4C">
            <wp:extent cx="5760720" cy="1330222"/>
            <wp:effectExtent l="0" t="0" r="0" b="381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330222"/>
                    </a:xfrm>
                    <a:prstGeom prst="rect">
                      <a:avLst/>
                    </a:prstGeom>
                    <a:noFill/>
                    <a:ln>
                      <a:noFill/>
                    </a:ln>
                  </pic:spPr>
                </pic:pic>
              </a:graphicData>
            </a:graphic>
          </wp:inline>
        </w:drawing>
      </w:r>
    </w:p>
    <w:p w14:paraId="7F3096E5" w14:textId="03B5BC0E" w:rsidR="001450A9" w:rsidRPr="00C86DC7" w:rsidRDefault="001450A9" w:rsidP="001450A9">
      <w:pPr>
        <w:jc w:val="center"/>
        <w:rPr>
          <w:rFonts w:asciiTheme="majorHAnsi" w:hAnsiTheme="majorHAnsi" w:cstheme="majorHAnsi"/>
          <w:sz w:val="20"/>
          <w:szCs w:val="20"/>
        </w:rPr>
      </w:pPr>
      <w:r w:rsidRPr="00C86DC7">
        <w:rPr>
          <w:rStyle w:val="TblacmChar"/>
          <w:rFonts w:asciiTheme="majorHAnsi" w:hAnsiTheme="majorHAnsi" w:cstheme="majorHAnsi"/>
          <w:sz w:val="20"/>
          <w:szCs w:val="20"/>
        </w:rPr>
        <w:t>Forrás: 2019. évi köznevelési statisztika</w:t>
      </w:r>
    </w:p>
    <w:p w14:paraId="7E280DD9" w14:textId="5AC2D34A" w:rsidR="00454D6C" w:rsidRDefault="001450A9" w:rsidP="0011202A">
      <w:pPr>
        <w:rPr>
          <w:rFonts w:asciiTheme="majorHAnsi" w:hAnsiTheme="majorHAnsi" w:cstheme="majorHAnsi"/>
        </w:rPr>
      </w:pPr>
      <w:r>
        <w:rPr>
          <w:rFonts w:asciiTheme="majorHAnsi" w:hAnsiTheme="majorHAnsi" w:cstheme="majorHAnsi"/>
        </w:rPr>
        <w:t>A gyermekek, tanulók és az intézmények fenntartói struktúráját tekintve elmondható, hogy az óvodák esetében az önkormányzati, az iskolák tekintetében az állami fenntartás jellemző, emellett jelentős számban vannak egyházi és magán intézmények is. A fenntartói összetétel jó ideje viszonylag stabil.</w:t>
      </w:r>
    </w:p>
    <w:p w14:paraId="1CADCF68" w14:textId="77777777" w:rsidR="00B86FE8" w:rsidRPr="00DC6C83" w:rsidRDefault="00D45E39" w:rsidP="00B86FE8">
      <w:pPr>
        <w:pStyle w:val="Cmsor2"/>
        <w:spacing w:line="276" w:lineRule="auto"/>
        <w:rPr>
          <w:rFonts w:asciiTheme="majorHAnsi" w:hAnsiTheme="majorHAnsi" w:cstheme="majorHAnsi"/>
        </w:rPr>
      </w:pPr>
      <w:bookmarkStart w:id="16" w:name="_Toc35596116"/>
      <w:bookmarkStart w:id="17" w:name="_Toc46822692"/>
      <w:r>
        <w:rPr>
          <w:rFonts w:asciiTheme="majorHAnsi" w:hAnsiTheme="majorHAnsi" w:cstheme="majorHAnsi"/>
        </w:rPr>
        <w:t>A magyar</w:t>
      </w:r>
      <w:r w:rsidR="00B86FE8" w:rsidRPr="00DC6C83">
        <w:rPr>
          <w:rFonts w:asciiTheme="majorHAnsi" w:hAnsiTheme="majorHAnsi" w:cstheme="majorHAnsi"/>
        </w:rPr>
        <w:t xml:space="preserve"> köznevelés helyzet</w:t>
      </w:r>
      <w:r w:rsidR="00710F10">
        <w:rPr>
          <w:rFonts w:asciiTheme="majorHAnsi" w:hAnsiTheme="majorHAnsi" w:cstheme="majorHAnsi"/>
        </w:rPr>
        <w:t xml:space="preserve">e a nemzetközi és hazai </w:t>
      </w:r>
      <w:r w:rsidR="00C50F77">
        <w:rPr>
          <w:rFonts w:asciiTheme="majorHAnsi" w:hAnsiTheme="majorHAnsi" w:cstheme="majorHAnsi"/>
        </w:rPr>
        <w:t>teljesítményvizsgálatok</w:t>
      </w:r>
      <w:r w:rsidR="00710F10">
        <w:rPr>
          <w:rFonts w:asciiTheme="majorHAnsi" w:hAnsiTheme="majorHAnsi" w:cstheme="majorHAnsi"/>
        </w:rPr>
        <w:t xml:space="preserve"> tükrében</w:t>
      </w:r>
      <w:bookmarkEnd w:id="16"/>
      <w:bookmarkEnd w:id="17"/>
    </w:p>
    <w:p w14:paraId="52FA8A0B"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A tudásalapú gazdaság folyamatos térhódítása átrendezte a képzett munkaerő és a képzetlen munkaerő iránti keresletet mind földrajzi</w:t>
      </w:r>
      <w:r w:rsidR="00800FE3">
        <w:rPr>
          <w:rFonts w:asciiTheme="majorHAnsi" w:hAnsiTheme="majorHAnsi" w:cstheme="majorHAnsi"/>
        </w:rPr>
        <w:t>lag</w:t>
      </w:r>
      <w:r w:rsidRPr="00DC6C83">
        <w:rPr>
          <w:rFonts w:asciiTheme="majorHAnsi" w:hAnsiTheme="majorHAnsi" w:cstheme="majorHAnsi"/>
        </w:rPr>
        <w:t>, mind gazdaságpolitikai</w:t>
      </w:r>
      <w:r w:rsidR="00800FE3">
        <w:rPr>
          <w:rFonts w:asciiTheme="majorHAnsi" w:hAnsiTheme="majorHAnsi" w:cstheme="majorHAnsi"/>
        </w:rPr>
        <w:t>lag</w:t>
      </w:r>
      <w:r w:rsidRPr="00DC6C83">
        <w:rPr>
          <w:rFonts w:asciiTheme="majorHAnsi" w:hAnsiTheme="majorHAnsi" w:cstheme="majorHAnsi"/>
        </w:rPr>
        <w:t xml:space="preserve">. </w:t>
      </w:r>
      <w:r w:rsidRPr="00DC6C83">
        <w:rPr>
          <w:rFonts w:asciiTheme="majorHAnsi" w:hAnsiTheme="majorHAnsi" w:cstheme="majorHAnsi"/>
        </w:rPr>
        <w:lastRenderedPageBreak/>
        <w:t xml:space="preserve">Elmondható, hogy azok az országok, amelyek a magasabb képzettséget igénylő iparágak fejlesztésében, és az ehhez igazodó képzéspolitikában látják a jövőjüket, általánosságban jobb pozíciókat képesek kivívni a világgazdaságban, mint azok, amelyek alacsonyan képzett, olcsó munkaerővel igyekeznek versenyképesek maradni a globális munkaerőpiacon. </w:t>
      </w:r>
    </w:p>
    <w:p w14:paraId="708EA9DA" w14:textId="28FF4B95" w:rsidR="000D3B36" w:rsidRDefault="00D45E39" w:rsidP="0066550A">
      <w:r>
        <w:t>A magyar</w:t>
      </w:r>
      <w:r w:rsidR="00B86FE8" w:rsidRPr="00D45E39">
        <w:t xml:space="preserve"> oktatás versenyképességének növeléséhez szükséges beavatkozások meghatározásához elengedhetetlen a magyar oktatás nemzetközi kontextusban történő vizsgálata, valamint a versenyképességet meghatározó trendek, folyamatok számbavétele.</w:t>
      </w:r>
      <w:r w:rsidR="004F7D2C">
        <w:t xml:space="preserve"> Az alább részletezett három</w:t>
      </w:r>
      <w:r w:rsidR="004F7D2C" w:rsidRPr="004F7D2C">
        <w:t xml:space="preserve"> nagy nemzetközi mérés alapvetően eltérő</w:t>
      </w:r>
      <w:r w:rsidR="004F7D2C">
        <w:t xml:space="preserve"> adatokból indul ki. A</w:t>
      </w:r>
      <w:r w:rsidR="004F7D2C" w:rsidRPr="004F7D2C">
        <w:t xml:space="preserve"> </w:t>
      </w:r>
      <w:proofErr w:type="gramStart"/>
      <w:r w:rsidR="004F7D2C" w:rsidRPr="004F7D2C">
        <w:t>PISA</w:t>
      </w:r>
      <w:proofErr w:type="gramEnd"/>
      <w:r w:rsidR="004F7D2C" w:rsidRPr="004F7D2C">
        <w:t xml:space="preserve"> nem tudástartalmat</w:t>
      </w:r>
      <w:r w:rsidR="00AD6C88">
        <w:t xml:space="preserve"> mér</w:t>
      </w:r>
      <w:r w:rsidR="004F7D2C" w:rsidRPr="004F7D2C">
        <w:t>, hanem munkaerőpiaci</w:t>
      </w:r>
      <w:r w:rsidR="004F7D2C">
        <w:t xml:space="preserve"> igényeknek megfelelő</w:t>
      </w:r>
      <w:r w:rsidR="004F7D2C" w:rsidRPr="004F7D2C">
        <w:t xml:space="preserve"> megközelítés</w:t>
      </w:r>
      <w:r w:rsidR="004F7D2C">
        <w:t>t</w:t>
      </w:r>
      <w:r w:rsidR="00AD6C88">
        <w:t xml:space="preserve"> alkalmaz</w:t>
      </w:r>
      <w:r w:rsidR="004F7D2C" w:rsidRPr="004F7D2C">
        <w:t xml:space="preserve">, </w:t>
      </w:r>
      <w:r w:rsidR="00BE4243">
        <w:t xml:space="preserve">míg </w:t>
      </w:r>
      <w:r w:rsidR="004F7D2C" w:rsidRPr="004F7D2C">
        <w:t>a TIMMS és a PIRLS a tantervi követelményekre fókuszál</w:t>
      </w:r>
      <w:r w:rsidR="004F7D2C">
        <w:t xml:space="preserve">. </w:t>
      </w:r>
      <w:r w:rsidR="001E4127">
        <w:t>Önmagában nem a konkrét eredményeken van a hangsúly, mivel például a rangsorokat nagyban befolyásolja számos más tényező is. Ugyanakkor a</w:t>
      </w:r>
      <w:r w:rsidR="00496B59">
        <w:t xml:space="preserve"> mérések eredményei, </w:t>
      </w:r>
      <w:r w:rsidR="00D974B4">
        <w:t xml:space="preserve">kimutatható </w:t>
      </w:r>
      <w:r w:rsidR="00496B59">
        <w:t>tendenciái segítséget nyújtanak a köznevelési fejlesztési cél</w:t>
      </w:r>
      <w:r w:rsidR="00D974B4">
        <w:t>ok</w:t>
      </w:r>
      <w:r w:rsidR="002248B8">
        <w:t xml:space="preserve"> </w:t>
      </w:r>
      <w:r w:rsidR="00496B59">
        <w:t xml:space="preserve">kijelöléséhez, </w:t>
      </w:r>
      <w:r w:rsidR="00D974B4">
        <w:t>az</w:t>
      </w:r>
      <w:r w:rsidR="005E704A">
        <w:t xml:space="preserve"> </w:t>
      </w:r>
      <w:r w:rsidR="00496B59">
        <w:t>irányok meghatározásához.</w:t>
      </w:r>
    </w:p>
    <w:p w14:paraId="2C16F294" w14:textId="77777777" w:rsidR="00B86FE8" w:rsidRPr="00DC6C83" w:rsidRDefault="00B86FE8" w:rsidP="00B86FE8">
      <w:pPr>
        <w:pStyle w:val="Cmsor3"/>
        <w:spacing w:line="276" w:lineRule="auto"/>
        <w:rPr>
          <w:rFonts w:asciiTheme="majorHAnsi" w:hAnsiTheme="majorHAnsi" w:cstheme="majorHAnsi"/>
        </w:rPr>
      </w:pPr>
      <w:bookmarkStart w:id="18" w:name="_Toc35596117"/>
      <w:bookmarkStart w:id="19" w:name="_Toc46822693"/>
      <w:r w:rsidRPr="00DC6C83">
        <w:rPr>
          <w:rFonts w:asciiTheme="majorHAnsi" w:hAnsiTheme="majorHAnsi" w:cstheme="majorHAnsi"/>
        </w:rPr>
        <w:t xml:space="preserve">Az OECD által szervezett </w:t>
      </w:r>
      <w:proofErr w:type="spellStart"/>
      <w:r w:rsidRPr="00DC6C83">
        <w:rPr>
          <w:rFonts w:asciiTheme="majorHAnsi" w:hAnsiTheme="majorHAnsi" w:cstheme="majorHAnsi"/>
        </w:rPr>
        <w:t>PISA-vizsgálatok</w:t>
      </w:r>
      <w:proofErr w:type="spellEnd"/>
      <w:r w:rsidRPr="00DC6C83">
        <w:rPr>
          <w:rFonts w:asciiTheme="majorHAnsi" w:hAnsiTheme="majorHAnsi" w:cstheme="majorHAnsi"/>
        </w:rPr>
        <w:t xml:space="preserve"> eredményei</w:t>
      </w:r>
      <w:bookmarkEnd w:id="18"/>
      <w:bookmarkEnd w:id="19"/>
    </w:p>
    <w:p w14:paraId="0764DE47" w14:textId="65036194" w:rsidR="00B86FE8" w:rsidRPr="00DC6C83" w:rsidRDefault="00B86FE8" w:rsidP="00C50F77">
      <w:pPr>
        <w:spacing w:line="276" w:lineRule="auto"/>
        <w:rPr>
          <w:rFonts w:asciiTheme="majorHAnsi" w:hAnsiTheme="majorHAnsi" w:cstheme="majorHAnsi"/>
        </w:rPr>
      </w:pPr>
      <w:r w:rsidRPr="00DC6C83">
        <w:rPr>
          <w:rFonts w:asciiTheme="majorHAnsi" w:hAnsiTheme="majorHAnsi" w:cstheme="majorHAnsi"/>
        </w:rPr>
        <w:t xml:space="preserve">A kognitív képességek és a gazdasági növekedés közötti kapcsolatot számos elemzés kimutatta. Ehhez kapcsolódóan az OECD megbízásából készített </w:t>
      </w:r>
      <w:proofErr w:type="spellStart"/>
      <w:r w:rsidRPr="00DC6C83">
        <w:rPr>
          <w:rFonts w:asciiTheme="majorHAnsi" w:hAnsiTheme="majorHAnsi" w:cstheme="majorHAnsi"/>
        </w:rPr>
        <w:t>PISA-felméréssorozat</w:t>
      </w:r>
      <w:proofErr w:type="spellEnd"/>
      <w:r w:rsidRPr="00DC6C83">
        <w:rPr>
          <w:rFonts w:asciiTheme="majorHAnsi" w:hAnsiTheme="majorHAnsi" w:cstheme="majorHAnsi"/>
        </w:rPr>
        <w:t xml:space="preserve"> három képességterületen (szövegértés, matematika, természettudomány), háromévente vizsgálja a 15 éves tanulók kompetenciáit. </w:t>
      </w:r>
    </w:p>
    <w:p w14:paraId="43AFFA59" w14:textId="77777777" w:rsidR="00B86FE8" w:rsidRPr="00DC6C83" w:rsidRDefault="00B86FE8" w:rsidP="00B86FE8">
      <w:pPr>
        <w:spacing w:line="276" w:lineRule="auto"/>
        <w:rPr>
          <w:rFonts w:asciiTheme="majorHAnsi" w:hAnsiTheme="majorHAnsi" w:cstheme="majorHAnsi"/>
        </w:rPr>
      </w:pPr>
      <w:r w:rsidRPr="00D45E39">
        <w:rPr>
          <w:rFonts w:asciiTheme="majorHAnsi" w:hAnsiTheme="majorHAnsi" w:cstheme="majorHAnsi"/>
        </w:rPr>
        <w:t xml:space="preserve">Magyarország eredménye a 2018-as mérés során </w:t>
      </w:r>
      <w:r w:rsidR="00A63FD1">
        <w:rPr>
          <w:rFonts w:asciiTheme="majorHAnsi" w:hAnsiTheme="majorHAnsi" w:cstheme="majorHAnsi"/>
        </w:rPr>
        <w:t>a korábbiakhoz képest</w:t>
      </w:r>
      <w:r w:rsidRPr="00D45E39">
        <w:rPr>
          <w:rFonts w:asciiTheme="majorHAnsi" w:hAnsiTheme="majorHAnsi" w:cstheme="majorHAnsi"/>
        </w:rPr>
        <w:t xml:space="preserve"> </w:t>
      </w:r>
      <w:r w:rsidR="003905AF">
        <w:rPr>
          <w:rFonts w:asciiTheme="majorHAnsi" w:hAnsiTheme="majorHAnsi" w:cstheme="majorHAnsi"/>
        </w:rPr>
        <w:t xml:space="preserve">javult és </w:t>
      </w:r>
      <w:r w:rsidRPr="00D45E39">
        <w:rPr>
          <w:rFonts w:asciiTheme="majorHAnsi" w:hAnsiTheme="majorHAnsi" w:cstheme="majorHAnsi"/>
        </w:rPr>
        <w:t>megközelíti a világ legfejlettebb országait tömörítő OECD átlagát. A magyar tanulók szövegértésben a</w:t>
      </w:r>
      <w:r w:rsidRPr="00DC6C83">
        <w:rPr>
          <w:rFonts w:asciiTheme="majorHAnsi" w:hAnsiTheme="majorHAnsi" w:cstheme="majorHAnsi"/>
        </w:rPr>
        <w:t xml:space="preserve"> 2015-ben elért 470 pont helyett 476 pontot, matematikában 477 helyett 481 pontot, a természettudományok területén 477 helyett 481 pontot értek el. Ezzel Magyarország a résztvevő 79 országból a szövegértésben a 29-38. helyet (2015-ben 35-47.), a matematika területén a 31-37. helyet (2015-ben 35-39.), a természettudományokban a 29-34. helyet (2015-ben 34-39.) érte el.</w:t>
      </w:r>
    </w:p>
    <w:p w14:paraId="5123F6C8"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Szövegértésben a magyar eredmény Olaszországéval egyező, 8 ponttal elmarad Ausztriáétól, de 6 ponttal jobb a luxemburginál. Matematikából Spanyolországéval egyezik meg, 3 ponttal jobb az Amerikai Egyesült Államok, de 6 ponttal rosszabb Olaszország eredményénél. A természettudományok területén a magyar eredmény 2 ponttal gyengébb a spanyolnál, ugyanakkor 3 ponttal jobb Oroszországénál és 13 ponttal jobb Olaszországénál.</w:t>
      </w:r>
    </w:p>
    <w:p w14:paraId="6BBF3750"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 szomszédos országok közül </w:t>
      </w:r>
      <w:r w:rsidR="00D974B4">
        <w:rPr>
          <w:rFonts w:asciiTheme="majorHAnsi" w:hAnsiTheme="majorHAnsi" w:cstheme="majorHAnsi"/>
        </w:rPr>
        <w:t>−</w:t>
      </w:r>
      <w:r w:rsidRPr="00DC6C83">
        <w:rPr>
          <w:rFonts w:asciiTheme="majorHAnsi" w:hAnsiTheme="majorHAnsi" w:cstheme="majorHAnsi"/>
        </w:rPr>
        <w:t xml:space="preserve"> társadalmi, anyagi helyzetünknek megfelelően </w:t>
      </w:r>
      <w:r w:rsidR="00D974B4">
        <w:rPr>
          <w:rFonts w:asciiTheme="majorHAnsi" w:hAnsiTheme="majorHAnsi" w:cstheme="majorHAnsi"/>
        </w:rPr>
        <w:t>−</w:t>
      </w:r>
      <w:r w:rsidRPr="00DC6C83">
        <w:rPr>
          <w:rFonts w:asciiTheme="majorHAnsi" w:hAnsiTheme="majorHAnsi" w:cstheme="majorHAnsi"/>
        </w:rPr>
        <w:t xml:space="preserve"> Ausztria és Szlovénia eredménye jobb a magyarnál. Horvátország szövegértésből, Szlovákia pedig matematikából ért el néhány ponttal jobb eredményt, </w:t>
      </w:r>
      <w:r w:rsidR="005D359D">
        <w:rPr>
          <w:rFonts w:asciiTheme="majorHAnsi" w:hAnsiTheme="majorHAnsi" w:cstheme="majorHAnsi"/>
        </w:rPr>
        <w:t xml:space="preserve">de </w:t>
      </w:r>
      <w:r w:rsidRPr="00DC6C83">
        <w:rPr>
          <w:rFonts w:asciiTheme="majorHAnsi" w:hAnsiTheme="majorHAnsi" w:cstheme="majorHAnsi"/>
        </w:rPr>
        <w:t>más területeken gyengébben tel</w:t>
      </w:r>
      <w:r w:rsidR="0020208E">
        <w:rPr>
          <w:rFonts w:asciiTheme="majorHAnsi" w:hAnsiTheme="majorHAnsi" w:cstheme="majorHAnsi"/>
        </w:rPr>
        <w:t>j</w:t>
      </w:r>
      <w:r w:rsidRPr="00DC6C83">
        <w:rPr>
          <w:rFonts w:asciiTheme="majorHAnsi" w:hAnsiTheme="majorHAnsi" w:cstheme="majorHAnsi"/>
        </w:rPr>
        <w:t>esítettek, ugyanakkor Szerbia, Románia és Ukrajna minden mutatója érdemben gyengébb a magyarnál.</w:t>
      </w:r>
    </w:p>
    <w:p w14:paraId="21B9DE0B"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lastRenderedPageBreak/>
        <w:t xml:space="preserve">A </w:t>
      </w:r>
      <w:proofErr w:type="spellStart"/>
      <w:r w:rsidRPr="00DC6C83">
        <w:rPr>
          <w:rFonts w:asciiTheme="majorHAnsi" w:hAnsiTheme="majorHAnsi" w:cstheme="majorHAnsi"/>
        </w:rPr>
        <w:t>PISA-mérés</w:t>
      </w:r>
      <w:proofErr w:type="spellEnd"/>
      <w:r w:rsidRPr="00DC6C83">
        <w:rPr>
          <w:rFonts w:asciiTheme="majorHAnsi" w:hAnsiTheme="majorHAnsi" w:cstheme="majorHAnsi"/>
        </w:rPr>
        <w:t xml:space="preserve"> ismét rámutatott arra az </w:t>
      </w:r>
      <w:r w:rsidRPr="00D45E39">
        <w:rPr>
          <w:rFonts w:asciiTheme="majorHAnsi" w:hAnsiTheme="majorHAnsi" w:cstheme="majorHAnsi"/>
        </w:rPr>
        <w:t>évtizedes állapotra, hogy a magyar oktatási rendszerben nagyok az eltérések</w:t>
      </w:r>
      <w:r w:rsidR="00D974B4">
        <w:rPr>
          <w:rFonts w:asciiTheme="majorHAnsi" w:hAnsiTheme="majorHAnsi" w:cstheme="majorHAnsi"/>
        </w:rPr>
        <w:t>:</w:t>
      </w:r>
      <w:r w:rsidRPr="00D45E39">
        <w:rPr>
          <w:rFonts w:asciiTheme="majorHAnsi" w:hAnsiTheme="majorHAnsi" w:cstheme="majorHAnsi"/>
        </w:rPr>
        <w:t xml:space="preserve"> a kiváló és a gyengébb teljesítmények egyaránt jelen vannak. </w:t>
      </w:r>
      <w:r w:rsidR="00D974B4">
        <w:rPr>
          <w:rFonts w:asciiTheme="majorHAnsi" w:hAnsiTheme="majorHAnsi" w:cstheme="majorHAnsi"/>
        </w:rPr>
        <w:t>U</w:t>
      </w:r>
      <w:r w:rsidRPr="00D45E39">
        <w:rPr>
          <w:rFonts w:asciiTheme="majorHAnsi" w:hAnsiTheme="majorHAnsi" w:cstheme="majorHAnsi"/>
        </w:rPr>
        <w:t xml:space="preserve">gyanakkor 2015-höz képest </w:t>
      </w:r>
      <w:r w:rsidR="00D974B4">
        <w:rPr>
          <w:rFonts w:asciiTheme="majorHAnsi" w:hAnsiTheme="majorHAnsi" w:cstheme="majorHAnsi"/>
        </w:rPr>
        <w:t>c</w:t>
      </w:r>
      <w:r w:rsidR="00D974B4" w:rsidRPr="00D45E39">
        <w:rPr>
          <w:rFonts w:asciiTheme="majorHAnsi" w:hAnsiTheme="majorHAnsi" w:cstheme="majorHAnsi"/>
        </w:rPr>
        <w:t>sökkent</w:t>
      </w:r>
      <w:r w:rsidRPr="00D45E39">
        <w:rPr>
          <w:rFonts w:asciiTheme="majorHAnsi" w:hAnsiTheme="majorHAnsi" w:cstheme="majorHAnsi"/>
        </w:rPr>
        <w:t xml:space="preserve"> az alulteljesítők aránya: a szövegértés</w:t>
      </w:r>
      <w:r w:rsidR="00D974B4">
        <w:rPr>
          <w:rFonts w:asciiTheme="majorHAnsi" w:hAnsiTheme="majorHAnsi" w:cstheme="majorHAnsi"/>
        </w:rPr>
        <w:t>ben</w:t>
      </w:r>
      <w:r w:rsidRPr="00DC6C83">
        <w:rPr>
          <w:rFonts w:asciiTheme="majorHAnsi" w:hAnsiTheme="majorHAnsi" w:cstheme="majorHAnsi"/>
        </w:rPr>
        <w:t xml:space="preserve"> 27,5 százalék helyett 25,3 százalék (OECD átlag: 22,7 százalék), a természettudomány területén 26 százalék helyett 24,1 százalék (OECD átlag: 22 százalék), a matematika terén 28 százalék helyett 25,6 százalék (OECD átlag 24 százalék) teljesített a második képesség</w:t>
      </w:r>
      <w:r w:rsidR="00D63D26">
        <w:rPr>
          <w:rFonts w:asciiTheme="majorHAnsi" w:hAnsiTheme="majorHAnsi" w:cstheme="majorHAnsi"/>
        </w:rPr>
        <w:t xml:space="preserve">i </w:t>
      </w:r>
      <w:r w:rsidRPr="00DC6C83">
        <w:rPr>
          <w:rFonts w:asciiTheme="majorHAnsi" w:hAnsiTheme="majorHAnsi" w:cstheme="majorHAnsi"/>
        </w:rPr>
        <w:t xml:space="preserve">szint alatt. A mindhárom területen alulteljesítő tanulók aránya 15,5 százalék, az OECD átlag 13,3 százalék. Az EU tagországokban a köznevelés fontos célértéke a </w:t>
      </w:r>
      <w:proofErr w:type="spellStart"/>
      <w:r w:rsidRPr="00DC6C83">
        <w:rPr>
          <w:rFonts w:asciiTheme="majorHAnsi" w:hAnsiTheme="majorHAnsi" w:cstheme="majorHAnsi"/>
        </w:rPr>
        <w:t>PISA</w:t>
      </w:r>
      <w:r w:rsidR="00CC13CE">
        <w:rPr>
          <w:rFonts w:asciiTheme="majorHAnsi" w:hAnsiTheme="majorHAnsi" w:cstheme="majorHAnsi"/>
        </w:rPr>
        <w:t>-</w:t>
      </w:r>
      <w:r w:rsidR="0022453B">
        <w:rPr>
          <w:rFonts w:asciiTheme="majorHAnsi" w:hAnsiTheme="majorHAnsi" w:cstheme="majorHAnsi"/>
        </w:rPr>
        <w:t>mérésen</w:t>
      </w:r>
      <w:proofErr w:type="spellEnd"/>
      <w:r w:rsidR="0022453B">
        <w:rPr>
          <w:rFonts w:asciiTheme="majorHAnsi" w:hAnsiTheme="majorHAnsi" w:cstheme="majorHAnsi"/>
        </w:rPr>
        <w:t xml:space="preserve"> </w:t>
      </w:r>
      <w:r w:rsidR="00844335">
        <w:rPr>
          <w:rFonts w:asciiTheme="majorHAnsi" w:hAnsiTheme="majorHAnsi" w:cstheme="majorHAnsi"/>
        </w:rPr>
        <w:t>alulteljesítők arányának 15 százalék</w:t>
      </w:r>
      <w:r w:rsidRPr="00DC6C83">
        <w:rPr>
          <w:rFonts w:asciiTheme="majorHAnsi" w:hAnsiTheme="majorHAnsi" w:cstheme="majorHAnsi"/>
        </w:rPr>
        <w:t xml:space="preserve"> alá szorítása, ez azonban az EU országok átlagában bekövetkező romló eredmény miatt jelenleg nem látszik megvalósulni.</w:t>
      </w:r>
    </w:p>
    <w:p w14:paraId="728807B6" w14:textId="64782D14" w:rsidR="00B86FE8" w:rsidRPr="00DC6C83" w:rsidRDefault="00B86FE8" w:rsidP="00B86FE8">
      <w:pPr>
        <w:spacing w:line="276" w:lineRule="auto"/>
        <w:rPr>
          <w:rStyle w:val="Jegyzethivatkozs"/>
          <w:rFonts w:asciiTheme="majorHAnsi" w:hAnsiTheme="majorHAnsi" w:cstheme="majorHAnsi"/>
        </w:rPr>
      </w:pPr>
      <w:r w:rsidRPr="00DC6C83">
        <w:rPr>
          <w:rFonts w:asciiTheme="majorHAnsi" w:hAnsiTheme="majorHAnsi" w:cstheme="majorHAnsi"/>
        </w:rPr>
        <w:t xml:space="preserve">A </w:t>
      </w:r>
      <w:r w:rsidR="00A63FD1">
        <w:rPr>
          <w:rFonts w:asciiTheme="majorHAnsi" w:hAnsiTheme="majorHAnsi" w:cstheme="majorHAnsi"/>
        </w:rPr>
        <w:t>2018-as</w:t>
      </w:r>
      <w:r w:rsidRPr="00DC6C83">
        <w:rPr>
          <w:rFonts w:asciiTheme="majorHAnsi" w:hAnsiTheme="majorHAnsi" w:cstheme="majorHAnsi"/>
        </w:rPr>
        <w:t xml:space="preserve"> mérés </w:t>
      </w:r>
      <w:r w:rsidRPr="00D45E39">
        <w:rPr>
          <w:rFonts w:asciiTheme="majorHAnsi" w:hAnsiTheme="majorHAnsi" w:cstheme="majorHAnsi"/>
        </w:rPr>
        <w:t xml:space="preserve">eredményei azt is mutatják, hogy </w:t>
      </w:r>
      <w:r w:rsidR="00D63D26">
        <w:rPr>
          <w:rFonts w:asciiTheme="majorHAnsi" w:hAnsiTheme="majorHAnsi" w:cstheme="majorHAnsi"/>
        </w:rPr>
        <w:t>hazánkban</w:t>
      </w:r>
      <w:r w:rsidR="00D63D26" w:rsidRPr="00D45E39">
        <w:rPr>
          <w:rFonts w:asciiTheme="majorHAnsi" w:hAnsiTheme="majorHAnsi" w:cstheme="majorHAnsi"/>
        </w:rPr>
        <w:t xml:space="preserve"> gyengül </w:t>
      </w:r>
      <w:r w:rsidRPr="00D45E39">
        <w:rPr>
          <w:rFonts w:asciiTheme="majorHAnsi" w:hAnsiTheme="majorHAnsi" w:cstheme="majorHAnsi"/>
        </w:rPr>
        <w:t>a családi háttérnek a tanulók iskolai teljesítményre gyakorolt hatása</w:t>
      </w:r>
      <w:r w:rsidR="00D63D26">
        <w:rPr>
          <w:rFonts w:asciiTheme="majorHAnsi" w:hAnsiTheme="majorHAnsi" w:cstheme="majorHAnsi"/>
        </w:rPr>
        <w:t>.</w:t>
      </w:r>
      <w:r w:rsidR="002248B8">
        <w:rPr>
          <w:rFonts w:asciiTheme="majorHAnsi" w:hAnsiTheme="majorHAnsi" w:cstheme="majorHAnsi"/>
        </w:rPr>
        <w:t xml:space="preserve"> </w:t>
      </w:r>
      <w:r w:rsidR="00D63D26" w:rsidRPr="00D45E39">
        <w:rPr>
          <w:rFonts w:asciiTheme="majorHAnsi" w:hAnsiTheme="majorHAnsi" w:cstheme="majorHAnsi"/>
        </w:rPr>
        <w:t xml:space="preserve">Az OECD elemzése </w:t>
      </w:r>
      <w:r w:rsidR="00D63D26">
        <w:rPr>
          <w:rFonts w:asciiTheme="majorHAnsi" w:hAnsiTheme="majorHAnsi" w:cstheme="majorHAnsi"/>
        </w:rPr>
        <w:t xml:space="preserve">is </w:t>
      </w:r>
      <w:r w:rsidR="00D63D26" w:rsidRPr="00D45E39">
        <w:rPr>
          <w:rFonts w:asciiTheme="majorHAnsi" w:hAnsiTheme="majorHAnsi" w:cstheme="majorHAnsi"/>
        </w:rPr>
        <w:t>kiemeli, hogy a magyar tanulók szövegértésben a szociokulturális hátterükh</w:t>
      </w:r>
      <w:r w:rsidR="002248B8">
        <w:rPr>
          <w:rFonts w:asciiTheme="majorHAnsi" w:hAnsiTheme="majorHAnsi" w:cstheme="majorHAnsi"/>
        </w:rPr>
        <w:t>ö</w:t>
      </w:r>
      <w:r w:rsidR="00D63D26" w:rsidRPr="00D45E39">
        <w:rPr>
          <w:rFonts w:asciiTheme="majorHAnsi" w:hAnsiTheme="majorHAnsi" w:cstheme="majorHAnsi"/>
        </w:rPr>
        <w:t>z képest jobban teljesítenek</w:t>
      </w:r>
      <w:r w:rsidR="00E7291B">
        <w:rPr>
          <w:rFonts w:asciiTheme="majorHAnsi" w:hAnsiTheme="majorHAnsi" w:cstheme="majorHAnsi"/>
        </w:rPr>
        <w:t>.</w:t>
      </w:r>
      <w:r w:rsidR="002248B8">
        <w:rPr>
          <w:rFonts w:asciiTheme="majorHAnsi" w:hAnsiTheme="majorHAnsi" w:cstheme="majorHAnsi"/>
        </w:rPr>
        <w:t xml:space="preserve"> </w:t>
      </w:r>
      <w:r w:rsidR="00AD6C88">
        <w:rPr>
          <w:rFonts w:asciiTheme="majorHAnsi" w:hAnsiTheme="majorHAnsi" w:cstheme="majorHAnsi"/>
        </w:rPr>
        <w:t>A</w:t>
      </w:r>
      <w:r w:rsidRPr="00D45E39">
        <w:rPr>
          <w:rFonts w:asciiTheme="majorHAnsi" w:hAnsiTheme="majorHAnsi" w:cstheme="majorHAnsi"/>
        </w:rPr>
        <w:t xml:space="preserve"> szövegértés</w:t>
      </w:r>
      <w:r w:rsidR="002F4A5A">
        <w:rPr>
          <w:rFonts w:asciiTheme="majorHAnsi" w:hAnsiTheme="majorHAnsi" w:cstheme="majorHAnsi"/>
        </w:rPr>
        <w:t xml:space="preserve"> területén az </w:t>
      </w:r>
      <w:r w:rsidRPr="00D45E39">
        <w:rPr>
          <w:rFonts w:asciiTheme="majorHAnsi" w:hAnsiTheme="majorHAnsi" w:cstheme="majorHAnsi"/>
        </w:rPr>
        <w:t>eredmények közötti teljesítménykülönbség 19%-át magyarázza</w:t>
      </w:r>
      <w:r w:rsidR="00AD6C88">
        <w:rPr>
          <w:rFonts w:asciiTheme="majorHAnsi" w:hAnsiTheme="majorHAnsi" w:cstheme="majorHAnsi"/>
        </w:rPr>
        <w:t xml:space="preserve"> a családi háttér</w:t>
      </w:r>
      <w:r w:rsidR="00E7291B">
        <w:rPr>
          <w:rFonts w:asciiTheme="majorHAnsi" w:hAnsiTheme="majorHAnsi" w:cstheme="majorHAnsi"/>
        </w:rPr>
        <w:t>, ami még mindig átlag feletti, ugyanakkor</w:t>
      </w:r>
      <w:r w:rsidRPr="00D45E39">
        <w:rPr>
          <w:rFonts w:asciiTheme="majorHAnsi" w:hAnsiTheme="majorHAnsi" w:cstheme="majorHAnsi"/>
        </w:rPr>
        <w:t xml:space="preserve"> egyértelmű </w:t>
      </w:r>
      <w:r w:rsidR="00E7291B">
        <w:rPr>
          <w:rFonts w:asciiTheme="majorHAnsi" w:hAnsiTheme="majorHAnsi" w:cstheme="majorHAnsi"/>
        </w:rPr>
        <w:t xml:space="preserve">a </w:t>
      </w:r>
      <w:r w:rsidRPr="00D45E39">
        <w:rPr>
          <w:rFonts w:asciiTheme="majorHAnsi" w:hAnsiTheme="majorHAnsi" w:cstheme="majorHAnsi"/>
        </w:rPr>
        <w:t>javulás</w:t>
      </w:r>
      <w:r w:rsidR="00E7291B">
        <w:rPr>
          <w:rFonts w:asciiTheme="majorHAnsi" w:hAnsiTheme="majorHAnsi" w:cstheme="majorHAnsi"/>
        </w:rPr>
        <w:t xml:space="preserve"> a korábbi mérésekhez képest</w:t>
      </w:r>
      <w:r w:rsidRPr="00D45E39">
        <w:rPr>
          <w:rFonts w:asciiTheme="majorHAnsi" w:hAnsiTheme="majorHAnsi" w:cstheme="majorHAnsi"/>
        </w:rPr>
        <w:t>: 2015</w:t>
      </w:r>
      <w:r w:rsidRPr="00DC6C83">
        <w:rPr>
          <w:rFonts w:asciiTheme="majorHAnsi" w:hAnsiTheme="majorHAnsi" w:cstheme="majorHAnsi"/>
        </w:rPr>
        <w:t xml:space="preserve">-ben ez a mutató 21,6 százalék, 2012-ben 23 százalék, 2009-ben pedig még 26 százalék volt. </w:t>
      </w:r>
      <w:r w:rsidR="00E7291B">
        <w:rPr>
          <w:rFonts w:asciiTheme="majorHAnsi" w:hAnsiTheme="majorHAnsi" w:cstheme="majorHAnsi"/>
        </w:rPr>
        <w:t>(</w:t>
      </w:r>
      <w:r w:rsidRPr="00DC6C83">
        <w:rPr>
          <w:rFonts w:asciiTheme="majorHAnsi" w:hAnsiTheme="majorHAnsi" w:cstheme="majorHAnsi"/>
        </w:rPr>
        <w:t>Az OECD átlaga ezen a téren 2015-ben 12,9 százalék, 2018-ban pedig 11,9 százalék volt.</w:t>
      </w:r>
      <w:r w:rsidR="00E7291B">
        <w:rPr>
          <w:rFonts w:asciiTheme="majorHAnsi" w:hAnsiTheme="majorHAnsi" w:cstheme="majorHAnsi"/>
        </w:rPr>
        <w:t>)</w:t>
      </w:r>
      <w:r w:rsidR="00C50F77" w:rsidRPr="00D45E39">
        <w:rPr>
          <w:rFonts w:asciiTheme="majorHAnsi" w:hAnsiTheme="majorHAnsi" w:cstheme="majorHAnsi"/>
        </w:rPr>
        <w:t xml:space="preserve">. </w:t>
      </w:r>
      <w:r w:rsidRPr="00DC6C83">
        <w:rPr>
          <w:rFonts w:asciiTheme="majorHAnsi" w:hAnsiTheme="majorHAnsi" w:cstheme="majorHAnsi"/>
        </w:rPr>
        <w:t xml:space="preserve">Az eredmények tehát azt a tényt erősítik meg, hogy Magyarországon az oktatási rendszer egyre eredményesebbnek bizonyul a szociokulturális eredetű hátrányokkal szemben, a tudásszerzés családi környezetből fakadó </w:t>
      </w:r>
      <w:r w:rsidR="00152195" w:rsidRPr="00DC6C83">
        <w:rPr>
          <w:rFonts w:asciiTheme="majorHAnsi" w:hAnsiTheme="majorHAnsi" w:cstheme="majorHAnsi"/>
        </w:rPr>
        <w:t>egyenlőtlenségei</w:t>
      </w:r>
      <w:r w:rsidR="00152195">
        <w:rPr>
          <w:rFonts w:asciiTheme="majorHAnsi" w:hAnsiTheme="majorHAnsi" w:cstheme="majorHAnsi"/>
        </w:rPr>
        <w:t>nek enyhítésében</w:t>
      </w:r>
      <w:r w:rsidRPr="00DC6C83">
        <w:rPr>
          <w:rFonts w:asciiTheme="majorHAnsi" w:hAnsiTheme="majorHAnsi" w:cstheme="majorHAnsi"/>
        </w:rPr>
        <w:t xml:space="preserve">. Ennek egyik oka az iskolák állami fenntartásba vétele, amely </w:t>
      </w:r>
      <w:r w:rsidR="00AD6C88">
        <w:rPr>
          <w:rFonts w:asciiTheme="majorHAnsi" w:hAnsiTheme="majorHAnsi" w:cstheme="majorHAnsi"/>
        </w:rPr>
        <w:t xml:space="preserve">legalábbis elkezdte </w:t>
      </w:r>
      <w:r w:rsidRPr="00DC6C83">
        <w:rPr>
          <w:rFonts w:asciiTheme="majorHAnsi" w:hAnsiTheme="majorHAnsi" w:cstheme="majorHAnsi"/>
        </w:rPr>
        <w:t>kiegyen</w:t>
      </w:r>
      <w:r w:rsidR="00AD6C88">
        <w:rPr>
          <w:rFonts w:asciiTheme="majorHAnsi" w:hAnsiTheme="majorHAnsi" w:cstheme="majorHAnsi"/>
        </w:rPr>
        <w:t>líteni</w:t>
      </w:r>
      <w:r w:rsidRPr="00DC6C83">
        <w:rPr>
          <w:rFonts w:asciiTheme="majorHAnsi" w:hAnsiTheme="majorHAnsi" w:cstheme="majorHAnsi"/>
        </w:rPr>
        <w:t xml:space="preserve"> a települések közötti korábban jóval nagyobb különbségeket</w:t>
      </w:r>
      <w:r w:rsidR="00006AC1">
        <w:rPr>
          <w:rFonts w:asciiTheme="majorHAnsi" w:hAnsiTheme="majorHAnsi" w:cstheme="majorHAnsi"/>
        </w:rPr>
        <w:t xml:space="preserve">. </w:t>
      </w:r>
    </w:p>
    <w:p w14:paraId="679CC867" w14:textId="5C4DC4FA" w:rsidR="00B86FE8" w:rsidRPr="005B5E3B" w:rsidRDefault="00B86FE8" w:rsidP="00B86FE8">
      <w:pPr>
        <w:spacing w:line="276" w:lineRule="auto"/>
      </w:pPr>
      <w:r w:rsidRPr="005B5E3B">
        <w:t xml:space="preserve">A </w:t>
      </w:r>
      <w:proofErr w:type="spellStart"/>
      <w:r w:rsidRPr="005B5E3B">
        <w:t>PISA-felmérés</w:t>
      </w:r>
      <w:proofErr w:type="spellEnd"/>
      <w:r w:rsidRPr="005B5E3B">
        <w:t xml:space="preserve"> kérdezett az iskolai légkörről is. Az OECD országokban átlagosan a tanulók 21 százaléka hiányzott legalább egy napot az iskolából a </w:t>
      </w:r>
      <w:proofErr w:type="spellStart"/>
      <w:r w:rsidRPr="005B5E3B">
        <w:t>PISA-teszt</w:t>
      </w:r>
      <w:proofErr w:type="spellEnd"/>
      <w:r w:rsidRPr="005B5E3B">
        <w:t xml:space="preserve"> előtti két hétben, Magyarországon ez az arány csak 12 százalék</w:t>
      </w:r>
      <w:r w:rsidR="00D63D26">
        <w:t xml:space="preserve"> volt</w:t>
      </w:r>
      <w:r w:rsidRPr="005B5E3B">
        <w:t xml:space="preserve">, ami szoros összefüggésben van a hiányzást szankcionáló </w:t>
      </w:r>
      <w:r w:rsidR="00D45E39">
        <w:t xml:space="preserve">hazai </w:t>
      </w:r>
      <w:r w:rsidRPr="005B5E3B">
        <w:t xml:space="preserve">szabályozással. A </w:t>
      </w:r>
      <w:proofErr w:type="gramStart"/>
      <w:r w:rsidR="00C50F77">
        <w:t>PISA</w:t>
      </w:r>
      <w:proofErr w:type="gramEnd"/>
      <w:r w:rsidR="002248B8">
        <w:t xml:space="preserve"> </w:t>
      </w:r>
      <w:r w:rsidR="00AB3183">
        <w:t>fel</w:t>
      </w:r>
      <w:r w:rsidRPr="005B5E3B">
        <w:t xml:space="preserve">mérés adatai </w:t>
      </w:r>
      <w:r w:rsidR="00517127">
        <w:t>alapján Magyarország eredménye megközelíti a világ legfejlettebb országait tömörítő OECD átlagát,</w:t>
      </w:r>
      <w:r w:rsidRPr="005B5E3B">
        <w:t xml:space="preserve"> a magyar </w:t>
      </w:r>
      <w:r w:rsidR="00517127">
        <w:t>tanulók</w:t>
      </w:r>
      <w:r w:rsidR="002248B8">
        <w:t xml:space="preserve"> </w:t>
      </w:r>
      <w:r w:rsidRPr="005B5E3B">
        <w:t xml:space="preserve">teljesítménye csak </w:t>
      </w:r>
      <w:r w:rsidR="00517127">
        <w:t xml:space="preserve">minimálisan </w:t>
      </w:r>
      <w:r w:rsidRPr="005B5E3B">
        <w:t xml:space="preserve">marad el </w:t>
      </w:r>
      <w:r w:rsidR="00517127">
        <w:t>ettől</w:t>
      </w:r>
      <w:r w:rsidR="0022453B">
        <w:t xml:space="preserve">. </w:t>
      </w:r>
    </w:p>
    <w:p w14:paraId="04C0F7DB" w14:textId="77777777" w:rsidR="00B86FE8" w:rsidRPr="00DC6C83" w:rsidRDefault="00B86FE8" w:rsidP="00B86FE8">
      <w:pPr>
        <w:pStyle w:val="Cmsor3"/>
        <w:spacing w:line="276" w:lineRule="auto"/>
        <w:rPr>
          <w:rFonts w:asciiTheme="majorHAnsi" w:hAnsiTheme="majorHAnsi" w:cstheme="majorHAnsi"/>
        </w:rPr>
      </w:pPr>
      <w:bookmarkStart w:id="20" w:name="_Toc35596118"/>
      <w:bookmarkStart w:id="21" w:name="_Toc46822694"/>
      <w:r w:rsidRPr="00DC6C83">
        <w:rPr>
          <w:rFonts w:asciiTheme="majorHAnsi" w:hAnsiTheme="majorHAnsi" w:cstheme="majorHAnsi"/>
        </w:rPr>
        <w:t>Az IEA által szervezett PIRLS és TIMSS vizsgálatok eredményei</w:t>
      </w:r>
      <w:bookmarkEnd w:id="20"/>
      <w:bookmarkEnd w:id="21"/>
    </w:p>
    <w:p w14:paraId="79F13744" w14:textId="1B9A7428" w:rsidR="00B86FE8" w:rsidRPr="00D45E39" w:rsidRDefault="00DD04DD" w:rsidP="00B86FE8">
      <w:pPr>
        <w:spacing w:line="276" w:lineRule="auto"/>
        <w:rPr>
          <w:rFonts w:asciiTheme="majorHAnsi" w:hAnsiTheme="majorHAnsi" w:cstheme="majorHAnsi"/>
        </w:rPr>
      </w:pPr>
      <w:r>
        <w:rPr>
          <w:rFonts w:asciiTheme="majorHAnsi" w:hAnsiTheme="majorHAnsi" w:cstheme="majorHAnsi"/>
        </w:rPr>
        <w:t xml:space="preserve">A </w:t>
      </w:r>
      <w:r w:rsidR="00EF324E" w:rsidRPr="00D45E39">
        <w:rPr>
          <w:rFonts w:asciiTheme="majorHAnsi" w:hAnsiTheme="majorHAnsi" w:cstheme="majorHAnsi"/>
        </w:rPr>
        <w:t>PIRLS</w:t>
      </w:r>
      <w:r w:rsidR="00EF324E" w:rsidRPr="00D45E39">
        <w:rPr>
          <w:rStyle w:val="Lbjegyzet-hivatkozs"/>
          <w:rFonts w:asciiTheme="majorHAnsi" w:hAnsiTheme="majorHAnsi" w:cstheme="majorHAnsi"/>
        </w:rPr>
        <w:footnoteReference w:id="3"/>
      </w:r>
      <w:proofErr w:type="spellStart"/>
      <w:r>
        <w:rPr>
          <w:rFonts w:asciiTheme="majorHAnsi" w:hAnsiTheme="majorHAnsi" w:cstheme="majorHAnsi"/>
        </w:rPr>
        <w:t>-mérés</w:t>
      </w:r>
      <w:proofErr w:type="spellEnd"/>
      <w:r>
        <w:rPr>
          <w:rFonts w:asciiTheme="majorHAnsi" w:hAnsiTheme="majorHAnsi" w:cstheme="majorHAnsi"/>
        </w:rPr>
        <w:t xml:space="preserve"> 2001 óta öt évenként méri a </w:t>
      </w:r>
      <w:r w:rsidR="00F3595F">
        <w:rPr>
          <w:rFonts w:asciiTheme="majorHAnsi" w:hAnsiTheme="majorHAnsi" w:cstheme="majorHAnsi"/>
        </w:rPr>
        <w:t xml:space="preserve">10 éves, nálunk </w:t>
      </w:r>
      <w:r>
        <w:rPr>
          <w:rFonts w:asciiTheme="majorHAnsi" w:hAnsiTheme="majorHAnsi" w:cstheme="majorHAnsi"/>
        </w:rPr>
        <w:t xml:space="preserve">negyedikes tanulók </w:t>
      </w:r>
      <w:r w:rsidR="00F3595F">
        <w:rPr>
          <w:rFonts w:asciiTheme="majorHAnsi" w:hAnsiTheme="majorHAnsi" w:cstheme="majorHAnsi"/>
        </w:rPr>
        <w:t xml:space="preserve">olvasási </w:t>
      </w:r>
      <w:r>
        <w:rPr>
          <w:rFonts w:asciiTheme="majorHAnsi" w:hAnsiTheme="majorHAnsi" w:cstheme="majorHAnsi"/>
        </w:rPr>
        <w:t xml:space="preserve">képességét. </w:t>
      </w:r>
      <w:r w:rsidR="00EF324E">
        <w:rPr>
          <w:rFonts w:asciiTheme="majorHAnsi" w:hAnsiTheme="majorHAnsi" w:cstheme="majorHAnsi"/>
        </w:rPr>
        <w:t xml:space="preserve">Ebben a </w:t>
      </w:r>
      <w:r w:rsidR="00B86FE8" w:rsidRPr="00D45E39">
        <w:rPr>
          <w:rFonts w:asciiTheme="majorHAnsi" w:hAnsiTheme="majorHAnsi" w:cstheme="majorHAnsi"/>
        </w:rPr>
        <w:t xml:space="preserve">magyar tanulók elért eredményei összességében jónak </w:t>
      </w:r>
      <w:r w:rsidR="00EF324E">
        <w:rPr>
          <w:rFonts w:asciiTheme="majorHAnsi" w:hAnsiTheme="majorHAnsi" w:cstheme="majorHAnsi"/>
        </w:rPr>
        <w:t>tekinthetők</w:t>
      </w:r>
      <w:r w:rsidR="00B86FE8" w:rsidRPr="00D45E39">
        <w:rPr>
          <w:rFonts w:asciiTheme="majorHAnsi" w:hAnsiTheme="majorHAnsi" w:cstheme="majorHAnsi"/>
        </w:rPr>
        <w:t>. A 2016</w:t>
      </w:r>
      <w:r w:rsidR="00D63D26">
        <w:rPr>
          <w:rFonts w:asciiTheme="majorHAnsi" w:hAnsiTheme="majorHAnsi" w:cstheme="majorHAnsi"/>
        </w:rPr>
        <w:t>-os</w:t>
      </w:r>
      <w:r w:rsidR="00B86FE8" w:rsidRPr="00D45E39">
        <w:rPr>
          <w:rFonts w:asciiTheme="majorHAnsi" w:hAnsiTheme="majorHAnsi" w:cstheme="majorHAnsi"/>
        </w:rPr>
        <w:t xml:space="preserve"> PIRLS felmérés </w:t>
      </w:r>
      <w:r w:rsidR="00F3595F">
        <w:rPr>
          <w:rFonts w:asciiTheme="majorHAnsi" w:hAnsiTheme="majorHAnsi" w:cstheme="majorHAnsi"/>
        </w:rPr>
        <w:t xml:space="preserve">még további </w:t>
      </w:r>
      <w:r w:rsidR="00B86FE8" w:rsidRPr="00D45E39">
        <w:rPr>
          <w:rFonts w:asciiTheme="majorHAnsi" w:hAnsiTheme="majorHAnsi" w:cstheme="majorHAnsi"/>
        </w:rPr>
        <w:t xml:space="preserve">javulást mutatott a szövegértés területén, de </w:t>
      </w:r>
      <w:r w:rsidR="00EF324E">
        <w:rPr>
          <w:rFonts w:asciiTheme="majorHAnsi" w:hAnsiTheme="majorHAnsi" w:cstheme="majorHAnsi"/>
        </w:rPr>
        <w:t xml:space="preserve">feltárta </w:t>
      </w:r>
      <w:r w:rsidR="00B86FE8" w:rsidRPr="00D45E39">
        <w:rPr>
          <w:rFonts w:asciiTheme="majorHAnsi" w:hAnsiTheme="majorHAnsi" w:cstheme="majorHAnsi"/>
        </w:rPr>
        <w:t xml:space="preserve">az iskolák között széles teljesítménybeli </w:t>
      </w:r>
      <w:r w:rsidR="00152195">
        <w:rPr>
          <w:rFonts w:asciiTheme="majorHAnsi" w:hAnsiTheme="majorHAnsi" w:cstheme="majorHAnsi"/>
        </w:rPr>
        <w:t>különbségeket is</w:t>
      </w:r>
      <w:r w:rsidR="00B86FE8" w:rsidRPr="00D45E39">
        <w:rPr>
          <w:rFonts w:asciiTheme="majorHAnsi" w:hAnsiTheme="majorHAnsi" w:cstheme="majorHAnsi"/>
        </w:rPr>
        <w:t xml:space="preserve">. A 4. </w:t>
      </w:r>
      <w:r w:rsidR="00F3595F">
        <w:rPr>
          <w:rFonts w:asciiTheme="majorHAnsi" w:hAnsiTheme="majorHAnsi" w:cstheme="majorHAnsi"/>
        </w:rPr>
        <w:t xml:space="preserve">évfolyamos </w:t>
      </w:r>
      <w:r w:rsidR="00B86FE8" w:rsidRPr="00D45E39">
        <w:rPr>
          <w:rFonts w:asciiTheme="majorHAnsi" w:hAnsiTheme="majorHAnsi" w:cstheme="majorHAnsi"/>
        </w:rPr>
        <w:t xml:space="preserve">diákok PIRLS által mért </w:t>
      </w:r>
      <w:r w:rsidR="00F3595F">
        <w:rPr>
          <w:rFonts w:asciiTheme="majorHAnsi" w:hAnsiTheme="majorHAnsi" w:cstheme="majorHAnsi"/>
        </w:rPr>
        <w:t xml:space="preserve">olvasási </w:t>
      </w:r>
      <w:r w:rsidR="00B86FE8" w:rsidRPr="00D45E39">
        <w:rPr>
          <w:rFonts w:asciiTheme="majorHAnsi" w:hAnsiTheme="majorHAnsi" w:cstheme="majorHAnsi"/>
        </w:rPr>
        <w:t xml:space="preserve">képességei </w:t>
      </w:r>
      <w:r w:rsidR="00FF7DCF">
        <w:rPr>
          <w:rFonts w:asciiTheme="majorHAnsi" w:hAnsiTheme="majorHAnsi" w:cstheme="majorHAnsi"/>
        </w:rPr>
        <w:t xml:space="preserve">15 ponttal </w:t>
      </w:r>
      <w:r w:rsidR="00B86FE8" w:rsidRPr="00D45E39">
        <w:rPr>
          <w:rFonts w:asciiTheme="majorHAnsi" w:hAnsiTheme="majorHAnsi" w:cstheme="majorHAnsi"/>
        </w:rPr>
        <w:t>javultak 2011 óta</w:t>
      </w:r>
      <w:r w:rsidR="00FF7DCF">
        <w:rPr>
          <w:rFonts w:asciiTheme="majorHAnsi" w:hAnsiTheme="majorHAnsi" w:cstheme="majorHAnsi"/>
        </w:rPr>
        <w:t xml:space="preserve">, és </w:t>
      </w:r>
      <w:r w:rsidR="00FF7DCF" w:rsidRPr="00FF7DCF">
        <w:rPr>
          <w:rFonts w:asciiTheme="majorHAnsi" w:hAnsiTheme="majorHAnsi" w:cstheme="majorHAnsi"/>
        </w:rPr>
        <w:t>mindössze három ország</w:t>
      </w:r>
      <w:r w:rsidR="00FF7DCF">
        <w:rPr>
          <w:rFonts w:asciiTheme="majorHAnsi" w:hAnsiTheme="majorHAnsi" w:cstheme="majorHAnsi"/>
        </w:rPr>
        <w:t xml:space="preserve"> esetében történt a hazainál</w:t>
      </w:r>
      <w:r w:rsidR="004F798C">
        <w:rPr>
          <w:rFonts w:asciiTheme="majorHAnsi" w:hAnsiTheme="majorHAnsi" w:cstheme="majorHAnsi"/>
        </w:rPr>
        <w:t xml:space="preserve"> </w:t>
      </w:r>
      <w:r w:rsidR="00FF7DCF">
        <w:rPr>
          <w:rFonts w:asciiTheme="majorHAnsi" w:hAnsiTheme="majorHAnsi" w:cstheme="majorHAnsi"/>
        </w:rPr>
        <w:t>erőteljesebb javulás</w:t>
      </w:r>
      <w:r w:rsidR="00806FAF">
        <w:rPr>
          <w:rFonts w:asciiTheme="majorHAnsi" w:hAnsiTheme="majorHAnsi" w:cstheme="majorHAnsi"/>
        </w:rPr>
        <w:t xml:space="preserve"> 2001 óta</w:t>
      </w:r>
      <w:r w:rsidR="00B86FE8" w:rsidRPr="00D45E39">
        <w:rPr>
          <w:rFonts w:asciiTheme="majorHAnsi" w:hAnsiTheme="majorHAnsi" w:cstheme="majorHAnsi"/>
        </w:rPr>
        <w:t xml:space="preserve">. </w:t>
      </w:r>
      <w:proofErr w:type="gramStart"/>
      <w:r w:rsidR="00B86FE8" w:rsidRPr="00D45E39">
        <w:rPr>
          <w:rFonts w:asciiTheme="majorHAnsi" w:hAnsiTheme="majorHAnsi" w:cstheme="majorHAnsi"/>
        </w:rPr>
        <w:t>A</w:t>
      </w:r>
      <w:proofErr w:type="gramEnd"/>
      <w:r w:rsidR="00B86FE8" w:rsidRPr="00D45E39">
        <w:rPr>
          <w:rFonts w:asciiTheme="majorHAnsi" w:hAnsiTheme="majorHAnsi" w:cstheme="majorHAnsi"/>
        </w:rPr>
        <w:t xml:space="preserve"> résztvevő országok eredményeivel összevetve Magyarország a középmezőny</w:t>
      </w:r>
      <w:r w:rsidR="0022453B">
        <w:rPr>
          <w:rFonts w:asciiTheme="majorHAnsi" w:hAnsiTheme="majorHAnsi" w:cstheme="majorHAnsi"/>
        </w:rPr>
        <w:t xml:space="preserve"> felett</w:t>
      </w:r>
      <w:r w:rsidR="00B86FE8" w:rsidRPr="00D45E39">
        <w:rPr>
          <w:rFonts w:asciiTheme="majorHAnsi" w:hAnsiTheme="majorHAnsi" w:cstheme="majorHAnsi"/>
        </w:rPr>
        <w:t xml:space="preserve"> helyezkedik el.</w:t>
      </w:r>
    </w:p>
    <w:p w14:paraId="35E21A13" w14:textId="31D69843" w:rsidR="00B86FE8" w:rsidRPr="00D45E39" w:rsidRDefault="00B86FE8" w:rsidP="00B86FE8">
      <w:pPr>
        <w:spacing w:line="276" w:lineRule="auto"/>
        <w:rPr>
          <w:rFonts w:asciiTheme="majorHAnsi" w:hAnsiTheme="majorHAnsi" w:cstheme="majorHAnsi"/>
        </w:rPr>
      </w:pPr>
      <w:r w:rsidRPr="00D45E39">
        <w:rPr>
          <w:rFonts w:asciiTheme="majorHAnsi" w:hAnsiTheme="majorHAnsi" w:cstheme="majorHAnsi"/>
        </w:rPr>
        <w:lastRenderedPageBreak/>
        <w:t xml:space="preserve">A </w:t>
      </w:r>
      <w:proofErr w:type="spellStart"/>
      <w:r w:rsidRPr="00D45E39">
        <w:rPr>
          <w:rFonts w:asciiTheme="majorHAnsi" w:hAnsiTheme="majorHAnsi" w:cstheme="majorHAnsi"/>
        </w:rPr>
        <w:t>TIMSS-vizsgálat</w:t>
      </w:r>
      <w:proofErr w:type="spellEnd"/>
      <w:r w:rsidRPr="00D45E39">
        <w:rPr>
          <w:rFonts w:asciiTheme="majorHAnsi" w:hAnsiTheme="majorHAnsi" w:cstheme="majorHAnsi"/>
        </w:rPr>
        <w:t xml:space="preserve"> </w:t>
      </w:r>
      <w:r w:rsidR="00D63D26">
        <w:rPr>
          <w:rFonts w:asciiTheme="majorHAnsi" w:hAnsiTheme="majorHAnsi" w:cstheme="majorHAnsi"/>
        </w:rPr>
        <w:t>csaknem</w:t>
      </w:r>
      <w:r w:rsidRPr="00D45E39">
        <w:rPr>
          <w:rFonts w:asciiTheme="majorHAnsi" w:hAnsiTheme="majorHAnsi" w:cstheme="majorHAnsi"/>
        </w:rPr>
        <w:t>25 éve</w:t>
      </w:r>
      <w:r w:rsidR="00D63D26">
        <w:rPr>
          <w:rFonts w:asciiTheme="majorHAnsi" w:hAnsiTheme="majorHAnsi" w:cstheme="majorHAnsi"/>
        </w:rPr>
        <w:t>,</w:t>
      </w:r>
      <w:r w:rsidRPr="00D45E39">
        <w:rPr>
          <w:rFonts w:asciiTheme="majorHAnsi" w:hAnsiTheme="majorHAnsi" w:cstheme="majorHAnsi"/>
        </w:rPr>
        <w:t xml:space="preserve"> négyévenként méri a </w:t>
      </w:r>
      <w:r w:rsidR="00F3595F">
        <w:rPr>
          <w:rFonts w:asciiTheme="majorHAnsi" w:hAnsiTheme="majorHAnsi" w:cstheme="majorHAnsi"/>
        </w:rPr>
        <w:t xml:space="preserve">10 és 14 éves, vagyis nálunk </w:t>
      </w:r>
      <w:r w:rsidRPr="00D45E39">
        <w:rPr>
          <w:rFonts w:asciiTheme="majorHAnsi" w:hAnsiTheme="majorHAnsi" w:cstheme="majorHAnsi"/>
        </w:rPr>
        <w:t>4. és 8. évfolyamos tanulók matematikai és természettudományi tudását.</w:t>
      </w:r>
      <w:r w:rsidRPr="00D45E39">
        <w:rPr>
          <w:rStyle w:val="Lbjegyzet-hivatkozs"/>
          <w:rFonts w:asciiTheme="majorHAnsi" w:hAnsiTheme="majorHAnsi" w:cstheme="majorHAnsi"/>
        </w:rPr>
        <w:footnoteReference w:id="4"/>
      </w:r>
      <w:r w:rsidRPr="00D45E39">
        <w:rPr>
          <w:rFonts w:asciiTheme="majorHAnsi" w:hAnsiTheme="majorHAnsi" w:cstheme="majorHAnsi"/>
        </w:rPr>
        <w:t xml:space="preserve"> A hagyományosan jól teljesítő magyar tanulók továbbra is a résztvevő országok átlaga felett teljesítettek. Összefoglalva megállapíthatjuk, hogy a magyar negyedikes diákok 529 pontos eredménye jelentősen a </w:t>
      </w:r>
      <w:proofErr w:type="spellStart"/>
      <w:r w:rsidRPr="00D45E39">
        <w:rPr>
          <w:rFonts w:asciiTheme="majorHAnsi" w:hAnsiTheme="majorHAnsi" w:cstheme="majorHAnsi"/>
        </w:rPr>
        <w:t>TIMSS-skálaátlag</w:t>
      </w:r>
      <w:proofErr w:type="spellEnd"/>
      <w:r w:rsidR="00230CD7">
        <w:rPr>
          <w:rFonts w:asciiTheme="majorHAnsi" w:hAnsiTheme="majorHAnsi" w:cstheme="majorHAnsi"/>
        </w:rPr>
        <w:t xml:space="preserve"> (500)</w:t>
      </w:r>
      <w:r w:rsidRPr="00D45E39">
        <w:rPr>
          <w:rFonts w:asciiTheme="majorHAnsi" w:hAnsiTheme="majorHAnsi" w:cstheme="majorHAnsi"/>
        </w:rPr>
        <w:t xml:space="preserve"> fölött van. A magyar negyedikesek 1</w:t>
      </w:r>
      <w:r w:rsidR="00230CD7">
        <w:rPr>
          <w:rFonts w:asciiTheme="majorHAnsi" w:hAnsiTheme="majorHAnsi" w:cstheme="majorHAnsi"/>
        </w:rPr>
        <w:t>3</w:t>
      </w:r>
      <w:r w:rsidRPr="00D45E39">
        <w:rPr>
          <w:rFonts w:asciiTheme="majorHAnsi" w:hAnsiTheme="majorHAnsi" w:cstheme="majorHAnsi"/>
        </w:rPr>
        <w:t xml:space="preserve"> százaléka sorolható a kiváló képességszintbe, ez igen jó arány, és inkább a nálunk jobb eredményt elérő országokra</w:t>
      </w:r>
      <w:r w:rsidRPr="00DC6C83">
        <w:rPr>
          <w:rFonts w:asciiTheme="majorHAnsi" w:hAnsiTheme="majorHAnsi" w:cstheme="majorHAnsi"/>
        </w:rPr>
        <w:t xml:space="preserve"> jellemző, viszont a leszakadók aránya is viszonylag magas (8 százalék), ehhez hasonló érték inkább a nálunk gyengébb eredményű országoknál tapasztalható. 2015-ben</w:t>
      </w:r>
      <w:r w:rsidR="00230CD7">
        <w:rPr>
          <w:rStyle w:val="Lbjegyzet-hivatkozs"/>
          <w:rFonts w:asciiTheme="majorHAnsi" w:hAnsiTheme="majorHAnsi" w:cstheme="majorHAnsi"/>
        </w:rPr>
        <w:footnoteReference w:id="5"/>
      </w:r>
      <w:r w:rsidRPr="00DC6C83">
        <w:rPr>
          <w:rFonts w:asciiTheme="majorHAnsi" w:hAnsiTheme="majorHAnsi" w:cstheme="majorHAnsi"/>
        </w:rPr>
        <w:t xml:space="preserve"> a kiváló, magas és átlagos szintet elérő tanulók arányában tapasztalható növekedés a 2011-es értékekhez képest</w:t>
      </w:r>
      <w:r w:rsidR="00D63D26">
        <w:rPr>
          <w:rFonts w:asciiTheme="majorHAnsi" w:hAnsiTheme="majorHAnsi" w:cstheme="majorHAnsi"/>
        </w:rPr>
        <w:t>.</w:t>
      </w:r>
      <w:r w:rsidR="004F7B7D">
        <w:rPr>
          <w:rFonts w:asciiTheme="majorHAnsi" w:hAnsiTheme="majorHAnsi" w:cstheme="majorHAnsi"/>
        </w:rPr>
        <w:t xml:space="preserve"> </w:t>
      </w:r>
      <w:r w:rsidR="00D63D26">
        <w:rPr>
          <w:rFonts w:asciiTheme="majorHAnsi" w:hAnsiTheme="majorHAnsi" w:cstheme="majorHAnsi"/>
        </w:rPr>
        <w:t>A</w:t>
      </w:r>
      <w:r w:rsidRPr="00DC6C83">
        <w:rPr>
          <w:rFonts w:asciiTheme="majorHAnsi" w:hAnsiTheme="majorHAnsi" w:cstheme="majorHAnsi"/>
        </w:rPr>
        <w:t xml:space="preserve"> legalább alacsony szintet elérők aránya nem változott, tehát az átlageredmény </w:t>
      </w:r>
      <w:r w:rsidRPr="00D45E39">
        <w:rPr>
          <w:rFonts w:asciiTheme="majorHAnsi" w:hAnsiTheme="majorHAnsi" w:cstheme="majorHAnsi"/>
        </w:rPr>
        <w:t>javulása nem járt együtt a leszakadók arányának csökkenésével.</w:t>
      </w:r>
    </w:p>
    <w:p w14:paraId="3E0F13CF" w14:textId="4701B61E" w:rsidR="00B86FE8" w:rsidRPr="00D45E39" w:rsidRDefault="00B86FE8" w:rsidP="00B86FE8">
      <w:pPr>
        <w:spacing w:line="276" w:lineRule="auto"/>
        <w:rPr>
          <w:rFonts w:asciiTheme="majorHAnsi" w:hAnsiTheme="majorHAnsi" w:cstheme="majorHAnsi"/>
        </w:rPr>
      </w:pPr>
      <w:r w:rsidRPr="00D45E39">
        <w:rPr>
          <w:rFonts w:asciiTheme="majorHAnsi" w:hAnsiTheme="majorHAnsi" w:cstheme="majorHAnsi"/>
        </w:rPr>
        <w:t xml:space="preserve">A magyar nyolcadikos tanulók 514 pontos átlaga szignifikánsan magasabb, mint a </w:t>
      </w:r>
      <w:proofErr w:type="spellStart"/>
      <w:r w:rsidRPr="00D45E39">
        <w:rPr>
          <w:rFonts w:asciiTheme="majorHAnsi" w:hAnsiTheme="majorHAnsi" w:cstheme="majorHAnsi"/>
        </w:rPr>
        <w:t>TIMSS-skálaátlag</w:t>
      </w:r>
      <w:proofErr w:type="spellEnd"/>
      <w:r w:rsidR="00230CD7">
        <w:rPr>
          <w:rFonts w:asciiTheme="majorHAnsi" w:hAnsiTheme="majorHAnsi" w:cstheme="majorHAnsi"/>
        </w:rPr>
        <w:t xml:space="preserve"> (500)</w:t>
      </w:r>
      <w:r w:rsidRPr="00D45E39">
        <w:rPr>
          <w:rFonts w:asciiTheme="majorHAnsi" w:hAnsiTheme="majorHAnsi" w:cstheme="majorHAnsi"/>
        </w:rPr>
        <w:t>. A magyar nyolcadikosokkal egy szinten teljesítettek Írország, az Egyesült Államok, Anglia, Szlovénia, Norvégia, Litvánia, Izrael és Ausztrália diákjai. Az európai országok közül Oroszország (14 százalék) és Bulgária (16 százalék) után Magyarországon a legmagasabb a kiváló képességű diákok aránya (1</w:t>
      </w:r>
      <w:r w:rsidR="00015A40">
        <w:rPr>
          <w:rFonts w:asciiTheme="majorHAnsi" w:hAnsiTheme="majorHAnsi" w:cstheme="majorHAnsi"/>
        </w:rPr>
        <w:t>2</w:t>
      </w:r>
      <w:r w:rsidRPr="00D45E39">
        <w:rPr>
          <w:rFonts w:asciiTheme="majorHAnsi" w:hAnsiTheme="majorHAnsi" w:cstheme="majorHAnsi"/>
        </w:rPr>
        <w:t xml:space="preserve"> százalék), ugyanakkor a hozzánk hasonló eredménnyel rendelkező országok között hazánkban a legnagyobb azoknak a diákoknak az aránya (6</w:t>
      </w:r>
      <w:r w:rsidR="00890821">
        <w:rPr>
          <w:rFonts w:asciiTheme="majorHAnsi" w:hAnsiTheme="majorHAnsi" w:cstheme="majorHAnsi"/>
        </w:rPr>
        <w:t>-8</w:t>
      </w:r>
      <w:r w:rsidRPr="00D45E39">
        <w:rPr>
          <w:rFonts w:asciiTheme="majorHAnsi" w:hAnsiTheme="majorHAnsi" w:cstheme="majorHAnsi"/>
        </w:rPr>
        <w:t xml:space="preserve"> százalék), akik nem teljesítették az alacsony szintet jelentő 400 képességpontot sem. Mindez arra figyelmeztet, hogy Bulgáriához, Szlovákiához, Szerbiához, Új-Zélandhoz és Franciaországhoz hasonlóan hazánkban is meglehetősen magas az alulteljesítő, leszakadó diákok aránya</w:t>
      </w:r>
      <w:r w:rsidR="00F5165D">
        <w:rPr>
          <w:rFonts w:asciiTheme="majorHAnsi" w:hAnsiTheme="majorHAnsi" w:cstheme="majorHAnsi"/>
        </w:rPr>
        <w:t xml:space="preserve">. Ez azt </w:t>
      </w:r>
      <w:r w:rsidR="00032AF7">
        <w:rPr>
          <w:rFonts w:asciiTheme="majorHAnsi" w:hAnsiTheme="majorHAnsi" w:cstheme="majorHAnsi"/>
        </w:rPr>
        <w:t>jelenti, hogy</w:t>
      </w:r>
      <w:r w:rsidR="00F5165D">
        <w:rPr>
          <w:rFonts w:asciiTheme="majorHAnsi" w:hAnsiTheme="majorHAnsi" w:cstheme="majorHAnsi"/>
        </w:rPr>
        <w:t xml:space="preserve"> szükséges és indokolt azoknak</w:t>
      </w:r>
      <w:r w:rsidRPr="00D45E39">
        <w:rPr>
          <w:rFonts w:asciiTheme="majorHAnsi" w:hAnsiTheme="majorHAnsi" w:cstheme="majorHAnsi"/>
        </w:rPr>
        <w:t xml:space="preserve"> az </w:t>
      </w:r>
      <w:r w:rsidR="00F5165D">
        <w:rPr>
          <w:rFonts w:asciiTheme="majorHAnsi" w:hAnsiTheme="majorHAnsi" w:cstheme="majorHAnsi"/>
        </w:rPr>
        <w:t xml:space="preserve">iskoláknak </w:t>
      </w:r>
      <w:r w:rsidR="00152195">
        <w:rPr>
          <w:rFonts w:asciiTheme="majorHAnsi" w:hAnsiTheme="majorHAnsi" w:cstheme="majorHAnsi"/>
        </w:rPr>
        <w:t xml:space="preserve">a </w:t>
      </w:r>
      <w:r w:rsidR="00152195" w:rsidRPr="00D45E39">
        <w:rPr>
          <w:rFonts w:asciiTheme="majorHAnsi" w:hAnsiTheme="majorHAnsi" w:cstheme="majorHAnsi"/>
        </w:rPr>
        <w:t>kiemelt</w:t>
      </w:r>
      <w:r w:rsidRPr="00D45E39">
        <w:rPr>
          <w:rFonts w:asciiTheme="majorHAnsi" w:hAnsiTheme="majorHAnsi" w:cstheme="majorHAnsi"/>
        </w:rPr>
        <w:t xml:space="preserve"> fejlesztése</w:t>
      </w:r>
      <w:r w:rsidR="00F5165D">
        <w:rPr>
          <w:rFonts w:asciiTheme="majorHAnsi" w:hAnsiTheme="majorHAnsi" w:cstheme="majorHAnsi"/>
        </w:rPr>
        <w:t>, ahová ezek a gyerekek járnak.</w:t>
      </w:r>
    </w:p>
    <w:p w14:paraId="6377BBEC" w14:textId="77777777" w:rsidR="00B86FE8" w:rsidRPr="00DC6C83" w:rsidRDefault="00B86FE8" w:rsidP="00B86FE8">
      <w:pPr>
        <w:pStyle w:val="Cmsor3"/>
        <w:spacing w:line="276" w:lineRule="auto"/>
        <w:rPr>
          <w:rFonts w:asciiTheme="majorHAnsi" w:hAnsiTheme="majorHAnsi" w:cstheme="majorHAnsi"/>
        </w:rPr>
      </w:pPr>
      <w:bookmarkStart w:id="22" w:name="_Toc35596119"/>
      <w:bookmarkStart w:id="23" w:name="_Toc46822695"/>
      <w:r w:rsidRPr="00DC6C83">
        <w:rPr>
          <w:rFonts w:asciiTheme="majorHAnsi" w:hAnsiTheme="majorHAnsi" w:cstheme="majorHAnsi"/>
        </w:rPr>
        <w:t>Nemzetközi tanítás- és tanulásvizsgálat - TALIS</w:t>
      </w:r>
      <w:bookmarkEnd w:id="22"/>
      <w:bookmarkEnd w:id="23"/>
    </w:p>
    <w:p w14:paraId="037130C5" w14:textId="001A3E88"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A TALIS</w:t>
      </w:r>
      <w:r w:rsidR="00EF324E">
        <w:rPr>
          <w:rStyle w:val="Lbjegyzet-hivatkozs"/>
          <w:rFonts w:asciiTheme="majorHAnsi" w:hAnsiTheme="majorHAnsi" w:cstheme="majorHAnsi"/>
        </w:rPr>
        <w:footnoteReference w:id="6"/>
      </w:r>
      <w:r w:rsidR="00965482">
        <w:rPr>
          <w:rFonts w:asciiTheme="majorHAnsi" w:hAnsiTheme="majorHAnsi" w:cstheme="majorHAnsi"/>
        </w:rPr>
        <w:t xml:space="preserve"> </w:t>
      </w:r>
      <w:r w:rsidR="00EF324E">
        <w:rPr>
          <w:rFonts w:asciiTheme="majorHAnsi" w:hAnsiTheme="majorHAnsi" w:cstheme="majorHAnsi"/>
        </w:rPr>
        <w:t xml:space="preserve">a legnagyobb olyan vizsgálat, amely </w:t>
      </w:r>
      <w:r w:rsidRPr="00DC6C83">
        <w:rPr>
          <w:rFonts w:asciiTheme="majorHAnsi" w:hAnsiTheme="majorHAnsi" w:cstheme="majorHAnsi"/>
        </w:rPr>
        <w:t xml:space="preserve">kizárólag a pedagógusokat és az intézményvezetőket kérdezi meg a tanítás és tanulás körülményeiről, a tanítással kapcsolatos </w:t>
      </w:r>
      <w:r w:rsidRPr="00D45E39">
        <w:rPr>
          <w:rFonts w:asciiTheme="majorHAnsi" w:hAnsiTheme="majorHAnsi" w:cstheme="majorHAnsi"/>
        </w:rPr>
        <w:t xml:space="preserve">attitűdjeikről, tanítási gyakorlatukról, az iskolavezetés sajátosságairól. A </w:t>
      </w:r>
      <w:r w:rsidR="003710C5">
        <w:rPr>
          <w:rFonts w:asciiTheme="majorHAnsi" w:hAnsiTheme="majorHAnsi" w:cstheme="majorHAnsi"/>
        </w:rPr>
        <w:t xml:space="preserve">2018-as </w:t>
      </w:r>
      <w:r w:rsidRPr="00D45E39">
        <w:rPr>
          <w:rFonts w:asciiTheme="majorHAnsi" w:hAnsiTheme="majorHAnsi" w:cstheme="majorHAnsi"/>
        </w:rPr>
        <w:t xml:space="preserve">vizsgálat rámutatott a fejlett országok és a magyar oktatási rendszer egyik </w:t>
      </w:r>
      <w:r w:rsidR="00971981">
        <w:rPr>
          <w:rFonts w:asciiTheme="majorHAnsi" w:hAnsiTheme="majorHAnsi" w:cstheme="majorHAnsi"/>
        </w:rPr>
        <w:t>leg</w:t>
      </w:r>
      <w:r w:rsidR="009D7FD8">
        <w:rPr>
          <w:rFonts w:asciiTheme="majorHAnsi" w:hAnsiTheme="majorHAnsi" w:cstheme="majorHAnsi"/>
        </w:rPr>
        <w:t>nagyobb kihívására</w:t>
      </w:r>
      <w:r w:rsidRPr="00D45E39">
        <w:rPr>
          <w:rFonts w:asciiTheme="majorHAnsi" w:hAnsiTheme="majorHAnsi" w:cstheme="majorHAnsi"/>
        </w:rPr>
        <w:t xml:space="preserve">, a pedagógustársadalom </w:t>
      </w:r>
      <w:r w:rsidR="00C9490C">
        <w:rPr>
          <w:rFonts w:asciiTheme="majorHAnsi" w:hAnsiTheme="majorHAnsi" w:cstheme="majorHAnsi"/>
        </w:rPr>
        <w:t>korösszetételére</w:t>
      </w:r>
      <w:r w:rsidRPr="00D45E39">
        <w:rPr>
          <w:rFonts w:asciiTheme="majorHAnsi" w:hAnsiTheme="majorHAnsi" w:cstheme="majorHAnsi"/>
        </w:rPr>
        <w:t>.</w:t>
      </w:r>
      <w:r w:rsidR="00E97008">
        <w:rPr>
          <w:rStyle w:val="Lbjegyzet-hivatkozs"/>
          <w:rFonts w:asciiTheme="majorHAnsi" w:hAnsiTheme="majorHAnsi" w:cstheme="majorHAnsi"/>
        </w:rPr>
        <w:footnoteReference w:id="7"/>
      </w:r>
      <w:r w:rsidRPr="00D45E39">
        <w:rPr>
          <w:rFonts w:asciiTheme="majorHAnsi" w:hAnsiTheme="majorHAnsi" w:cstheme="majorHAnsi"/>
        </w:rPr>
        <w:t xml:space="preserve"> </w:t>
      </w:r>
      <w:proofErr w:type="gramStart"/>
      <w:r w:rsidRPr="00D45E39">
        <w:rPr>
          <w:rFonts w:asciiTheme="majorHAnsi" w:hAnsiTheme="majorHAnsi" w:cstheme="majorHAnsi"/>
        </w:rPr>
        <w:t>Magyarországon</w:t>
      </w:r>
      <w:proofErr w:type="gramEnd"/>
      <w:r w:rsidRPr="00D45E39">
        <w:rPr>
          <w:rFonts w:asciiTheme="majorHAnsi" w:hAnsiTheme="majorHAnsi" w:cstheme="majorHAnsi"/>
        </w:rPr>
        <w:t xml:space="preserve"> az 5</w:t>
      </w:r>
      <w:r w:rsidR="00F5165D">
        <w:rPr>
          <w:rFonts w:asciiTheme="majorHAnsi" w:hAnsiTheme="majorHAnsi" w:cstheme="majorHAnsi"/>
        </w:rPr>
        <w:t>-</w:t>
      </w:r>
      <w:r w:rsidRPr="00D45E39">
        <w:rPr>
          <w:rFonts w:asciiTheme="majorHAnsi" w:hAnsiTheme="majorHAnsi" w:cstheme="majorHAnsi"/>
        </w:rPr>
        <w:t>8. évfolyamon tanítók átlagéletkora 47,6 év, de ehhez</w:t>
      </w:r>
      <w:r w:rsidRPr="00DC6C83">
        <w:rPr>
          <w:rFonts w:asciiTheme="majorHAnsi" w:hAnsiTheme="majorHAnsi" w:cstheme="majorHAnsi"/>
        </w:rPr>
        <w:t xml:space="preserve"> hasonló tendenciákat figyelhetünk meg az OECD-országok átlagában (44,1 év), illetve az Európai Unió (44,5 év</w:t>
      </w:r>
      <w:r w:rsidRPr="00DC6C83">
        <w:rPr>
          <w:rFonts w:asciiTheme="majorHAnsi" w:hAnsiTheme="majorHAnsi" w:cstheme="majorHAnsi"/>
        </w:rPr>
        <w:t xml:space="preserve">) esetében is. A tanárok átlagéletkora és korcsoportok szerinti eloszlása több tényezőtől </w:t>
      </w:r>
      <w:r w:rsidR="00971981">
        <w:rPr>
          <w:rFonts w:asciiTheme="majorHAnsi" w:hAnsiTheme="majorHAnsi" w:cstheme="majorHAnsi"/>
        </w:rPr>
        <w:t xml:space="preserve">is </w:t>
      </w:r>
      <w:r w:rsidR="003A38E6">
        <w:rPr>
          <w:rFonts w:asciiTheme="majorHAnsi" w:hAnsiTheme="majorHAnsi" w:cstheme="majorHAnsi"/>
        </w:rPr>
        <w:t>függhet (pl.</w:t>
      </w:r>
      <w:r w:rsidRPr="00DC6C83">
        <w:rPr>
          <w:rFonts w:asciiTheme="majorHAnsi" w:hAnsiTheme="majorHAnsi" w:cstheme="majorHAnsi"/>
        </w:rPr>
        <w:t xml:space="preserve"> </w:t>
      </w:r>
      <w:r w:rsidR="003A38E6">
        <w:rPr>
          <w:rFonts w:asciiTheme="majorHAnsi" w:hAnsiTheme="majorHAnsi" w:cstheme="majorHAnsi"/>
        </w:rPr>
        <w:t>a</w:t>
      </w:r>
      <w:r w:rsidRPr="00DC6C83">
        <w:rPr>
          <w:rFonts w:asciiTheme="majorHAnsi" w:hAnsiTheme="majorHAnsi" w:cstheme="majorHAnsi"/>
        </w:rPr>
        <w:t xml:space="preserve"> tanári pály</w:t>
      </w:r>
      <w:r w:rsidR="003A38E6">
        <w:rPr>
          <w:rFonts w:asciiTheme="majorHAnsi" w:hAnsiTheme="majorHAnsi" w:cstheme="majorHAnsi"/>
        </w:rPr>
        <w:t>a fiatalokra gyakorolt vonzerejétől, az idősebb és a fiatal korosztályok általános arányától)</w:t>
      </w:r>
      <w:r w:rsidRPr="00DC6C83">
        <w:rPr>
          <w:rFonts w:asciiTheme="majorHAnsi" w:hAnsiTheme="majorHAnsi" w:cstheme="majorHAnsi"/>
        </w:rPr>
        <w:t xml:space="preserve">. Másrészt a 30 év alatti tanárok arányát és így az átlagéletkort az is befolyásolja, hogy milyen feltételeknek, képesítési követelményeknek kell </w:t>
      </w:r>
      <w:r w:rsidR="00971981">
        <w:rPr>
          <w:rFonts w:asciiTheme="majorHAnsi" w:hAnsiTheme="majorHAnsi" w:cstheme="majorHAnsi"/>
        </w:rPr>
        <w:t>a</w:t>
      </w:r>
      <w:r w:rsidR="002248B8">
        <w:rPr>
          <w:rFonts w:asciiTheme="majorHAnsi" w:hAnsiTheme="majorHAnsi" w:cstheme="majorHAnsi"/>
        </w:rPr>
        <w:t xml:space="preserve"> </w:t>
      </w:r>
      <w:r w:rsidRPr="00DC6C83">
        <w:rPr>
          <w:rFonts w:asciiTheme="majorHAnsi" w:hAnsiTheme="majorHAnsi" w:cstheme="majorHAnsi"/>
        </w:rPr>
        <w:t>fiatal</w:t>
      </w:r>
      <w:r w:rsidR="00971981">
        <w:rPr>
          <w:rFonts w:asciiTheme="majorHAnsi" w:hAnsiTheme="majorHAnsi" w:cstheme="majorHAnsi"/>
        </w:rPr>
        <w:t>ok</w:t>
      </w:r>
      <w:r w:rsidRPr="00DC6C83">
        <w:rPr>
          <w:rFonts w:asciiTheme="majorHAnsi" w:hAnsiTheme="majorHAnsi" w:cstheme="majorHAnsi"/>
        </w:rPr>
        <w:t xml:space="preserve">nak megfelelni a tanári munka megkezdéséhez, hány évesen lépnek be a tanárok a munkaerőpiacra. </w:t>
      </w:r>
      <w:r w:rsidR="00971981">
        <w:rPr>
          <w:rFonts w:asciiTheme="majorHAnsi" w:hAnsiTheme="majorHAnsi" w:cstheme="majorHAnsi"/>
        </w:rPr>
        <w:t xml:space="preserve">A pedagóguspálya </w:t>
      </w:r>
      <w:r w:rsidR="00971981">
        <w:rPr>
          <w:rFonts w:asciiTheme="majorHAnsi" w:hAnsiTheme="majorHAnsi" w:cstheme="majorHAnsi"/>
        </w:rPr>
        <w:lastRenderedPageBreak/>
        <w:t>iránti elköteleződés érdekében eddig megtett intézkedésként említhető meg a Klebe</w:t>
      </w:r>
      <w:r w:rsidR="00170AB1">
        <w:rPr>
          <w:rFonts w:asciiTheme="majorHAnsi" w:hAnsiTheme="majorHAnsi" w:cstheme="majorHAnsi"/>
        </w:rPr>
        <w:t>l</w:t>
      </w:r>
      <w:r w:rsidR="00971981">
        <w:rPr>
          <w:rFonts w:asciiTheme="majorHAnsi" w:hAnsiTheme="majorHAnsi" w:cstheme="majorHAnsi"/>
        </w:rPr>
        <w:t xml:space="preserve">sberg </w:t>
      </w:r>
      <w:r w:rsidR="00170AB1">
        <w:rPr>
          <w:rFonts w:asciiTheme="majorHAnsi" w:hAnsiTheme="majorHAnsi" w:cstheme="majorHAnsi"/>
        </w:rPr>
        <w:t>Képzési</w:t>
      </w:r>
      <w:r w:rsidR="004F7B7D">
        <w:rPr>
          <w:rFonts w:asciiTheme="majorHAnsi" w:hAnsiTheme="majorHAnsi" w:cstheme="majorHAnsi"/>
        </w:rPr>
        <w:t xml:space="preserve"> </w:t>
      </w:r>
      <w:r w:rsidR="00C9490C">
        <w:rPr>
          <w:rFonts w:asciiTheme="majorHAnsi" w:hAnsiTheme="majorHAnsi" w:cstheme="majorHAnsi"/>
        </w:rPr>
        <w:t xml:space="preserve">Ösztöndíj </w:t>
      </w:r>
      <w:r w:rsidR="00971981">
        <w:rPr>
          <w:rFonts w:asciiTheme="majorHAnsi" w:hAnsiTheme="majorHAnsi" w:cstheme="majorHAnsi"/>
        </w:rPr>
        <w:t xml:space="preserve">Program és a hazai tanárok előmeneteli rendszerét biztosító </w:t>
      </w:r>
      <w:r w:rsidR="00C9490C" w:rsidRPr="00C9490C">
        <w:rPr>
          <w:rFonts w:asciiTheme="majorHAnsi" w:hAnsiTheme="majorHAnsi" w:cstheme="majorHAnsi"/>
        </w:rPr>
        <w:t>pedagógus-előmeneteli rendszer </w:t>
      </w:r>
      <w:r w:rsidR="00971981">
        <w:rPr>
          <w:rFonts w:asciiTheme="majorHAnsi" w:hAnsiTheme="majorHAnsi" w:cstheme="majorHAnsi"/>
        </w:rPr>
        <w:t>bevezetése</w:t>
      </w:r>
      <w:r w:rsidR="0022453B">
        <w:rPr>
          <w:rFonts w:asciiTheme="majorHAnsi" w:hAnsiTheme="majorHAnsi" w:cstheme="majorHAnsi"/>
        </w:rPr>
        <w:t>.</w:t>
      </w:r>
    </w:p>
    <w:p w14:paraId="2868957D" w14:textId="77777777" w:rsidR="00971981"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Magyarországon a tanárok 79 százaléka első helyen jelölte meg a </w:t>
      </w:r>
      <w:r w:rsidR="00C9490C">
        <w:rPr>
          <w:rFonts w:asciiTheme="majorHAnsi" w:hAnsiTheme="majorHAnsi" w:cstheme="majorHAnsi"/>
        </w:rPr>
        <w:t>pedagógus</w:t>
      </w:r>
      <w:r w:rsidRPr="00DC6C83">
        <w:rPr>
          <w:rFonts w:asciiTheme="majorHAnsi" w:hAnsiTheme="majorHAnsi" w:cstheme="majorHAnsi"/>
        </w:rPr>
        <w:t xml:space="preserve"> pályát a pályaválasztáskor, ez szignifikánsan magasabb, mint az OECD-országokban átlagosan </w:t>
      </w:r>
      <w:r w:rsidRPr="00D45E39">
        <w:rPr>
          <w:rFonts w:asciiTheme="majorHAnsi" w:hAnsiTheme="majorHAnsi" w:cstheme="majorHAnsi"/>
        </w:rPr>
        <w:t xml:space="preserve">megfigyelhető arány (67 százalék), az utánpótlás </w:t>
      </w:r>
      <w:r w:rsidR="00F5165D">
        <w:rPr>
          <w:rFonts w:asciiTheme="majorHAnsi" w:hAnsiTheme="majorHAnsi" w:cstheme="majorHAnsi"/>
        </w:rPr>
        <w:t>lehetősége</w:t>
      </w:r>
      <w:r w:rsidRPr="00D45E39">
        <w:rPr>
          <w:rFonts w:asciiTheme="majorHAnsi" w:hAnsiTheme="majorHAnsi" w:cstheme="majorHAnsi"/>
        </w:rPr>
        <w:t xml:space="preserve"> tehát megvan. A vizsgálat rámutatott</w:t>
      </w:r>
      <w:r w:rsidR="00971981">
        <w:rPr>
          <w:rFonts w:asciiTheme="majorHAnsi" w:hAnsiTheme="majorHAnsi" w:cstheme="majorHAnsi"/>
        </w:rPr>
        <w:t xml:space="preserve"> még</w:t>
      </w:r>
      <w:r w:rsidR="005C5A36">
        <w:rPr>
          <w:rFonts w:asciiTheme="majorHAnsi" w:hAnsiTheme="majorHAnsi" w:cstheme="majorHAnsi"/>
        </w:rPr>
        <w:t xml:space="preserve"> arra</w:t>
      </w:r>
      <w:r w:rsidRPr="00D45E39">
        <w:rPr>
          <w:rFonts w:asciiTheme="majorHAnsi" w:hAnsiTheme="majorHAnsi" w:cstheme="majorHAnsi"/>
        </w:rPr>
        <w:t xml:space="preserve">, hogy a magyar tanárok annak ellenére is a pedagóguspálya mellett döntenek, hogy kevésbé érzékelik a társadalom megbecsülését, és a pályaválasztáskor kevésbé </w:t>
      </w:r>
      <w:r w:rsidR="005C5A36">
        <w:rPr>
          <w:rFonts w:asciiTheme="majorHAnsi" w:hAnsiTheme="majorHAnsi" w:cstheme="majorHAnsi"/>
        </w:rPr>
        <w:t>gondolják</w:t>
      </w:r>
      <w:r w:rsidR="002248B8">
        <w:rPr>
          <w:rFonts w:asciiTheme="majorHAnsi" w:hAnsiTheme="majorHAnsi" w:cstheme="majorHAnsi"/>
        </w:rPr>
        <w:t xml:space="preserve"> </w:t>
      </w:r>
      <w:r w:rsidRPr="00D45E39">
        <w:rPr>
          <w:rFonts w:asciiTheme="majorHAnsi" w:hAnsiTheme="majorHAnsi" w:cstheme="majorHAnsi"/>
        </w:rPr>
        <w:t xml:space="preserve">kiszámítható, tervezhető pályának a tanítást. </w:t>
      </w:r>
    </w:p>
    <w:p w14:paraId="4F3B9E6C" w14:textId="0D67A2DF" w:rsidR="00B86FE8" w:rsidRPr="00DC6C83" w:rsidRDefault="005C5A36" w:rsidP="00B86FE8">
      <w:pPr>
        <w:spacing w:line="276" w:lineRule="auto"/>
        <w:rPr>
          <w:rFonts w:asciiTheme="majorHAnsi" w:hAnsiTheme="majorHAnsi" w:cstheme="majorHAnsi"/>
        </w:rPr>
      </w:pPr>
      <w:r w:rsidRPr="00D45E39">
        <w:rPr>
          <w:rFonts w:asciiTheme="majorHAnsi" w:hAnsiTheme="majorHAnsi" w:cstheme="majorHAnsi"/>
        </w:rPr>
        <w:t xml:space="preserve">Magyarországon a tanárok 95 százaléka vett részt a vizsgálatot megelőző 12 hónapban szakmai fejlődést </w:t>
      </w:r>
      <w:r w:rsidR="00F5165D">
        <w:rPr>
          <w:rFonts w:asciiTheme="majorHAnsi" w:hAnsiTheme="majorHAnsi" w:cstheme="majorHAnsi"/>
        </w:rPr>
        <w:t>segítő képzéseken, továbbképzéseken, programokon</w:t>
      </w:r>
      <w:r w:rsidRPr="00D45E39">
        <w:rPr>
          <w:rFonts w:asciiTheme="majorHAnsi" w:hAnsiTheme="majorHAnsi" w:cstheme="majorHAnsi"/>
        </w:rPr>
        <w:t xml:space="preserve">. </w:t>
      </w:r>
      <w:r w:rsidR="00971981">
        <w:rPr>
          <w:rFonts w:asciiTheme="majorHAnsi" w:hAnsiTheme="majorHAnsi" w:cstheme="majorHAnsi"/>
        </w:rPr>
        <w:t>A pedagógusok szakmai képességeire vonatkozóan a</w:t>
      </w:r>
      <w:r w:rsidR="004F7B7D">
        <w:rPr>
          <w:rFonts w:asciiTheme="majorHAnsi" w:hAnsiTheme="majorHAnsi" w:cstheme="majorHAnsi"/>
        </w:rPr>
        <w:t xml:space="preserve"> </w:t>
      </w:r>
      <w:r w:rsidR="00B86FE8" w:rsidRPr="00D45E39">
        <w:rPr>
          <w:rFonts w:asciiTheme="majorHAnsi" w:hAnsiTheme="majorHAnsi" w:cstheme="majorHAnsi"/>
        </w:rPr>
        <w:t xml:space="preserve">vizsgálatból kitűnik, hogy az </w:t>
      </w:r>
      <w:proofErr w:type="spellStart"/>
      <w:r w:rsidR="00B86FE8" w:rsidRPr="00D45E39">
        <w:rPr>
          <w:rFonts w:asciiTheme="majorHAnsi" w:hAnsiTheme="majorHAnsi" w:cstheme="majorHAnsi"/>
        </w:rPr>
        <w:t>IKT-eszközök</w:t>
      </w:r>
      <w:proofErr w:type="spellEnd"/>
      <w:r w:rsidR="00B86FE8" w:rsidRPr="00D45E39">
        <w:rPr>
          <w:rFonts w:asciiTheme="majorHAnsi" w:hAnsiTheme="majorHAnsi" w:cstheme="majorHAnsi"/>
        </w:rPr>
        <w:t xml:space="preserve"> pedagógiai célú használata szignifikánsan nagyobb hangsúlyt kapott az elmúlt évek tanárképzésében, mint korábban. A tanárok visszajelzései alapján hazánkban azokra a továbbképzésekre van a legnagyobb igény, amelyek </w:t>
      </w:r>
      <w:r w:rsidRPr="00D45E39">
        <w:rPr>
          <w:rFonts w:asciiTheme="majorHAnsi" w:hAnsiTheme="majorHAnsi" w:cstheme="majorHAnsi"/>
        </w:rPr>
        <w:t>az infokommunikációs technológiák pedagógiai célú felhasználásához</w:t>
      </w:r>
      <w:r>
        <w:rPr>
          <w:rFonts w:asciiTheme="majorHAnsi" w:hAnsiTheme="majorHAnsi" w:cstheme="majorHAnsi"/>
        </w:rPr>
        <w:t xml:space="preserve">, </w:t>
      </w:r>
      <w:r w:rsidRPr="00D45E39">
        <w:rPr>
          <w:rFonts w:asciiTheme="majorHAnsi" w:hAnsiTheme="majorHAnsi" w:cstheme="majorHAnsi"/>
        </w:rPr>
        <w:t xml:space="preserve">illetve </w:t>
      </w:r>
      <w:r w:rsidR="00B86FE8" w:rsidRPr="00D45E39">
        <w:rPr>
          <w:rFonts w:asciiTheme="majorHAnsi" w:hAnsiTheme="majorHAnsi" w:cstheme="majorHAnsi"/>
        </w:rPr>
        <w:t xml:space="preserve">a sajátos nevelési igényű tanulók oktatásához kapcsolódnak. A tanárok által megfogalmazott igény összecseng azzal, hogy az intézményvezetők szerint az oktatás eredményességét hátráltató tényezők közül az egyik leginkább hangsúlyos a sajátos nevelési igényű tanulók oktatásához értő pedagógusok </w:t>
      </w:r>
      <w:r w:rsidR="00367B32">
        <w:rPr>
          <w:rFonts w:asciiTheme="majorHAnsi" w:hAnsiTheme="majorHAnsi" w:cstheme="majorHAnsi"/>
        </w:rPr>
        <w:t xml:space="preserve">alacsony </w:t>
      </w:r>
      <w:r w:rsidR="00B86FE8" w:rsidRPr="00D45E39">
        <w:rPr>
          <w:rFonts w:asciiTheme="majorHAnsi" w:hAnsiTheme="majorHAnsi" w:cstheme="majorHAnsi"/>
        </w:rPr>
        <w:t>aránya, illetve kívánatos a rendszerben már benn lévő pedagógusok ilyen irányú továbbképzése</w:t>
      </w:r>
      <w:r>
        <w:rPr>
          <w:rFonts w:asciiTheme="majorHAnsi" w:hAnsiTheme="majorHAnsi" w:cstheme="majorHAnsi"/>
        </w:rPr>
        <w:t>.</w:t>
      </w:r>
      <w:r w:rsidR="002248B8">
        <w:rPr>
          <w:rFonts w:asciiTheme="majorHAnsi" w:hAnsiTheme="majorHAnsi" w:cstheme="majorHAnsi"/>
        </w:rPr>
        <w:t xml:space="preserve"> </w:t>
      </w:r>
      <w:r>
        <w:rPr>
          <w:rFonts w:asciiTheme="majorHAnsi" w:hAnsiTheme="majorHAnsi" w:cstheme="majorHAnsi"/>
        </w:rPr>
        <w:t>Erre jelenleg</w:t>
      </w:r>
      <w:r w:rsidR="00B86FE8" w:rsidRPr="00D45E39">
        <w:rPr>
          <w:rFonts w:asciiTheme="majorHAnsi" w:hAnsiTheme="majorHAnsi" w:cstheme="majorHAnsi"/>
        </w:rPr>
        <w:t xml:space="preserve"> folyamatos lehetőség nyílik </w:t>
      </w:r>
      <w:r w:rsidR="0020208E" w:rsidRPr="00D45E39">
        <w:rPr>
          <w:rFonts w:asciiTheme="majorHAnsi" w:hAnsiTheme="majorHAnsi" w:cstheme="majorHAnsi"/>
        </w:rPr>
        <w:t>a</w:t>
      </w:r>
      <w:r w:rsidR="002248B8">
        <w:rPr>
          <w:rFonts w:asciiTheme="majorHAnsi" w:hAnsiTheme="majorHAnsi" w:cstheme="majorHAnsi"/>
        </w:rPr>
        <w:t xml:space="preserve"> </w:t>
      </w:r>
      <w:r w:rsidR="0020208E" w:rsidRPr="00DC6C83">
        <w:rPr>
          <w:rFonts w:asciiTheme="majorHAnsi" w:hAnsiTheme="majorHAnsi" w:cstheme="majorHAnsi"/>
        </w:rPr>
        <w:t>magyar köznevelés rendszerében</w:t>
      </w:r>
      <w:r w:rsidR="00F5165D">
        <w:rPr>
          <w:rFonts w:asciiTheme="majorHAnsi" w:hAnsiTheme="majorHAnsi" w:cstheme="majorHAnsi"/>
        </w:rPr>
        <w:t>. A</w:t>
      </w:r>
      <w:r w:rsidR="00B86FE8" w:rsidRPr="00DC6C83">
        <w:rPr>
          <w:rFonts w:asciiTheme="majorHAnsi" w:hAnsiTheme="majorHAnsi" w:cstheme="majorHAnsi"/>
        </w:rPr>
        <w:t xml:space="preserve"> gyógypedagógus </w:t>
      </w:r>
      <w:r w:rsidR="0020208E">
        <w:rPr>
          <w:rFonts w:asciiTheme="majorHAnsi" w:hAnsiTheme="majorHAnsi" w:cstheme="majorHAnsi"/>
        </w:rPr>
        <w:t xml:space="preserve">végzettséggel foglalkoztatottak </w:t>
      </w:r>
      <w:r w:rsidR="000F3647">
        <w:rPr>
          <w:rFonts w:asciiTheme="majorHAnsi" w:hAnsiTheme="majorHAnsi" w:cstheme="majorHAnsi"/>
        </w:rPr>
        <w:t>száma a 2010</w:t>
      </w:r>
      <w:r w:rsidR="006573C5">
        <w:rPr>
          <w:rFonts w:asciiTheme="majorHAnsi" w:hAnsiTheme="majorHAnsi" w:cstheme="majorHAnsi"/>
        </w:rPr>
        <w:t>/2011</w:t>
      </w:r>
      <w:r w:rsidR="000F3647">
        <w:rPr>
          <w:rFonts w:asciiTheme="majorHAnsi" w:hAnsiTheme="majorHAnsi" w:cstheme="majorHAnsi"/>
        </w:rPr>
        <w:t>-es</w:t>
      </w:r>
      <w:r w:rsidR="006573C5">
        <w:rPr>
          <w:rFonts w:asciiTheme="majorHAnsi" w:hAnsiTheme="majorHAnsi" w:cstheme="majorHAnsi"/>
        </w:rPr>
        <w:t xml:space="preserve"> tanévben</w:t>
      </w:r>
      <w:r w:rsidR="000F3647">
        <w:rPr>
          <w:rFonts w:asciiTheme="majorHAnsi" w:hAnsiTheme="majorHAnsi" w:cstheme="majorHAnsi"/>
        </w:rPr>
        <w:t xml:space="preserve"> </w:t>
      </w:r>
      <w:r w:rsidR="006573C5">
        <w:rPr>
          <w:rFonts w:asciiTheme="majorHAnsi" w:hAnsiTheme="majorHAnsi" w:cstheme="majorHAnsi"/>
        </w:rPr>
        <w:t>8</w:t>
      </w:r>
      <w:r w:rsidR="008265D0">
        <w:rPr>
          <w:rFonts w:asciiTheme="majorHAnsi" w:hAnsiTheme="majorHAnsi" w:cstheme="majorHAnsi"/>
        </w:rPr>
        <w:t xml:space="preserve"> </w:t>
      </w:r>
      <w:r w:rsidR="00B86FE8" w:rsidRPr="00DC6C83">
        <w:rPr>
          <w:rFonts w:asciiTheme="majorHAnsi" w:hAnsiTheme="majorHAnsi" w:cstheme="majorHAnsi"/>
        </w:rPr>
        <w:t>700 főről 201</w:t>
      </w:r>
      <w:r w:rsidR="0020208E">
        <w:rPr>
          <w:rFonts w:asciiTheme="majorHAnsi" w:hAnsiTheme="majorHAnsi" w:cstheme="majorHAnsi"/>
        </w:rPr>
        <w:t>9</w:t>
      </w:r>
      <w:r w:rsidR="006573C5">
        <w:rPr>
          <w:rFonts w:asciiTheme="majorHAnsi" w:hAnsiTheme="majorHAnsi" w:cstheme="majorHAnsi"/>
        </w:rPr>
        <w:t>/2020-as tanévre 10</w:t>
      </w:r>
      <w:r w:rsidR="008265D0">
        <w:rPr>
          <w:rFonts w:asciiTheme="majorHAnsi" w:hAnsiTheme="majorHAnsi" w:cstheme="majorHAnsi"/>
        </w:rPr>
        <w:t xml:space="preserve"> </w:t>
      </w:r>
      <w:r w:rsidR="006573C5">
        <w:rPr>
          <w:rFonts w:asciiTheme="majorHAnsi" w:hAnsiTheme="majorHAnsi" w:cstheme="majorHAnsi"/>
        </w:rPr>
        <w:t>175</w:t>
      </w:r>
      <w:r w:rsidR="000F3647">
        <w:rPr>
          <w:rFonts w:asciiTheme="majorHAnsi" w:hAnsiTheme="majorHAnsi" w:cstheme="majorHAnsi"/>
        </w:rPr>
        <w:t xml:space="preserve"> főre</w:t>
      </w:r>
      <w:r w:rsidR="007D587D">
        <w:rPr>
          <w:rFonts w:asciiTheme="majorHAnsi" w:hAnsiTheme="majorHAnsi" w:cstheme="majorHAnsi"/>
        </w:rPr>
        <w:t xml:space="preserve"> </w:t>
      </w:r>
      <w:r w:rsidR="00B86FE8" w:rsidRPr="00DC6C83">
        <w:rPr>
          <w:rFonts w:asciiTheme="majorHAnsi" w:hAnsiTheme="majorHAnsi" w:cstheme="majorHAnsi"/>
        </w:rPr>
        <w:t>emelkedett.</w:t>
      </w:r>
    </w:p>
    <w:p w14:paraId="3D39700C" w14:textId="77777777" w:rsidR="00B86FE8" w:rsidRPr="00D45E39" w:rsidRDefault="00B86FE8" w:rsidP="00B86FE8">
      <w:pPr>
        <w:spacing w:line="276" w:lineRule="auto"/>
        <w:rPr>
          <w:rFonts w:asciiTheme="majorHAnsi" w:hAnsiTheme="majorHAnsi" w:cstheme="majorHAnsi"/>
        </w:rPr>
      </w:pPr>
      <w:r w:rsidRPr="00D45E39">
        <w:rPr>
          <w:rFonts w:asciiTheme="majorHAnsi" w:hAnsiTheme="majorHAnsi" w:cstheme="majorHAnsi"/>
        </w:rPr>
        <w:t xml:space="preserve">Hazánkban a pedagógusok negatívabban ítélik meg a pedagógusszakma presztízsét az átlagosnál, </w:t>
      </w:r>
      <w:r w:rsidR="00367B32">
        <w:rPr>
          <w:rFonts w:asciiTheme="majorHAnsi" w:hAnsiTheme="majorHAnsi" w:cstheme="majorHAnsi"/>
        </w:rPr>
        <w:t>emellett</w:t>
      </w:r>
      <w:r w:rsidR="007D587D">
        <w:rPr>
          <w:rFonts w:asciiTheme="majorHAnsi" w:hAnsiTheme="majorHAnsi" w:cstheme="majorHAnsi"/>
        </w:rPr>
        <w:t xml:space="preserve"> </w:t>
      </w:r>
      <w:r w:rsidR="00367B32">
        <w:rPr>
          <w:rFonts w:asciiTheme="majorHAnsi" w:hAnsiTheme="majorHAnsi" w:cstheme="majorHAnsi"/>
        </w:rPr>
        <w:t xml:space="preserve">a </w:t>
      </w:r>
      <w:r w:rsidRPr="00D45E39">
        <w:rPr>
          <w:rFonts w:asciiTheme="majorHAnsi" w:hAnsiTheme="majorHAnsi" w:cstheme="majorHAnsi"/>
        </w:rPr>
        <w:t>kutatás azt is</w:t>
      </w:r>
      <w:r w:rsidR="00367B32">
        <w:rPr>
          <w:rFonts w:asciiTheme="majorHAnsi" w:hAnsiTheme="majorHAnsi" w:cstheme="majorHAnsi"/>
        </w:rPr>
        <w:t xml:space="preserve"> kimutatta</w:t>
      </w:r>
      <w:r w:rsidRPr="00D45E39">
        <w:rPr>
          <w:rFonts w:asciiTheme="majorHAnsi" w:hAnsiTheme="majorHAnsi" w:cstheme="majorHAnsi"/>
        </w:rPr>
        <w:t xml:space="preserve">, hogy a pályakezdő tanárok nagyobb arányban elégedettek a tanári hivatással, mint a tapasztaltabbak. A vizsgálat arra is rámutatott, hogy hazánkban az indukciós, bevezető programok kisebb súlyt foglalnak el a tanári életpályában, mint az OECD-országokban, ugyanakkor Magyarországon az intézmények 80 százaléka </w:t>
      </w:r>
      <w:r w:rsidR="009623EC">
        <w:rPr>
          <w:rFonts w:asciiTheme="majorHAnsi" w:hAnsiTheme="majorHAnsi" w:cstheme="majorHAnsi"/>
        </w:rPr>
        <w:t>teszi lehetővé, hogy</w:t>
      </w:r>
      <w:r w:rsidRPr="00D45E39">
        <w:rPr>
          <w:rFonts w:asciiTheme="majorHAnsi" w:hAnsiTheme="majorHAnsi" w:cstheme="majorHAnsi"/>
        </w:rPr>
        <w:t xml:space="preserve"> a pályakezdő</w:t>
      </w:r>
      <w:r w:rsidR="009623EC">
        <w:rPr>
          <w:rFonts w:asciiTheme="majorHAnsi" w:hAnsiTheme="majorHAnsi" w:cstheme="majorHAnsi"/>
        </w:rPr>
        <w:t xml:space="preserve">k </w:t>
      </w:r>
      <w:r w:rsidRPr="00D45E39">
        <w:rPr>
          <w:rFonts w:asciiTheme="majorHAnsi" w:hAnsiTheme="majorHAnsi" w:cstheme="majorHAnsi"/>
        </w:rPr>
        <w:t>mentorprogram</w:t>
      </w:r>
      <w:r w:rsidR="009623EC">
        <w:rPr>
          <w:rFonts w:asciiTheme="majorHAnsi" w:hAnsiTheme="majorHAnsi" w:cstheme="majorHAnsi"/>
        </w:rPr>
        <w:t>ban vegyenek részt.</w:t>
      </w:r>
    </w:p>
    <w:p w14:paraId="5F8C5BE4" w14:textId="2E001231" w:rsidR="00B86FE8" w:rsidRDefault="00B86FE8" w:rsidP="00B86FE8">
      <w:pPr>
        <w:spacing w:line="276" w:lineRule="auto"/>
        <w:rPr>
          <w:rFonts w:asciiTheme="majorHAnsi" w:hAnsiTheme="majorHAnsi" w:cstheme="majorHAnsi"/>
        </w:rPr>
      </w:pPr>
      <w:r w:rsidRPr="00D45E39">
        <w:rPr>
          <w:rFonts w:asciiTheme="majorHAnsi" w:hAnsiTheme="majorHAnsi" w:cstheme="majorHAnsi"/>
        </w:rPr>
        <w:t>A vizsgálat eredményei azt is láthatóvá tették, hogy Magyarországon az OECD-országoknál kedvezőbb a diák-tanár arány: egy tanárra átlagosan 1</w:t>
      </w:r>
      <w:r w:rsidR="009C061C">
        <w:rPr>
          <w:rFonts w:asciiTheme="majorHAnsi" w:hAnsiTheme="majorHAnsi" w:cstheme="majorHAnsi"/>
        </w:rPr>
        <w:t>2</w:t>
      </w:r>
      <w:r w:rsidRPr="00D45E39">
        <w:rPr>
          <w:rFonts w:asciiTheme="majorHAnsi" w:hAnsiTheme="majorHAnsi" w:cstheme="majorHAnsi"/>
        </w:rPr>
        <w:t xml:space="preserve"> tanuló jut</w:t>
      </w:r>
      <w:r w:rsidR="00B627D8">
        <w:rPr>
          <w:rFonts w:asciiTheme="majorHAnsi" w:hAnsiTheme="majorHAnsi" w:cstheme="majorHAnsi"/>
        </w:rPr>
        <w:t>,</w:t>
      </w:r>
      <w:r w:rsidR="00E64C2F">
        <w:rPr>
          <w:rFonts w:asciiTheme="majorHAnsi" w:hAnsiTheme="majorHAnsi" w:cstheme="majorHAnsi"/>
        </w:rPr>
        <w:t xml:space="preserve"> </w:t>
      </w:r>
      <w:r w:rsidR="00B627D8">
        <w:rPr>
          <w:rFonts w:asciiTheme="majorHAnsi" w:hAnsiTheme="majorHAnsi" w:cstheme="majorHAnsi"/>
        </w:rPr>
        <w:t xml:space="preserve">ami </w:t>
      </w:r>
      <w:r w:rsidR="00742166">
        <w:rPr>
          <w:rFonts w:asciiTheme="majorHAnsi" w:hAnsiTheme="majorHAnsi" w:cstheme="majorHAnsi"/>
        </w:rPr>
        <w:t xml:space="preserve">alapján nem </w:t>
      </w:r>
      <w:r w:rsidR="00B627D8">
        <w:rPr>
          <w:rFonts w:asciiTheme="majorHAnsi" w:hAnsiTheme="majorHAnsi" w:cstheme="majorHAnsi"/>
        </w:rPr>
        <w:t>rendszerszint</w:t>
      </w:r>
      <w:r w:rsidR="00742166">
        <w:rPr>
          <w:rFonts w:asciiTheme="majorHAnsi" w:hAnsiTheme="majorHAnsi" w:cstheme="majorHAnsi"/>
        </w:rPr>
        <w:t>ű pedagógushiánnyal, hanem strukturális hátterű kihívással nézünk szembe.</w:t>
      </w:r>
      <w:r w:rsidR="004F7B7D">
        <w:rPr>
          <w:rFonts w:asciiTheme="majorHAnsi" w:hAnsiTheme="majorHAnsi" w:cstheme="majorHAnsi"/>
        </w:rPr>
        <w:t xml:space="preserve"> </w:t>
      </w:r>
      <w:r w:rsidRPr="00D45E39">
        <w:rPr>
          <w:rFonts w:asciiTheme="majorHAnsi" w:hAnsiTheme="majorHAnsi" w:cstheme="majorHAnsi"/>
        </w:rPr>
        <w:t>Hazánkban ugyanakkor a nemzetközi átlagnál alacsonyabb a pedagógiai munkát támogató szakemberek aránya a tanárok számához viszonyítva</w:t>
      </w:r>
      <w:r w:rsidR="00E62207">
        <w:rPr>
          <w:rFonts w:asciiTheme="majorHAnsi" w:hAnsiTheme="majorHAnsi" w:cstheme="majorHAnsi"/>
        </w:rPr>
        <w:t>, amely a tanárok nem pedagógiai munkával eltöltött idejét növeli meg.</w:t>
      </w:r>
    </w:p>
    <w:p w14:paraId="0C3548BD" w14:textId="77777777" w:rsidR="00C4697D" w:rsidRDefault="00C4697D" w:rsidP="00B86FE8">
      <w:pPr>
        <w:spacing w:line="276" w:lineRule="auto"/>
        <w:rPr>
          <w:rFonts w:asciiTheme="majorHAnsi" w:hAnsiTheme="majorHAnsi" w:cstheme="majorHAnsi"/>
        </w:rPr>
      </w:pPr>
    </w:p>
    <w:p w14:paraId="73343B18" w14:textId="77777777" w:rsidR="00C4697D" w:rsidRDefault="00C4697D" w:rsidP="00B86FE8">
      <w:pPr>
        <w:spacing w:line="276" w:lineRule="auto"/>
        <w:rPr>
          <w:rFonts w:asciiTheme="majorHAnsi" w:hAnsiTheme="majorHAnsi" w:cstheme="majorHAnsi"/>
        </w:rPr>
      </w:pPr>
    </w:p>
    <w:p w14:paraId="35CC1004" w14:textId="77777777" w:rsidR="00C4697D" w:rsidRDefault="00C4697D" w:rsidP="00B86FE8">
      <w:pPr>
        <w:spacing w:line="276" w:lineRule="auto"/>
        <w:rPr>
          <w:rFonts w:asciiTheme="majorHAnsi" w:hAnsiTheme="majorHAnsi" w:cstheme="majorHAnsi"/>
        </w:rPr>
      </w:pPr>
    </w:p>
    <w:p w14:paraId="75D6AA14" w14:textId="2A7074D4" w:rsidR="009C061C" w:rsidRPr="009C061C" w:rsidRDefault="009C061C" w:rsidP="00C438E7">
      <w:pPr>
        <w:pStyle w:val="Tblacm"/>
        <w:ind w:left="426"/>
        <w:jc w:val="center"/>
      </w:pPr>
      <w:r w:rsidRPr="00C438E7">
        <w:rPr>
          <w:rFonts w:asciiTheme="majorHAnsi" w:hAnsiTheme="majorHAnsi" w:cstheme="majorHAnsi"/>
        </w:rPr>
        <w:lastRenderedPageBreak/>
        <w:t xml:space="preserve">Táblázat: 1 tanárra jutó </w:t>
      </w:r>
      <w:r w:rsidR="00B40CCB">
        <w:rPr>
          <w:rFonts w:asciiTheme="majorHAnsi" w:hAnsiTheme="majorHAnsi" w:cstheme="majorHAnsi"/>
        </w:rPr>
        <w:t xml:space="preserve">átlagos </w:t>
      </w:r>
      <w:r w:rsidR="00A96A66">
        <w:rPr>
          <w:rFonts w:asciiTheme="majorHAnsi" w:hAnsiTheme="majorHAnsi" w:cstheme="majorHAnsi"/>
        </w:rPr>
        <w:t>tanuló</w:t>
      </w:r>
      <w:r w:rsidRPr="00C438E7">
        <w:rPr>
          <w:rFonts w:asciiTheme="majorHAnsi" w:hAnsiTheme="majorHAnsi" w:cstheme="majorHAnsi"/>
        </w:rPr>
        <w:t xml:space="preserve">szám az </w:t>
      </w:r>
      <w:r w:rsidR="009836FE">
        <w:rPr>
          <w:rFonts w:asciiTheme="majorHAnsi" w:hAnsiTheme="majorHAnsi" w:cstheme="majorHAnsi"/>
        </w:rPr>
        <w:t>OECD</w:t>
      </w:r>
      <w:r w:rsidRPr="00C438E7">
        <w:rPr>
          <w:rFonts w:asciiTheme="majorHAnsi" w:hAnsiTheme="majorHAnsi" w:cstheme="majorHAnsi"/>
        </w:rPr>
        <w:t xml:space="preserve"> tagállamaiban</w:t>
      </w:r>
      <w:r w:rsidR="00947C5C">
        <w:rPr>
          <w:rFonts w:asciiTheme="majorHAnsi" w:hAnsiTheme="majorHAnsi" w:cstheme="majorHAnsi"/>
        </w:rPr>
        <w:t xml:space="preserve"> 2019-ben</w:t>
      </w:r>
    </w:p>
    <w:tbl>
      <w:tblPr>
        <w:tblStyle w:val="Tblzatrcsos42jellszn1"/>
        <w:tblW w:w="2900" w:type="dxa"/>
        <w:jc w:val="center"/>
        <w:tblLook w:val="04A0" w:firstRow="1" w:lastRow="0" w:firstColumn="1" w:lastColumn="0" w:noHBand="0" w:noVBand="1"/>
      </w:tblPr>
      <w:tblGrid>
        <w:gridCol w:w="2000"/>
        <w:gridCol w:w="900"/>
      </w:tblGrid>
      <w:tr w:rsidR="009836FE" w:rsidRPr="009836FE" w14:paraId="79CEA07E" w14:textId="77777777" w:rsidTr="009836FE">
        <w:trPr>
          <w:cnfStyle w:val="100000000000" w:firstRow="1" w:lastRow="0" w:firstColumn="0" w:lastColumn="0" w:oddVBand="0" w:evenVBand="0" w:oddHBand="0"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2000" w:type="dxa"/>
            <w:hideMark/>
          </w:tcPr>
          <w:p w14:paraId="73FD3503" w14:textId="4FE37E96" w:rsidR="009C061C" w:rsidRPr="009836FE" w:rsidRDefault="009C061C" w:rsidP="009C061C">
            <w:pPr>
              <w:spacing w:after="0" w:line="240" w:lineRule="auto"/>
              <w:jc w:val="left"/>
              <w:rPr>
                <w:rFonts w:cs="Arial"/>
                <w:b w:val="0"/>
                <w:bCs w:val="0"/>
                <w:sz w:val="16"/>
                <w:szCs w:val="16"/>
                <w:lang w:eastAsia="hu-HU"/>
              </w:rPr>
            </w:pPr>
            <w:r w:rsidRPr="009836FE">
              <w:rPr>
                <w:rFonts w:cs="Arial"/>
                <w:sz w:val="16"/>
                <w:szCs w:val="16"/>
                <w:lang w:eastAsia="hu-HU"/>
              </w:rPr>
              <w:t> </w:t>
            </w:r>
            <w:r w:rsidR="009836FE" w:rsidRPr="009836FE">
              <w:rPr>
                <w:rFonts w:cs="Arial"/>
                <w:bCs w:val="0"/>
                <w:sz w:val="16"/>
                <w:szCs w:val="16"/>
                <w:lang w:eastAsia="hu-HU"/>
              </w:rPr>
              <w:t>OECD</w:t>
            </w:r>
            <w:r w:rsidRPr="009836FE">
              <w:rPr>
                <w:rFonts w:cs="Arial"/>
                <w:sz w:val="16"/>
                <w:szCs w:val="16"/>
                <w:lang w:eastAsia="hu-HU"/>
              </w:rPr>
              <w:t xml:space="preserve"> tagállamok</w:t>
            </w:r>
          </w:p>
        </w:tc>
        <w:tc>
          <w:tcPr>
            <w:tcW w:w="900" w:type="dxa"/>
            <w:hideMark/>
          </w:tcPr>
          <w:p w14:paraId="53E7AC6C" w14:textId="74F3B892" w:rsidR="009C061C" w:rsidRPr="009836FE" w:rsidRDefault="009C061C" w:rsidP="009C061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16"/>
                <w:szCs w:val="16"/>
                <w:lang w:eastAsia="hu-HU"/>
              </w:rPr>
            </w:pPr>
            <w:r w:rsidRPr="009836FE">
              <w:rPr>
                <w:rFonts w:cs="Arial"/>
                <w:sz w:val="16"/>
                <w:szCs w:val="16"/>
                <w:lang w:eastAsia="hu-HU"/>
              </w:rPr>
              <w:t>Tanuló</w:t>
            </w:r>
            <w:r w:rsidR="00A96A66" w:rsidRPr="009836FE">
              <w:rPr>
                <w:rFonts w:cs="Arial"/>
                <w:sz w:val="16"/>
                <w:szCs w:val="16"/>
                <w:lang w:eastAsia="hu-HU"/>
              </w:rPr>
              <w:t>-</w:t>
            </w:r>
            <w:r w:rsidRPr="009836FE">
              <w:rPr>
                <w:rFonts w:cs="Arial"/>
                <w:sz w:val="16"/>
                <w:szCs w:val="16"/>
                <w:lang w:eastAsia="hu-HU"/>
              </w:rPr>
              <w:t xml:space="preserve"> szám</w:t>
            </w:r>
          </w:p>
        </w:tc>
      </w:tr>
      <w:tr w:rsidR="009C061C" w:rsidRPr="009C061C" w14:paraId="58F0572F"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06F00C3F" w14:textId="77777777" w:rsidR="009C061C" w:rsidRPr="009C061C" w:rsidRDefault="009C061C" w:rsidP="009C061C">
            <w:pPr>
              <w:spacing w:after="0" w:line="240" w:lineRule="auto"/>
              <w:jc w:val="left"/>
              <w:rPr>
                <w:rFonts w:cs="Arial"/>
                <w:color w:val="000000"/>
                <w:sz w:val="16"/>
                <w:szCs w:val="16"/>
                <w:lang w:eastAsia="hu-HU"/>
              </w:rPr>
            </w:pPr>
            <w:r w:rsidRPr="009C061C">
              <w:rPr>
                <w:rFonts w:cs="Arial"/>
                <w:color w:val="000000"/>
                <w:sz w:val="16"/>
                <w:szCs w:val="16"/>
                <w:lang w:eastAsia="hu-HU"/>
              </w:rPr>
              <w:t>India</w:t>
            </w:r>
          </w:p>
        </w:tc>
        <w:tc>
          <w:tcPr>
            <w:tcW w:w="900" w:type="dxa"/>
            <w:noWrap/>
            <w:hideMark/>
          </w:tcPr>
          <w:p w14:paraId="421273C6" w14:textId="5F7BFCC5"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42 </w:t>
            </w:r>
          </w:p>
        </w:tc>
      </w:tr>
      <w:tr w:rsidR="009C061C" w:rsidRPr="009C061C" w14:paraId="1BA72FA3"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174D8144" w14:textId="638B4C11"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Indonéz</w:t>
            </w:r>
            <w:r w:rsidR="009C061C" w:rsidRPr="009C061C">
              <w:rPr>
                <w:rFonts w:cs="Arial"/>
                <w:color w:val="000000"/>
                <w:sz w:val="16"/>
                <w:szCs w:val="16"/>
                <w:lang w:eastAsia="hu-HU"/>
              </w:rPr>
              <w:t>ia</w:t>
            </w:r>
          </w:p>
        </w:tc>
        <w:tc>
          <w:tcPr>
            <w:tcW w:w="900" w:type="dxa"/>
            <w:noWrap/>
            <w:hideMark/>
          </w:tcPr>
          <w:p w14:paraId="1364C35B" w14:textId="5C8E212D"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30 </w:t>
            </w:r>
          </w:p>
        </w:tc>
      </w:tr>
      <w:tr w:rsidR="009C061C" w:rsidRPr="009C061C" w14:paraId="4C47ED07"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77DB2ED1" w14:textId="659A1308"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Törökország</w:t>
            </w:r>
          </w:p>
        </w:tc>
        <w:tc>
          <w:tcPr>
            <w:tcW w:w="900" w:type="dxa"/>
            <w:noWrap/>
            <w:hideMark/>
          </w:tcPr>
          <w:p w14:paraId="2EA00761" w14:textId="5702357E"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26 </w:t>
            </w:r>
          </w:p>
        </w:tc>
      </w:tr>
      <w:tr w:rsidR="009C061C" w:rsidRPr="009C061C" w14:paraId="01E41F3B"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7E5D08BF" w14:textId="6074E848"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Olaszország</w:t>
            </w:r>
          </w:p>
        </w:tc>
        <w:tc>
          <w:tcPr>
            <w:tcW w:w="900" w:type="dxa"/>
            <w:noWrap/>
            <w:hideMark/>
          </w:tcPr>
          <w:p w14:paraId="5225741B" w14:textId="2C5A4C28"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 21 </w:t>
            </w:r>
          </w:p>
        </w:tc>
      </w:tr>
      <w:tr w:rsidR="009C061C" w:rsidRPr="009C061C" w14:paraId="78D76D3D"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78ED1BC" w14:textId="4C34E860"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Írország</w:t>
            </w:r>
          </w:p>
        </w:tc>
        <w:tc>
          <w:tcPr>
            <w:tcW w:w="900" w:type="dxa"/>
            <w:noWrap/>
            <w:hideMark/>
          </w:tcPr>
          <w:p w14:paraId="2D10CEB9" w14:textId="239167B7"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21 </w:t>
            </w:r>
          </w:p>
        </w:tc>
      </w:tr>
      <w:tr w:rsidR="009C061C" w:rsidRPr="009C061C" w14:paraId="5A093443"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7B86BBC9" w14:textId="61CD6351" w:rsidR="009C061C" w:rsidRPr="009C061C" w:rsidRDefault="00C95C3A" w:rsidP="009C061C">
            <w:pPr>
              <w:spacing w:after="0" w:line="240" w:lineRule="auto"/>
              <w:jc w:val="left"/>
              <w:rPr>
                <w:rFonts w:cs="Arial"/>
                <w:color w:val="000000"/>
                <w:sz w:val="16"/>
                <w:szCs w:val="16"/>
                <w:lang w:eastAsia="hu-HU"/>
              </w:rPr>
            </w:pPr>
            <w:r>
              <w:rPr>
                <w:rFonts w:cs="Arial"/>
                <w:color w:val="000000"/>
                <w:sz w:val="16"/>
                <w:szCs w:val="16"/>
                <w:lang w:eastAsia="hu-HU"/>
              </w:rPr>
              <w:t>Szaúd-</w:t>
            </w:r>
            <w:r w:rsidR="004A4883">
              <w:rPr>
                <w:rFonts w:cs="Arial"/>
                <w:color w:val="000000"/>
                <w:sz w:val="16"/>
                <w:szCs w:val="16"/>
                <w:lang w:eastAsia="hu-HU"/>
              </w:rPr>
              <w:t>Ará</w:t>
            </w:r>
            <w:r w:rsidR="009C061C" w:rsidRPr="009C061C">
              <w:rPr>
                <w:rFonts w:cs="Arial"/>
                <w:color w:val="000000"/>
                <w:sz w:val="16"/>
                <w:szCs w:val="16"/>
                <w:lang w:eastAsia="hu-HU"/>
              </w:rPr>
              <w:t>bia</w:t>
            </w:r>
          </w:p>
        </w:tc>
        <w:tc>
          <w:tcPr>
            <w:tcW w:w="900" w:type="dxa"/>
            <w:noWrap/>
            <w:hideMark/>
          </w:tcPr>
          <w:p w14:paraId="7ADF0D2B" w14:textId="4434137B"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20 </w:t>
            </w:r>
          </w:p>
        </w:tc>
      </w:tr>
      <w:tr w:rsidR="009C061C" w:rsidRPr="009C061C" w14:paraId="7F8ECD28"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E26E21B" w14:textId="77777777" w:rsidR="009C061C" w:rsidRPr="009C061C" w:rsidRDefault="009C061C" w:rsidP="009C061C">
            <w:pPr>
              <w:spacing w:after="0" w:line="240" w:lineRule="auto"/>
              <w:jc w:val="left"/>
              <w:rPr>
                <w:rFonts w:cs="Arial"/>
                <w:color w:val="000000"/>
                <w:sz w:val="16"/>
                <w:szCs w:val="16"/>
                <w:lang w:eastAsia="hu-HU"/>
              </w:rPr>
            </w:pPr>
            <w:r w:rsidRPr="009C061C">
              <w:rPr>
                <w:rFonts w:cs="Arial"/>
                <w:color w:val="000000"/>
                <w:sz w:val="16"/>
                <w:szCs w:val="16"/>
                <w:lang w:eastAsia="hu-HU"/>
              </w:rPr>
              <w:t>Belgium</w:t>
            </w:r>
          </w:p>
        </w:tc>
        <w:tc>
          <w:tcPr>
            <w:tcW w:w="900" w:type="dxa"/>
            <w:noWrap/>
            <w:hideMark/>
          </w:tcPr>
          <w:p w14:paraId="24BCF1A3" w14:textId="7AEFB191"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20 </w:t>
            </w:r>
          </w:p>
        </w:tc>
      </w:tr>
      <w:tr w:rsidR="009C061C" w:rsidRPr="009C061C" w14:paraId="29BF7D39"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4617AA8" w14:textId="6CB63C36"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Csehország</w:t>
            </w:r>
          </w:p>
        </w:tc>
        <w:tc>
          <w:tcPr>
            <w:tcW w:w="900" w:type="dxa"/>
            <w:noWrap/>
            <w:hideMark/>
          </w:tcPr>
          <w:p w14:paraId="4AAB53ED" w14:textId="53031415"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18 </w:t>
            </w:r>
          </w:p>
        </w:tc>
      </w:tr>
      <w:tr w:rsidR="009C061C" w:rsidRPr="009C061C" w14:paraId="44E20F67"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3233AA2E" w14:textId="245CC9DA" w:rsidR="009C061C" w:rsidRPr="009C061C" w:rsidRDefault="00C95C3A" w:rsidP="009C061C">
            <w:pPr>
              <w:spacing w:after="0" w:line="240" w:lineRule="auto"/>
              <w:jc w:val="left"/>
              <w:rPr>
                <w:rFonts w:cs="Arial"/>
                <w:color w:val="000000"/>
                <w:sz w:val="16"/>
                <w:szCs w:val="16"/>
                <w:lang w:eastAsia="hu-HU"/>
              </w:rPr>
            </w:pPr>
            <w:r>
              <w:rPr>
                <w:rFonts w:cs="Arial"/>
                <w:color w:val="000000"/>
                <w:sz w:val="16"/>
                <w:szCs w:val="16"/>
                <w:lang w:eastAsia="hu-HU"/>
              </w:rPr>
              <w:t>Új-Z</w:t>
            </w:r>
            <w:r w:rsidR="004A4883">
              <w:rPr>
                <w:rFonts w:cs="Arial"/>
                <w:color w:val="000000"/>
                <w:sz w:val="16"/>
                <w:szCs w:val="16"/>
                <w:lang w:eastAsia="hu-HU"/>
              </w:rPr>
              <w:t>éland</w:t>
            </w:r>
          </w:p>
        </w:tc>
        <w:tc>
          <w:tcPr>
            <w:tcW w:w="900" w:type="dxa"/>
            <w:noWrap/>
            <w:hideMark/>
          </w:tcPr>
          <w:p w14:paraId="03148294" w14:textId="27DB8805"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18 </w:t>
            </w:r>
          </w:p>
        </w:tc>
      </w:tr>
      <w:tr w:rsidR="009C061C" w:rsidRPr="009C061C" w14:paraId="2A532C13"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F75BFA2" w14:textId="69F0840B" w:rsidR="009C061C" w:rsidRPr="009C061C" w:rsidRDefault="004A4883" w:rsidP="004A4883">
            <w:pPr>
              <w:spacing w:after="0" w:line="240" w:lineRule="auto"/>
              <w:jc w:val="left"/>
              <w:rPr>
                <w:rFonts w:cs="Arial"/>
                <w:color w:val="000000"/>
                <w:sz w:val="16"/>
                <w:szCs w:val="16"/>
                <w:lang w:eastAsia="hu-HU"/>
              </w:rPr>
            </w:pPr>
            <w:r>
              <w:rPr>
                <w:rFonts w:cs="Arial"/>
                <w:color w:val="000000"/>
                <w:sz w:val="16"/>
                <w:szCs w:val="16"/>
                <w:lang w:eastAsia="hu-HU"/>
              </w:rPr>
              <w:t>Mexikó</w:t>
            </w:r>
          </w:p>
        </w:tc>
        <w:tc>
          <w:tcPr>
            <w:tcW w:w="900" w:type="dxa"/>
            <w:noWrap/>
            <w:hideMark/>
          </w:tcPr>
          <w:p w14:paraId="534572D5" w14:textId="25E5243A"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17 </w:t>
            </w:r>
          </w:p>
        </w:tc>
      </w:tr>
      <w:tr w:rsidR="009C061C" w:rsidRPr="009C061C" w14:paraId="2753BF2E"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53CE8E72" w14:textId="4B068D03" w:rsidR="009C061C" w:rsidRPr="009C061C" w:rsidRDefault="009C061C" w:rsidP="009C061C">
            <w:pPr>
              <w:spacing w:after="0" w:line="240" w:lineRule="auto"/>
              <w:jc w:val="left"/>
              <w:rPr>
                <w:rFonts w:cs="Arial"/>
                <w:color w:val="000000"/>
                <w:sz w:val="16"/>
                <w:szCs w:val="16"/>
                <w:lang w:eastAsia="hu-HU"/>
              </w:rPr>
            </w:pPr>
            <w:r w:rsidRPr="009C061C">
              <w:rPr>
                <w:rFonts w:cs="Arial"/>
                <w:color w:val="000000"/>
                <w:sz w:val="16"/>
                <w:szCs w:val="16"/>
                <w:lang w:eastAsia="hu-HU"/>
              </w:rPr>
              <w:t>Aus</w:t>
            </w:r>
            <w:r w:rsidR="004A4883">
              <w:rPr>
                <w:rFonts w:cs="Arial"/>
                <w:color w:val="000000"/>
                <w:sz w:val="16"/>
                <w:szCs w:val="16"/>
                <w:lang w:eastAsia="hu-HU"/>
              </w:rPr>
              <w:t>z</w:t>
            </w:r>
            <w:r w:rsidRPr="009C061C">
              <w:rPr>
                <w:rFonts w:cs="Arial"/>
                <w:color w:val="000000"/>
                <w:sz w:val="16"/>
                <w:szCs w:val="16"/>
                <w:lang w:eastAsia="hu-HU"/>
              </w:rPr>
              <w:t>tria</w:t>
            </w:r>
          </w:p>
        </w:tc>
        <w:tc>
          <w:tcPr>
            <w:tcW w:w="900" w:type="dxa"/>
            <w:noWrap/>
            <w:hideMark/>
          </w:tcPr>
          <w:p w14:paraId="363B9870" w14:textId="7023D891"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16 </w:t>
            </w:r>
          </w:p>
        </w:tc>
      </w:tr>
      <w:tr w:rsidR="009C061C" w:rsidRPr="009C061C" w14:paraId="5B009E3A"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52DA0DEB" w14:textId="587F7929"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Franciaország</w:t>
            </w:r>
          </w:p>
        </w:tc>
        <w:tc>
          <w:tcPr>
            <w:tcW w:w="900" w:type="dxa"/>
            <w:noWrap/>
            <w:hideMark/>
          </w:tcPr>
          <w:p w14:paraId="1254D1C8" w14:textId="17148C3E"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16 </w:t>
            </w:r>
          </w:p>
        </w:tc>
      </w:tr>
      <w:tr w:rsidR="009C061C" w:rsidRPr="009C061C" w14:paraId="441E170D"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41C2F63B" w14:textId="24643102"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Litvánia</w:t>
            </w:r>
          </w:p>
        </w:tc>
        <w:tc>
          <w:tcPr>
            <w:tcW w:w="900" w:type="dxa"/>
            <w:noWrap/>
            <w:hideMark/>
          </w:tcPr>
          <w:p w14:paraId="6F6D0322" w14:textId="0508565E"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16 </w:t>
            </w:r>
          </w:p>
        </w:tc>
      </w:tr>
      <w:tr w:rsidR="009C061C" w:rsidRPr="009C061C" w14:paraId="637AA711"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5167368C" w14:textId="2B1825F1"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Észtország</w:t>
            </w:r>
          </w:p>
        </w:tc>
        <w:tc>
          <w:tcPr>
            <w:tcW w:w="900" w:type="dxa"/>
            <w:noWrap/>
            <w:hideMark/>
          </w:tcPr>
          <w:p w14:paraId="7FA4771E" w14:textId="0FBD3BC3"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16 </w:t>
            </w:r>
          </w:p>
        </w:tc>
      </w:tr>
      <w:tr w:rsidR="009C061C" w:rsidRPr="009C061C" w14:paraId="6CF4047E"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73682A0A" w14:textId="77777777" w:rsidR="009C061C" w:rsidRPr="009C061C" w:rsidRDefault="009C061C" w:rsidP="009C061C">
            <w:pPr>
              <w:spacing w:after="0" w:line="240" w:lineRule="auto"/>
              <w:jc w:val="left"/>
              <w:rPr>
                <w:rFonts w:cs="Arial"/>
                <w:color w:val="000000"/>
                <w:sz w:val="16"/>
                <w:szCs w:val="16"/>
                <w:lang w:eastAsia="hu-HU"/>
              </w:rPr>
            </w:pPr>
            <w:r w:rsidRPr="009C061C">
              <w:rPr>
                <w:rFonts w:cs="Arial"/>
                <w:color w:val="000000"/>
                <w:sz w:val="16"/>
                <w:szCs w:val="16"/>
                <w:lang w:eastAsia="hu-HU"/>
              </w:rPr>
              <w:t>Costa Rica</w:t>
            </w:r>
          </w:p>
        </w:tc>
        <w:tc>
          <w:tcPr>
            <w:tcW w:w="900" w:type="dxa"/>
            <w:noWrap/>
            <w:hideMark/>
          </w:tcPr>
          <w:p w14:paraId="7E21ACED" w14:textId="1E392BA6"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16 </w:t>
            </w:r>
          </w:p>
        </w:tc>
      </w:tr>
      <w:tr w:rsidR="009C061C" w:rsidRPr="009C061C" w14:paraId="199F3A39"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685D547A" w14:textId="2ADA9D64" w:rsidR="009C061C" w:rsidRPr="009C061C" w:rsidRDefault="009C061C" w:rsidP="009C061C">
            <w:pPr>
              <w:spacing w:after="0" w:line="240" w:lineRule="auto"/>
              <w:jc w:val="left"/>
              <w:rPr>
                <w:rFonts w:cs="Arial"/>
                <w:color w:val="000000"/>
                <w:sz w:val="16"/>
                <w:szCs w:val="16"/>
                <w:lang w:eastAsia="hu-HU"/>
              </w:rPr>
            </w:pPr>
            <w:r w:rsidRPr="009C061C">
              <w:rPr>
                <w:rFonts w:cs="Arial"/>
                <w:color w:val="000000"/>
                <w:sz w:val="16"/>
                <w:szCs w:val="16"/>
                <w:lang w:eastAsia="hu-HU"/>
              </w:rPr>
              <w:t>S</w:t>
            </w:r>
            <w:r w:rsidR="004A4883">
              <w:rPr>
                <w:rFonts w:cs="Arial"/>
                <w:color w:val="000000"/>
                <w:sz w:val="16"/>
                <w:szCs w:val="16"/>
                <w:lang w:eastAsia="hu-HU"/>
              </w:rPr>
              <w:t>zlové</w:t>
            </w:r>
            <w:r w:rsidRPr="009C061C">
              <w:rPr>
                <w:rFonts w:cs="Arial"/>
                <w:color w:val="000000"/>
                <w:sz w:val="16"/>
                <w:szCs w:val="16"/>
                <w:lang w:eastAsia="hu-HU"/>
              </w:rPr>
              <w:t>nia</w:t>
            </w:r>
          </w:p>
        </w:tc>
        <w:tc>
          <w:tcPr>
            <w:tcW w:w="900" w:type="dxa"/>
            <w:noWrap/>
            <w:hideMark/>
          </w:tcPr>
          <w:p w14:paraId="5F7EAC27" w14:textId="3B233B19"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16 </w:t>
            </w:r>
          </w:p>
        </w:tc>
      </w:tr>
      <w:tr w:rsidR="009C061C" w:rsidRPr="009C061C" w14:paraId="4F77C2B1"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0C895F52" w14:textId="428E1CCC" w:rsidR="009C061C" w:rsidRPr="009C061C" w:rsidRDefault="009C061C" w:rsidP="004A4883">
            <w:pPr>
              <w:spacing w:after="0" w:line="240" w:lineRule="auto"/>
              <w:jc w:val="left"/>
              <w:rPr>
                <w:rFonts w:cs="Arial"/>
                <w:color w:val="000000"/>
                <w:sz w:val="16"/>
                <w:szCs w:val="16"/>
                <w:lang w:eastAsia="hu-HU"/>
              </w:rPr>
            </w:pPr>
            <w:r w:rsidRPr="009C061C">
              <w:rPr>
                <w:rFonts w:cs="Arial"/>
                <w:color w:val="000000"/>
                <w:sz w:val="16"/>
                <w:szCs w:val="16"/>
                <w:lang w:eastAsia="hu-HU"/>
              </w:rPr>
              <w:t xml:space="preserve">OECD </w:t>
            </w:r>
            <w:r w:rsidR="004A4883">
              <w:rPr>
                <w:rFonts w:cs="Arial"/>
                <w:color w:val="000000"/>
                <w:sz w:val="16"/>
                <w:szCs w:val="16"/>
                <w:lang w:eastAsia="hu-HU"/>
              </w:rPr>
              <w:t>átlag</w:t>
            </w:r>
          </w:p>
        </w:tc>
        <w:tc>
          <w:tcPr>
            <w:tcW w:w="900" w:type="dxa"/>
            <w:noWrap/>
            <w:hideMark/>
          </w:tcPr>
          <w:p w14:paraId="0D1A92A0" w14:textId="677ED515"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15 </w:t>
            </w:r>
          </w:p>
        </w:tc>
      </w:tr>
      <w:tr w:rsidR="009C061C" w:rsidRPr="009C061C" w14:paraId="5F007F9E"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4074CD7A" w14:textId="7A41AC28"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Egyesült Államok</w:t>
            </w:r>
          </w:p>
        </w:tc>
        <w:tc>
          <w:tcPr>
            <w:tcW w:w="900" w:type="dxa"/>
            <w:noWrap/>
            <w:hideMark/>
          </w:tcPr>
          <w:p w14:paraId="5BFB9E9B" w14:textId="1BA22F0B"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15 </w:t>
            </w:r>
          </w:p>
        </w:tc>
      </w:tr>
      <w:tr w:rsidR="009C061C" w:rsidRPr="009C061C" w14:paraId="76B22D24"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312CAC09" w14:textId="0E0AAA2C" w:rsidR="009C061C" w:rsidRPr="009C061C" w:rsidRDefault="009C061C" w:rsidP="004A4883">
            <w:pPr>
              <w:spacing w:after="0" w:line="240" w:lineRule="auto"/>
              <w:jc w:val="left"/>
              <w:rPr>
                <w:rFonts w:cs="Arial"/>
                <w:color w:val="000000"/>
                <w:sz w:val="16"/>
                <w:szCs w:val="16"/>
                <w:lang w:eastAsia="hu-HU"/>
              </w:rPr>
            </w:pPr>
            <w:r w:rsidRPr="009C061C">
              <w:rPr>
                <w:rFonts w:cs="Arial"/>
                <w:color w:val="000000"/>
                <w:sz w:val="16"/>
                <w:szCs w:val="16"/>
                <w:lang w:eastAsia="hu-HU"/>
              </w:rPr>
              <w:t xml:space="preserve">EU23 </w:t>
            </w:r>
            <w:r w:rsidR="004A4883">
              <w:rPr>
                <w:rFonts w:cs="Arial"/>
                <w:color w:val="000000"/>
                <w:sz w:val="16"/>
                <w:szCs w:val="16"/>
                <w:lang w:eastAsia="hu-HU"/>
              </w:rPr>
              <w:t>átlag</w:t>
            </w:r>
          </w:p>
        </w:tc>
        <w:tc>
          <w:tcPr>
            <w:tcW w:w="900" w:type="dxa"/>
            <w:noWrap/>
            <w:hideMark/>
          </w:tcPr>
          <w:p w14:paraId="19D0B4BB" w14:textId="74128ADB"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15 </w:t>
            </w:r>
          </w:p>
        </w:tc>
      </w:tr>
      <w:tr w:rsidR="009C061C" w:rsidRPr="009C061C" w14:paraId="2CC6A13C"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C7ABBA9" w14:textId="5CD0684F" w:rsidR="009C061C" w:rsidRPr="009C061C" w:rsidRDefault="009C061C" w:rsidP="004A4883">
            <w:pPr>
              <w:spacing w:after="0" w:line="240" w:lineRule="auto"/>
              <w:jc w:val="left"/>
              <w:rPr>
                <w:rFonts w:cs="Arial"/>
                <w:color w:val="000000"/>
                <w:sz w:val="16"/>
                <w:szCs w:val="16"/>
                <w:lang w:eastAsia="hu-HU"/>
              </w:rPr>
            </w:pPr>
            <w:r w:rsidRPr="009C061C">
              <w:rPr>
                <w:rFonts w:cs="Arial"/>
                <w:color w:val="000000"/>
                <w:sz w:val="16"/>
                <w:szCs w:val="16"/>
                <w:lang w:eastAsia="hu-HU"/>
              </w:rPr>
              <w:t>S</w:t>
            </w:r>
            <w:r w:rsidR="004A4883">
              <w:rPr>
                <w:rFonts w:cs="Arial"/>
                <w:color w:val="000000"/>
                <w:sz w:val="16"/>
                <w:szCs w:val="16"/>
                <w:lang w:eastAsia="hu-HU"/>
              </w:rPr>
              <w:t>vájc</w:t>
            </w:r>
          </w:p>
        </w:tc>
        <w:tc>
          <w:tcPr>
            <w:tcW w:w="900" w:type="dxa"/>
            <w:noWrap/>
            <w:hideMark/>
          </w:tcPr>
          <w:p w14:paraId="7B7E065A" w14:textId="26E57E0F"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15 </w:t>
            </w:r>
          </w:p>
        </w:tc>
      </w:tr>
      <w:tr w:rsidR="009C061C" w:rsidRPr="009C061C" w14:paraId="65AFD7EF"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5B243BE9" w14:textId="60B3A741"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Portugá</w:t>
            </w:r>
            <w:r w:rsidR="009C061C" w:rsidRPr="009C061C">
              <w:rPr>
                <w:rFonts w:cs="Arial"/>
                <w:color w:val="000000"/>
                <w:sz w:val="16"/>
                <w:szCs w:val="16"/>
                <w:lang w:eastAsia="hu-HU"/>
              </w:rPr>
              <w:t>l</w:t>
            </w:r>
            <w:r>
              <w:rPr>
                <w:rFonts w:cs="Arial"/>
                <w:color w:val="000000"/>
                <w:sz w:val="16"/>
                <w:szCs w:val="16"/>
                <w:lang w:eastAsia="hu-HU"/>
              </w:rPr>
              <w:t>ia</w:t>
            </w:r>
          </w:p>
        </w:tc>
        <w:tc>
          <w:tcPr>
            <w:tcW w:w="900" w:type="dxa"/>
            <w:noWrap/>
            <w:hideMark/>
          </w:tcPr>
          <w:p w14:paraId="181B2D91" w14:textId="7EA8E8CD"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 15 </w:t>
            </w:r>
          </w:p>
        </w:tc>
      </w:tr>
      <w:tr w:rsidR="009C061C" w:rsidRPr="009C061C" w14:paraId="021DC4C9"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25FBD7DF" w14:textId="779FD095"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Hollandia</w:t>
            </w:r>
          </w:p>
        </w:tc>
        <w:tc>
          <w:tcPr>
            <w:tcW w:w="900" w:type="dxa"/>
            <w:noWrap/>
            <w:hideMark/>
          </w:tcPr>
          <w:p w14:paraId="49955D01" w14:textId="5EFF66BE"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15 </w:t>
            </w:r>
          </w:p>
        </w:tc>
      </w:tr>
      <w:tr w:rsidR="009C061C" w:rsidRPr="009C061C" w14:paraId="293864A8"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4B130931" w14:textId="4CC7F5C4"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Lengyelország</w:t>
            </w:r>
          </w:p>
        </w:tc>
        <w:tc>
          <w:tcPr>
            <w:tcW w:w="900" w:type="dxa"/>
            <w:noWrap/>
            <w:hideMark/>
          </w:tcPr>
          <w:p w14:paraId="34548328" w14:textId="3DE2B235"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13 </w:t>
            </w:r>
          </w:p>
        </w:tc>
      </w:tr>
      <w:tr w:rsidR="009C061C" w:rsidRPr="009C061C" w14:paraId="22F5D376"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737A53AD" w14:textId="207E360C" w:rsidR="009C061C" w:rsidRPr="009C061C" w:rsidRDefault="004A4883" w:rsidP="009C061C">
            <w:pPr>
              <w:spacing w:after="0" w:line="240" w:lineRule="auto"/>
              <w:jc w:val="left"/>
              <w:rPr>
                <w:rFonts w:cs="Arial"/>
                <w:color w:val="000000"/>
                <w:sz w:val="16"/>
                <w:szCs w:val="16"/>
                <w:lang w:eastAsia="hu-HU"/>
              </w:rPr>
            </w:pPr>
            <w:r w:rsidRPr="004A4883">
              <w:rPr>
                <w:rFonts w:cs="Arial"/>
                <w:color w:val="000000"/>
                <w:sz w:val="16"/>
                <w:szCs w:val="16"/>
                <w:lang w:eastAsia="hu-HU"/>
              </w:rPr>
              <w:t>Lettország</w:t>
            </w:r>
          </w:p>
        </w:tc>
        <w:tc>
          <w:tcPr>
            <w:tcW w:w="900" w:type="dxa"/>
            <w:noWrap/>
            <w:hideMark/>
          </w:tcPr>
          <w:p w14:paraId="36E8FB1A" w14:textId="566B420D"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 12 </w:t>
            </w:r>
          </w:p>
        </w:tc>
      </w:tr>
      <w:tr w:rsidR="009C061C" w:rsidRPr="009C061C" w14:paraId="5C96C26F"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4BBE267D" w14:textId="094E3476"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Finnország</w:t>
            </w:r>
          </w:p>
        </w:tc>
        <w:tc>
          <w:tcPr>
            <w:tcW w:w="900" w:type="dxa"/>
            <w:noWrap/>
            <w:hideMark/>
          </w:tcPr>
          <w:p w14:paraId="58D77455" w14:textId="79AF21AE"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12 </w:t>
            </w:r>
          </w:p>
        </w:tc>
      </w:tr>
      <w:tr w:rsidR="009836FE" w:rsidRPr="009836FE" w14:paraId="405AE614"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shd w:val="clear" w:color="auto" w:fill="7F5E47" w:themeFill="accent2" w:themeFillTint="BF"/>
            <w:noWrap/>
            <w:hideMark/>
          </w:tcPr>
          <w:p w14:paraId="1EAE0933" w14:textId="4E9CEE17" w:rsidR="009C061C" w:rsidRPr="009836FE" w:rsidRDefault="004A4883" w:rsidP="009C061C">
            <w:pPr>
              <w:spacing w:after="0" w:line="240" w:lineRule="auto"/>
              <w:jc w:val="left"/>
              <w:rPr>
                <w:rFonts w:cs="Arial"/>
                <w:b w:val="0"/>
                <w:color w:val="FFFFFF" w:themeColor="background1"/>
                <w:sz w:val="16"/>
                <w:szCs w:val="16"/>
                <w:lang w:eastAsia="hu-HU"/>
              </w:rPr>
            </w:pPr>
            <w:r>
              <w:rPr>
                <w:rFonts w:cs="Arial"/>
                <w:color w:val="FFFFFF" w:themeColor="background1"/>
                <w:sz w:val="16"/>
                <w:szCs w:val="16"/>
                <w:lang w:eastAsia="hu-HU"/>
              </w:rPr>
              <w:t>Magyarország</w:t>
            </w:r>
          </w:p>
        </w:tc>
        <w:tc>
          <w:tcPr>
            <w:tcW w:w="900" w:type="dxa"/>
            <w:shd w:val="clear" w:color="auto" w:fill="7F5E47" w:themeFill="accent2" w:themeFillTint="BF"/>
            <w:noWrap/>
            <w:hideMark/>
          </w:tcPr>
          <w:p w14:paraId="15A39A15" w14:textId="787C02AF" w:rsidR="009C061C" w:rsidRPr="009836FE"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16"/>
                <w:szCs w:val="16"/>
                <w:lang w:eastAsia="hu-HU"/>
              </w:rPr>
            </w:pPr>
            <w:r w:rsidRPr="009836FE">
              <w:rPr>
                <w:rFonts w:cs="Arial"/>
                <w:b/>
                <w:color w:val="FFFFFF" w:themeColor="background1"/>
                <w:sz w:val="16"/>
                <w:szCs w:val="16"/>
                <w:lang w:eastAsia="hu-HU"/>
              </w:rPr>
              <w:t xml:space="preserve">              12 </w:t>
            </w:r>
          </w:p>
        </w:tc>
      </w:tr>
      <w:tr w:rsidR="009C061C" w:rsidRPr="009C061C" w14:paraId="55321433"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7A396DEB" w14:textId="007A1DC2"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Szlovákia</w:t>
            </w:r>
          </w:p>
        </w:tc>
        <w:tc>
          <w:tcPr>
            <w:tcW w:w="900" w:type="dxa"/>
            <w:noWrap/>
            <w:hideMark/>
          </w:tcPr>
          <w:p w14:paraId="083ADCB7" w14:textId="1BA8A336"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12 </w:t>
            </w:r>
          </w:p>
        </w:tc>
      </w:tr>
      <w:tr w:rsidR="009C061C" w:rsidRPr="009C061C" w14:paraId="5B3855C3"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7D3DB972" w14:textId="5433D75A"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Spanyolország</w:t>
            </w:r>
          </w:p>
        </w:tc>
        <w:tc>
          <w:tcPr>
            <w:tcW w:w="900" w:type="dxa"/>
            <w:noWrap/>
            <w:hideMark/>
          </w:tcPr>
          <w:p w14:paraId="44005136" w14:textId="4D69AA40"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12 </w:t>
            </w:r>
          </w:p>
        </w:tc>
      </w:tr>
      <w:tr w:rsidR="009C061C" w:rsidRPr="009C061C" w14:paraId="7FED245C"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1B3F0F2E" w14:textId="284A01EB"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Németország</w:t>
            </w:r>
          </w:p>
        </w:tc>
        <w:tc>
          <w:tcPr>
            <w:tcW w:w="900" w:type="dxa"/>
            <w:noWrap/>
            <w:hideMark/>
          </w:tcPr>
          <w:p w14:paraId="5D361C6B" w14:textId="77EC22AE"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12 </w:t>
            </w:r>
          </w:p>
        </w:tc>
        <w:bookmarkStart w:id="24" w:name="_GoBack"/>
        <w:bookmarkEnd w:id="24"/>
      </w:tr>
      <w:tr w:rsidR="009C061C" w:rsidRPr="009C061C" w14:paraId="6A781F9F"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4798E86A" w14:textId="1D797260"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Oroszország</w:t>
            </w:r>
          </w:p>
        </w:tc>
        <w:tc>
          <w:tcPr>
            <w:tcW w:w="900" w:type="dxa"/>
            <w:noWrap/>
            <w:hideMark/>
          </w:tcPr>
          <w:p w14:paraId="50190240" w14:textId="52307875"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12 </w:t>
            </w:r>
          </w:p>
        </w:tc>
      </w:tr>
      <w:tr w:rsidR="009C061C" w:rsidRPr="009C061C" w14:paraId="6B891C06"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1D6216D1" w14:textId="739F5486" w:rsidR="009C061C" w:rsidRPr="009C061C" w:rsidRDefault="009C061C" w:rsidP="00C95C3A">
            <w:pPr>
              <w:spacing w:after="0" w:line="240" w:lineRule="auto"/>
              <w:jc w:val="left"/>
              <w:rPr>
                <w:rFonts w:cs="Arial"/>
                <w:color w:val="000000"/>
                <w:sz w:val="16"/>
                <w:szCs w:val="16"/>
                <w:lang w:eastAsia="hu-HU"/>
              </w:rPr>
            </w:pPr>
            <w:r w:rsidRPr="009C061C">
              <w:rPr>
                <w:rFonts w:cs="Arial"/>
                <w:color w:val="000000"/>
                <w:sz w:val="16"/>
                <w:szCs w:val="16"/>
                <w:lang w:eastAsia="hu-HU"/>
              </w:rPr>
              <w:t>Braz</w:t>
            </w:r>
            <w:r w:rsidR="00C95C3A">
              <w:rPr>
                <w:rFonts w:cs="Arial"/>
                <w:color w:val="000000"/>
                <w:sz w:val="16"/>
                <w:szCs w:val="16"/>
                <w:lang w:eastAsia="hu-HU"/>
              </w:rPr>
              <w:t>í</w:t>
            </w:r>
            <w:r w:rsidRPr="009C061C">
              <w:rPr>
                <w:rFonts w:cs="Arial"/>
                <w:color w:val="000000"/>
                <w:sz w:val="16"/>
                <w:szCs w:val="16"/>
                <w:lang w:eastAsia="hu-HU"/>
              </w:rPr>
              <w:t>l</w:t>
            </w:r>
            <w:r w:rsidR="004A4883">
              <w:rPr>
                <w:rFonts w:cs="Arial"/>
                <w:color w:val="000000"/>
                <w:sz w:val="16"/>
                <w:szCs w:val="16"/>
                <w:lang w:eastAsia="hu-HU"/>
              </w:rPr>
              <w:t>ia</w:t>
            </w:r>
          </w:p>
        </w:tc>
        <w:tc>
          <w:tcPr>
            <w:tcW w:w="900" w:type="dxa"/>
            <w:noWrap/>
            <w:hideMark/>
          </w:tcPr>
          <w:p w14:paraId="571213A9" w14:textId="617A7530"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 11 </w:t>
            </w:r>
          </w:p>
        </w:tc>
      </w:tr>
      <w:tr w:rsidR="009C061C" w:rsidRPr="009C061C" w14:paraId="5C1E15DC" w14:textId="77777777" w:rsidTr="009836FE">
        <w:trPr>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06050606" w14:textId="1451B409"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Svédország</w:t>
            </w:r>
          </w:p>
        </w:tc>
        <w:tc>
          <w:tcPr>
            <w:tcW w:w="900" w:type="dxa"/>
            <w:noWrap/>
            <w:hideMark/>
          </w:tcPr>
          <w:p w14:paraId="09C4C09E" w14:textId="1D71A520" w:rsidR="009C061C" w:rsidRPr="009C061C" w:rsidRDefault="009C061C" w:rsidP="009C061C">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Pr="009C061C">
              <w:rPr>
                <w:rFonts w:cs="Arial"/>
                <w:color w:val="000000"/>
                <w:sz w:val="16"/>
                <w:szCs w:val="16"/>
                <w:lang w:eastAsia="hu-HU"/>
              </w:rPr>
              <w:t xml:space="preserve">   10 </w:t>
            </w:r>
          </w:p>
        </w:tc>
      </w:tr>
      <w:tr w:rsidR="009C061C" w:rsidRPr="009C061C" w14:paraId="6040D22B" w14:textId="77777777" w:rsidTr="009836FE">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000" w:type="dxa"/>
            <w:noWrap/>
            <w:hideMark/>
          </w:tcPr>
          <w:p w14:paraId="09397610" w14:textId="15EB2E83" w:rsidR="009C061C" w:rsidRPr="009C061C" w:rsidRDefault="004A4883" w:rsidP="009C061C">
            <w:pPr>
              <w:spacing w:after="0" w:line="240" w:lineRule="auto"/>
              <w:jc w:val="left"/>
              <w:rPr>
                <w:rFonts w:cs="Arial"/>
                <w:color w:val="000000"/>
                <w:sz w:val="16"/>
                <w:szCs w:val="16"/>
                <w:lang w:eastAsia="hu-HU"/>
              </w:rPr>
            </w:pPr>
            <w:r>
              <w:rPr>
                <w:rFonts w:cs="Arial"/>
                <w:color w:val="000000"/>
                <w:sz w:val="16"/>
                <w:szCs w:val="16"/>
                <w:lang w:eastAsia="hu-HU"/>
              </w:rPr>
              <w:t>Norvégia</w:t>
            </w:r>
          </w:p>
        </w:tc>
        <w:tc>
          <w:tcPr>
            <w:tcW w:w="900" w:type="dxa"/>
            <w:noWrap/>
            <w:hideMark/>
          </w:tcPr>
          <w:p w14:paraId="7C72EED1" w14:textId="04EC41BF" w:rsidR="009C061C" w:rsidRPr="009C061C" w:rsidRDefault="009C061C" w:rsidP="009C061C">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6"/>
                <w:szCs w:val="16"/>
                <w:lang w:eastAsia="hu-HU"/>
              </w:rPr>
            </w:pPr>
            <w:r>
              <w:rPr>
                <w:rFonts w:cs="Arial"/>
                <w:color w:val="000000"/>
                <w:sz w:val="16"/>
                <w:szCs w:val="16"/>
                <w:lang w:eastAsia="hu-HU"/>
              </w:rPr>
              <w:t xml:space="preserve">            </w:t>
            </w:r>
            <w:r w:rsidR="00B00799">
              <w:rPr>
                <w:rFonts w:cs="Arial"/>
                <w:color w:val="000000"/>
                <w:sz w:val="16"/>
                <w:szCs w:val="16"/>
                <w:lang w:eastAsia="hu-HU"/>
              </w:rPr>
              <w:t xml:space="preserve">    </w:t>
            </w:r>
            <w:r w:rsidRPr="009C061C">
              <w:rPr>
                <w:rFonts w:cs="Arial"/>
                <w:color w:val="000000"/>
                <w:sz w:val="16"/>
                <w:szCs w:val="16"/>
                <w:lang w:eastAsia="hu-HU"/>
              </w:rPr>
              <w:t xml:space="preserve">9 </w:t>
            </w:r>
          </w:p>
        </w:tc>
      </w:tr>
    </w:tbl>
    <w:p w14:paraId="37853FA7" w14:textId="190F1019" w:rsidR="009C061C" w:rsidRPr="00C86DC7" w:rsidRDefault="009C061C" w:rsidP="009C061C">
      <w:pPr>
        <w:spacing w:line="276" w:lineRule="auto"/>
        <w:jc w:val="center"/>
        <w:rPr>
          <w:rFonts w:asciiTheme="majorHAnsi" w:hAnsiTheme="majorHAnsi" w:cstheme="majorHAnsi"/>
          <w:sz w:val="20"/>
          <w:szCs w:val="20"/>
        </w:rPr>
      </w:pPr>
      <w:r w:rsidRPr="00C86DC7">
        <w:rPr>
          <w:rFonts w:asciiTheme="majorHAnsi" w:hAnsiTheme="majorHAnsi" w:cstheme="majorHAnsi"/>
          <w:sz w:val="20"/>
          <w:szCs w:val="20"/>
        </w:rPr>
        <w:t>Forrás: https://www.oecd.org/education/education-at-a-glance/educationataglance2019-dataandmethodology.htm</w:t>
      </w:r>
    </w:p>
    <w:p w14:paraId="774CD5D7" w14:textId="77777777" w:rsidR="009C061C" w:rsidRPr="00D45E39" w:rsidRDefault="009C061C" w:rsidP="00B86FE8">
      <w:pPr>
        <w:spacing w:line="276" w:lineRule="auto"/>
        <w:rPr>
          <w:rFonts w:asciiTheme="majorHAnsi" w:hAnsiTheme="majorHAnsi" w:cstheme="majorHAnsi"/>
        </w:rPr>
      </w:pPr>
    </w:p>
    <w:p w14:paraId="26AE2A5F" w14:textId="77777777" w:rsidR="00B86FE8" w:rsidRPr="00D45E39" w:rsidRDefault="00B86FE8" w:rsidP="00B86FE8">
      <w:pPr>
        <w:spacing w:line="276" w:lineRule="auto"/>
        <w:rPr>
          <w:rFonts w:asciiTheme="majorHAnsi" w:hAnsiTheme="majorHAnsi" w:cstheme="majorHAnsi"/>
        </w:rPr>
      </w:pPr>
      <w:r w:rsidRPr="00D45E39">
        <w:rPr>
          <w:rFonts w:asciiTheme="majorHAnsi" w:hAnsiTheme="majorHAnsi" w:cstheme="majorHAnsi"/>
        </w:rPr>
        <w:t xml:space="preserve">Figyelemreméltó adat, hogy az OECD-országokban és Magyarországon is a tanulók 23%-a számol be arról, hogy havonta többször zaklatják vagy verbálisan bántalmazzák társai, ami a </w:t>
      </w:r>
      <w:proofErr w:type="spellStart"/>
      <w:r w:rsidRPr="00D45E39">
        <w:rPr>
          <w:rFonts w:asciiTheme="majorHAnsi" w:hAnsiTheme="majorHAnsi" w:cstheme="majorHAnsi"/>
        </w:rPr>
        <w:t>PISA-felmérés</w:t>
      </w:r>
      <w:r w:rsidR="00367B32">
        <w:rPr>
          <w:rFonts w:asciiTheme="majorHAnsi" w:hAnsiTheme="majorHAnsi" w:cstheme="majorHAnsi"/>
        </w:rPr>
        <w:t>ben</w:t>
      </w:r>
      <w:proofErr w:type="spellEnd"/>
      <w:r w:rsidRPr="00D45E39">
        <w:rPr>
          <w:rFonts w:asciiTheme="majorHAnsi" w:hAnsiTheme="majorHAnsi" w:cstheme="majorHAnsi"/>
        </w:rPr>
        <w:t xml:space="preserve"> közölt eredményhez hasonló adat. </w:t>
      </w:r>
      <w:r w:rsidR="009623EC">
        <w:rPr>
          <w:rFonts w:asciiTheme="majorHAnsi" w:hAnsiTheme="majorHAnsi" w:cstheme="majorHAnsi"/>
        </w:rPr>
        <w:t>Emiatt</w:t>
      </w:r>
      <w:r w:rsidRPr="00D45E39">
        <w:rPr>
          <w:rFonts w:asciiTheme="majorHAnsi" w:hAnsiTheme="majorHAnsi" w:cstheme="majorHAnsi"/>
        </w:rPr>
        <w:t xml:space="preserve"> született meg Magyarország Digitális Gyermekvédelmi Stratégiája, </w:t>
      </w:r>
      <w:r w:rsidR="009623EC">
        <w:rPr>
          <w:rFonts w:asciiTheme="majorHAnsi" w:hAnsiTheme="majorHAnsi" w:cstheme="majorHAnsi"/>
        </w:rPr>
        <w:t>a</w:t>
      </w:r>
      <w:r w:rsidRPr="00D45E39">
        <w:rPr>
          <w:rFonts w:asciiTheme="majorHAnsi" w:hAnsiTheme="majorHAnsi" w:cstheme="majorHAnsi"/>
        </w:rPr>
        <w:t>melynek kiemelt célja a tudatos, értékteremtő internethasználat támogatása mellett</w:t>
      </w:r>
      <w:r w:rsidR="009623EC">
        <w:rPr>
          <w:rFonts w:asciiTheme="majorHAnsi" w:hAnsiTheme="majorHAnsi" w:cstheme="majorHAnsi"/>
        </w:rPr>
        <w:t xml:space="preserve"> az</w:t>
      </w:r>
      <w:r w:rsidRPr="00D45E39">
        <w:rPr>
          <w:rFonts w:asciiTheme="majorHAnsi" w:hAnsiTheme="majorHAnsi" w:cstheme="majorHAnsi"/>
        </w:rPr>
        <w:t xml:space="preserve">, hogy az eddigieknél hangsúlyosabban érvényesüljenek a gyermekek védelmét szolgáló szabályok és intézkedések. A stratégia középpontjában a gyermekek állnak, de ezzel együtt a társadalom valamennyi csoportja érintettnek tekinthető. </w:t>
      </w:r>
      <w:r w:rsidR="00B627D8">
        <w:rPr>
          <w:rFonts w:asciiTheme="majorHAnsi" w:hAnsiTheme="majorHAnsi" w:cstheme="majorHAnsi"/>
        </w:rPr>
        <w:t>A mérési eredmények alapján célsz</w:t>
      </w:r>
      <w:r w:rsidRPr="00D45E39">
        <w:rPr>
          <w:rFonts w:asciiTheme="majorHAnsi" w:hAnsiTheme="majorHAnsi" w:cstheme="majorHAnsi"/>
        </w:rPr>
        <w:t xml:space="preserve">erű tovább fejleszteni azokat az eszközöket, amelyekkel a tanárok, intézményvezetők és szülők mérsékelhetik az agresszív, zsarnokoskodó, elnyomó magatartásformákat, és erősíteni tudják a gyerekekben a </w:t>
      </w:r>
      <w:r w:rsidR="00650432" w:rsidRPr="00D45E39">
        <w:rPr>
          <w:rFonts w:asciiTheme="majorHAnsi" w:hAnsiTheme="majorHAnsi" w:cstheme="majorHAnsi"/>
        </w:rPr>
        <w:t>tanulók közötti együttműködést</w:t>
      </w:r>
      <w:r w:rsidR="004F7B7D">
        <w:rPr>
          <w:rFonts w:asciiTheme="majorHAnsi" w:hAnsiTheme="majorHAnsi" w:cstheme="majorHAnsi"/>
        </w:rPr>
        <w:t xml:space="preserve"> </w:t>
      </w:r>
      <w:r w:rsidR="00650432" w:rsidRPr="00D45E39">
        <w:rPr>
          <w:rFonts w:asciiTheme="majorHAnsi" w:hAnsiTheme="majorHAnsi" w:cstheme="majorHAnsi"/>
        </w:rPr>
        <w:t xml:space="preserve">támogató </w:t>
      </w:r>
      <w:r w:rsidRPr="00D45E39">
        <w:rPr>
          <w:rFonts w:asciiTheme="majorHAnsi" w:hAnsiTheme="majorHAnsi" w:cstheme="majorHAnsi"/>
        </w:rPr>
        <w:t>megoldások</w:t>
      </w:r>
      <w:r w:rsidR="004F7B7D">
        <w:rPr>
          <w:rFonts w:asciiTheme="majorHAnsi" w:hAnsiTheme="majorHAnsi" w:cstheme="majorHAnsi"/>
        </w:rPr>
        <w:t xml:space="preserve"> </w:t>
      </w:r>
      <w:r w:rsidR="00650432" w:rsidRPr="00D45E39">
        <w:rPr>
          <w:rFonts w:asciiTheme="majorHAnsi" w:hAnsiTheme="majorHAnsi" w:cstheme="majorHAnsi"/>
        </w:rPr>
        <w:t>alkalmazását</w:t>
      </w:r>
      <w:r w:rsidRPr="00D45E39">
        <w:rPr>
          <w:rFonts w:asciiTheme="majorHAnsi" w:hAnsiTheme="majorHAnsi" w:cstheme="majorHAnsi"/>
        </w:rPr>
        <w:t>.</w:t>
      </w:r>
    </w:p>
    <w:p w14:paraId="029C519C" w14:textId="77777777" w:rsidR="00B86FE8" w:rsidRPr="00DC6C83" w:rsidRDefault="00B86FE8" w:rsidP="00B86FE8">
      <w:pPr>
        <w:pStyle w:val="Cmsor3"/>
        <w:spacing w:line="276" w:lineRule="auto"/>
        <w:rPr>
          <w:rFonts w:asciiTheme="majorHAnsi" w:hAnsiTheme="majorHAnsi" w:cstheme="majorHAnsi"/>
        </w:rPr>
      </w:pPr>
      <w:bookmarkStart w:id="25" w:name="_Toc35596120"/>
      <w:bookmarkStart w:id="26" w:name="_Toc46822696"/>
      <w:r w:rsidRPr="00DC6C83">
        <w:rPr>
          <w:rFonts w:asciiTheme="majorHAnsi" w:hAnsiTheme="majorHAnsi" w:cstheme="majorHAnsi"/>
        </w:rPr>
        <w:lastRenderedPageBreak/>
        <w:t>Országos kompetenciamérések</w:t>
      </w:r>
      <w:bookmarkEnd w:id="25"/>
      <w:bookmarkEnd w:id="26"/>
    </w:p>
    <w:p w14:paraId="38352362" w14:textId="7A3AF4DB" w:rsidR="00ED454E" w:rsidRPr="00ED454E" w:rsidRDefault="00B86FE8" w:rsidP="00ED454E">
      <w:pPr>
        <w:spacing w:line="276" w:lineRule="auto"/>
        <w:rPr>
          <w:rFonts w:asciiTheme="majorHAnsi" w:hAnsiTheme="majorHAnsi" w:cstheme="majorHAnsi"/>
        </w:rPr>
      </w:pPr>
      <w:r w:rsidRPr="00DC6C83">
        <w:rPr>
          <w:rFonts w:asciiTheme="majorHAnsi" w:hAnsiTheme="majorHAnsi" w:cstheme="majorHAnsi"/>
        </w:rPr>
        <w:t>Az eddigi országos jelentések alapján elmondható, hogy az átlageredmények illeszkednek a korábbi években mért eredményekhez, az adatok</w:t>
      </w:r>
      <w:r w:rsidR="007D587D">
        <w:rPr>
          <w:rFonts w:asciiTheme="majorHAnsi" w:hAnsiTheme="majorHAnsi" w:cstheme="majorHAnsi"/>
        </w:rPr>
        <w:t xml:space="preserve"> </w:t>
      </w:r>
      <w:r w:rsidR="00E321CF" w:rsidRPr="007D587D">
        <w:rPr>
          <w:rFonts w:asciiTheme="majorHAnsi" w:hAnsiTheme="majorHAnsi" w:cstheme="majorHAnsi"/>
        </w:rPr>
        <w:t>elsősorban intézményi szinten,</w:t>
      </w:r>
      <w:r w:rsidR="007D587D">
        <w:rPr>
          <w:rFonts w:asciiTheme="majorHAnsi" w:hAnsiTheme="majorHAnsi" w:cstheme="majorHAnsi"/>
        </w:rPr>
        <w:t xml:space="preserve"> </w:t>
      </w:r>
      <w:r w:rsidRPr="007D587D">
        <w:rPr>
          <w:rFonts w:asciiTheme="majorHAnsi" w:hAnsiTheme="majorHAnsi" w:cstheme="majorHAnsi"/>
        </w:rPr>
        <w:t>a</w:t>
      </w:r>
      <w:r w:rsidRPr="00DC6C83">
        <w:rPr>
          <w:rFonts w:asciiTheme="majorHAnsi" w:hAnsiTheme="majorHAnsi" w:cstheme="majorHAnsi"/>
        </w:rPr>
        <w:t>z oktatás „hozzáadott értékének” becsléséhez</w:t>
      </w:r>
      <w:r w:rsidR="00E321CF">
        <w:rPr>
          <w:rFonts w:asciiTheme="majorHAnsi" w:hAnsiTheme="majorHAnsi" w:cstheme="majorHAnsi"/>
        </w:rPr>
        <w:t xml:space="preserve"> járulnak hozzá</w:t>
      </w:r>
      <w:r w:rsidRPr="00DC6C83">
        <w:rPr>
          <w:rFonts w:asciiTheme="majorHAnsi" w:hAnsiTheme="majorHAnsi" w:cstheme="majorHAnsi"/>
        </w:rPr>
        <w:t xml:space="preserve">, és ez által az iskolák közötti különbségek értékeléséhez, </w:t>
      </w:r>
      <w:r w:rsidR="001F549B">
        <w:rPr>
          <w:rFonts w:asciiTheme="majorHAnsi" w:hAnsiTheme="majorHAnsi" w:cstheme="majorHAnsi"/>
        </w:rPr>
        <w:t xml:space="preserve">az intézményi eredmények </w:t>
      </w:r>
      <w:r w:rsidRPr="00DC6C83">
        <w:rPr>
          <w:rFonts w:asciiTheme="majorHAnsi" w:hAnsiTheme="majorHAnsi" w:cstheme="majorHAnsi"/>
        </w:rPr>
        <w:t>javításához</w:t>
      </w:r>
      <w:r w:rsidR="003A2CAF">
        <w:rPr>
          <w:rFonts w:asciiTheme="majorHAnsi" w:hAnsiTheme="majorHAnsi" w:cstheme="majorHAnsi"/>
        </w:rPr>
        <w:t xml:space="preserve"> járulhatnak hozzá</w:t>
      </w:r>
      <w:r w:rsidRPr="00DC6C83">
        <w:rPr>
          <w:rFonts w:asciiTheme="majorHAnsi" w:hAnsiTheme="majorHAnsi" w:cstheme="majorHAnsi"/>
        </w:rPr>
        <w:t xml:space="preserve">. </w:t>
      </w:r>
      <w:r w:rsidR="00D5026B">
        <w:rPr>
          <w:rFonts w:asciiTheme="majorHAnsi" w:hAnsiTheme="majorHAnsi" w:cstheme="majorHAnsi"/>
        </w:rPr>
        <w:t xml:space="preserve">Ugyanakkor érdemes </w:t>
      </w:r>
      <w:r w:rsidR="003A2CAF">
        <w:rPr>
          <w:rFonts w:asciiTheme="majorHAnsi" w:hAnsiTheme="majorHAnsi" w:cstheme="majorHAnsi"/>
        </w:rPr>
        <w:t>kiemelni</w:t>
      </w:r>
      <w:r w:rsidR="00D5026B">
        <w:rPr>
          <w:rFonts w:asciiTheme="majorHAnsi" w:hAnsiTheme="majorHAnsi" w:cstheme="majorHAnsi"/>
        </w:rPr>
        <w:t xml:space="preserve">, hogy a legutóbbi, </w:t>
      </w:r>
      <w:r w:rsidR="00757044">
        <w:rPr>
          <w:rFonts w:asciiTheme="majorHAnsi" w:hAnsiTheme="majorHAnsi" w:cstheme="majorHAnsi"/>
        </w:rPr>
        <w:t xml:space="preserve">a </w:t>
      </w:r>
      <w:r w:rsidR="00D5026B">
        <w:rPr>
          <w:rFonts w:asciiTheme="majorHAnsi" w:hAnsiTheme="majorHAnsi" w:cstheme="majorHAnsi"/>
        </w:rPr>
        <w:t>2019</w:t>
      </w:r>
      <w:r w:rsidR="00757044">
        <w:rPr>
          <w:rFonts w:asciiTheme="majorHAnsi" w:hAnsiTheme="majorHAnsi" w:cstheme="majorHAnsi"/>
        </w:rPr>
        <w:t xml:space="preserve">-es </w:t>
      </w:r>
      <w:r w:rsidR="00D5026B">
        <w:rPr>
          <w:rFonts w:asciiTheme="majorHAnsi" w:hAnsiTheme="majorHAnsi" w:cstheme="majorHAnsi"/>
        </w:rPr>
        <w:t>mérés során m</w:t>
      </w:r>
      <w:r w:rsidR="00ED454E" w:rsidRPr="00ED454E">
        <w:rPr>
          <w:rFonts w:asciiTheme="majorHAnsi" w:hAnsiTheme="majorHAnsi" w:cstheme="majorHAnsi"/>
        </w:rPr>
        <w:t xml:space="preserve">atematikából a 8. évfolyamon átlagosan 1624 pontot értek el a tanulók, ami a mérések kezdete óta a legjobb eredmény, a 10. évfolyamon </w:t>
      </w:r>
      <w:r w:rsidR="003A2CAF">
        <w:rPr>
          <w:rFonts w:asciiTheme="majorHAnsi" w:hAnsiTheme="majorHAnsi" w:cstheme="majorHAnsi"/>
        </w:rPr>
        <w:t xml:space="preserve">pedig </w:t>
      </w:r>
      <w:r w:rsidR="00ED454E" w:rsidRPr="00ED454E">
        <w:rPr>
          <w:rFonts w:asciiTheme="majorHAnsi" w:hAnsiTheme="majorHAnsi" w:cstheme="majorHAnsi"/>
        </w:rPr>
        <w:t>a diákok átlag képességpontja a 2010-ben mért 1</w:t>
      </w:r>
      <w:r w:rsidR="008265D0">
        <w:rPr>
          <w:rFonts w:asciiTheme="majorHAnsi" w:hAnsiTheme="majorHAnsi" w:cstheme="majorHAnsi"/>
        </w:rPr>
        <w:t xml:space="preserve"> </w:t>
      </w:r>
      <w:r w:rsidR="00ED454E" w:rsidRPr="00ED454E">
        <w:rPr>
          <w:rFonts w:asciiTheme="majorHAnsi" w:hAnsiTheme="majorHAnsi" w:cstheme="majorHAnsi"/>
        </w:rPr>
        <w:t>613-ról 1</w:t>
      </w:r>
      <w:r w:rsidR="008265D0">
        <w:rPr>
          <w:rFonts w:asciiTheme="majorHAnsi" w:hAnsiTheme="majorHAnsi" w:cstheme="majorHAnsi"/>
        </w:rPr>
        <w:t xml:space="preserve"> </w:t>
      </w:r>
      <w:r w:rsidR="00ED454E" w:rsidRPr="00ED454E">
        <w:rPr>
          <w:rFonts w:asciiTheme="majorHAnsi" w:hAnsiTheme="majorHAnsi" w:cstheme="majorHAnsi"/>
        </w:rPr>
        <w:t>670-re nőtt, ami ugyancsak az elmúlt évek legjobb eredménye. A szövegértés terén a 8. évfolyamon elért átlagosan 1</w:t>
      </w:r>
      <w:r w:rsidR="008265D0">
        <w:rPr>
          <w:rFonts w:asciiTheme="majorHAnsi" w:hAnsiTheme="majorHAnsi" w:cstheme="majorHAnsi"/>
        </w:rPr>
        <w:t xml:space="preserve"> </w:t>
      </w:r>
      <w:r w:rsidR="00ED454E" w:rsidRPr="00ED454E">
        <w:rPr>
          <w:rFonts w:asciiTheme="majorHAnsi" w:hAnsiTheme="majorHAnsi" w:cstheme="majorHAnsi"/>
        </w:rPr>
        <w:t>608 pont az eddigi legmagasabb érték, a 10. évfolyam azonban még ennél is eredményesebben szerepelt, a 2008-ban mért 1</w:t>
      </w:r>
      <w:r w:rsidR="008265D0">
        <w:rPr>
          <w:rFonts w:asciiTheme="majorHAnsi" w:hAnsiTheme="majorHAnsi" w:cstheme="majorHAnsi"/>
        </w:rPr>
        <w:t xml:space="preserve"> </w:t>
      </w:r>
      <w:r w:rsidR="00ED454E" w:rsidRPr="00ED454E">
        <w:rPr>
          <w:rFonts w:asciiTheme="majorHAnsi" w:hAnsiTheme="majorHAnsi" w:cstheme="majorHAnsi"/>
        </w:rPr>
        <w:t>609 ponthoz képest 2019-re az átlageredmény 1</w:t>
      </w:r>
      <w:r w:rsidR="008265D0">
        <w:rPr>
          <w:rFonts w:asciiTheme="majorHAnsi" w:hAnsiTheme="majorHAnsi" w:cstheme="majorHAnsi"/>
        </w:rPr>
        <w:t xml:space="preserve"> </w:t>
      </w:r>
      <w:r w:rsidR="00ED454E" w:rsidRPr="00ED454E">
        <w:rPr>
          <w:rFonts w:asciiTheme="majorHAnsi" w:hAnsiTheme="majorHAnsi" w:cstheme="majorHAnsi"/>
        </w:rPr>
        <w:t xml:space="preserve">661-re emelkedett. </w:t>
      </w:r>
    </w:p>
    <w:p w14:paraId="699B2A1C" w14:textId="77777777" w:rsidR="00B86FE8" w:rsidRPr="00DC6C83" w:rsidRDefault="00B86FE8" w:rsidP="004814EC">
      <w:pPr>
        <w:pStyle w:val="Tblacm"/>
        <w:spacing w:line="276" w:lineRule="auto"/>
        <w:ind w:left="567" w:hanging="283"/>
        <w:rPr>
          <w:rFonts w:asciiTheme="majorHAnsi" w:hAnsiTheme="majorHAnsi" w:cstheme="majorHAnsi"/>
        </w:rPr>
      </w:pPr>
      <w:r w:rsidRPr="00DC6C83">
        <w:rPr>
          <w:rFonts w:asciiTheme="majorHAnsi" w:hAnsiTheme="majorHAnsi" w:cstheme="majorHAnsi"/>
        </w:rPr>
        <w:t xml:space="preserve">Táblázat: </w:t>
      </w:r>
      <w:r w:rsidRPr="00DC6C83">
        <w:rPr>
          <w:rStyle w:val="TblacmChar"/>
          <w:rFonts w:asciiTheme="majorHAnsi" w:hAnsiTheme="majorHAnsi" w:cstheme="majorHAnsi"/>
        </w:rPr>
        <w:t>A kompetenciamérés átlageredménye</w:t>
      </w:r>
      <w:r w:rsidR="00367B32">
        <w:rPr>
          <w:rStyle w:val="TblacmChar"/>
          <w:rFonts w:asciiTheme="majorHAnsi" w:hAnsiTheme="majorHAnsi" w:cstheme="majorHAnsi"/>
        </w:rPr>
        <w:t>i területenként és évfolyamonként</w:t>
      </w:r>
      <w:r w:rsidR="000E4A4A">
        <w:rPr>
          <w:rStyle w:val="TblacmChar"/>
          <w:rFonts w:asciiTheme="majorHAnsi" w:hAnsiTheme="majorHAnsi" w:cstheme="majorHAnsi"/>
        </w:rPr>
        <w:t xml:space="preserve"> </w:t>
      </w:r>
      <w:r w:rsidR="00367B32">
        <w:rPr>
          <w:rStyle w:val="TblacmChar"/>
          <w:rFonts w:asciiTheme="majorHAnsi" w:hAnsiTheme="majorHAnsi" w:cstheme="majorHAnsi"/>
        </w:rPr>
        <w:t>(2008-201</w:t>
      </w:r>
      <w:r w:rsidR="00BE4243">
        <w:rPr>
          <w:rStyle w:val="TblacmChar"/>
          <w:rFonts w:asciiTheme="majorHAnsi" w:hAnsiTheme="majorHAnsi" w:cstheme="majorHAnsi"/>
        </w:rPr>
        <w:t>9</w:t>
      </w:r>
      <w:r w:rsidR="00367B32">
        <w:rPr>
          <w:rStyle w:val="TblacmChar"/>
          <w:rFonts w:asciiTheme="majorHAnsi" w:hAnsiTheme="majorHAnsi" w:cstheme="majorHAnsi"/>
        </w:rPr>
        <w:t>)</w:t>
      </w:r>
    </w:p>
    <w:tbl>
      <w:tblPr>
        <w:tblW w:w="8346" w:type="dxa"/>
        <w:jc w:val="center"/>
        <w:tblLayout w:type="fixed"/>
        <w:tblCellMar>
          <w:left w:w="70" w:type="dxa"/>
          <w:right w:w="70" w:type="dxa"/>
        </w:tblCellMar>
        <w:tblLook w:val="04A0" w:firstRow="1" w:lastRow="0" w:firstColumn="1" w:lastColumn="0" w:noHBand="0" w:noVBand="1"/>
      </w:tblPr>
      <w:tblGrid>
        <w:gridCol w:w="546"/>
        <w:gridCol w:w="1300"/>
        <w:gridCol w:w="1300"/>
        <w:gridCol w:w="1300"/>
        <w:gridCol w:w="1300"/>
        <w:gridCol w:w="1300"/>
        <w:gridCol w:w="1300"/>
      </w:tblGrid>
      <w:tr w:rsidR="00BE4243" w:rsidRPr="004814EC" w14:paraId="759A4515" w14:textId="77777777" w:rsidTr="00ED454E">
        <w:trPr>
          <w:trHeight w:val="300"/>
          <w:jc w:val="center"/>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B6744"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 </w:t>
            </w:r>
          </w:p>
        </w:tc>
        <w:tc>
          <w:tcPr>
            <w:tcW w:w="1300" w:type="dxa"/>
            <w:tcBorders>
              <w:top w:val="single" w:sz="4" w:space="0" w:color="auto"/>
              <w:left w:val="nil"/>
              <w:bottom w:val="single" w:sz="4" w:space="0" w:color="auto"/>
              <w:right w:val="single" w:sz="4" w:space="0" w:color="auto"/>
            </w:tcBorders>
            <w:shd w:val="clear" w:color="000000" w:fill="DAEEF3"/>
            <w:noWrap/>
            <w:vAlign w:val="bottom"/>
            <w:hideMark/>
          </w:tcPr>
          <w:p w14:paraId="4AA54F2E"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Matematika</w:t>
            </w:r>
          </w:p>
        </w:tc>
        <w:tc>
          <w:tcPr>
            <w:tcW w:w="1300" w:type="dxa"/>
            <w:tcBorders>
              <w:top w:val="single" w:sz="4" w:space="0" w:color="auto"/>
              <w:left w:val="nil"/>
              <w:bottom w:val="single" w:sz="4" w:space="0" w:color="auto"/>
              <w:right w:val="single" w:sz="4" w:space="0" w:color="auto"/>
            </w:tcBorders>
            <w:shd w:val="clear" w:color="000000" w:fill="DAEEF3"/>
            <w:noWrap/>
            <w:vAlign w:val="bottom"/>
            <w:hideMark/>
          </w:tcPr>
          <w:p w14:paraId="42DB6962"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Szövegértés</w:t>
            </w:r>
          </w:p>
        </w:tc>
        <w:tc>
          <w:tcPr>
            <w:tcW w:w="1300" w:type="dxa"/>
            <w:tcBorders>
              <w:top w:val="single" w:sz="4" w:space="0" w:color="auto"/>
              <w:left w:val="nil"/>
              <w:bottom w:val="single" w:sz="4" w:space="0" w:color="auto"/>
              <w:right w:val="single" w:sz="4" w:space="0" w:color="auto"/>
            </w:tcBorders>
            <w:shd w:val="clear" w:color="000000" w:fill="DAEEF3"/>
            <w:vAlign w:val="bottom"/>
          </w:tcPr>
          <w:p w14:paraId="7666B974"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Matematika</w:t>
            </w:r>
          </w:p>
        </w:tc>
        <w:tc>
          <w:tcPr>
            <w:tcW w:w="1300" w:type="dxa"/>
            <w:tcBorders>
              <w:top w:val="single" w:sz="4" w:space="0" w:color="auto"/>
              <w:left w:val="nil"/>
              <w:bottom w:val="single" w:sz="4" w:space="0" w:color="auto"/>
              <w:right w:val="single" w:sz="4" w:space="0" w:color="auto"/>
            </w:tcBorders>
            <w:shd w:val="clear" w:color="000000" w:fill="DAEEF3"/>
            <w:vAlign w:val="bottom"/>
          </w:tcPr>
          <w:p w14:paraId="5DE583B6"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Szövegértés</w:t>
            </w:r>
          </w:p>
        </w:tc>
        <w:tc>
          <w:tcPr>
            <w:tcW w:w="1300" w:type="dxa"/>
            <w:tcBorders>
              <w:top w:val="single" w:sz="4" w:space="0" w:color="auto"/>
              <w:left w:val="nil"/>
              <w:bottom w:val="single" w:sz="4" w:space="0" w:color="auto"/>
              <w:right w:val="single" w:sz="4" w:space="0" w:color="auto"/>
            </w:tcBorders>
            <w:shd w:val="clear" w:color="000000" w:fill="DAEEF3"/>
            <w:vAlign w:val="bottom"/>
          </w:tcPr>
          <w:p w14:paraId="48FABE99"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Matematika</w:t>
            </w:r>
          </w:p>
        </w:tc>
        <w:tc>
          <w:tcPr>
            <w:tcW w:w="1300" w:type="dxa"/>
            <w:tcBorders>
              <w:top w:val="single" w:sz="4" w:space="0" w:color="auto"/>
              <w:left w:val="nil"/>
              <w:bottom w:val="single" w:sz="4" w:space="0" w:color="auto"/>
              <w:right w:val="single" w:sz="4" w:space="0" w:color="auto"/>
            </w:tcBorders>
            <w:shd w:val="clear" w:color="000000" w:fill="DAEEF3"/>
            <w:vAlign w:val="bottom"/>
          </w:tcPr>
          <w:p w14:paraId="566ED97C"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Szövegértés</w:t>
            </w:r>
          </w:p>
        </w:tc>
      </w:tr>
      <w:tr w:rsidR="00BE4243" w:rsidRPr="004814EC" w14:paraId="23862B77"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A592B11"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D60F82"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6. évfolyam</w:t>
            </w:r>
          </w:p>
        </w:tc>
        <w:tc>
          <w:tcPr>
            <w:tcW w:w="1300" w:type="dxa"/>
            <w:tcBorders>
              <w:top w:val="nil"/>
              <w:left w:val="nil"/>
              <w:bottom w:val="single" w:sz="4" w:space="0" w:color="auto"/>
              <w:right w:val="single" w:sz="4" w:space="0" w:color="auto"/>
            </w:tcBorders>
            <w:shd w:val="clear" w:color="auto" w:fill="auto"/>
            <w:noWrap/>
            <w:vAlign w:val="bottom"/>
            <w:hideMark/>
          </w:tcPr>
          <w:p w14:paraId="741DAA04"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6. évfolyam</w:t>
            </w:r>
          </w:p>
        </w:tc>
        <w:tc>
          <w:tcPr>
            <w:tcW w:w="1300" w:type="dxa"/>
            <w:tcBorders>
              <w:top w:val="nil"/>
              <w:left w:val="nil"/>
              <w:bottom w:val="single" w:sz="4" w:space="0" w:color="auto"/>
              <w:right w:val="single" w:sz="4" w:space="0" w:color="auto"/>
            </w:tcBorders>
            <w:shd w:val="clear" w:color="auto" w:fill="auto"/>
            <w:vAlign w:val="bottom"/>
          </w:tcPr>
          <w:p w14:paraId="311059B5"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8. évfolyam</w:t>
            </w:r>
          </w:p>
        </w:tc>
        <w:tc>
          <w:tcPr>
            <w:tcW w:w="1300" w:type="dxa"/>
            <w:tcBorders>
              <w:top w:val="nil"/>
              <w:left w:val="nil"/>
              <w:bottom w:val="single" w:sz="4" w:space="0" w:color="auto"/>
              <w:right w:val="single" w:sz="4" w:space="0" w:color="auto"/>
            </w:tcBorders>
            <w:shd w:val="clear" w:color="auto" w:fill="auto"/>
            <w:vAlign w:val="bottom"/>
          </w:tcPr>
          <w:p w14:paraId="5B4E5124"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8. évfolyam</w:t>
            </w:r>
          </w:p>
        </w:tc>
        <w:tc>
          <w:tcPr>
            <w:tcW w:w="1300" w:type="dxa"/>
            <w:tcBorders>
              <w:top w:val="nil"/>
              <w:left w:val="nil"/>
              <w:bottom w:val="single" w:sz="4" w:space="0" w:color="auto"/>
              <w:right w:val="single" w:sz="4" w:space="0" w:color="auto"/>
            </w:tcBorders>
            <w:shd w:val="clear" w:color="auto" w:fill="auto"/>
            <w:vAlign w:val="bottom"/>
          </w:tcPr>
          <w:p w14:paraId="668BAA7E"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10. évfolyam</w:t>
            </w:r>
          </w:p>
        </w:tc>
        <w:tc>
          <w:tcPr>
            <w:tcW w:w="1300" w:type="dxa"/>
            <w:tcBorders>
              <w:top w:val="nil"/>
              <w:left w:val="nil"/>
              <w:bottom w:val="single" w:sz="4" w:space="0" w:color="auto"/>
              <w:right w:val="single" w:sz="4" w:space="0" w:color="auto"/>
            </w:tcBorders>
            <w:shd w:val="clear" w:color="auto" w:fill="auto"/>
            <w:vAlign w:val="bottom"/>
          </w:tcPr>
          <w:p w14:paraId="17188A81" w14:textId="77777777" w:rsidR="00BE4243" w:rsidRPr="004814EC" w:rsidRDefault="00BE4243" w:rsidP="00ED454E">
            <w:pPr>
              <w:spacing w:after="0" w:line="240" w:lineRule="auto"/>
              <w:rPr>
                <w:color w:val="000000"/>
                <w:sz w:val="22"/>
                <w:szCs w:val="22"/>
                <w:lang w:eastAsia="hu-HU"/>
              </w:rPr>
            </w:pPr>
            <w:r w:rsidRPr="004814EC">
              <w:rPr>
                <w:color w:val="000000"/>
                <w:sz w:val="22"/>
                <w:szCs w:val="22"/>
                <w:lang w:eastAsia="hu-HU"/>
              </w:rPr>
              <w:t>10. évfolyam</w:t>
            </w:r>
          </w:p>
        </w:tc>
      </w:tr>
      <w:tr w:rsidR="00BE4243" w:rsidRPr="00F16462" w14:paraId="27D5441C"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6D3E3B56"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2008</w:t>
            </w:r>
          </w:p>
        </w:tc>
        <w:tc>
          <w:tcPr>
            <w:tcW w:w="1300" w:type="dxa"/>
            <w:tcBorders>
              <w:top w:val="nil"/>
              <w:left w:val="nil"/>
              <w:bottom w:val="single" w:sz="4" w:space="0" w:color="auto"/>
              <w:right w:val="single" w:sz="4" w:space="0" w:color="auto"/>
            </w:tcBorders>
            <w:shd w:val="clear" w:color="auto" w:fill="auto"/>
            <w:noWrap/>
            <w:vAlign w:val="bottom"/>
            <w:hideMark/>
          </w:tcPr>
          <w:p w14:paraId="07773A8C"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1500</w:t>
            </w:r>
          </w:p>
        </w:tc>
        <w:tc>
          <w:tcPr>
            <w:tcW w:w="1300" w:type="dxa"/>
            <w:tcBorders>
              <w:top w:val="nil"/>
              <w:left w:val="nil"/>
              <w:bottom w:val="single" w:sz="4" w:space="0" w:color="auto"/>
              <w:right w:val="single" w:sz="4" w:space="0" w:color="auto"/>
            </w:tcBorders>
            <w:shd w:val="clear" w:color="auto" w:fill="auto"/>
            <w:noWrap/>
            <w:vAlign w:val="bottom"/>
            <w:hideMark/>
          </w:tcPr>
          <w:p w14:paraId="040DBA58"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1500</w:t>
            </w:r>
          </w:p>
        </w:tc>
        <w:tc>
          <w:tcPr>
            <w:tcW w:w="1300" w:type="dxa"/>
            <w:tcBorders>
              <w:top w:val="nil"/>
              <w:left w:val="nil"/>
              <w:bottom w:val="single" w:sz="4" w:space="0" w:color="auto"/>
              <w:right w:val="single" w:sz="4" w:space="0" w:color="auto"/>
            </w:tcBorders>
            <w:shd w:val="clear" w:color="auto" w:fill="auto"/>
            <w:vAlign w:val="bottom"/>
          </w:tcPr>
          <w:p w14:paraId="1DB27F43"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1601</w:t>
            </w:r>
          </w:p>
        </w:tc>
        <w:tc>
          <w:tcPr>
            <w:tcW w:w="1300" w:type="dxa"/>
            <w:tcBorders>
              <w:top w:val="nil"/>
              <w:left w:val="nil"/>
              <w:bottom w:val="single" w:sz="4" w:space="0" w:color="auto"/>
              <w:right w:val="single" w:sz="4" w:space="0" w:color="auto"/>
            </w:tcBorders>
            <w:shd w:val="clear" w:color="auto" w:fill="auto"/>
            <w:vAlign w:val="bottom"/>
          </w:tcPr>
          <w:p w14:paraId="63C8F724"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1579</w:t>
            </w:r>
          </w:p>
        </w:tc>
        <w:tc>
          <w:tcPr>
            <w:tcW w:w="1300" w:type="dxa"/>
            <w:tcBorders>
              <w:top w:val="nil"/>
              <w:left w:val="nil"/>
              <w:bottom w:val="single" w:sz="4" w:space="0" w:color="auto"/>
              <w:right w:val="single" w:sz="4" w:space="0" w:color="auto"/>
            </w:tcBorders>
            <w:shd w:val="clear" w:color="auto" w:fill="auto"/>
            <w:vAlign w:val="bottom"/>
          </w:tcPr>
          <w:p w14:paraId="2FBE1D0F"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1648</w:t>
            </w:r>
          </w:p>
        </w:tc>
        <w:tc>
          <w:tcPr>
            <w:tcW w:w="1300" w:type="dxa"/>
            <w:tcBorders>
              <w:top w:val="nil"/>
              <w:left w:val="nil"/>
              <w:bottom w:val="single" w:sz="4" w:space="0" w:color="auto"/>
              <w:right w:val="single" w:sz="4" w:space="0" w:color="auto"/>
            </w:tcBorders>
            <w:shd w:val="clear" w:color="auto" w:fill="auto"/>
            <w:vAlign w:val="bottom"/>
          </w:tcPr>
          <w:p w14:paraId="2B6DA164"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1609</w:t>
            </w:r>
          </w:p>
        </w:tc>
      </w:tr>
      <w:tr w:rsidR="00BE4243" w:rsidRPr="00F16462" w14:paraId="7762F891"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BA2A44A"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2009</w:t>
            </w:r>
          </w:p>
        </w:tc>
        <w:tc>
          <w:tcPr>
            <w:tcW w:w="1300" w:type="dxa"/>
            <w:tcBorders>
              <w:top w:val="nil"/>
              <w:left w:val="nil"/>
              <w:bottom w:val="single" w:sz="4" w:space="0" w:color="auto"/>
              <w:right w:val="single" w:sz="4" w:space="0" w:color="auto"/>
            </w:tcBorders>
            <w:shd w:val="clear" w:color="auto" w:fill="auto"/>
            <w:noWrap/>
            <w:vAlign w:val="bottom"/>
            <w:hideMark/>
          </w:tcPr>
          <w:p w14:paraId="6985749C"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1484</w:t>
            </w:r>
          </w:p>
        </w:tc>
        <w:tc>
          <w:tcPr>
            <w:tcW w:w="1300" w:type="dxa"/>
            <w:tcBorders>
              <w:top w:val="nil"/>
              <w:left w:val="nil"/>
              <w:bottom w:val="single" w:sz="4" w:space="0" w:color="auto"/>
              <w:right w:val="single" w:sz="4" w:space="0" w:color="auto"/>
            </w:tcBorders>
            <w:shd w:val="clear" w:color="auto" w:fill="auto"/>
            <w:noWrap/>
            <w:vAlign w:val="bottom"/>
            <w:hideMark/>
          </w:tcPr>
          <w:p w14:paraId="3FD77AAF"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1489</w:t>
            </w:r>
          </w:p>
        </w:tc>
        <w:tc>
          <w:tcPr>
            <w:tcW w:w="1300" w:type="dxa"/>
            <w:tcBorders>
              <w:top w:val="nil"/>
              <w:left w:val="nil"/>
              <w:bottom w:val="single" w:sz="4" w:space="0" w:color="auto"/>
              <w:right w:val="single" w:sz="4" w:space="0" w:color="auto"/>
            </w:tcBorders>
            <w:shd w:val="clear" w:color="auto" w:fill="auto"/>
            <w:vAlign w:val="bottom"/>
          </w:tcPr>
          <w:p w14:paraId="488A68A3"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1605</w:t>
            </w:r>
          </w:p>
        </w:tc>
        <w:tc>
          <w:tcPr>
            <w:tcW w:w="1300" w:type="dxa"/>
            <w:tcBorders>
              <w:top w:val="nil"/>
              <w:left w:val="nil"/>
              <w:bottom w:val="single" w:sz="4" w:space="0" w:color="auto"/>
              <w:right w:val="single" w:sz="4" w:space="0" w:color="auto"/>
            </w:tcBorders>
            <w:shd w:val="clear" w:color="auto" w:fill="auto"/>
            <w:vAlign w:val="bottom"/>
          </w:tcPr>
          <w:p w14:paraId="00DCFF9F"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1564</w:t>
            </w:r>
          </w:p>
        </w:tc>
        <w:tc>
          <w:tcPr>
            <w:tcW w:w="1300" w:type="dxa"/>
            <w:tcBorders>
              <w:top w:val="nil"/>
              <w:left w:val="nil"/>
              <w:bottom w:val="single" w:sz="4" w:space="0" w:color="auto"/>
              <w:right w:val="single" w:sz="4" w:space="0" w:color="auto"/>
            </w:tcBorders>
            <w:shd w:val="clear" w:color="auto" w:fill="auto"/>
            <w:vAlign w:val="bottom"/>
          </w:tcPr>
          <w:p w14:paraId="39473866"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1618</w:t>
            </w:r>
          </w:p>
        </w:tc>
        <w:tc>
          <w:tcPr>
            <w:tcW w:w="1300" w:type="dxa"/>
            <w:tcBorders>
              <w:top w:val="nil"/>
              <w:left w:val="nil"/>
              <w:bottom w:val="single" w:sz="4" w:space="0" w:color="auto"/>
              <w:right w:val="single" w:sz="4" w:space="0" w:color="auto"/>
            </w:tcBorders>
            <w:shd w:val="clear" w:color="auto" w:fill="auto"/>
            <w:vAlign w:val="bottom"/>
          </w:tcPr>
          <w:p w14:paraId="7C4B7F63"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1615</w:t>
            </w:r>
          </w:p>
        </w:tc>
      </w:tr>
      <w:tr w:rsidR="00BE4243" w:rsidRPr="00F16462" w14:paraId="6AF7ADE6"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2AE6B967"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2010</w:t>
            </w:r>
          </w:p>
        </w:tc>
        <w:tc>
          <w:tcPr>
            <w:tcW w:w="1300" w:type="dxa"/>
            <w:tcBorders>
              <w:top w:val="nil"/>
              <w:left w:val="nil"/>
              <w:bottom w:val="single" w:sz="4" w:space="0" w:color="auto"/>
              <w:right w:val="single" w:sz="4" w:space="0" w:color="auto"/>
            </w:tcBorders>
            <w:shd w:val="clear" w:color="auto" w:fill="auto"/>
            <w:noWrap/>
            <w:vAlign w:val="bottom"/>
            <w:hideMark/>
          </w:tcPr>
          <w:p w14:paraId="70637F74"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1498</w:t>
            </w:r>
          </w:p>
        </w:tc>
        <w:tc>
          <w:tcPr>
            <w:tcW w:w="1300" w:type="dxa"/>
            <w:tcBorders>
              <w:top w:val="nil"/>
              <w:left w:val="nil"/>
              <w:bottom w:val="single" w:sz="4" w:space="0" w:color="auto"/>
              <w:right w:val="single" w:sz="4" w:space="0" w:color="auto"/>
            </w:tcBorders>
            <w:shd w:val="clear" w:color="auto" w:fill="auto"/>
            <w:noWrap/>
            <w:vAlign w:val="bottom"/>
            <w:hideMark/>
          </w:tcPr>
          <w:p w14:paraId="341D7995"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1483</w:t>
            </w:r>
          </w:p>
        </w:tc>
        <w:tc>
          <w:tcPr>
            <w:tcW w:w="1300" w:type="dxa"/>
            <w:tcBorders>
              <w:top w:val="nil"/>
              <w:left w:val="nil"/>
              <w:bottom w:val="single" w:sz="4" w:space="0" w:color="auto"/>
              <w:right w:val="single" w:sz="4" w:space="0" w:color="auto"/>
            </w:tcBorders>
            <w:shd w:val="clear" w:color="auto" w:fill="auto"/>
            <w:vAlign w:val="bottom"/>
          </w:tcPr>
          <w:p w14:paraId="69CE0718"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1622</w:t>
            </w:r>
          </w:p>
        </w:tc>
        <w:tc>
          <w:tcPr>
            <w:tcW w:w="1300" w:type="dxa"/>
            <w:tcBorders>
              <w:top w:val="nil"/>
              <w:left w:val="nil"/>
              <w:bottom w:val="single" w:sz="4" w:space="0" w:color="auto"/>
              <w:right w:val="single" w:sz="4" w:space="0" w:color="auto"/>
            </w:tcBorders>
            <w:shd w:val="clear" w:color="auto" w:fill="auto"/>
            <w:vAlign w:val="bottom"/>
          </w:tcPr>
          <w:p w14:paraId="1FF305E1"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1583</w:t>
            </w:r>
          </w:p>
        </w:tc>
        <w:tc>
          <w:tcPr>
            <w:tcW w:w="1300" w:type="dxa"/>
            <w:tcBorders>
              <w:top w:val="nil"/>
              <w:left w:val="nil"/>
              <w:bottom w:val="single" w:sz="4" w:space="0" w:color="auto"/>
              <w:right w:val="single" w:sz="4" w:space="0" w:color="auto"/>
            </w:tcBorders>
            <w:shd w:val="clear" w:color="auto" w:fill="auto"/>
            <w:vAlign w:val="bottom"/>
          </w:tcPr>
          <w:p w14:paraId="49353A44"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1613</w:t>
            </w:r>
          </w:p>
        </w:tc>
        <w:tc>
          <w:tcPr>
            <w:tcW w:w="1300" w:type="dxa"/>
            <w:tcBorders>
              <w:top w:val="nil"/>
              <w:left w:val="nil"/>
              <w:bottom w:val="single" w:sz="4" w:space="0" w:color="auto"/>
              <w:right w:val="single" w:sz="4" w:space="0" w:color="auto"/>
            </w:tcBorders>
            <w:shd w:val="clear" w:color="auto" w:fill="auto"/>
            <w:vAlign w:val="bottom"/>
          </w:tcPr>
          <w:p w14:paraId="1A091F04"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1620</w:t>
            </w:r>
          </w:p>
        </w:tc>
      </w:tr>
      <w:tr w:rsidR="00BE4243" w:rsidRPr="00F16462" w14:paraId="057D5749"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AD73B67"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2011</w:t>
            </w:r>
          </w:p>
        </w:tc>
        <w:tc>
          <w:tcPr>
            <w:tcW w:w="1300" w:type="dxa"/>
            <w:tcBorders>
              <w:top w:val="nil"/>
              <w:left w:val="nil"/>
              <w:bottom w:val="single" w:sz="4" w:space="0" w:color="auto"/>
              <w:right w:val="single" w:sz="4" w:space="0" w:color="auto"/>
            </w:tcBorders>
            <w:shd w:val="clear" w:color="auto" w:fill="auto"/>
            <w:noWrap/>
            <w:vAlign w:val="bottom"/>
            <w:hideMark/>
          </w:tcPr>
          <w:p w14:paraId="6E0EB927"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1486</w:t>
            </w:r>
          </w:p>
        </w:tc>
        <w:tc>
          <w:tcPr>
            <w:tcW w:w="1300" w:type="dxa"/>
            <w:tcBorders>
              <w:top w:val="nil"/>
              <w:left w:val="nil"/>
              <w:bottom w:val="single" w:sz="4" w:space="0" w:color="auto"/>
              <w:right w:val="single" w:sz="4" w:space="0" w:color="auto"/>
            </w:tcBorders>
            <w:shd w:val="clear" w:color="auto" w:fill="auto"/>
            <w:noWrap/>
            <w:vAlign w:val="bottom"/>
            <w:hideMark/>
          </w:tcPr>
          <w:p w14:paraId="45E20C19"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1465</w:t>
            </w:r>
          </w:p>
        </w:tc>
        <w:tc>
          <w:tcPr>
            <w:tcW w:w="1300" w:type="dxa"/>
            <w:tcBorders>
              <w:top w:val="nil"/>
              <w:left w:val="nil"/>
              <w:bottom w:val="single" w:sz="4" w:space="0" w:color="auto"/>
              <w:right w:val="single" w:sz="4" w:space="0" w:color="auto"/>
            </w:tcBorders>
            <w:shd w:val="clear" w:color="auto" w:fill="auto"/>
            <w:vAlign w:val="bottom"/>
          </w:tcPr>
          <w:p w14:paraId="0BF6E989"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1601</w:t>
            </w:r>
          </w:p>
        </w:tc>
        <w:tc>
          <w:tcPr>
            <w:tcW w:w="1300" w:type="dxa"/>
            <w:tcBorders>
              <w:top w:val="nil"/>
              <w:left w:val="nil"/>
              <w:bottom w:val="single" w:sz="4" w:space="0" w:color="auto"/>
              <w:right w:val="single" w:sz="4" w:space="0" w:color="auto"/>
            </w:tcBorders>
            <w:shd w:val="clear" w:color="auto" w:fill="auto"/>
            <w:vAlign w:val="bottom"/>
          </w:tcPr>
          <w:p w14:paraId="1A69E711"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1577</w:t>
            </w:r>
          </w:p>
        </w:tc>
        <w:tc>
          <w:tcPr>
            <w:tcW w:w="1300" w:type="dxa"/>
            <w:tcBorders>
              <w:top w:val="nil"/>
              <w:left w:val="nil"/>
              <w:bottom w:val="single" w:sz="4" w:space="0" w:color="auto"/>
              <w:right w:val="single" w:sz="4" w:space="0" w:color="auto"/>
            </w:tcBorders>
            <w:shd w:val="clear" w:color="auto" w:fill="auto"/>
            <w:vAlign w:val="bottom"/>
          </w:tcPr>
          <w:p w14:paraId="6BD236CA"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1635</w:t>
            </w:r>
          </w:p>
        </w:tc>
        <w:tc>
          <w:tcPr>
            <w:tcW w:w="1300" w:type="dxa"/>
            <w:tcBorders>
              <w:top w:val="nil"/>
              <w:left w:val="nil"/>
              <w:bottom w:val="single" w:sz="4" w:space="0" w:color="auto"/>
              <w:right w:val="single" w:sz="4" w:space="0" w:color="auto"/>
            </w:tcBorders>
            <w:shd w:val="clear" w:color="auto" w:fill="auto"/>
            <w:vAlign w:val="bottom"/>
          </w:tcPr>
          <w:p w14:paraId="7A8CC563"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1617</w:t>
            </w:r>
          </w:p>
        </w:tc>
      </w:tr>
      <w:tr w:rsidR="00BE4243" w:rsidRPr="00F16462" w14:paraId="62094E40"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348A49C9"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2012</w:t>
            </w:r>
          </w:p>
        </w:tc>
        <w:tc>
          <w:tcPr>
            <w:tcW w:w="1300" w:type="dxa"/>
            <w:tcBorders>
              <w:top w:val="nil"/>
              <w:left w:val="nil"/>
              <w:bottom w:val="single" w:sz="4" w:space="0" w:color="auto"/>
              <w:right w:val="single" w:sz="4" w:space="0" w:color="auto"/>
            </w:tcBorders>
            <w:shd w:val="clear" w:color="auto" w:fill="auto"/>
            <w:noWrap/>
            <w:vAlign w:val="bottom"/>
            <w:hideMark/>
          </w:tcPr>
          <w:p w14:paraId="383D7BB0"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1489</w:t>
            </w:r>
          </w:p>
        </w:tc>
        <w:tc>
          <w:tcPr>
            <w:tcW w:w="1300" w:type="dxa"/>
            <w:tcBorders>
              <w:top w:val="nil"/>
              <w:left w:val="nil"/>
              <w:bottom w:val="single" w:sz="4" w:space="0" w:color="auto"/>
              <w:right w:val="single" w:sz="4" w:space="0" w:color="auto"/>
            </w:tcBorders>
            <w:shd w:val="clear" w:color="auto" w:fill="auto"/>
            <w:noWrap/>
            <w:vAlign w:val="bottom"/>
            <w:hideMark/>
          </w:tcPr>
          <w:p w14:paraId="29BED659"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1472</w:t>
            </w:r>
          </w:p>
        </w:tc>
        <w:tc>
          <w:tcPr>
            <w:tcW w:w="1300" w:type="dxa"/>
            <w:tcBorders>
              <w:top w:val="nil"/>
              <w:left w:val="nil"/>
              <w:bottom w:val="single" w:sz="4" w:space="0" w:color="auto"/>
              <w:right w:val="single" w:sz="4" w:space="0" w:color="auto"/>
            </w:tcBorders>
            <w:shd w:val="clear" w:color="auto" w:fill="auto"/>
            <w:vAlign w:val="bottom"/>
          </w:tcPr>
          <w:p w14:paraId="1931CBC8"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1612</w:t>
            </w:r>
          </w:p>
        </w:tc>
        <w:tc>
          <w:tcPr>
            <w:tcW w:w="1300" w:type="dxa"/>
            <w:tcBorders>
              <w:top w:val="nil"/>
              <w:left w:val="nil"/>
              <w:bottom w:val="single" w:sz="4" w:space="0" w:color="auto"/>
              <w:right w:val="single" w:sz="4" w:space="0" w:color="auto"/>
            </w:tcBorders>
            <w:shd w:val="clear" w:color="auto" w:fill="auto"/>
            <w:vAlign w:val="bottom"/>
          </w:tcPr>
          <w:p w14:paraId="26637B05"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1567</w:t>
            </w:r>
          </w:p>
        </w:tc>
        <w:tc>
          <w:tcPr>
            <w:tcW w:w="1300" w:type="dxa"/>
            <w:tcBorders>
              <w:top w:val="nil"/>
              <w:left w:val="nil"/>
              <w:bottom w:val="single" w:sz="4" w:space="0" w:color="auto"/>
              <w:right w:val="single" w:sz="4" w:space="0" w:color="auto"/>
            </w:tcBorders>
            <w:shd w:val="clear" w:color="auto" w:fill="auto"/>
            <w:vAlign w:val="bottom"/>
          </w:tcPr>
          <w:p w14:paraId="51732D9B"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1632</w:t>
            </w:r>
          </w:p>
        </w:tc>
        <w:tc>
          <w:tcPr>
            <w:tcW w:w="1300" w:type="dxa"/>
            <w:tcBorders>
              <w:top w:val="nil"/>
              <w:left w:val="nil"/>
              <w:bottom w:val="single" w:sz="4" w:space="0" w:color="auto"/>
              <w:right w:val="single" w:sz="4" w:space="0" w:color="auto"/>
            </w:tcBorders>
            <w:shd w:val="clear" w:color="auto" w:fill="auto"/>
            <w:vAlign w:val="bottom"/>
          </w:tcPr>
          <w:p w14:paraId="4AA97564"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1603</w:t>
            </w:r>
          </w:p>
        </w:tc>
      </w:tr>
      <w:tr w:rsidR="00BE4243" w:rsidRPr="00F16462" w14:paraId="2740CC45"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A0BCDAF"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2013</w:t>
            </w:r>
          </w:p>
        </w:tc>
        <w:tc>
          <w:tcPr>
            <w:tcW w:w="1300" w:type="dxa"/>
            <w:tcBorders>
              <w:top w:val="nil"/>
              <w:left w:val="nil"/>
              <w:bottom w:val="single" w:sz="4" w:space="0" w:color="auto"/>
              <w:right w:val="single" w:sz="4" w:space="0" w:color="auto"/>
            </w:tcBorders>
            <w:shd w:val="clear" w:color="auto" w:fill="auto"/>
            <w:noWrap/>
            <w:vAlign w:val="bottom"/>
            <w:hideMark/>
          </w:tcPr>
          <w:p w14:paraId="51DE83A5"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1489</w:t>
            </w:r>
          </w:p>
        </w:tc>
        <w:tc>
          <w:tcPr>
            <w:tcW w:w="1300" w:type="dxa"/>
            <w:tcBorders>
              <w:top w:val="nil"/>
              <w:left w:val="nil"/>
              <w:bottom w:val="single" w:sz="4" w:space="0" w:color="auto"/>
              <w:right w:val="single" w:sz="4" w:space="0" w:color="auto"/>
            </w:tcBorders>
            <w:shd w:val="clear" w:color="auto" w:fill="auto"/>
            <w:noWrap/>
            <w:vAlign w:val="bottom"/>
            <w:hideMark/>
          </w:tcPr>
          <w:p w14:paraId="606D3F4F"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1497</w:t>
            </w:r>
          </w:p>
        </w:tc>
        <w:tc>
          <w:tcPr>
            <w:tcW w:w="1300" w:type="dxa"/>
            <w:tcBorders>
              <w:top w:val="nil"/>
              <w:left w:val="nil"/>
              <w:bottom w:val="single" w:sz="4" w:space="0" w:color="auto"/>
              <w:right w:val="single" w:sz="4" w:space="0" w:color="auto"/>
            </w:tcBorders>
            <w:shd w:val="clear" w:color="auto" w:fill="auto"/>
            <w:vAlign w:val="bottom"/>
          </w:tcPr>
          <w:p w14:paraId="5A22A8E4"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1620</w:t>
            </w:r>
          </w:p>
        </w:tc>
        <w:tc>
          <w:tcPr>
            <w:tcW w:w="1300" w:type="dxa"/>
            <w:tcBorders>
              <w:top w:val="nil"/>
              <w:left w:val="nil"/>
              <w:bottom w:val="single" w:sz="4" w:space="0" w:color="auto"/>
              <w:right w:val="single" w:sz="4" w:space="0" w:color="auto"/>
            </w:tcBorders>
            <w:shd w:val="clear" w:color="auto" w:fill="auto"/>
            <w:vAlign w:val="bottom"/>
          </w:tcPr>
          <w:p w14:paraId="7EB621F1"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1555</w:t>
            </w:r>
          </w:p>
        </w:tc>
        <w:tc>
          <w:tcPr>
            <w:tcW w:w="1300" w:type="dxa"/>
            <w:tcBorders>
              <w:top w:val="nil"/>
              <w:left w:val="nil"/>
              <w:bottom w:val="single" w:sz="4" w:space="0" w:color="auto"/>
              <w:right w:val="single" w:sz="4" w:space="0" w:color="auto"/>
            </w:tcBorders>
            <w:shd w:val="clear" w:color="auto" w:fill="auto"/>
            <w:vAlign w:val="bottom"/>
          </w:tcPr>
          <w:p w14:paraId="2C412911"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1640</w:t>
            </w:r>
          </w:p>
        </w:tc>
        <w:tc>
          <w:tcPr>
            <w:tcW w:w="1300" w:type="dxa"/>
            <w:tcBorders>
              <w:top w:val="nil"/>
              <w:left w:val="nil"/>
              <w:bottom w:val="single" w:sz="4" w:space="0" w:color="auto"/>
              <w:right w:val="single" w:sz="4" w:space="0" w:color="auto"/>
            </w:tcBorders>
            <w:shd w:val="clear" w:color="auto" w:fill="auto"/>
            <w:vAlign w:val="bottom"/>
          </w:tcPr>
          <w:p w14:paraId="5AD1373C"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1620</w:t>
            </w:r>
          </w:p>
        </w:tc>
      </w:tr>
      <w:tr w:rsidR="00BE4243" w:rsidRPr="00F16462" w14:paraId="1EA1E203"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7BE933E0"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2014</w:t>
            </w:r>
          </w:p>
        </w:tc>
        <w:tc>
          <w:tcPr>
            <w:tcW w:w="1300" w:type="dxa"/>
            <w:tcBorders>
              <w:top w:val="nil"/>
              <w:left w:val="nil"/>
              <w:bottom w:val="single" w:sz="4" w:space="0" w:color="auto"/>
              <w:right w:val="single" w:sz="4" w:space="0" w:color="auto"/>
            </w:tcBorders>
            <w:shd w:val="clear" w:color="auto" w:fill="auto"/>
            <w:noWrap/>
            <w:vAlign w:val="bottom"/>
            <w:hideMark/>
          </w:tcPr>
          <w:p w14:paraId="3C781D26"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1491</w:t>
            </w:r>
          </w:p>
        </w:tc>
        <w:tc>
          <w:tcPr>
            <w:tcW w:w="1300" w:type="dxa"/>
            <w:tcBorders>
              <w:top w:val="nil"/>
              <w:left w:val="nil"/>
              <w:bottom w:val="single" w:sz="4" w:space="0" w:color="auto"/>
              <w:right w:val="single" w:sz="4" w:space="0" w:color="auto"/>
            </w:tcBorders>
            <w:shd w:val="clear" w:color="auto" w:fill="auto"/>
            <w:noWrap/>
            <w:vAlign w:val="bottom"/>
            <w:hideMark/>
          </w:tcPr>
          <w:p w14:paraId="67030F8C"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1481</w:t>
            </w:r>
          </w:p>
        </w:tc>
        <w:tc>
          <w:tcPr>
            <w:tcW w:w="1300" w:type="dxa"/>
            <w:tcBorders>
              <w:top w:val="nil"/>
              <w:left w:val="nil"/>
              <w:bottom w:val="single" w:sz="4" w:space="0" w:color="auto"/>
              <w:right w:val="single" w:sz="4" w:space="0" w:color="auto"/>
            </w:tcBorders>
            <w:shd w:val="clear" w:color="auto" w:fill="auto"/>
            <w:vAlign w:val="bottom"/>
          </w:tcPr>
          <w:p w14:paraId="7B785867"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1617</w:t>
            </w:r>
          </w:p>
        </w:tc>
        <w:tc>
          <w:tcPr>
            <w:tcW w:w="1300" w:type="dxa"/>
            <w:tcBorders>
              <w:top w:val="nil"/>
              <w:left w:val="nil"/>
              <w:bottom w:val="single" w:sz="4" w:space="0" w:color="auto"/>
              <w:right w:val="single" w:sz="4" w:space="0" w:color="auto"/>
            </w:tcBorders>
            <w:shd w:val="clear" w:color="auto" w:fill="auto"/>
            <w:vAlign w:val="bottom"/>
          </w:tcPr>
          <w:p w14:paraId="52E472DC"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1557</w:t>
            </w:r>
          </w:p>
        </w:tc>
        <w:tc>
          <w:tcPr>
            <w:tcW w:w="1300" w:type="dxa"/>
            <w:tcBorders>
              <w:top w:val="nil"/>
              <w:left w:val="nil"/>
              <w:bottom w:val="single" w:sz="4" w:space="0" w:color="auto"/>
              <w:right w:val="single" w:sz="4" w:space="0" w:color="auto"/>
            </w:tcBorders>
            <w:shd w:val="clear" w:color="auto" w:fill="auto"/>
            <w:vAlign w:val="bottom"/>
          </w:tcPr>
          <w:p w14:paraId="21173D1D"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1631</w:t>
            </w:r>
          </w:p>
        </w:tc>
        <w:tc>
          <w:tcPr>
            <w:tcW w:w="1300" w:type="dxa"/>
            <w:tcBorders>
              <w:top w:val="nil"/>
              <w:left w:val="nil"/>
              <w:bottom w:val="single" w:sz="4" w:space="0" w:color="auto"/>
              <w:right w:val="single" w:sz="4" w:space="0" w:color="auto"/>
            </w:tcBorders>
            <w:shd w:val="clear" w:color="auto" w:fill="auto"/>
            <w:vAlign w:val="bottom"/>
          </w:tcPr>
          <w:p w14:paraId="13903730"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1597</w:t>
            </w:r>
          </w:p>
        </w:tc>
      </w:tr>
      <w:tr w:rsidR="00BE4243" w:rsidRPr="00F16462" w14:paraId="1F4928EE"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4368620F"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2015</w:t>
            </w:r>
          </w:p>
        </w:tc>
        <w:tc>
          <w:tcPr>
            <w:tcW w:w="1300" w:type="dxa"/>
            <w:tcBorders>
              <w:top w:val="nil"/>
              <w:left w:val="nil"/>
              <w:bottom w:val="single" w:sz="4" w:space="0" w:color="auto"/>
              <w:right w:val="single" w:sz="4" w:space="0" w:color="auto"/>
            </w:tcBorders>
            <w:shd w:val="clear" w:color="auto" w:fill="auto"/>
            <w:noWrap/>
            <w:vAlign w:val="bottom"/>
            <w:hideMark/>
          </w:tcPr>
          <w:p w14:paraId="1686B28B"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1497</w:t>
            </w:r>
          </w:p>
        </w:tc>
        <w:tc>
          <w:tcPr>
            <w:tcW w:w="1300" w:type="dxa"/>
            <w:tcBorders>
              <w:top w:val="nil"/>
              <w:left w:val="nil"/>
              <w:bottom w:val="single" w:sz="4" w:space="0" w:color="auto"/>
              <w:right w:val="single" w:sz="4" w:space="0" w:color="auto"/>
            </w:tcBorders>
            <w:shd w:val="clear" w:color="auto" w:fill="auto"/>
            <w:noWrap/>
            <w:vAlign w:val="bottom"/>
            <w:hideMark/>
          </w:tcPr>
          <w:p w14:paraId="487C30D9"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1488</w:t>
            </w:r>
          </w:p>
        </w:tc>
        <w:tc>
          <w:tcPr>
            <w:tcW w:w="1300" w:type="dxa"/>
            <w:tcBorders>
              <w:top w:val="nil"/>
              <w:left w:val="nil"/>
              <w:bottom w:val="single" w:sz="4" w:space="0" w:color="auto"/>
              <w:right w:val="single" w:sz="4" w:space="0" w:color="auto"/>
            </w:tcBorders>
            <w:shd w:val="clear" w:color="auto" w:fill="auto"/>
            <w:vAlign w:val="bottom"/>
          </w:tcPr>
          <w:p w14:paraId="5F6AD111"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1618</w:t>
            </w:r>
          </w:p>
        </w:tc>
        <w:tc>
          <w:tcPr>
            <w:tcW w:w="1300" w:type="dxa"/>
            <w:tcBorders>
              <w:top w:val="nil"/>
              <w:left w:val="nil"/>
              <w:bottom w:val="single" w:sz="4" w:space="0" w:color="auto"/>
              <w:right w:val="single" w:sz="4" w:space="0" w:color="auto"/>
            </w:tcBorders>
            <w:shd w:val="clear" w:color="auto" w:fill="auto"/>
            <w:vAlign w:val="bottom"/>
          </w:tcPr>
          <w:p w14:paraId="1FE36A05"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1567</w:t>
            </w:r>
          </w:p>
        </w:tc>
        <w:tc>
          <w:tcPr>
            <w:tcW w:w="1300" w:type="dxa"/>
            <w:tcBorders>
              <w:top w:val="nil"/>
              <w:left w:val="nil"/>
              <w:bottom w:val="single" w:sz="4" w:space="0" w:color="auto"/>
              <w:right w:val="single" w:sz="4" w:space="0" w:color="auto"/>
            </w:tcBorders>
            <w:shd w:val="clear" w:color="auto" w:fill="auto"/>
            <w:vAlign w:val="bottom"/>
          </w:tcPr>
          <w:p w14:paraId="72670A6B"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1645</w:t>
            </w:r>
          </w:p>
        </w:tc>
        <w:tc>
          <w:tcPr>
            <w:tcW w:w="1300" w:type="dxa"/>
            <w:tcBorders>
              <w:top w:val="nil"/>
              <w:left w:val="nil"/>
              <w:bottom w:val="single" w:sz="4" w:space="0" w:color="auto"/>
              <w:right w:val="single" w:sz="4" w:space="0" w:color="auto"/>
            </w:tcBorders>
            <w:shd w:val="clear" w:color="auto" w:fill="auto"/>
            <w:vAlign w:val="bottom"/>
          </w:tcPr>
          <w:p w14:paraId="7607AB72"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1601</w:t>
            </w:r>
          </w:p>
        </w:tc>
      </w:tr>
      <w:tr w:rsidR="00BE4243" w:rsidRPr="00F16462" w14:paraId="3EDBD041"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4B3F752"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2016</w:t>
            </w:r>
          </w:p>
        </w:tc>
        <w:tc>
          <w:tcPr>
            <w:tcW w:w="1300" w:type="dxa"/>
            <w:tcBorders>
              <w:top w:val="nil"/>
              <w:left w:val="nil"/>
              <w:bottom w:val="single" w:sz="4" w:space="0" w:color="auto"/>
              <w:right w:val="single" w:sz="4" w:space="0" w:color="auto"/>
            </w:tcBorders>
            <w:shd w:val="clear" w:color="auto" w:fill="auto"/>
            <w:noWrap/>
            <w:vAlign w:val="bottom"/>
            <w:hideMark/>
          </w:tcPr>
          <w:p w14:paraId="1723DBDC"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1486</w:t>
            </w:r>
          </w:p>
        </w:tc>
        <w:tc>
          <w:tcPr>
            <w:tcW w:w="1300" w:type="dxa"/>
            <w:tcBorders>
              <w:top w:val="nil"/>
              <w:left w:val="nil"/>
              <w:bottom w:val="single" w:sz="4" w:space="0" w:color="auto"/>
              <w:right w:val="single" w:sz="4" w:space="0" w:color="auto"/>
            </w:tcBorders>
            <w:shd w:val="clear" w:color="auto" w:fill="auto"/>
            <w:noWrap/>
            <w:vAlign w:val="bottom"/>
            <w:hideMark/>
          </w:tcPr>
          <w:p w14:paraId="55B63CF2"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1494</w:t>
            </w:r>
          </w:p>
        </w:tc>
        <w:tc>
          <w:tcPr>
            <w:tcW w:w="1300" w:type="dxa"/>
            <w:tcBorders>
              <w:top w:val="nil"/>
              <w:left w:val="nil"/>
              <w:bottom w:val="single" w:sz="4" w:space="0" w:color="auto"/>
              <w:right w:val="single" w:sz="4" w:space="0" w:color="auto"/>
            </w:tcBorders>
            <w:shd w:val="clear" w:color="auto" w:fill="auto"/>
            <w:vAlign w:val="bottom"/>
          </w:tcPr>
          <w:p w14:paraId="4B4CE854"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1597</w:t>
            </w:r>
          </w:p>
        </w:tc>
        <w:tc>
          <w:tcPr>
            <w:tcW w:w="1300" w:type="dxa"/>
            <w:tcBorders>
              <w:top w:val="nil"/>
              <w:left w:val="nil"/>
              <w:bottom w:val="single" w:sz="4" w:space="0" w:color="auto"/>
              <w:right w:val="single" w:sz="4" w:space="0" w:color="auto"/>
            </w:tcBorders>
            <w:shd w:val="clear" w:color="auto" w:fill="auto"/>
            <w:vAlign w:val="bottom"/>
          </w:tcPr>
          <w:p w14:paraId="6079C53E"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1568</w:t>
            </w:r>
          </w:p>
        </w:tc>
        <w:tc>
          <w:tcPr>
            <w:tcW w:w="1300" w:type="dxa"/>
            <w:tcBorders>
              <w:top w:val="nil"/>
              <w:left w:val="nil"/>
              <w:bottom w:val="single" w:sz="4" w:space="0" w:color="auto"/>
              <w:right w:val="single" w:sz="4" w:space="0" w:color="auto"/>
            </w:tcBorders>
            <w:shd w:val="clear" w:color="auto" w:fill="auto"/>
            <w:vAlign w:val="bottom"/>
          </w:tcPr>
          <w:p w14:paraId="3A90B67D"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1641</w:t>
            </w:r>
          </w:p>
        </w:tc>
        <w:tc>
          <w:tcPr>
            <w:tcW w:w="1300" w:type="dxa"/>
            <w:tcBorders>
              <w:top w:val="nil"/>
              <w:left w:val="nil"/>
              <w:bottom w:val="single" w:sz="4" w:space="0" w:color="auto"/>
              <w:right w:val="single" w:sz="4" w:space="0" w:color="auto"/>
            </w:tcBorders>
            <w:shd w:val="clear" w:color="auto" w:fill="auto"/>
            <w:vAlign w:val="bottom"/>
          </w:tcPr>
          <w:p w14:paraId="5CB5A084"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1610</w:t>
            </w:r>
          </w:p>
        </w:tc>
      </w:tr>
      <w:tr w:rsidR="00BE4243" w:rsidRPr="00F16462" w14:paraId="37D1A45F"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11D12176"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2017</w:t>
            </w:r>
          </w:p>
        </w:tc>
        <w:tc>
          <w:tcPr>
            <w:tcW w:w="1300" w:type="dxa"/>
            <w:tcBorders>
              <w:top w:val="nil"/>
              <w:left w:val="nil"/>
              <w:bottom w:val="single" w:sz="4" w:space="0" w:color="auto"/>
              <w:right w:val="single" w:sz="4" w:space="0" w:color="auto"/>
            </w:tcBorders>
            <w:shd w:val="clear" w:color="auto" w:fill="auto"/>
            <w:noWrap/>
            <w:vAlign w:val="bottom"/>
            <w:hideMark/>
          </w:tcPr>
          <w:p w14:paraId="1EFD6929"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1497</w:t>
            </w:r>
          </w:p>
        </w:tc>
        <w:tc>
          <w:tcPr>
            <w:tcW w:w="1300" w:type="dxa"/>
            <w:tcBorders>
              <w:top w:val="nil"/>
              <w:left w:val="nil"/>
              <w:bottom w:val="single" w:sz="4" w:space="0" w:color="auto"/>
              <w:right w:val="single" w:sz="4" w:space="0" w:color="auto"/>
            </w:tcBorders>
            <w:shd w:val="clear" w:color="auto" w:fill="auto"/>
            <w:noWrap/>
            <w:vAlign w:val="bottom"/>
            <w:hideMark/>
          </w:tcPr>
          <w:p w14:paraId="7AB813B2"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1503</w:t>
            </w:r>
          </w:p>
        </w:tc>
        <w:tc>
          <w:tcPr>
            <w:tcW w:w="1300" w:type="dxa"/>
            <w:tcBorders>
              <w:top w:val="nil"/>
              <w:left w:val="nil"/>
              <w:bottom w:val="single" w:sz="4" w:space="0" w:color="auto"/>
              <w:right w:val="single" w:sz="4" w:space="0" w:color="auto"/>
            </w:tcBorders>
            <w:shd w:val="clear" w:color="auto" w:fill="auto"/>
            <w:vAlign w:val="bottom"/>
          </w:tcPr>
          <w:p w14:paraId="02D890A6"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1612</w:t>
            </w:r>
          </w:p>
        </w:tc>
        <w:tc>
          <w:tcPr>
            <w:tcW w:w="1300" w:type="dxa"/>
            <w:tcBorders>
              <w:top w:val="nil"/>
              <w:left w:val="nil"/>
              <w:bottom w:val="single" w:sz="4" w:space="0" w:color="auto"/>
              <w:right w:val="single" w:sz="4" w:space="0" w:color="auto"/>
            </w:tcBorders>
            <w:shd w:val="clear" w:color="auto" w:fill="auto"/>
            <w:vAlign w:val="bottom"/>
          </w:tcPr>
          <w:p w14:paraId="4931E2E2"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1571</w:t>
            </w:r>
          </w:p>
        </w:tc>
        <w:tc>
          <w:tcPr>
            <w:tcW w:w="1300" w:type="dxa"/>
            <w:tcBorders>
              <w:top w:val="nil"/>
              <w:left w:val="nil"/>
              <w:bottom w:val="single" w:sz="4" w:space="0" w:color="auto"/>
              <w:right w:val="single" w:sz="4" w:space="0" w:color="auto"/>
            </w:tcBorders>
            <w:shd w:val="clear" w:color="auto" w:fill="auto"/>
            <w:vAlign w:val="bottom"/>
          </w:tcPr>
          <w:p w14:paraId="19D9C2E3"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1647</w:t>
            </w:r>
          </w:p>
        </w:tc>
        <w:tc>
          <w:tcPr>
            <w:tcW w:w="1300" w:type="dxa"/>
            <w:tcBorders>
              <w:top w:val="nil"/>
              <w:left w:val="nil"/>
              <w:bottom w:val="single" w:sz="4" w:space="0" w:color="auto"/>
              <w:right w:val="single" w:sz="4" w:space="0" w:color="auto"/>
            </w:tcBorders>
            <w:shd w:val="clear" w:color="auto" w:fill="auto"/>
            <w:vAlign w:val="bottom"/>
          </w:tcPr>
          <w:p w14:paraId="52162D38"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1613</w:t>
            </w:r>
          </w:p>
        </w:tc>
      </w:tr>
      <w:tr w:rsidR="00BE4243" w:rsidRPr="00F16462" w14:paraId="5D63EC18"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009BA0FD"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2018</w:t>
            </w:r>
          </w:p>
        </w:tc>
        <w:tc>
          <w:tcPr>
            <w:tcW w:w="1300" w:type="dxa"/>
            <w:tcBorders>
              <w:top w:val="nil"/>
              <w:left w:val="nil"/>
              <w:bottom w:val="single" w:sz="4" w:space="0" w:color="auto"/>
              <w:right w:val="single" w:sz="4" w:space="0" w:color="auto"/>
            </w:tcBorders>
            <w:shd w:val="clear" w:color="auto" w:fill="auto"/>
            <w:noWrap/>
            <w:vAlign w:val="bottom"/>
            <w:hideMark/>
          </w:tcPr>
          <w:p w14:paraId="6D7BC088"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1499</w:t>
            </w:r>
          </w:p>
        </w:tc>
        <w:tc>
          <w:tcPr>
            <w:tcW w:w="1300" w:type="dxa"/>
            <w:tcBorders>
              <w:top w:val="nil"/>
              <w:left w:val="nil"/>
              <w:bottom w:val="single" w:sz="4" w:space="0" w:color="auto"/>
              <w:right w:val="single" w:sz="4" w:space="0" w:color="auto"/>
            </w:tcBorders>
            <w:shd w:val="clear" w:color="auto" w:fill="auto"/>
            <w:noWrap/>
            <w:vAlign w:val="bottom"/>
            <w:hideMark/>
          </w:tcPr>
          <w:p w14:paraId="3F960B35"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1492</w:t>
            </w:r>
          </w:p>
        </w:tc>
        <w:tc>
          <w:tcPr>
            <w:tcW w:w="1300" w:type="dxa"/>
            <w:tcBorders>
              <w:top w:val="nil"/>
              <w:left w:val="nil"/>
              <w:bottom w:val="single" w:sz="4" w:space="0" w:color="auto"/>
              <w:right w:val="single" w:sz="4" w:space="0" w:color="auto"/>
            </w:tcBorders>
            <w:shd w:val="clear" w:color="auto" w:fill="auto"/>
            <w:vAlign w:val="bottom"/>
          </w:tcPr>
          <w:p w14:paraId="7A38C18C"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1614</w:t>
            </w:r>
          </w:p>
        </w:tc>
        <w:tc>
          <w:tcPr>
            <w:tcW w:w="1300" w:type="dxa"/>
            <w:tcBorders>
              <w:top w:val="nil"/>
              <w:left w:val="nil"/>
              <w:bottom w:val="single" w:sz="4" w:space="0" w:color="auto"/>
              <w:right w:val="single" w:sz="4" w:space="0" w:color="auto"/>
            </w:tcBorders>
            <w:shd w:val="clear" w:color="auto" w:fill="auto"/>
            <w:vAlign w:val="bottom"/>
          </w:tcPr>
          <w:p w14:paraId="6E661B22"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1602</w:t>
            </w:r>
          </w:p>
        </w:tc>
        <w:tc>
          <w:tcPr>
            <w:tcW w:w="1300" w:type="dxa"/>
            <w:tcBorders>
              <w:top w:val="nil"/>
              <w:left w:val="nil"/>
              <w:bottom w:val="single" w:sz="4" w:space="0" w:color="auto"/>
              <w:right w:val="single" w:sz="4" w:space="0" w:color="auto"/>
            </w:tcBorders>
            <w:shd w:val="clear" w:color="auto" w:fill="auto"/>
            <w:vAlign w:val="bottom"/>
          </w:tcPr>
          <w:p w14:paraId="5E2BCA2E"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1647</w:t>
            </w:r>
          </w:p>
        </w:tc>
        <w:tc>
          <w:tcPr>
            <w:tcW w:w="1300" w:type="dxa"/>
            <w:tcBorders>
              <w:top w:val="nil"/>
              <w:left w:val="nil"/>
              <w:bottom w:val="single" w:sz="4" w:space="0" w:color="auto"/>
              <w:right w:val="single" w:sz="4" w:space="0" w:color="auto"/>
            </w:tcBorders>
            <w:shd w:val="clear" w:color="auto" w:fill="auto"/>
            <w:vAlign w:val="bottom"/>
          </w:tcPr>
          <w:p w14:paraId="50F83707"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1636</w:t>
            </w:r>
          </w:p>
        </w:tc>
      </w:tr>
      <w:tr w:rsidR="00BE4243" w:rsidRPr="00F16462" w14:paraId="44FC9026" w14:textId="77777777" w:rsidTr="00ED454E">
        <w:trPr>
          <w:trHeight w:val="300"/>
          <w:jc w:val="center"/>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14:paraId="5D654BC7"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2019</w:t>
            </w:r>
          </w:p>
        </w:tc>
        <w:tc>
          <w:tcPr>
            <w:tcW w:w="1300" w:type="dxa"/>
            <w:tcBorders>
              <w:top w:val="nil"/>
              <w:left w:val="nil"/>
              <w:bottom w:val="single" w:sz="4" w:space="0" w:color="auto"/>
              <w:right w:val="single" w:sz="4" w:space="0" w:color="auto"/>
            </w:tcBorders>
            <w:shd w:val="clear" w:color="auto" w:fill="auto"/>
            <w:noWrap/>
            <w:vAlign w:val="bottom"/>
            <w:hideMark/>
          </w:tcPr>
          <w:p w14:paraId="12190330"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1495</w:t>
            </w:r>
          </w:p>
        </w:tc>
        <w:tc>
          <w:tcPr>
            <w:tcW w:w="1300" w:type="dxa"/>
            <w:tcBorders>
              <w:top w:val="nil"/>
              <w:left w:val="nil"/>
              <w:bottom w:val="single" w:sz="4" w:space="0" w:color="auto"/>
              <w:right w:val="single" w:sz="4" w:space="0" w:color="auto"/>
            </w:tcBorders>
            <w:shd w:val="clear" w:color="auto" w:fill="auto"/>
            <w:noWrap/>
            <w:vAlign w:val="bottom"/>
            <w:hideMark/>
          </w:tcPr>
          <w:p w14:paraId="649BFF82"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1499</w:t>
            </w:r>
          </w:p>
        </w:tc>
        <w:tc>
          <w:tcPr>
            <w:tcW w:w="1300" w:type="dxa"/>
            <w:tcBorders>
              <w:top w:val="nil"/>
              <w:left w:val="nil"/>
              <w:bottom w:val="single" w:sz="4" w:space="0" w:color="auto"/>
              <w:right w:val="single" w:sz="4" w:space="0" w:color="auto"/>
            </w:tcBorders>
            <w:shd w:val="clear" w:color="auto" w:fill="auto"/>
            <w:vAlign w:val="bottom"/>
          </w:tcPr>
          <w:p w14:paraId="4FA60B79"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1624</w:t>
            </w:r>
          </w:p>
        </w:tc>
        <w:tc>
          <w:tcPr>
            <w:tcW w:w="1300" w:type="dxa"/>
            <w:tcBorders>
              <w:top w:val="nil"/>
              <w:left w:val="nil"/>
              <w:bottom w:val="single" w:sz="4" w:space="0" w:color="auto"/>
              <w:right w:val="single" w:sz="4" w:space="0" w:color="auto"/>
            </w:tcBorders>
            <w:shd w:val="clear" w:color="auto" w:fill="auto"/>
            <w:vAlign w:val="bottom"/>
          </w:tcPr>
          <w:p w14:paraId="3012F45B"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1608</w:t>
            </w:r>
          </w:p>
        </w:tc>
        <w:tc>
          <w:tcPr>
            <w:tcW w:w="1300" w:type="dxa"/>
            <w:tcBorders>
              <w:top w:val="nil"/>
              <w:left w:val="nil"/>
              <w:bottom w:val="single" w:sz="4" w:space="0" w:color="auto"/>
              <w:right w:val="single" w:sz="4" w:space="0" w:color="auto"/>
            </w:tcBorders>
            <w:shd w:val="clear" w:color="auto" w:fill="auto"/>
            <w:vAlign w:val="bottom"/>
          </w:tcPr>
          <w:p w14:paraId="623500E7"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1670</w:t>
            </w:r>
          </w:p>
        </w:tc>
        <w:tc>
          <w:tcPr>
            <w:tcW w:w="1300" w:type="dxa"/>
            <w:tcBorders>
              <w:top w:val="nil"/>
              <w:left w:val="nil"/>
              <w:bottom w:val="single" w:sz="4" w:space="0" w:color="auto"/>
              <w:right w:val="single" w:sz="4" w:space="0" w:color="auto"/>
            </w:tcBorders>
            <w:shd w:val="clear" w:color="auto" w:fill="auto"/>
            <w:vAlign w:val="bottom"/>
          </w:tcPr>
          <w:p w14:paraId="26708073" w14:textId="77777777" w:rsidR="00BE4243" w:rsidRPr="00F16462" w:rsidRDefault="00BE4243" w:rsidP="00ED454E">
            <w:pPr>
              <w:spacing w:after="0" w:line="240" w:lineRule="auto"/>
              <w:jc w:val="right"/>
              <w:rPr>
                <w:color w:val="000000"/>
                <w:sz w:val="20"/>
                <w:szCs w:val="20"/>
                <w:lang w:eastAsia="hu-HU"/>
              </w:rPr>
            </w:pPr>
            <w:r w:rsidRPr="00F16462">
              <w:rPr>
                <w:color w:val="000000"/>
                <w:sz w:val="20"/>
                <w:szCs w:val="20"/>
                <w:lang w:eastAsia="hu-HU"/>
              </w:rPr>
              <w:t>1661</w:t>
            </w:r>
          </w:p>
        </w:tc>
      </w:tr>
    </w:tbl>
    <w:p w14:paraId="2832C983" w14:textId="77777777" w:rsidR="00B86FE8" w:rsidRPr="00DC6C83" w:rsidRDefault="00B86FE8" w:rsidP="009C4E15">
      <w:pPr>
        <w:spacing w:line="276" w:lineRule="auto"/>
        <w:jc w:val="center"/>
        <w:rPr>
          <w:rFonts w:asciiTheme="majorHAnsi" w:hAnsiTheme="majorHAnsi" w:cstheme="majorHAnsi"/>
          <w:i/>
          <w:sz w:val="20"/>
        </w:rPr>
      </w:pPr>
      <w:r w:rsidRPr="00DC6C83">
        <w:rPr>
          <w:rFonts w:asciiTheme="majorHAnsi" w:hAnsiTheme="majorHAnsi" w:cstheme="majorHAnsi"/>
          <w:i/>
          <w:sz w:val="20"/>
        </w:rPr>
        <w:t>Forrás: Országos kompetenciamérés – Országos jelentés alapján</w:t>
      </w:r>
    </w:p>
    <w:p w14:paraId="3F6979E9" w14:textId="77777777" w:rsidR="00FA67ED" w:rsidRPr="007D587D" w:rsidRDefault="00FA67ED" w:rsidP="00FA67ED">
      <w:r w:rsidRPr="007D587D">
        <w:t xml:space="preserve">Az egyes településtípusokon elért eredmények különbsége elsősorban az ott tanuló diákok szociokulturális háttere közötti különbségekkel magyarázható. A 2018. évi kompetenciamérésben is megmutatkozik a településtípusok közötti különbség: a 6. és a 8. évfolyamon (ezeken az évfolyamokon a legtöbb tanuló még a lakóhelyén tanul, így ez a lakóhely szerinti eredménykülönbségeket is tükrözi) matematikából 115, illetve 145, szövegértésből 130, illetve 148 pontnyi különbség van a községi és a fővárosi iskolák tanulói között. </w:t>
      </w:r>
      <w:r w:rsidRPr="007D587D">
        <w:rPr>
          <w:bCs/>
        </w:rPr>
        <w:t>E különbségeket nagyrészt a különböző településtípusok eltérő gazdasági és szociális jellemzői magyarázzák</w:t>
      </w:r>
      <w:r w:rsidRPr="007D587D">
        <w:t>.</w:t>
      </w:r>
    </w:p>
    <w:p w14:paraId="4C76B8E2" w14:textId="77777777" w:rsidR="00FA67ED" w:rsidRPr="007D587D" w:rsidRDefault="00FA67ED" w:rsidP="00FA67ED">
      <w:r w:rsidRPr="007D587D">
        <w:t xml:space="preserve">Az eredményeknek a </w:t>
      </w:r>
      <w:r w:rsidRPr="007D587D">
        <w:rPr>
          <w:bCs/>
        </w:rPr>
        <w:t>tanulók családi hátterével</w:t>
      </w:r>
      <w:r w:rsidRPr="007D587D">
        <w:t xml:space="preserve">, de még inkább a korábbi eredményekkel való összevetése árnyaltabb képet adhat az iskolák munkájáról. </w:t>
      </w:r>
      <w:r w:rsidR="00BF216C">
        <w:rPr>
          <w:bCs/>
        </w:rPr>
        <w:t>A</w:t>
      </w:r>
      <w:r w:rsidRPr="007D587D">
        <w:rPr>
          <w:bCs/>
        </w:rPr>
        <w:t xml:space="preserve"> településtípusok szerint mért tanulói teljesítménykülönbségeket nagyobbrészt nem az iskolák vagy a bennük folyó </w:t>
      </w:r>
      <w:r w:rsidRPr="007D587D">
        <w:rPr>
          <w:bCs/>
        </w:rPr>
        <w:lastRenderedPageBreak/>
        <w:t>oktatási munka minősége, hanem</w:t>
      </w:r>
      <w:r w:rsidRPr="007D587D">
        <w:t xml:space="preserve"> elsősorban a különböző </w:t>
      </w:r>
      <w:r w:rsidRPr="007D587D">
        <w:rPr>
          <w:bCs/>
        </w:rPr>
        <w:t>településtípusok</w:t>
      </w:r>
      <w:r w:rsidR="007D587D">
        <w:rPr>
          <w:bCs/>
        </w:rPr>
        <w:t xml:space="preserve"> </w:t>
      </w:r>
      <w:r w:rsidRPr="007D587D">
        <w:rPr>
          <w:bCs/>
        </w:rPr>
        <w:t>eltérő gazdasági és szociális jellemzői</w:t>
      </w:r>
      <w:r w:rsidRPr="007D587D">
        <w:t xml:space="preserve">, valamint a hatodik évfolyam végére már kialakult fejlettségbeli különbségek </w:t>
      </w:r>
      <w:r w:rsidRPr="007D587D">
        <w:rPr>
          <w:bCs/>
        </w:rPr>
        <w:t>magyarázzák</w:t>
      </w:r>
      <w:r w:rsidRPr="007D587D">
        <w:t xml:space="preserve">. </w:t>
      </w:r>
    </w:p>
    <w:p w14:paraId="019F9CC2" w14:textId="77777777" w:rsidR="00B86FE8" w:rsidRPr="007D587D" w:rsidRDefault="00FA67ED" w:rsidP="00FA67ED">
      <w:pPr>
        <w:rPr>
          <w:rFonts w:asciiTheme="majorHAnsi" w:hAnsiTheme="majorHAnsi" w:cstheme="majorHAnsi"/>
        </w:rPr>
      </w:pPr>
      <w:r w:rsidRPr="007D587D">
        <w:t xml:space="preserve">A családi háttérindexet alapul véve az látszik, hogy a 6. és a 8. évfolyamon a különböző településtípusok általános iskoláihoz tartozó </w:t>
      </w:r>
      <w:r w:rsidR="00BF216C">
        <w:t>mutatók</w:t>
      </w:r>
      <w:r w:rsidRPr="007D587D">
        <w:t xml:space="preserve"> (családi háttér és teljesítmény közti összefüggés) együtt mozognak, nem külö</w:t>
      </w:r>
      <w:r w:rsidR="00BF216C">
        <w:t>nülnek el lényegesen egymástól. Ez</w:t>
      </w:r>
      <w:r w:rsidRPr="007D587D">
        <w:t xml:space="preserve"> jel</w:t>
      </w:r>
      <w:r w:rsidR="00BF216C">
        <w:t>zi</w:t>
      </w:r>
      <w:r w:rsidRPr="007D587D">
        <w:t xml:space="preserve">, hogy az </w:t>
      </w:r>
      <w:r w:rsidRPr="007D587D">
        <w:rPr>
          <w:bCs/>
        </w:rPr>
        <w:t xml:space="preserve">azonos </w:t>
      </w:r>
      <w:proofErr w:type="spellStart"/>
      <w:r w:rsidRPr="007D587D">
        <w:rPr>
          <w:bCs/>
        </w:rPr>
        <w:t>CSH</w:t>
      </w:r>
      <w:r w:rsidR="004D23F3">
        <w:rPr>
          <w:bCs/>
        </w:rPr>
        <w:t>-</w:t>
      </w:r>
      <w:r w:rsidRPr="007D587D">
        <w:rPr>
          <w:bCs/>
        </w:rPr>
        <w:t>indexszel</w:t>
      </w:r>
      <w:proofErr w:type="spellEnd"/>
      <w:r w:rsidRPr="007D587D">
        <w:rPr>
          <w:bCs/>
        </w:rPr>
        <w:t xml:space="preserve"> rendelkező</w:t>
      </w:r>
      <w:r w:rsidRPr="007D587D">
        <w:t xml:space="preserve"> tanulók szövegértési</w:t>
      </w:r>
      <w:r w:rsidR="00BF216C">
        <w:t xml:space="preserve"> képessége és matematikai </w:t>
      </w:r>
      <w:r w:rsidRPr="007D587D">
        <w:t xml:space="preserve">tudása </w:t>
      </w:r>
      <w:r w:rsidRPr="007D587D">
        <w:rPr>
          <w:bCs/>
        </w:rPr>
        <w:t>lakóhelyük közigazgatási rangjától függetlenül nem különbözik lényegesen</w:t>
      </w:r>
      <w:r w:rsidRPr="007D587D">
        <w:t>. Ez is a családi társ</w:t>
      </w:r>
      <w:r w:rsidR="007D587D">
        <w:t>adalmi-gazdasági</w:t>
      </w:r>
      <w:r w:rsidRPr="007D587D">
        <w:t xml:space="preserve"> háttér</w:t>
      </w:r>
      <w:r w:rsidR="00BF216C">
        <w:t>ének tanulói</w:t>
      </w:r>
      <w:r w:rsidRPr="007D587D">
        <w:t xml:space="preserve"> teljesítményt befolyásoló </w:t>
      </w:r>
      <w:r w:rsidR="00BF216C">
        <w:t>erős hatását</w:t>
      </w:r>
      <w:r w:rsidRPr="007D587D">
        <w:t xml:space="preserve"> támasztja alá.</w:t>
      </w:r>
    </w:p>
    <w:p w14:paraId="634D6C1B" w14:textId="77777777" w:rsidR="00B86FE8" w:rsidRPr="00DC6C83" w:rsidRDefault="00B86FE8" w:rsidP="00B86FE8">
      <w:pPr>
        <w:spacing w:line="276" w:lineRule="auto"/>
        <w:rPr>
          <w:rFonts w:asciiTheme="majorHAnsi" w:hAnsiTheme="majorHAnsi" w:cstheme="majorHAnsi"/>
        </w:rPr>
      </w:pPr>
      <w:r w:rsidRPr="00E321CF">
        <w:rPr>
          <w:rFonts w:asciiTheme="majorHAnsi" w:hAnsiTheme="majorHAnsi" w:cstheme="majorHAnsi"/>
        </w:rPr>
        <w:t>A család jellemzőivel, lehetőségeivel szorosan összefügg, hogy egy tanuló milyen továbbtanulási célokat határoz meg a mag</w:t>
      </w:r>
      <w:r w:rsidR="00757044">
        <w:rPr>
          <w:rFonts w:asciiTheme="majorHAnsi" w:hAnsiTheme="majorHAnsi" w:cstheme="majorHAnsi"/>
        </w:rPr>
        <w:t>ának</w:t>
      </w:r>
      <w:r w:rsidRPr="00E321CF">
        <w:rPr>
          <w:rFonts w:asciiTheme="majorHAnsi" w:hAnsiTheme="majorHAnsi" w:cstheme="majorHAnsi"/>
        </w:rPr>
        <w:t xml:space="preserve">. </w:t>
      </w:r>
      <w:r w:rsidR="00ED454E">
        <w:rPr>
          <w:rFonts w:asciiTheme="majorHAnsi" w:hAnsiTheme="majorHAnsi" w:cstheme="majorHAnsi"/>
        </w:rPr>
        <w:t>A</w:t>
      </w:r>
      <w:r w:rsidRPr="00E321CF">
        <w:rPr>
          <w:rFonts w:asciiTheme="majorHAnsi" w:hAnsiTheme="majorHAnsi" w:cstheme="majorHAnsi"/>
        </w:rPr>
        <w:t xml:space="preserve"> kompetenciamérés</w:t>
      </w:r>
      <w:r w:rsidR="00ED454E">
        <w:rPr>
          <w:rFonts w:asciiTheme="majorHAnsi" w:hAnsiTheme="majorHAnsi" w:cstheme="majorHAnsi"/>
        </w:rPr>
        <w:t>ek</w:t>
      </w:r>
      <w:r w:rsidRPr="00E321CF">
        <w:rPr>
          <w:rFonts w:asciiTheme="majorHAnsi" w:hAnsiTheme="majorHAnsi" w:cstheme="majorHAnsi"/>
        </w:rPr>
        <w:t>en elért eredmények</w:t>
      </w:r>
      <w:r w:rsidR="008C749C">
        <w:rPr>
          <w:rFonts w:asciiTheme="majorHAnsi" w:hAnsiTheme="majorHAnsi" w:cstheme="majorHAnsi"/>
        </w:rPr>
        <w:t>, az anya</w:t>
      </w:r>
      <w:r w:rsidR="0022453B">
        <w:rPr>
          <w:rFonts w:asciiTheme="majorHAnsi" w:hAnsiTheme="majorHAnsi" w:cstheme="majorHAnsi"/>
        </w:rPr>
        <w:t>,</w:t>
      </w:r>
      <w:r w:rsidR="008C749C">
        <w:rPr>
          <w:rFonts w:asciiTheme="majorHAnsi" w:hAnsiTheme="majorHAnsi" w:cstheme="majorHAnsi"/>
        </w:rPr>
        <w:t xml:space="preserve"> a szülők végzetts</w:t>
      </w:r>
      <w:r w:rsidR="0022453B">
        <w:rPr>
          <w:rFonts w:asciiTheme="majorHAnsi" w:hAnsiTheme="majorHAnsi" w:cstheme="majorHAnsi"/>
        </w:rPr>
        <w:t>é</w:t>
      </w:r>
      <w:r w:rsidR="008C749C">
        <w:rPr>
          <w:rFonts w:asciiTheme="majorHAnsi" w:hAnsiTheme="majorHAnsi" w:cstheme="majorHAnsi"/>
        </w:rPr>
        <w:t xml:space="preserve">gi szintjének mértéke </w:t>
      </w:r>
      <w:r w:rsidRPr="00E321CF">
        <w:rPr>
          <w:rFonts w:asciiTheme="majorHAnsi" w:hAnsiTheme="majorHAnsi" w:cstheme="majorHAnsi"/>
        </w:rPr>
        <w:t xml:space="preserve">és a továbbtanulási célok között szoros összefüggés mutatkozik, így a magasabb </w:t>
      </w:r>
      <w:r w:rsidR="001F549B">
        <w:rPr>
          <w:rFonts w:asciiTheme="majorHAnsi" w:hAnsiTheme="majorHAnsi" w:cstheme="majorHAnsi"/>
        </w:rPr>
        <w:t xml:space="preserve">végzettségi </w:t>
      </w:r>
      <w:r w:rsidRPr="00E321CF">
        <w:rPr>
          <w:rFonts w:asciiTheme="majorHAnsi" w:hAnsiTheme="majorHAnsi" w:cstheme="majorHAnsi"/>
        </w:rPr>
        <w:t>fokozatot elérni kívánók átlagosan jobb eredményt értek el. Látható</w:t>
      </w:r>
      <w:r w:rsidRPr="00DC6C83">
        <w:rPr>
          <w:rFonts w:asciiTheme="majorHAnsi" w:hAnsiTheme="majorHAnsi" w:cstheme="majorHAnsi"/>
        </w:rPr>
        <w:t xml:space="preserve">, hogy egy átlagos képességű tanuló is inkább az érettséginél magasabb szintű végzettség </w:t>
      </w:r>
      <w:r w:rsidR="00757044">
        <w:rPr>
          <w:rFonts w:asciiTheme="majorHAnsi" w:hAnsiTheme="majorHAnsi" w:cstheme="majorHAnsi"/>
        </w:rPr>
        <w:t>megszerzésére</w:t>
      </w:r>
      <w:r w:rsidR="007C260A">
        <w:rPr>
          <w:rFonts w:asciiTheme="majorHAnsi" w:hAnsiTheme="majorHAnsi" w:cstheme="majorHAnsi"/>
        </w:rPr>
        <w:t xml:space="preserve"> </w:t>
      </w:r>
      <w:r w:rsidRPr="00DC6C83">
        <w:rPr>
          <w:rFonts w:asciiTheme="majorHAnsi" w:hAnsiTheme="majorHAnsi" w:cstheme="majorHAnsi"/>
        </w:rPr>
        <w:t xml:space="preserve">törekszik. A különböző végzettségek </w:t>
      </w:r>
      <w:r w:rsidR="00757044">
        <w:rPr>
          <w:rFonts w:asciiTheme="majorHAnsi" w:hAnsiTheme="majorHAnsi" w:cstheme="majorHAnsi"/>
        </w:rPr>
        <w:t>megszerzését</w:t>
      </w:r>
      <w:r w:rsidR="007C260A">
        <w:rPr>
          <w:rFonts w:asciiTheme="majorHAnsi" w:hAnsiTheme="majorHAnsi" w:cstheme="majorHAnsi"/>
        </w:rPr>
        <w:t xml:space="preserve"> </w:t>
      </w:r>
      <w:r w:rsidRPr="00DC6C83">
        <w:rPr>
          <w:rFonts w:asciiTheme="majorHAnsi" w:hAnsiTheme="majorHAnsi" w:cstheme="majorHAnsi"/>
        </w:rPr>
        <w:t>tervező tanulók teljesítményei közötti különbségek valamelyest növekednek a magasabb évfolyamok felé haladva, ahogy a tanulók egyre közelebb kerülnek a továbbtanulásra vonatkozó döntésükhöz.</w:t>
      </w:r>
    </w:p>
    <w:p w14:paraId="2C393967" w14:textId="6C57E352" w:rsidR="00B86FE8" w:rsidRPr="00DC6C83" w:rsidRDefault="00BE288F" w:rsidP="00B86FE8">
      <w:pPr>
        <w:pStyle w:val="Cmsor2"/>
        <w:rPr>
          <w:rFonts w:asciiTheme="majorHAnsi" w:hAnsiTheme="majorHAnsi" w:cstheme="majorHAnsi"/>
        </w:rPr>
      </w:pPr>
      <w:hyperlink w:anchor="_Toc24753479" w:history="1">
        <w:bookmarkStart w:id="27" w:name="_Toc35596121"/>
        <w:bookmarkStart w:id="28" w:name="_Toc46822697"/>
        <w:r w:rsidR="00B86FE8" w:rsidRPr="00DC6C83">
          <w:rPr>
            <w:rFonts w:asciiTheme="majorHAnsi" w:hAnsiTheme="majorHAnsi" w:cstheme="majorHAnsi"/>
          </w:rPr>
          <w:t>A</w:t>
        </w:r>
        <w:r w:rsidR="00A320FE">
          <w:rPr>
            <w:rFonts w:asciiTheme="majorHAnsi" w:hAnsiTheme="majorHAnsi" w:cstheme="majorHAnsi"/>
          </w:rPr>
          <w:t xml:space="preserve">z elmúlt 10 év </w:t>
        </w:r>
        <w:r w:rsidR="00933AF9">
          <w:rPr>
            <w:rFonts w:asciiTheme="majorHAnsi" w:hAnsiTheme="majorHAnsi" w:cstheme="majorHAnsi"/>
          </w:rPr>
          <w:t xml:space="preserve">kiemelt </w:t>
        </w:r>
        <w:r w:rsidR="00B86FE8" w:rsidRPr="00DC6C83">
          <w:rPr>
            <w:rFonts w:asciiTheme="majorHAnsi" w:hAnsiTheme="majorHAnsi" w:cstheme="majorHAnsi"/>
          </w:rPr>
          <w:t>kormányzati intézkedései</w:t>
        </w:r>
        <w:bookmarkEnd w:id="27"/>
        <w:bookmarkEnd w:id="28"/>
      </w:hyperlink>
    </w:p>
    <w:p w14:paraId="2A5BF172" w14:textId="4C0C953C" w:rsidR="00550041" w:rsidRDefault="00550041" w:rsidP="00B86FE8">
      <w:pPr>
        <w:rPr>
          <w:rFonts w:asciiTheme="majorHAnsi" w:hAnsiTheme="majorHAnsi" w:cstheme="majorHAnsi"/>
        </w:rPr>
      </w:pPr>
      <w:r>
        <w:rPr>
          <w:rFonts w:asciiTheme="majorHAnsi" w:hAnsiTheme="majorHAnsi" w:cstheme="majorHAnsi"/>
        </w:rPr>
        <w:t>Az oktatás átalakítás</w:t>
      </w:r>
      <w:r w:rsidR="000D1FAB">
        <w:rPr>
          <w:rFonts w:asciiTheme="majorHAnsi" w:hAnsiTheme="majorHAnsi" w:cstheme="majorHAnsi"/>
        </w:rPr>
        <w:t>a</w:t>
      </w:r>
      <w:r>
        <w:rPr>
          <w:rFonts w:asciiTheme="majorHAnsi" w:hAnsiTheme="majorHAnsi" w:cstheme="majorHAnsi"/>
        </w:rPr>
        <w:t xml:space="preserve"> már 2010-ben megkezd</w:t>
      </w:r>
      <w:r w:rsidR="000D1FAB">
        <w:rPr>
          <w:rFonts w:asciiTheme="majorHAnsi" w:hAnsiTheme="majorHAnsi" w:cstheme="majorHAnsi"/>
        </w:rPr>
        <w:t>ődött</w:t>
      </w:r>
      <w:r>
        <w:rPr>
          <w:rFonts w:asciiTheme="majorHAnsi" w:hAnsiTheme="majorHAnsi" w:cstheme="majorHAnsi"/>
        </w:rPr>
        <w:t>, azóta szisztematikus lépések</w:t>
      </w:r>
      <w:r w:rsidR="000D1FAB">
        <w:rPr>
          <w:rFonts w:asciiTheme="majorHAnsi" w:hAnsiTheme="majorHAnsi" w:cstheme="majorHAnsi"/>
        </w:rPr>
        <w:t xml:space="preserve"> születtek</w:t>
      </w:r>
      <w:r>
        <w:rPr>
          <w:rFonts w:asciiTheme="majorHAnsi" w:hAnsiTheme="majorHAnsi" w:cstheme="majorHAnsi"/>
        </w:rPr>
        <w:t xml:space="preserve"> egy új köznevelési rendszer kialakítás</w:t>
      </w:r>
      <w:r w:rsidR="00757044">
        <w:rPr>
          <w:rFonts w:asciiTheme="majorHAnsi" w:hAnsiTheme="majorHAnsi" w:cstheme="majorHAnsi"/>
        </w:rPr>
        <w:t>ára</w:t>
      </w:r>
      <w:r>
        <w:rPr>
          <w:rFonts w:asciiTheme="majorHAnsi" w:hAnsiTheme="majorHAnsi" w:cstheme="majorHAnsi"/>
        </w:rPr>
        <w:t xml:space="preserve">, </w:t>
      </w:r>
      <w:r w:rsidR="00757044">
        <w:rPr>
          <w:rFonts w:asciiTheme="majorHAnsi" w:hAnsiTheme="majorHAnsi" w:cstheme="majorHAnsi"/>
        </w:rPr>
        <w:t>a</w:t>
      </w:r>
      <w:r>
        <w:rPr>
          <w:rFonts w:asciiTheme="majorHAnsi" w:hAnsiTheme="majorHAnsi" w:cstheme="majorHAnsi"/>
        </w:rPr>
        <w:t xml:space="preserve">melynek eredményeire ma már támaszkodhatunk, számos esetben csak a már megkezdett úton kell tovább </w:t>
      </w:r>
      <w:r w:rsidR="00FF161D">
        <w:rPr>
          <w:rFonts w:asciiTheme="majorHAnsi" w:hAnsiTheme="majorHAnsi" w:cstheme="majorHAnsi"/>
        </w:rPr>
        <w:t>haladni</w:t>
      </w:r>
      <w:r w:rsidR="00C5216E">
        <w:rPr>
          <w:rFonts w:asciiTheme="majorHAnsi" w:hAnsiTheme="majorHAnsi" w:cstheme="majorHAnsi"/>
        </w:rPr>
        <w:t xml:space="preserve">. </w:t>
      </w:r>
      <w:r w:rsidR="00FF161D">
        <w:rPr>
          <w:rFonts w:asciiTheme="majorHAnsi" w:hAnsiTheme="majorHAnsi" w:cstheme="majorHAnsi"/>
        </w:rPr>
        <w:t xml:space="preserve">Ez </w:t>
      </w:r>
      <w:r w:rsidR="00154A69">
        <w:rPr>
          <w:rFonts w:asciiTheme="majorHAnsi" w:hAnsiTheme="majorHAnsi" w:cstheme="majorHAnsi"/>
        </w:rPr>
        <w:t xml:space="preserve">a </w:t>
      </w:r>
      <w:r>
        <w:rPr>
          <w:rFonts w:asciiTheme="majorHAnsi" w:hAnsiTheme="majorHAnsi" w:cstheme="majorHAnsi"/>
        </w:rPr>
        <w:t xml:space="preserve">fejezet ezen kiemelt intézkedéseket </w:t>
      </w:r>
      <w:r w:rsidR="00FF161D">
        <w:rPr>
          <w:rFonts w:asciiTheme="majorHAnsi" w:hAnsiTheme="majorHAnsi" w:cstheme="majorHAnsi"/>
        </w:rPr>
        <w:t xml:space="preserve">gyűjti </w:t>
      </w:r>
      <w:r>
        <w:rPr>
          <w:rFonts w:asciiTheme="majorHAnsi" w:hAnsiTheme="majorHAnsi" w:cstheme="majorHAnsi"/>
        </w:rPr>
        <w:t xml:space="preserve">össze. </w:t>
      </w:r>
    </w:p>
    <w:p w14:paraId="244A71C4" w14:textId="6D37F5C7" w:rsidR="002435FF" w:rsidRDefault="00154A69" w:rsidP="00B86FE8">
      <w:pPr>
        <w:rPr>
          <w:rFonts w:asciiTheme="majorHAnsi" w:hAnsiTheme="majorHAnsi" w:cstheme="majorHAnsi"/>
        </w:rPr>
      </w:pPr>
      <w:r>
        <w:rPr>
          <w:rFonts w:asciiTheme="majorHAnsi" w:hAnsiTheme="majorHAnsi" w:cstheme="majorHAnsi"/>
        </w:rPr>
        <w:t xml:space="preserve">A Kormány </w:t>
      </w:r>
      <w:r w:rsidR="007D3336">
        <w:rPr>
          <w:rFonts w:asciiTheme="majorHAnsi" w:hAnsiTheme="majorHAnsi" w:cstheme="majorHAnsi"/>
        </w:rPr>
        <w:t xml:space="preserve">2010-ben </w:t>
      </w:r>
      <w:r>
        <w:rPr>
          <w:rFonts w:asciiTheme="majorHAnsi" w:hAnsiTheme="majorHAnsi" w:cstheme="majorHAnsi"/>
        </w:rPr>
        <w:t xml:space="preserve">a gazdasági válság ellenére leállította a </w:t>
      </w:r>
      <w:r w:rsidR="00174A09">
        <w:rPr>
          <w:rFonts w:asciiTheme="majorHAnsi" w:hAnsiTheme="majorHAnsi" w:cstheme="majorHAnsi"/>
        </w:rPr>
        <w:t>pedagógus</w:t>
      </w:r>
      <w:r w:rsidR="00757044">
        <w:rPr>
          <w:rFonts w:asciiTheme="majorHAnsi" w:hAnsiTheme="majorHAnsi" w:cstheme="majorHAnsi"/>
        </w:rPr>
        <w:t>ok</w:t>
      </w:r>
      <w:r w:rsidR="00174A09">
        <w:rPr>
          <w:rFonts w:asciiTheme="majorHAnsi" w:hAnsiTheme="majorHAnsi" w:cstheme="majorHAnsi"/>
        </w:rPr>
        <w:t xml:space="preserve"> létszám</w:t>
      </w:r>
      <w:r w:rsidR="00757044">
        <w:rPr>
          <w:rFonts w:asciiTheme="majorHAnsi" w:hAnsiTheme="majorHAnsi" w:cstheme="majorHAnsi"/>
        </w:rPr>
        <w:t>-</w:t>
      </w:r>
      <w:r w:rsidR="007D3336">
        <w:rPr>
          <w:rFonts w:asciiTheme="majorHAnsi" w:hAnsiTheme="majorHAnsi" w:cstheme="majorHAnsi"/>
        </w:rPr>
        <w:t>leépítését</w:t>
      </w:r>
      <w:r>
        <w:rPr>
          <w:rFonts w:asciiTheme="majorHAnsi" w:hAnsiTheme="majorHAnsi" w:cstheme="majorHAnsi"/>
        </w:rPr>
        <w:t xml:space="preserve"> és a kistelepülési iskolák bezárását, garantálta a bérek kifizetését. </w:t>
      </w:r>
      <w:r w:rsidR="00B86FE8" w:rsidRPr="00E321CF">
        <w:rPr>
          <w:rFonts w:asciiTheme="majorHAnsi" w:hAnsiTheme="majorHAnsi" w:cstheme="majorHAnsi"/>
        </w:rPr>
        <w:t xml:space="preserve">A köznevelési intézmények 2013. január 1-jétől </w:t>
      </w:r>
      <w:r w:rsidR="00757044">
        <w:rPr>
          <w:rFonts w:asciiTheme="majorHAnsi" w:hAnsiTheme="majorHAnsi" w:cstheme="majorHAnsi"/>
        </w:rPr>
        <w:t xml:space="preserve">állami fenntartásba kerültek. </w:t>
      </w:r>
      <w:r w:rsidR="00152195" w:rsidRPr="00E321CF">
        <w:rPr>
          <w:rFonts w:asciiTheme="majorHAnsi" w:hAnsiTheme="majorHAnsi" w:cstheme="majorHAnsi"/>
        </w:rPr>
        <w:t>Az állami intézményfenntartás legfontosabb célja</w:t>
      </w:r>
      <w:r w:rsidR="00152195">
        <w:rPr>
          <w:rFonts w:asciiTheme="majorHAnsi" w:hAnsiTheme="majorHAnsi" w:cstheme="majorHAnsi"/>
        </w:rPr>
        <w:t xml:space="preserve"> az </w:t>
      </w:r>
      <w:r w:rsidR="003A2CAF">
        <w:rPr>
          <w:rFonts w:asciiTheme="majorHAnsi" w:hAnsiTheme="majorHAnsi" w:cstheme="majorHAnsi"/>
        </w:rPr>
        <w:t xml:space="preserve">intézmények közötti különbségek csökkentése, az </w:t>
      </w:r>
      <w:r w:rsidR="00152195" w:rsidRPr="006E120A">
        <w:rPr>
          <w:rFonts w:asciiTheme="majorHAnsi" w:hAnsiTheme="majorHAnsi" w:cstheme="majorHAnsi"/>
        </w:rPr>
        <w:t xml:space="preserve">egységes </w:t>
      </w:r>
      <w:r w:rsidR="00152195">
        <w:rPr>
          <w:rFonts w:asciiTheme="majorHAnsi" w:hAnsiTheme="majorHAnsi" w:cstheme="majorHAnsi"/>
        </w:rPr>
        <w:t xml:space="preserve">szakmai színvonal kialakítása és az egyenlő hozzáférés érvényesülése, aminek feltétele, hogy </w:t>
      </w:r>
      <w:r w:rsidR="00152195" w:rsidRPr="00E321CF">
        <w:rPr>
          <w:rFonts w:asciiTheme="majorHAnsi" w:hAnsiTheme="majorHAnsi" w:cstheme="majorHAnsi"/>
        </w:rPr>
        <w:t xml:space="preserve">országosan </w:t>
      </w:r>
      <w:r w:rsidR="00152195">
        <w:rPr>
          <w:rFonts w:asciiTheme="majorHAnsi" w:hAnsiTheme="majorHAnsi" w:cstheme="majorHAnsi"/>
        </w:rPr>
        <w:t>meg</w:t>
      </w:r>
      <w:r w:rsidR="00152195" w:rsidRPr="00E321CF">
        <w:rPr>
          <w:rFonts w:asciiTheme="majorHAnsi" w:hAnsiTheme="majorHAnsi" w:cstheme="majorHAnsi"/>
        </w:rPr>
        <w:t xml:space="preserve">legyen az iskolákban a minőségi oktatáshoz szükséges infrastrukturális háttér, </w:t>
      </w:r>
      <w:r w:rsidR="00152195">
        <w:rPr>
          <w:rFonts w:asciiTheme="majorHAnsi" w:hAnsiTheme="majorHAnsi" w:cstheme="majorHAnsi"/>
        </w:rPr>
        <w:t xml:space="preserve">a rendelkezésre álljon a megfelelően képzett </w:t>
      </w:r>
      <w:r w:rsidR="00152195" w:rsidRPr="00E321CF">
        <w:rPr>
          <w:rFonts w:asciiTheme="majorHAnsi" w:hAnsiTheme="majorHAnsi" w:cstheme="majorHAnsi"/>
        </w:rPr>
        <w:t xml:space="preserve">humánerőforrás és </w:t>
      </w:r>
      <w:r w:rsidR="00152195">
        <w:rPr>
          <w:rFonts w:asciiTheme="majorHAnsi" w:hAnsiTheme="majorHAnsi" w:cstheme="majorHAnsi"/>
        </w:rPr>
        <w:t xml:space="preserve">a </w:t>
      </w:r>
      <w:r w:rsidR="00152195" w:rsidRPr="00E321CF">
        <w:rPr>
          <w:rFonts w:asciiTheme="majorHAnsi" w:hAnsiTheme="majorHAnsi" w:cstheme="majorHAnsi"/>
        </w:rPr>
        <w:t xml:space="preserve">működéshez elegendő költségvetési forrás. </w:t>
      </w:r>
      <w:r w:rsidR="00B86FE8" w:rsidRPr="00E321CF">
        <w:rPr>
          <w:rFonts w:asciiTheme="majorHAnsi" w:hAnsiTheme="majorHAnsi" w:cstheme="majorHAnsi"/>
        </w:rPr>
        <w:t>A szabályozás értelmében a 3000</w:t>
      </w:r>
      <w:r w:rsidR="00E717BD">
        <w:rPr>
          <w:rFonts w:asciiTheme="majorHAnsi" w:hAnsiTheme="majorHAnsi" w:cstheme="majorHAnsi"/>
        </w:rPr>
        <w:t xml:space="preserve"> fő</w:t>
      </w:r>
      <w:r w:rsidR="00B86FE8" w:rsidRPr="00E321CF">
        <w:rPr>
          <w:rFonts w:asciiTheme="majorHAnsi" w:hAnsiTheme="majorHAnsi" w:cstheme="majorHAnsi"/>
        </w:rPr>
        <w:t xml:space="preserve"> lélekszám alatti települések önkormányzataitól a Klebelsberg</w:t>
      </w:r>
      <w:r w:rsidR="00B86FE8" w:rsidRPr="00DC6C83">
        <w:rPr>
          <w:rFonts w:asciiTheme="majorHAnsi" w:hAnsiTheme="majorHAnsi" w:cstheme="majorHAnsi"/>
        </w:rPr>
        <w:t xml:space="preserve"> Intézményfenntartó Központ</w:t>
      </w:r>
      <w:r w:rsidR="00757044">
        <w:rPr>
          <w:rFonts w:asciiTheme="majorHAnsi" w:hAnsiTheme="majorHAnsi" w:cstheme="majorHAnsi"/>
        </w:rPr>
        <w:t>−</w:t>
      </w:r>
      <w:r w:rsidR="00B86FE8" w:rsidRPr="00DC6C83">
        <w:rPr>
          <w:rFonts w:asciiTheme="majorHAnsi" w:hAnsiTheme="majorHAnsi" w:cstheme="majorHAnsi"/>
        </w:rPr>
        <w:t xml:space="preserve"> a szakmai irányítás mellett </w:t>
      </w:r>
      <w:r w:rsidR="00757044">
        <w:rPr>
          <w:rFonts w:asciiTheme="majorHAnsi" w:hAnsiTheme="majorHAnsi" w:cstheme="majorHAnsi"/>
        </w:rPr>
        <w:t>−</w:t>
      </w:r>
      <w:r w:rsidR="00B86FE8" w:rsidRPr="00DC6C83">
        <w:rPr>
          <w:rFonts w:asciiTheme="majorHAnsi" w:hAnsiTheme="majorHAnsi" w:cstheme="majorHAnsi"/>
        </w:rPr>
        <w:t xml:space="preserve"> a működtetéssel járó feladatokat és ezek költségét is átvállalta</w:t>
      </w:r>
      <w:r w:rsidR="002B1A96">
        <w:rPr>
          <w:rFonts w:asciiTheme="majorHAnsi" w:hAnsiTheme="majorHAnsi" w:cstheme="majorHAnsi"/>
        </w:rPr>
        <w:t>.</w:t>
      </w:r>
      <w:r w:rsidR="00B86FE8" w:rsidRPr="00DC6C83">
        <w:rPr>
          <w:rFonts w:asciiTheme="majorHAnsi" w:hAnsiTheme="majorHAnsi" w:cstheme="majorHAnsi"/>
        </w:rPr>
        <w:t xml:space="preserve"> 2017</w:t>
      </w:r>
      <w:r w:rsidR="00435766">
        <w:rPr>
          <w:rFonts w:asciiTheme="majorHAnsi" w:hAnsiTheme="majorHAnsi" w:cstheme="majorHAnsi"/>
        </w:rPr>
        <w:t>-</w:t>
      </w:r>
      <w:r w:rsidR="00B86FE8" w:rsidRPr="00DC6C83">
        <w:rPr>
          <w:rFonts w:asciiTheme="majorHAnsi" w:hAnsiTheme="majorHAnsi" w:cstheme="majorHAnsi"/>
        </w:rPr>
        <w:t xml:space="preserve">től az átalakuló struktúrában működő állami intézményfenntartó a teljes működtetést átvette az </w:t>
      </w:r>
      <w:r w:rsidR="00FD54F2" w:rsidRPr="00DC6C83">
        <w:rPr>
          <w:rFonts w:asciiTheme="majorHAnsi" w:hAnsiTheme="majorHAnsi" w:cstheme="majorHAnsi"/>
        </w:rPr>
        <w:t>önkormányzat</w:t>
      </w:r>
      <w:r w:rsidR="00FD54F2">
        <w:rPr>
          <w:rFonts w:asciiTheme="majorHAnsi" w:hAnsiTheme="majorHAnsi" w:cstheme="majorHAnsi"/>
        </w:rPr>
        <w:t>októl</w:t>
      </w:r>
      <w:r w:rsidR="000711C9">
        <w:rPr>
          <w:rFonts w:asciiTheme="majorHAnsi" w:hAnsiTheme="majorHAnsi" w:cstheme="majorHAnsi"/>
        </w:rPr>
        <w:t xml:space="preserve">; </w:t>
      </w:r>
      <w:r w:rsidR="00B86FE8" w:rsidRPr="00DC6C83">
        <w:rPr>
          <w:rFonts w:asciiTheme="majorHAnsi" w:hAnsiTheme="majorHAnsi" w:cstheme="majorHAnsi"/>
        </w:rPr>
        <w:t xml:space="preserve">ezzel párhuzamosan </w:t>
      </w:r>
      <w:r w:rsidR="002B1A96">
        <w:rPr>
          <w:rFonts w:asciiTheme="majorHAnsi" w:hAnsiTheme="majorHAnsi" w:cstheme="majorHAnsi"/>
        </w:rPr>
        <w:t xml:space="preserve">sor került a </w:t>
      </w:r>
      <w:r w:rsidR="00B86FE8" w:rsidRPr="00DC6C83">
        <w:rPr>
          <w:rFonts w:asciiTheme="majorHAnsi" w:hAnsiTheme="majorHAnsi" w:cstheme="majorHAnsi"/>
        </w:rPr>
        <w:t xml:space="preserve">pénzügyi konszolidációra </w:t>
      </w:r>
      <w:r w:rsidR="004C6839">
        <w:rPr>
          <w:rFonts w:asciiTheme="majorHAnsi" w:hAnsiTheme="majorHAnsi" w:cstheme="majorHAnsi"/>
        </w:rPr>
        <w:t xml:space="preserve">és strukturális átalakításra </w:t>
      </w:r>
      <w:r w:rsidR="00B86FE8" w:rsidRPr="00DC6C83">
        <w:rPr>
          <w:rFonts w:asciiTheme="majorHAnsi" w:hAnsiTheme="majorHAnsi" w:cstheme="majorHAnsi"/>
        </w:rPr>
        <w:t>is. Az</w:t>
      </w:r>
      <w:r w:rsidR="00435766">
        <w:rPr>
          <w:rFonts w:asciiTheme="majorHAnsi" w:hAnsiTheme="majorHAnsi" w:cstheme="majorHAnsi"/>
        </w:rPr>
        <w:t xml:space="preserve"> </w:t>
      </w:r>
      <w:r w:rsidR="00B86FE8" w:rsidRPr="00DC6C83">
        <w:rPr>
          <w:rFonts w:asciiTheme="majorHAnsi" w:hAnsiTheme="majorHAnsi" w:cstheme="majorHAnsi"/>
        </w:rPr>
        <w:t>elt</w:t>
      </w:r>
      <w:r w:rsidR="00435766">
        <w:rPr>
          <w:rFonts w:asciiTheme="majorHAnsi" w:hAnsiTheme="majorHAnsi" w:cstheme="majorHAnsi"/>
        </w:rPr>
        <w:t>elt</w:t>
      </w:r>
      <w:r w:rsidR="00B86FE8" w:rsidRPr="00DC6C83">
        <w:rPr>
          <w:rFonts w:asciiTheme="majorHAnsi" w:hAnsiTheme="majorHAnsi" w:cstheme="majorHAnsi"/>
        </w:rPr>
        <w:t xml:space="preserve"> időszak tapasztalatai alapján </w:t>
      </w:r>
      <w:r w:rsidR="00FD54F2">
        <w:rPr>
          <w:rFonts w:asciiTheme="majorHAnsi" w:hAnsiTheme="majorHAnsi" w:cstheme="majorHAnsi"/>
        </w:rPr>
        <w:t xml:space="preserve">megállapítható, hogy </w:t>
      </w:r>
      <w:r w:rsidR="00B86FE8" w:rsidRPr="00DC6C83">
        <w:rPr>
          <w:rFonts w:asciiTheme="majorHAnsi" w:hAnsiTheme="majorHAnsi" w:cstheme="majorHAnsi"/>
        </w:rPr>
        <w:t>a</w:t>
      </w:r>
      <w:r w:rsidR="004C6839">
        <w:rPr>
          <w:rFonts w:asciiTheme="majorHAnsi" w:hAnsiTheme="majorHAnsi" w:cstheme="majorHAnsi"/>
        </w:rPr>
        <w:t>z azóta</w:t>
      </w:r>
      <w:r w:rsidR="00B86FE8" w:rsidRPr="00DC6C83">
        <w:rPr>
          <w:rFonts w:asciiTheme="majorHAnsi" w:hAnsiTheme="majorHAnsi" w:cstheme="majorHAnsi"/>
        </w:rPr>
        <w:t xml:space="preserve"> </w:t>
      </w:r>
      <w:r w:rsidR="00B86FE8" w:rsidRPr="00DC6C83">
        <w:rPr>
          <w:rFonts w:asciiTheme="majorHAnsi" w:hAnsiTheme="majorHAnsi" w:cstheme="majorHAnsi"/>
        </w:rPr>
        <w:lastRenderedPageBreak/>
        <w:t>négyszintű</w:t>
      </w:r>
      <w:r w:rsidR="004C6839">
        <w:rPr>
          <w:rFonts w:asciiTheme="majorHAnsi" w:hAnsiTheme="majorHAnsi" w:cstheme="majorHAnsi"/>
        </w:rPr>
        <w:t>vé vált</w:t>
      </w:r>
      <w:r w:rsidR="00E64C2F">
        <w:rPr>
          <w:rFonts w:asciiTheme="majorHAnsi" w:hAnsiTheme="majorHAnsi" w:cstheme="majorHAnsi"/>
        </w:rPr>
        <w:t xml:space="preserve"> </w:t>
      </w:r>
      <w:r w:rsidR="00435766">
        <w:rPr>
          <w:rFonts w:asciiTheme="majorHAnsi" w:hAnsiTheme="majorHAnsi" w:cstheme="majorHAnsi"/>
        </w:rPr>
        <w:t>(</w:t>
      </w:r>
      <w:r w:rsidR="00B86FE8" w:rsidRPr="00DC6C83">
        <w:rPr>
          <w:rFonts w:asciiTheme="majorHAnsi" w:hAnsiTheme="majorHAnsi" w:cstheme="majorHAnsi"/>
        </w:rPr>
        <w:t>intézmények, tankerületi központok, Klebelsberg Központ</w:t>
      </w:r>
      <w:r w:rsidR="00435766">
        <w:rPr>
          <w:rFonts w:asciiTheme="majorHAnsi" w:hAnsiTheme="majorHAnsi" w:cstheme="majorHAnsi"/>
        </w:rPr>
        <w:t xml:space="preserve">, </w:t>
      </w:r>
      <w:r w:rsidR="00B86FE8" w:rsidRPr="00DC6C83">
        <w:rPr>
          <w:rFonts w:asciiTheme="majorHAnsi" w:hAnsiTheme="majorHAnsi" w:cstheme="majorHAnsi"/>
        </w:rPr>
        <w:t>minisztérium</w:t>
      </w:r>
      <w:r w:rsidR="00435766">
        <w:rPr>
          <w:rFonts w:asciiTheme="majorHAnsi" w:hAnsiTheme="majorHAnsi" w:cstheme="majorHAnsi"/>
        </w:rPr>
        <w:t>)</w:t>
      </w:r>
      <w:r w:rsidR="00B86FE8" w:rsidRPr="00DC6C83">
        <w:rPr>
          <w:rFonts w:asciiTheme="majorHAnsi" w:hAnsiTheme="majorHAnsi" w:cstheme="majorHAnsi"/>
        </w:rPr>
        <w:t xml:space="preserve"> állami intézményfenntartói modell</w:t>
      </w:r>
      <w:r w:rsidR="00623DCA">
        <w:rPr>
          <w:rFonts w:asciiTheme="majorHAnsi" w:hAnsiTheme="majorHAnsi" w:cstheme="majorHAnsi"/>
        </w:rPr>
        <w:t xml:space="preserve"> </w:t>
      </w:r>
      <w:r w:rsidR="00811541" w:rsidRPr="00DC6C83">
        <w:rPr>
          <w:rFonts w:asciiTheme="majorHAnsi" w:hAnsiTheme="majorHAnsi" w:cstheme="majorHAnsi"/>
        </w:rPr>
        <w:t>működőképes</w:t>
      </w:r>
      <w:r w:rsidR="004C6839">
        <w:rPr>
          <w:rFonts w:asciiTheme="majorHAnsi" w:hAnsiTheme="majorHAnsi" w:cstheme="majorHAnsi"/>
        </w:rPr>
        <w:t xml:space="preserve">, a </w:t>
      </w:r>
      <w:r w:rsidR="0051277E">
        <w:rPr>
          <w:rFonts w:asciiTheme="majorHAnsi" w:hAnsiTheme="majorHAnsi" w:cstheme="majorHAnsi"/>
        </w:rPr>
        <w:t>kezdeti nehézségeket</w:t>
      </w:r>
      <w:r w:rsidR="004C6839">
        <w:rPr>
          <w:rFonts w:asciiTheme="majorHAnsi" w:hAnsiTheme="majorHAnsi" w:cstheme="majorHAnsi"/>
        </w:rPr>
        <w:t xml:space="preserve"> kiküszöbölte.</w:t>
      </w:r>
    </w:p>
    <w:p w14:paraId="56FB2D64" w14:textId="77777777" w:rsidR="00B86FE8" w:rsidRPr="00DC6C83" w:rsidRDefault="002435FF" w:rsidP="00B86FE8">
      <w:pPr>
        <w:rPr>
          <w:rFonts w:asciiTheme="majorHAnsi" w:hAnsiTheme="majorHAnsi" w:cstheme="majorHAnsi"/>
        </w:rPr>
      </w:pPr>
      <w:r>
        <w:rPr>
          <w:rFonts w:asciiTheme="majorHAnsi" w:hAnsiTheme="majorHAnsi" w:cstheme="majorHAnsi"/>
        </w:rPr>
        <w:t xml:space="preserve">Az állami intézményfenntartás szervezetének kiépítésével és a szakmai feladatok egy </w:t>
      </w:r>
      <w:r w:rsidR="007D3336">
        <w:rPr>
          <w:rFonts w:asciiTheme="majorHAnsi" w:hAnsiTheme="majorHAnsi" w:cstheme="majorHAnsi"/>
        </w:rPr>
        <w:t xml:space="preserve">háttérintézménybe szervezésével akcióképes szervezeti </w:t>
      </w:r>
      <w:r w:rsidR="0067797A">
        <w:rPr>
          <w:rFonts w:asciiTheme="majorHAnsi" w:hAnsiTheme="majorHAnsi" w:cstheme="majorHAnsi"/>
        </w:rPr>
        <w:t xml:space="preserve">struktúra jött </w:t>
      </w:r>
      <w:r w:rsidR="007D3336">
        <w:rPr>
          <w:rFonts w:asciiTheme="majorHAnsi" w:hAnsiTheme="majorHAnsi" w:cstheme="majorHAnsi"/>
        </w:rPr>
        <w:t xml:space="preserve">létre, </w:t>
      </w:r>
      <w:r w:rsidR="002B1A96">
        <w:rPr>
          <w:rFonts w:asciiTheme="majorHAnsi" w:hAnsiTheme="majorHAnsi" w:cstheme="majorHAnsi"/>
        </w:rPr>
        <w:t>a</w:t>
      </w:r>
      <w:r w:rsidR="007D3336">
        <w:rPr>
          <w:rFonts w:asciiTheme="majorHAnsi" w:hAnsiTheme="majorHAnsi" w:cstheme="majorHAnsi"/>
        </w:rPr>
        <w:t xml:space="preserve">mely jelentős erőforrásokkal és szellemi potenciállal rendelkezik, illetve nagyszabású projektek lebonyolítására képes. </w:t>
      </w:r>
    </w:p>
    <w:p w14:paraId="7D093036" w14:textId="16DCD67F" w:rsidR="00DE1087" w:rsidRPr="00606BE0" w:rsidRDefault="00154A69" w:rsidP="00DE1087">
      <w:pPr>
        <w:rPr>
          <w:rFonts w:asciiTheme="majorHAnsi" w:hAnsiTheme="majorHAnsi" w:cstheme="majorHAnsi"/>
        </w:rPr>
      </w:pPr>
      <w:r>
        <w:rPr>
          <w:rFonts w:asciiTheme="majorHAnsi" w:hAnsiTheme="majorHAnsi" w:cstheme="majorHAnsi"/>
        </w:rPr>
        <w:t>A pedagógusok munkájának megbecsülés</w:t>
      </w:r>
      <w:r w:rsidR="002B1A96">
        <w:rPr>
          <w:rFonts w:asciiTheme="majorHAnsi" w:hAnsiTheme="majorHAnsi" w:cstheme="majorHAnsi"/>
        </w:rPr>
        <w:t>ére</w:t>
      </w:r>
      <w:r>
        <w:rPr>
          <w:rFonts w:asciiTheme="majorHAnsi" w:hAnsiTheme="majorHAnsi" w:cstheme="majorHAnsi"/>
        </w:rPr>
        <w:t xml:space="preserve"> a Kormány bevezette a pedagógus </w:t>
      </w:r>
      <w:r w:rsidR="002435FF">
        <w:rPr>
          <w:rFonts w:asciiTheme="majorHAnsi" w:hAnsiTheme="majorHAnsi" w:cstheme="majorHAnsi"/>
        </w:rPr>
        <w:t xml:space="preserve">előmeneteli </w:t>
      </w:r>
      <w:r>
        <w:rPr>
          <w:rFonts w:asciiTheme="majorHAnsi" w:hAnsiTheme="majorHAnsi" w:cstheme="majorHAnsi"/>
        </w:rPr>
        <w:t xml:space="preserve">rendszert, </w:t>
      </w:r>
      <w:r w:rsidR="002435FF">
        <w:rPr>
          <w:rFonts w:asciiTheme="majorHAnsi" w:hAnsiTheme="majorHAnsi" w:cstheme="majorHAnsi"/>
        </w:rPr>
        <w:t>melyhez jelentős béremelést társított</w:t>
      </w:r>
      <w:r w:rsidR="002B1A96">
        <w:rPr>
          <w:rFonts w:asciiTheme="majorHAnsi" w:hAnsiTheme="majorHAnsi" w:cstheme="majorHAnsi"/>
        </w:rPr>
        <w:t>.</w:t>
      </w:r>
      <w:r w:rsidR="002435FF">
        <w:rPr>
          <w:rFonts w:asciiTheme="majorHAnsi" w:hAnsiTheme="majorHAnsi" w:cstheme="majorHAnsi"/>
        </w:rPr>
        <w:t xml:space="preserve"> </w:t>
      </w:r>
      <w:r w:rsidR="002B1A96">
        <w:rPr>
          <w:rFonts w:asciiTheme="majorHAnsi" w:hAnsiTheme="majorHAnsi" w:cstheme="majorHAnsi"/>
        </w:rPr>
        <w:t>E</w:t>
      </w:r>
      <w:r w:rsidR="002435FF">
        <w:rPr>
          <w:rFonts w:asciiTheme="majorHAnsi" w:hAnsiTheme="majorHAnsi" w:cstheme="majorHAnsi"/>
        </w:rPr>
        <w:t xml:space="preserve">nnek eredményeképpen 2013 és 2017 között átlagosan 50%-kal emelkedett a pedagógusok bére. </w:t>
      </w:r>
      <w:r w:rsidR="00BD39CF">
        <w:rPr>
          <w:rFonts w:asciiTheme="majorHAnsi" w:hAnsiTheme="majorHAnsi" w:cstheme="majorHAnsi"/>
        </w:rPr>
        <w:t xml:space="preserve">Emellett 2020-ban 10 %-os ágazati szakmai pótlék került bevezetésre, amely július 1-től tovább emeli a pedagógusbéreket. </w:t>
      </w:r>
      <w:r w:rsidR="002435FF">
        <w:rPr>
          <w:rFonts w:asciiTheme="majorHAnsi" w:hAnsiTheme="majorHAnsi" w:cstheme="majorHAnsi"/>
        </w:rPr>
        <w:t>A bevezetett minősítés</w:t>
      </w:r>
      <w:r w:rsidR="00912E0B">
        <w:rPr>
          <w:rFonts w:asciiTheme="majorHAnsi" w:hAnsiTheme="majorHAnsi" w:cstheme="majorHAnsi"/>
        </w:rPr>
        <w:t>,</w:t>
      </w:r>
      <w:r w:rsidR="002435FF">
        <w:rPr>
          <w:rFonts w:asciiTheme="majorHAnsi" w:hAnsiTheme="majorHAnsi" w:cstheme="majorHAnsi"/>
        </w:rPr>
        <w:t xml:space="preserve"> tanfelügyelet</w:t>
      </w:r>
      <w:r w:rsidR="00912E0B">
        <w:rPr>
          <w:rFonts w:asciiTheme="majorHAnsi" w:hAnsiTheme="majorHAnsi" w:cstheme="majorHAnsi"/>
        </w:rPr>
        <w:t xml:space="preserve"> és önértékelés</w:t>
      </w:r>
      <w:r w:rsidR="004C6839">
        <w:rPr>
          <w:rFonts w:asciiTheme="majorHAnsi" w:hAnsiTheme="majorHAnsi" w:cstheme="majorHAnsi"/>
        </w:rPr>
        <w:t xml:space="preserve">, valamint a fejlesztést szolgáló országos szaktanácsadói </w:t>
      </w:r>
      <w:r w:rsidR="002B1A96">
        <w:rPr>
          <w:rFonts w:asciiTheme="majorHAnsi" w:hAnsiTheme="majorHAnsi" w:cstheme="majorHAnsi"/>
        </w:rPr>
        <w:t>hálózat</w:t>
      </w:r>
      <w:r w:rsidR="002435FF">
        <w:rPr>
          <w:rFonts w:asciiTheme="majorHAnsi" w:hAnsiTheme="majorHAnsi" w:cstheme="majorHAnsi"/>
        </w:rPr>
        <w:t xml:space="preserve"> a köznevelés minőségbiztosítás</w:t>
      </w:r>
      <w:r w:rsidR="002B1A96">
        <w:rPr>
          <w:rFonts w:asciiTheme="majorHAnsi" w:hAnsiTheme="majorHAnsi" w:cstheme="majorHAnsi"/>
        </w:rPr>
        <w:t>i rendszerét</w:t>
      </w:r>
      <w:r w:rsidR="002435FF">
        <w:rPr>
          <w:rFonts w:asciiTheme="majorHAnsi" w:hAnsiTheme="majorHAnsi" w:cstheme="majorHAnsi"/>
        </w:rPr>
        <w:t xml:space="preserve"> volt hivatott megteremteni. </w:t>
      </w:r>
      <w:r w:rsidR="00152195">
        <w:rPr>
          <w:rFonts w:asciiTheme="majorHAnsi" w:hAnsiTheme="majorHAnsi" w:cstheme="majorHAnsi"/>
        </w:rPr>
        <w:t xml:space="preserve">Ugyancsak a pedagógusok munkáját támogatja a </w:t>
      </w:r>
      <w:r w:rsidR="00152195" w:rsidRPr="00606BE0">
        <w:rPr>
          <w:rFonts w:asciiTheme="majorHAnsi" w:hAnsiTheme="majorHAnsi" w:cstheme="majorHAnsi"/>
        </w:rPr>
        <w:t>pedagógiai szakmai szolgál</w:t>
      </w:r>
      <w:r w:rsidR="00152195">
        <w:rPr>
          <w:rFonts w:asciiTheme="majorHAnsi" w:hAnsiTheme="majorHAnsi" w:cstheme="majorHAnsi"/>
        </w:rPr>
        <w:t>t</w:t>
      </w:r>
      <w:r w:rsidR="00152195" w:rsidRPr="00606BE0">
        <w:rPr>
          <w:rFonts w:asciiTheme="majorHAnsi" w:hAnsiTheme="majorHAnsi" w:cstheme="majorHAnsi"/>
        </w:rPr>
        <w:t>atások</w:t>
      </w:r>
      <w:r w:rsidR="00152195">
        <w:rPr>
          <w:rFonts w:asciiTheme="majorHAnsi" w:hAnsiTheme="majorHAnsi" w:cstheme="majorHAnsi"/>
        </w:rPr>
        <w:t xml:space="preserve"> rendszere, </w:t>
      </w:r>
      <w:r w:rsidR="00152195" w:rsidRPr="00606BE0">
        <w:rPr>
          <w:rFonts w:asciiTheme="majorHAnsi" w:hAnsiTheme="majorHAnsi" w:cstheme="majorHAnsi"/>
        </w:rPr>
        <w:t>az országos szaktanácsadói hálózat</w:t>
      </w:r>
      <w:r w:rsidR="00152195">
        <w:rPr>
          <w:rFonts w:asciiTheme="majorHAnsi" w:hAnsiTheme="majorHAnsi" w:cstheme="majorHAnsi"/>
        </w:rPr>
        <w:t xml:space="preserve"> létrehozása. Mi</w:t>
      </w:r>
      <w:r w:rsidR="00152195" w:rsidRPr="00606BE0">
        <w:rPr>
          <w:rFonts w:asciiTheme="majorHAnsi" w:hAnsiTheme="majorHAnsi" w:cstheme="majorHAnsi"/>
        </w:rPr>
        <w:t>ntegy 1</w:t>
      </w:r>
      <w:r w:rsidR="00863D75">
        <w:rPr>
          <w:rFonts w:asciiTheme="majorHAnsi" w:hAnsiTheme="majorHAnsi" w:cstheme="majorHAnsi"/>
        </w:rPr>
        <w:t xml:space="preserve"> </w:t>
      </w:r>
      <w:r w:rsidR="00152195" w:rsidRPr="00606BE0">
        <w:rPr>
          <w:rFonts w:asciiTheme="majorHAnsi" w:hAnsiTheme="majorHAnsi" w:cstheme="majorHAnsi"/>
        </w:rPr>
        <w:t xml:space="preserve">500 mesterpedagógus szaktanácsadó bevonásával és irányításával </w:t>
      </w:r>
      <w:r w:rsidR="00152195">
        <w:rPr>
          <w:rFonts w:asciiTheme="majorHAnsi" w:hAnsiTheme="majorHAnsi" w:cstheme="majorHAnsi"/>
        </w:rPr>
        <w:t>kialakult</w:t>
      </w:r>
      <w:r w:rsidR="00152195" w:rsidRPr="00606BE0">
        <w:rPr>
          <w:rFonts w:asciiTheme="majorHAnsi" w:hAnsiTheme="majorHAnsi" w:cstheme="majorHAnsi"/>
        </w:rPr>
        <w:t xml:space="preserve"> a feltételrendszere annak, hogy </w:t>
      </w:r>
      <w:r w:rsidR="00152195">
        <w:rPr>
          <w:rFonts w:asciiTheme="majorHAnsi" w:hAnsiTheme="majorHAnsi" w:cstheme="majorHAnsi"/>
        </w:rPr>
        <w:t>− az igazgatójuk kezdeményezésére−</w:t>
      </w:r>
      <w:r w:rsidR="00152195" w:rsidRPr="00606BE0">
        <w:rPr>
          <w:rFonts w:asciiTheme="majorHAnsi" w:hAnsiTheme="majorHAnsi" w:cstheme="majorHAnsi"/>
        </w:rPr>
        <w:t xml:space="preserve"> a nevelési-oktatási intézményekben dolgozó pedagógusok pedagógia-szakmódszertani támogatást kaphassanak a munkájukhoz. </w:t>
      </w:r>
      <w:r w:rsidR="00DE1087" w:rsidRPr="00606BE0">
        <w:rPr>
          <w:rFonts w:asciiTheme="majorHAnsi" w:hAnsiTheme="majorHAnsi" w:cstheme="majorHAnsi"/>
        </w:rPr>
        <w:t xml:space="preserve">A szakmai támogatások elsősorban olyan </w:t>
      </w:r>
      <w:r w:rsidR="00DE1087">
        <w:rPr>
          <w:rFonts w:asciiTheme="majorHAnsi" w:hAnsiTheme="majorHAnsi" w:cstheme="majorHAnsi"/>
        </w:rPr>
        <w:t xml:space="preserve">problémás </w:t>
      </w:r>
      <w:r w:rsidR="00DE1087" w:rsidRPr="00606BE0">
        <w:rPr>
          <w:rFonts w:asciiTheme="majorHAnsi" w:hAnsiTheme="majorHAnsi" w:cstheme="majorHAnsi"/>
        </w:rPr>
        <w:t xml:space="preserve">területekre koncentrálódnak, mint a tanulási nehézségekkel küzdő vagy a lemorzsolódással veszélyeztetett tanulók eredményesebb tanításának támogatása, a pedagógusok digitális alapon szervezett tanítása vagy </w:t>
      </w:r>
      <w:r w:rsidR="00DE1087">
        <w:rPr>
          <w:rFonts w:asciiTheme="majorHAnsi" w:hAnsiTheme="majorHAnsi" w:cstheme="majorHAnsi"/>
        </w:rPr>
        <w:t xml:space="preserve">éppenséggel az </w:t>
      </w:r>
      <w:r w:rsidR="00DE1087" w:rsidRPr="00606BE0">
        <w:rPr>
          <w:rFonts w:asciiTheme="majorHAnsi" w:hAnsiTheme="majorHAnsi" w:cstheme="majorHAnsi"/>
        </w:rPr>
        <w:t>iskolai konflikt</w:t>
      </w:r>
      <w:r w:rsidR="00DE1087">
        <w:rPr>
          <w:rFonts w:asciiTheme="majorHAnsi" w:hAnsiTheme="majorHAnsi" w:cstheme="majorHAnsi"/>
        </w:rPr>
        <w:t xml:space="preserve">usok kezelése. </w:t>
      </w:r>
    </w:p>
    <w:p w14:paraId="648B947B" w14:textId="47830958"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2018/2019-es tanévben </w:t>
      </w:r>
      <w:r w:rsidR="003A2CAF">
        <w:rPr>
          <w:rFonts w:asciiTheme="majorHAnsi" w:hAnsiTheme="majorHAnsi" w:cstheme="majorHAnsi"/>
        </w:rPr>
        <w:t xml:space="preserve">a Kormány </w:t>
      </w:r>
      <w:r w:rsidRPr="00DC6C83">
        <w:rPr>
          <w:rFonts w:asciiTheme="majorHAnsi" w:hAnsiTheme="majorHAnsi" w:cstheme="majorHAnsi"/>
        </w:rPr>
        <w:t>az 1-9. évfolyam</w:t>
      </w:r>
      <w:r w:rsidR="003A2CAF">
        <w:rPr>
          <w:rFonts w:asciiTheme="majorHAnsi" w:hAnsiTheme="majorHAnsi" w:cstheme="majorHAnsi"/>
        </w:rPr>
        <w:t>okon</w:t>
      </w:r>
      <w:r w:rsidRPr="00DC6C83">
        <w:rPr>
          <w:rFonts w:asciiTheme="majorHAnsi" w:hAnsiTheme="majorHAnsi" w:cstheme="majorHAnsi"/>
        </w:rPr>
        <w:t xml:space="preserve"> </w:t>
      </w:r>
      <w:r w:rsidR="002B1A96">
        <w:rPr>
          <w:rFonts w:asciiTheme="majorHAnsi" w:hAnsiTheme="majorHAnsi" w:cstheme="majorHAnsi"/>
        </w:rPr>
        <w:t xml:space="preserve">ingyenessé tette </w:t>
      </w:r>
      <w:r w:rsidRPr="00811541">
        <w:rPr>
          <w:rFonts w:asciiTheme="majorHAnsi" w:hAnsiTheme="majorHAnsi" w:cstheme="majorHAnsi"/>
        </w:rPr>
        <w:t xml:space="preserve">a </w:t>
      </w:r>
      <w:r w:rsidR="002B1A96">
        <w:rPr>
          <w:rFonts w:asciiTheme="majorHAnsi" w:hAnsiTheme="majorHAnsi" w:cstheme="majorHAnsi"/>
        </w:rPr>
        <w:t>tankönyveket</w:t>
      </w:r>
      <w:r w:rsidRPr="00811541">
        <w:rPr>
          <w:rFonts w:asciiTheme="majorHAnsi" w:hAnsiTheme="majorHAnsi" w:cstheme="majorHAnsi"/>
        </w:rPr>
        <w:t xml:space="preserve">, a 10-11-12. évfolyamon pedig </w:t>
      </w:r>
      <w:proofErr w:type="spellStart"/>
      <w:r w:rsidRPr="00811541">
        <w:rPr>
          <w:rFonts w:asciiTheme="majorHAnsi" w:hAnsiTheme="majorHAnsi" w:cstheme="majorHAnsi"/>
        </w:rPr>
        <w:t>rás</w:t>
      </w:r>
      <w:r w:rsidRPr="00DC6C83">
        <w:rPr>
          <w:rFonts w:asciiTheme="majorHAnsi" w:hAnsiTheme="majorHAnsi" w:cstheme="majorHAnsi"/>
        </w:rPr>
        <w:t>zorultsági</w:t>
      </w:r>
      <w:proofErr w:type="spellEnd"/>
      <w:r w:rsidRPr="00DC6C83">
        <w:rPr>
          <w:rFonts w:asciiTheme="majorHAnsi" w:hAnsiTheme="majorHAnsi" w:cstheme="majorHAnsi"/>
        </w:rPr>
        <w:t xml:space="preserve"> alapon lehetett az ingyenes tankönyvhöz hozzájutni. A </w:t>
      </w:r>
      <w:r w:rsidR="00BD39CF">
        <w:rPr>
          <w:rFonts w:asciiTheme="majorHAnsi" w:hAnsiTheme="majorHAnsi" w:cstheme="majorHAnsi"/>
        </w:rPr>
        <w:t>2020/2021.</w:t>
      </w:r>
      <w:r w:rsidRPr="00DC6C83">
        <w:rPr>
          <w:rFonts w:asciiTheme="majorHAnsi" w:hAnsiTheme="majorHAnsi" w:cstheme="majorHAnsi"/>
        </w:rPr>
        <w:t xml:space="preserve"> tanévtől az intézmények számára </w:t>
      </w:r>
      <w:r w:rsidR="00FD54F2">
        <w:rPr>
          <w:rFonts w:asciiTheme="majorHAnsi" w:hAnsiTheme="majorHAnsi" w:cstheme="majorHAnsi"/>
        </w:rPr>
        <w:t xml:space="preserve">jelentősen </w:t>
      </w:r>
      <w:r w:rsidRPr="00DC6C83">
        <w:rPr>
          <w:rFonts w:asciiTheme="majorHAnsi" w:hAnsiTheme="majorHAnsi" w:cstheme="majorHAnsi"/>
        </w:rPr>
        <w:t xml:space="preserve">egyszerűsödik a tankönyvrendelés folyamata, </w:t>
      </w:r>
      <w:r w:rsidR="00FD54F2">
        <w:rPr>
          <w:rFonts w:asciiTheme="majorHAnsi" w:hAnsiTheme="majorHAnsi" w:cstheme="majorHAnsi"/>
        </w:rPr>
        <w:t xml:space="preserve">csökken az adminisztráció, </w:t>
      </w:r>
      <w:r w:rsidRPr="00DC6C83">
        <w:rPr>
          <w:rFonts w:asciiTheme="majorHAnsi" w:hAnsiTheme="majorHAnsi" w:cstheme="majorHAnsi"/>
        </w:rPr>
        <w:t xml:space="preserve">továbbá a köznevelés valamennyi évfolyamán </w:t>
      </w:r>
      <w:r w:rsidR="00BD39CF">
        <w:rPr>
          <w:rFonts w:asciiTheme="majorHAnsi" w:hAnsiTheme="majorHAnsi" w:cstheme="majorHAnsi"/>
        </w:rPr>
        <w:t>megvalósul</w:t>
      </w:r>
      <w:r w:rsidRPr="00DC6C83">
        <w:rPr>
          <w:rFonts w:asciiTheme="majorHAnsi" w:hAnsiTheme="majorHAnsi" w:cstheme="majorHAnsi"/>
        </w:rPr>
        <w:t xml:space="preserve"> a teljeskörű ingyenes </w:t>
      </w:r>
      <w:r w:rsidR="00BA59EA">
        <w:rPr>
          <w:rFonts w:asciiTheme="majorHAnsi" w:hAnsiTheme="majorHAnsi" w:cstheme="majorHAnsi"/>
        </w:rPr>
        <w:t>tankönyv</w:t>
      </w:r>
      <w:r w:rsidRPr="00DC6C83">
        <w:rPr>
          <w:rFonts w:asciiTheme="majorHAnsi" w:hAnsiTheme="majorHAnsi" w:cstheme="majorHAnsi"/>
        </w:rPr>
        <w:t>ellátás valamennyi tanuló számára.</w:t>
      </w:r>
    </w:p>
    <w:p w14:paraId="59CC1F1B" w14:textId="090A5136" w:rsidR="00B86FE8" w:rsidRPr="00DC6C83" w:rsidRDefault="00B86FE8" w:rsidP="00027564">
      <w:pPr>
        <w:rPr>
          <w:rFonts w:asciiTheme="majorHAnsi" w:hAnsiTheme="majorHAnsi" w:cstheme="majorHAnsi"/>
        </w:rPr>
      </w:pPr>
      <w:r w:rsidRPr="00DC6C83">
        <w:rPr>
          <w:rFonts w:asciiTheme="majorHAnsi" w:hAnsiTheme="majorHAnsi" w:cstheme="majorHAnsi"/>
        </w:rPr>
        <w:t xml:space="preserve">A gyermekek korai fejlesztése érdekében 2015 óta kötelező a hároméves gyermekek </w:t>
      </w:r>
      <w:r w:rsidR="001A54F4">
        <w:rPr>
          <w:rFonts w:asciiTheme="majorHAnsi" w:hAnsiTheme="majorHAnsi" w:cstheme="majorHAnsi"/>
        </w:rPr>
        <w:t>óvodai nevelésben való részvétele</w:t>
      </w:r>
      <w:r w:rsidRPr="00DC6C83">
        <w:rPr>
          <w:rFonts w:asciiTheme="majorHAnsi" w:hAnsiTheme="majorHAnsi" w:cstheme="majorHAnsi"/>
        </w:rPr>
        <w:t xml:space="preserve">. A cél, hogy a gyermekek fejlesztése mielőbb elkezdődjék, mindenki életkorának megfelelő nevelést kapjon, ezért kellett megerősíteni az óvodákban az iskolára való felkészítés feladatát. Ha az alapvető készségek elsajátítása nem történik meg időben, </w:t>
      </w:r>
      <w:r w:rsidR="001707FA">
        <w:rPr>
          <w:rFonts w:asciiTheme="majorHAnsi" w:hAnsiTheme="majorHAnsi" w:cstheme="majorHAnsi"/>
        </w:rPr>
        <w:t xml:space="preserve">illetve a kora kisgyerekkorban diagnosztizálható fejlődési rendellenességek korai fejlesztése nem kezdődik el időben, </w:t>
      </w:r>
      <w:r w:rsidRPr="00DC6C83">
        <w:rPr>
          <w:rFonts w:asciiTheme="majorHAnsi" w:hAnsiTheme="majorHAnsi" w:cstheme="majorHAnsi"/>
        </w:rPr>
        <w:t>az előbb-utóbb még nagyobb lemaradáshoz vezet. Az Oktatási Hivatal 2018-as vizsgálata alapján a 3 éves</w:t>
      </w:r>
      <w:r w:rsidR="002B1A96">
        <w:rPr>
          <w:rFonts w:asciiTheme="majorHAnsi" w:hAnsiTheme="majorHAnsi" w:cstheme="majorHAnsi"/>
        </w:rPr>
        <w:t>,</w:t>
      </w:r>
      <w:r w:rsidRPr="00DC6C83">
        <w:rPr>
          <w:rFonts w:asciiTheme="majorHAnsi" w:hAnsiTheme="majorHAnsi" w:cstheme="majorHAnsi"/>
        </w:rPr>
        <w:t xml:space="preserve"> óvodáskorú gyermekek 13%-át nem íratták be </w:t>
      </w:r>
      <w:r w:rsidR="00B74CF5">
        <w:rPr>
          <w:rFonts w:asciiTheme="majorHAnsi" w:hAnsiTheme="majorHAnsi" w:cstheme="majorHAnsi"/>
        </w:rPr>
        <w:t>a szülők</w:t>
      </w:r>
      <w:r w:rsidRPr="00DC6C83">
        <w:rPr>
          <w:rFonts w:asciiTheme="majorHAnsi" w:hAnsiTheme="majorHAnsi" w:cstheme="majorHAnsi"/>
        </w:rPr>
        <w:t xml:space="preserve"> az óvodába, és nem is kérték a felmentésüket. 2020</w:t>
      </w:r>
      <w:r w:rsidR="00912E0B">
        <w:rPr>
          <w:rFonts w:asciiTheme="majorHAnsi" w:hAnsiTheme="majorHAnsi" w:cstheme="majorHAnsi"/>
        </w:rPr>
        <w:t>.</w:t>
      </w:r>
      <w:r w:rsidRPr="00DC6C83">
        <w:rPr>
          <w:rFonts w:asciiTheme="majorHAnsi" w:hAnsiTheme="majorHAnsi" w:cstheme="majorHAnsi"/>
        </w:rPr>
        <w:t xml:space="preserve"> január</w:t>
      </w:r>
      <w:r w:rsidR="00912E0B">
        <w:rPr>
          <w:rFonts w:asciiTheme="majorHAnsi" w:hAnsiTheme="majorHAnsi" w:cstheme="majorHAnsi"/>
        </w:rPr>
        <w:t xml:space="preserve"> ó</w:t>
      </w:r>
      <w:r w:rsidR="006C5E07">
        <w:rPr>
          <w:rFonts w:asciiTheme="majorHAnsi" w:hAnsiTheme="majorHAnsi" w:cstheme="majorHAnsi"/>
        </w:rPr>
        <w:t>t</w:t>
      </w:r>
      <w:r w:rsidR="00912E0B">
        <w:rPr>
          <w:rFonts w:asciiTheme="majorHAnsi" w:hAnsiTheme="majorHAnsi" w:cstheme="majorHAnsi"/>
        </w:rPr>
        <w:t>a</w:t>
      </w:r>
      <w:r w:rsidRPr="00DC6C83">
        <w:rPr>
          <w:rFonts w:asciiTheme="majorHAnsi" w:hAnsiTheme="majorHAnsi" w:cstheme="majorHAnsi"/>
        </w:rPr>
        <w:t xml:space="preserve"> ezért az Oktatási Hivatal országos adatbázisa alapján a </w:t>
      </w:r>
      <w:r w:rsidR="00B74CF5">
        <w:rPr>
          <w:rFonts w:asciiTheme="majorHAnsi" w:hAnsiTheme="majorHAnsi" w:cstheme="majorHAnsi"/>
        </w:rPr>
        <w:t>k</w:t>
      </w:r>
      <w:r w:rsidRPr="00DC6C83">
        <w:rPr>
          <w:rFonts w:asciiTheme="majorHAnsi" w:hAnsiTheme="majorHAnsi" w:cstheme="majorHAnsi"/>
        </w:rPr>
        <w:t xml:space="preserve">ormányhivatal követi nyomon a 3. életévet betöltött gyermekek óvodakezdését, </w:t>
      </w:r>
      <w:r w:rsidR="00912E0B">
        <w:rPr>
          <w:rFonts w:asciiTheme="majorHAnsi" w:hAnsiTheme="majorHAnsi" w:cstheme="majorHAnsi"/>
        </w:rPr>
        <w:t xml:space="preserve">de </w:t>
      </w:r>
      <w:r w:rsidRPr="00DC6C83">
        <w:rPr>
          <w:rFonts w:asciiTheme="majorHAnsi" w:hAnsiTheme="majorHAnsi" w:cstheme="majorHAnsi"/>
        </w:rPr>
        <w:t>indokolt esetben természetesen a felmentés lehetősége</w:t>
      </w:r>
      <w:r w:rsidR="00D64317">
        <w:rPr>
          <w:rFonts w:asciiTheme="majorHAnsi" w:hAnsiTheme="majorHAnsi" w:cstheme="majorHAnsi"/>
        </w:rPr>
        <w:t xml:space="preserve"> továbbra is </w:t>
      </w:r>
      <w:r w:rsidR="00B74CF5">
        <w:rPr>
          <w:rFonts w:asciiTheme="majorHAnsi" w:hAnsiTheme="majorHAnsi" w:cstheme="majorHAnsi"/>
        </w:rPr>
        <w:t>fennáll</w:t>
      </w:r>
      <w:r w:rsidRPr="00DC6C83">
        <w:rPr>
          <w:rFonts w:asciiTheme="majorHAnsi" w:hAnsiTheme="majorHAnsi" w:cstheme="majorHAnsi"/>
        </w:rPr>
        <w:t>.</w:t>
      </w:r>
      <w:r w:rsidR="00D64317">
        <w:rPr>
          <w:rFonts w:asciiTheme="majorHAnsi" w:hAnsiTheme="majorHAnsi" w:cstheme="majorHAnsi"/>
        </w:rPr>
        <w:t xml:space="preserve"> Az óvodai nevelésben való teljes körű részvétel nagyban hozzájárul majd a jövő magyar oktatási rendszerének eredményességéhez. </w:t>
      </w:r>
    </w:p>
    <w:p w14:paraId="06D22248" w14:textId="6BDA28BB" w:rsidR="00B52520" w:rsidRDefault="001707FA" w:rsidP="00B86FE8">
      <w:pPr>
        <w:rPr>
          <w:rFonts w:asciiTheme="majorHAnsi" w:hAnsiTheme="majorHAnsi" w:cstheme="majorHAnsi"/>
        </w:rPr>
      </w:pPr>
      <w:r>
        <w:rPr>
          <w:rFonts w:asciiTheme="majorHAnsi" w:hAnsiTheme="majorHAnsi" w:cstheme="majorHAnsi"/>
        </w:rPr>
        <w:lastRenderedPageBreak/>
        <w:t>Az oktatás támogató rendszerének kiegyenlítés</w:t>
      </w:r>
      <w:r w:rsidR="00B74CF5">
        <w:rPr>
          <w:rFonts w:asciiTheme="majorHAnsi" w:hAnsiTheme="majorHAnsi" w:cstheme="majorHAnsi"/>
        </w:rPr>
        <w:t>ére</w:t>
      </w:r>
      <w:r>
        <w:rPr>
          <w:rFonts w:asciiTheme="majorHAnsi" w:hAnsiTheme="majorHAnsi" w:cstheme="majorHAnsi"/>
        </w:rPr>
        <w:t xml:space="preserve"> az ország minden területén egységes szakszolgálati feladatellátás</w:t>
      </w:r>
      <w:r w:rsidR="00B74CF5">
        <w:rPr>
          <w:rFonts w:asciiTheme="majorHAnsi" w:hAnsiTheme="majorHAnsi" w:cstheme="majorHAnsi"/>
        </w:rPr>
        <w:t>i</w:t>
      </w:r>
      <w:r w:rsidR="00BC48C7">
        <w:rPr>
          <w:rFonts w:asciiTheme="majorHAnsi" w:hAnsiTheme="majorHAnsi" w:cstheme="majorHAnsi"/>
        </w:rPr>
        <w:t xml:space="preserve"> </w:t>
      </w:r>
      <w:r w:rsidR="009D7FD8">
        <w:rPr>
          <w:rFonts w:asciiTheme="majorHAnsi" w:hAnsiTheme="majorHAnsi" w:cstheme="majorHAnsi"/>
        </w:rPr>
        <w:t>cél</w:t>
      </w:r>
      <w:r w:rsidR="00B74CF5">
        <w:rPr>
          <w:rFonts w:asciiTheme="majorHAnsi" w:hAnsiTheme="majorHAnsi" w:cstheme="majorHAnsi"/>
        </w:rPr>
        <w:t>lal</w:t>
      </w:r>
      <w:r w:rsidR="00C5216E">
        <w:rPr>
          <w:rFonts w:asciiTheme="majorHAnsi" w:hAnsiTheme="majorHAnsi" w:cstheme="majorHAnsi"/>
        </w:rPr>
        <w:t>,</w:t>
      </w:r>
      <w:r w:rsidR="00BC48C7">
        <w:rPr>
          <w:rFonts w:asciiTheme="majorHAnsi" w:hAnsiTheme="majorHAnsi" w:cstheme="majorHAnsi"/>
        </w:rPr>
        <w:t xml:space="preserve"> </w:t>
      </w:r>
      <w:r w:rsidR="00B86FE8" w:rsidRPr="00DC6C83">
        <w:rPr>
          <w:rFonts w:asciiTheme="majorHAnsi" w:hAnsiTheme="majorHAnsi" w:cstheme="majorHAnsi"/>
        </w:rPr>
        <w:t xml:space="preserve">2013 szeptemberétől </w:t>
      </w:r>
      <w:r w:rsidR="00A07AFD">
        <w:rPr>
          <w:rFonts w:asciiTheme="majorHAnsi" w:hAnsiTheme="majorHAnsi" w:cstheme="majorHAnsi"/>
        </w:rPr>
        <w:t xml:space="preserve">megyénként </w:t>
      </w:r>
      <w:r w:rsidR="00B86FE8" w:rsidRPr="00DC6C83">
        <w:rPr>
          <w:rFonts w:asciiTheme="majorHAnsi" w:hAnsiTheme="majorHAnsi" w:cstheme="majorHAnsi"/>
        </w:rPr>
        <w:t>egy pedagógiai szakszolgálati intézményben egyesül</w:t>
      </w:r>
      <w:r w:rsidR="00E80F2B">
        <w:rPr>
          <w:rFonts w:asciiTheme="majorHAnsi" w:hAnsiTheme="majorHAnsi" w:cstheme="majorHAnsi"/>
        </w:rPr>
        <w:t>t</w:t>
      </w:r>
      <w:r w:rsidR="00B86FE8" w:rsidRPr="00DC6C83">
        <w:rPr>
          <w:rFonts w:asciiTheme="majorHAnsi" w:hAnsiTheme="majorHAnsi" w:cstheme="majorHAnsi"/>
        </w:rPr>
        <w:t xml:space="preserve">ek </w:t>
      </w:r>
      <w:r w:rsidR="0022453B">
        <w:rPr>
          <w:rFonts w:asciiTheme="majorHAnsi" w:hAnsiTheme="majorHAnsi" w:cstheme="majorHAnsi"/>
        </w:rPr>
        <w:t xml:space="preserve">az állami </w:t>
      </w:r>
      <w:r w:rsidR="00B86FE8" w:rsidRPr="00DC6C83">
        <w:rPr>
          <w:rFonts w:asciiTheme="majorHAnsi" w:hAnsiTheme="majorHAnsi" w:cstheme="majorHAnsi"/>
        </w:rPr>
        <w:t xml:space="preserve">szakértői bizottságok, nevelési tanácsadók, beszédjavító intézetek és egyéb szakszolgálati feladatot ellátó intézmények. Az új szervezetben járásonként </w:t>
      </w:r>
      <w:r w:rsidR="00A07AFD">
        <w:rPr>
          <w:rFonts w:asciiTheme="majorHAnsi" w:hAnsiTheme="majorHAnsi" w:cstheme="majorHAnsi"/>
        </w:rPr>
        <w:t>(a fővárosban</w:t>
      </w:r>
      <w:r w:rsidR="00B86FE8" w:rsidRPr="00DC6C83">
        <w:rPr>
          <w:rFonts w:asciiTheme="majorHAnsi" w:hAnsiTheme="majorHAnsi" w:cstheme="majorHAnsi"/>
        </w:rPr>
        <w:t xml:space="preserve"> kerületenként</w:t>
      </w:r>
      <w:r w:rsidR="00A07AFD">
        <w:rPr>
          <w:rFonts w:asciiTheme="majorHAnsi" w:hAnsiTheme="majorHAnsi" w:cstheme="majorHAnsi"/>
        </w:rPr>
        <w:t>)</w:t>
      </w:r>
      <w:r w:rsidR="00B86FE8" w:rsidRPr="00DC6C83">
        <w:rPr>
          <w:rFonts w:asciiTheme="majorHAnsi" w:hAnsiTheme="majorHAnsi" w:cstheme="majorHAnsi"/>
        </w:rPr>
        <w:t xml:space="preserve"> alakultak tagintézmények, amelyek a megyei szinten szervezett </w:t>
      </w:r>
      <w:r w:rsidR="00B86FE8" w:rsidRPr="00C234F0">
        <w:rPr>
          <w:rFonts w:asciiTheme="majorHAnsi" w:hAnsiTheme="majorHAnsi" w:cstheme="majorHAnsi"/>
        </w:rPr>
        <w:t xml:space="preserve">szakértői bizottsági és pályaválasztási tevékenységen kívül a pedagógiai szakszolgálat </w:t>
      </w:r>
      <w:r w:rsidR="00A07AFD">
        <w:rPr>
          <w:rFonts w:asciiTheme="majorHAnsi" w:hAnsiTheme="majorHAnsi" w:cstheme="majorHAnsi"/>
        </w:rPr>
        <w:t>további hét</w:t>
      </w:r>
      <w:r w:rsidR="00B86FE8" w:rsidRPr="00C234F0">
        <w:rPr>
          <w:rFonts w:asciiTheme="majorHAnsi" w:hAnsiTheme="majorHAnsi" w:cstheme="majorHAnsi"/>
        </w:rPr>
        <w:t xml:space="preserve"> feladatáért felelnek. A pedagógiai szakszolgálati rendszer két új funkcióval bővült: minden megyében elindult az iskola- és óvodapszichológiai ellátás, valamint a kiemelten tehetséges gyermekek, tanulók gondozása</w:t>
      </w:r>
      <w:r w:rsidR="00B74CF5">
        <w:rPr>
          <w:rFonts w:asciiTheme="majorHAnsi" w:hAnsiTheme="majorHAnsi" w:cstheme="majorHAnsi"/>
        </w:rPr>
        <w:t>. A</w:t>
      </w:r>
      <w:r w:rsidR="00194B1E">
        <w:rPr>
          <w:rFonts w:asciiTheme="majorHAnsi" w:hAnsiTheme="majorHAnsi" w:cstheme="majorHAnsi"/>
        </w:rPr>
        <w:t xml:space="preserve"> teljes ellátás az egész országban </w:t>
      </w:r>
      <w:r w:rsidR="00B86FE8" w:rsidRPr="00C234F0">
        <w:rPr>
          <w:rFonts w:asciiTheme="majorHAnsi" w:hAnsiTheme="majorHAnsi" w:cstheme="majorHAnsi"/>
        </w:rPr>
        <w:t>hozzáférhet</w:t>
      </w:r>
      <w:r w:rsidR="00194B1E">
        <w:rPr>
          <w:rFonts w:asciiTheme="majorHAnsi" w:hAnsiTheme="majorHAnsi" w:cstheme="majorHAnsi"/>
        </w:rPr>
        <w:t>ő</w:t>
      </w:r>
      <w:r w:rsidR="00B86FE8" w:rsidRPr="00DC6C83">
        <w:rPr>
          <w:rFonts w:asciiTheme="majorHAnsi" w:hAnsiTheme="majorHAnsi" w:cstheme="majorHAnsi"/>
        </w:rPr>
        <w:t>.</w:t>
      </w:r>
    </w:p>
    <w:p w14:paraId="4679E4F8" w14:textId="41E0EED7" w:rsidR="00DF76A9" w:rsidRDefault="007D6253" w:rsidP="00B86FE8">
      <w:pPr>
        <w:rPr>
          <w:rFonts w:asciiTheme="majorHAnsi" w:hAnsiTheme="majorHAnsi" w:cstheme="majorHAnsi"/>
        </w:rPr>
      </w:pPr>
      <w:r w:rsidRPr="00C234F0">
        <w:rPr>
          <w:rFonts w:asciiTheme="majorHAnsi" w:hAnsiTheme="majorHAnsi" w:cstheme="majorHAnsi"/>
        </w:rPr>
        <w:t xml:space="preserve">A </w:t>
      </w:r>
      <w:r w:rsidR="00E717BD">
        <w:rPr>
          <w:rFonts w:asciiTheme="majorHAnsi" w:hAnsiTheme="majorHAnsi" w:cstheme="majorHAnsi"/>
        </w:rPr>
        <w:t xml:space="preserve">nemzeti </w:t>
      </w:r>
      <w:r w:rsidRPr="00C234F0">
        <w:rPr>
          <w:rFonts w:asciiTheme="majorHAnsi" w:hAnsiTheme="majorHAnsi" w:cstheme="majorHAnsi"/>
        </w:rPr>
        <w:t>köznevelés</w:t>
      </w:r>
      <w:r>
        <w:rPr>
          <w:rFonts w:asciiTheme="majorHAnsi" w:hAnsiTheme="majorHAnsi" w:cstheme="majorHAnsi"/>
        </w:rPr>
        <w:t>ről szóló 2011. évi CXC.</w:t>
      </w:r>
      <w:r w:rsidRPr="00C234F0">
        <w:rPr>
          <w:rFonts w:asciiTheme="majorHAnsi" w:hAnsiTheme="majorHAnsi" w:cstheme="majorHAnsi"/>
        </w:rPr>
        <w:t xml:space="preserve"> törvény</w:t>
      </w:r>
      <w:r>
        <w:rPr>
          <w:rFonts w:asciiTheme="majorHAnsi" w:hAnsiTheme="majorHAnsi" w:cstheme="majorHAnsi"/>
        </w:rPr>
        <w:t xml:space="preserve"> (a továbbiakban: </w:t>
      </w:r>
      <w:proofErr w:type="spellStart"/>
      <w:r>
        <w:rPr>
          <w:rFonts w:asciiTheme="majorHAnsi" w:hAnsiTheme="majorHAnsi" w:cstheme="majorHAnsi"/>
        </w:rPr>
        <w:t>Nkt</w:t>
      </w:r>
      <w:proofErr w:type="spellEnd"/>
      <w:r>
        <w:rPr>
          <w:rFonts w:asciiTheme="majorHAnsi" w:hAnsiTheme="majorHAnsi" w:cstheme="majorHAnsi"/>
        </w:rPr>
        <w:t>.)</w:t>
      </w:r>
      <w:r w:rsidR="00744C21">
        <w:rPr>
          <w:rFonts w:asciiTheme="majorHAnsi" w:hAnsiTheme="majorHAnsi" w:cstheme="majorHAnsi"/>
        </w:rPr>
        <w:t xml:space="preserve"> </w:t>
      </w:r>
      <w:r w:rsidRPr="00C234F0">
        <w:rPr>
          <w:rFonts w:asciiTheme="majorHAnsi" w:hAnsiTheme="majorHAnsi" w:cstheme="majorHAnsi"/>
        </w:rPr>
        <w:t>értelmében</w:t>
      </w:r>
      <w:r w:rsidR="0070653D">
        <w:rPr>
          <w:rFonts w:asciiTheme="majorHAnsi" w:hAnsiTheme="majorHAnsi" w:cstheme="majorHAnsi"/>
        </w:rPr>
        <w:t xml:space="preserve"> a </w:t>
      </w:r>
      <w:r w:rsidR="0070653D">
        <w:t>sajátos nevelési igényű gyermekek</w:t>
      </w:r>
      <w:r w:rsidRPr="00C234F0">
        <w:rPr>
          <w:rFonts w:asciiTheme="majorHAnsi" w:hAnsiTheme="majorHAnsi" w:cstheme="majorHAnsi"/>
        </w:rPr>
        <w:t xml:space="preserve"> </w:t>
      </w:r>
      <w:r w:rsidR="00B86FE8" w:rsidRPr="00C234F0">
        <w:rPr>
          <w:rFonts w:asciiTheme="majorHAnsi" w:hAnsiTheme="majorHAnsi" w:cstheme="majorHAnsi"/>
        </w:rPr>
        <w:t>nevelés</w:t>
      </w:r>
      <w:r w:rsidR="008B0113">
        <w:rPr>
          <w:rFonts w:asciiTheme="majorHAnsi" w:hAnsiTheme="majorHAnsi" w:cstheme="majorHAnsi"/>
        </w:rPr>
        <w:t>ét</w:t>
      </w:r>
      <w:r w:rsidR="00A0388B">
        <w:rPr>
          <w:rFonts w:asciiTheme="majorHAnsi" w:hAnsiTheme="majorHAnsi" w:cstheme="majorHAnsi"/>
        </w:rPr>
        <w:t>-oktatását</w:t>
      </w:r>
      <w:r w:rsidR="00B86FE8" w:rsidRPr="00C234F0">
        <w:rPr>
          <w:rFonts w:asciiTheme="majorHAnsi" w:hAnsiTheme="majorHAnsi" w:cstheme="majorHAnsi"/>
        </w:rPr>
        <w:t xml:space="preserve"> a gyógypedagógiai, konduktív pedagógiai nevelési-oktatási intézmény látja el, egyéni</w:t>
      </w:r>
      <w:r w:rsidR="00B86FE8" w:rsidRPr="00DC6C83">
        <w:rPr>
          <w:rFonts w:asciiTheme="majorHAnsi" w:hAnsiTheme="majorHAnsi" w:cstheme="majorHAnsi"/>
        </w:rPr>
        <w:t xml:space="preserve"> vagy csoportos formában. </w:t>
      </w:r>
      <w:r w:rsidR="008B0113">
        <w:rPr>
          <w:rFonts w:asciiTheme="majorHAnsi" w:hAnsiTheme="majorHAnsi" w:cstheme="majorHAnsi"/>
        </w:rPr>
        <w:t xml:space="preserve">A </w:t>
      </w:r>
      <w:r w:rsidR="00A0388B">
        <w:rPr>
          <w:rFonts w:asciiTheme="majorHAnsi" w:hAnsiTheme="majorHAnsi" w:cstheme="majorHAnsi"/>
        </w:rPr>
        <w:t>sajátos nevelési igényű (SNI</w:t>
      </w:r>
      <w:r w:rsidR="008B0113">
        <w:rPr>
          <w:rFonts w:asciiTheme="majorHAnsi" w:hAnsiTheme="majorHAnsi" w:cstheme="majorHAnsi"/>
        </w:rPr>
        <w:t>) gyermekek, tanulók</w:t>
      </w:r>
      <w:r w:rsidR="00A0388B">
        <w:rPr>
          <w:rFonts w:asciiTheme="majorHAnsi" w:hAnsiTheme="majorHAnsi" w:cstheme="majorHAnsi"/>
        </w:rPr>
        <w:t xml:space="preserve"> nevelése-oktatása </w:t>
      </w:r>
      <w:r w:rsidR="008B0113">
        <w:rPr>
          <w:rFonts w:asciiTheme="majorHAnsi" w:hAnsiTheme="majorHAnsi" w:cstheme="majorHAnsi"/>
        </w:rPr>
        <w:t xml:space="preserve">egyebekben (kivéve a súlyos és halmozottan fogyatékos tanulók csoportját) </w:t>
      </w:r>
      <w:r w:rsidR="00A0388B">
        <w:rPr>
          <w:rFonts w:asciiTheme="majorHAnsi" w:hAnsiTheme="majorHAnsi" w:cstheme="majorHAnsi"/>
        </w:rPr>
        <w:t xml:space="preserve">a többi gyermekkel, tanulóval együtt, vagy az erre a célra létrehozott csoportban </w:t>
      </w:r>
      <w:r w:rsidR="008B0113">
        <w:rPr>
          <w:rFonts w:asciiTheme="majorHAnsi" w:hAnsiTheme="majorHAnsi" w:cstheme="majorHAnsi"/>
        </w:rPr>
        <w:t xml:space="preserve">is </w:t>
      </w:r>
      <w:r w:rsidR="00A0388B">
        <w:rPr>
          <w:rFonts w:asciiTheme="majorHAnsi" w:hAnsiTheme="majorHAnsi" w:cstheme="majorHAnsi"/>
        </w:rPr>
        <w:t xml:space="preserve">történhet. </w:t>
      </w:r>
      <w:r w:rsidR="00B86FE8" w:rsidRPr="00DC6C83">
        <w:rPr>
          <w:rFonts w:asciiTheme="majorHAnsi" w:hAnsiTheme="majorHAnsi" w:cstheme="majorHAnsi"/>
        </w:rPr>
        <w:t xml:space="preserve">A szakszolgálati feladatok egyesítésével párhuzamosan </w:t>
      </w:r>
      <w:r w:rsidR="00A0388B">
        <w:rPr>
          <w:rFonts w:asciiTheme="majorHAnsi" w:hAnsiTheme="majorHAnsi" w:cstheme="majorHAnsi"/>
        </w:rPr>
        <w:t xml:space="preserve">kiemelt fejlesztésben részesült </w:t>
      </w:r>
      <w:r w:rsidR="00B86FE8" w:rsidRPr="00DC6C83">
        <w:rPr>
          <w:rFonts w:asciiTheme="majorHAnsi" w:hAnsiTheme="majorHAnsi" w:cstheme="majorHAnsi"/>
        </w:rPr>
        <w:t>az integráltan</w:t>
      </w:r>
      <w:r w:rsidR="008B0113">
        <w:rPr>
          <w:rFonts w:asciiTheme="majorHAnsi" w:hAnsiTheme="majorHAnsi" w:cstheme="majorHAnsi"/>
        </w:rPr>
        <w:t xml:space="preserve"> (a többi gyermekkel, tanulóval együtt)</w:t>
      </w:r>
      <w:r w:rsidR="00B86FE8" w:rsidRPr="00DC6C83">
        <w:rPr>
          <w:rFonts w:asciiTheme="majorHAnsi" w:hAnsiTheme="majorHAnsi" w:cstheme="majorHAnsi"/>
        </w:rPr>
        <w:t xml:space="preserve"> nevelt sajátos nevelési igényű gyermekek, tanulók </w:t>
      </w:r>
      <w:r w:rsidR="00A0388B">
        <w:rPr>
          <w:rFonts w:asciiTheme="majorHAnsi" w:hAnsiTheme="majorHAnsi" w:cstheme="majorHAnsi"/>
        </w:rPr>
        <w:t xml:space="preserve">egészségügyi és pedagógiai célú </w:t>
      </w:r>
      <w:r w:rsidR="00B86FE8" w:rsidRPr="00DC6C83">
        <w:rPr>
          <w:rFonts w:asciiTheme="majorHAnsi" w:hAnsiTheme="majorHAnsi" w:cstheme="majorHAnsi"/>
        </w:rPr>
        <w:t xml:space="preserve">habilitációs és rehabilitációs </w:t>
      </w:r>
      <w:r w:rsidR="00A0388B">
        <w:rPr>
          <w:rFonts w:asciiTheme="majorHAnsi" w:hAnsiTheme="majorHAnsi" w:cstheme="majorHAnsi"/>
        </w:rPr>
        <w:t xml:space="preserve">foglalkozását végző </w:t>
      </w:r>
      <w:r w:rsidR="00B86FE8" w:rsidRPr="00DC6C83">
        <w:rPr>
          <w:rFonts w:asciiTheme="majorHAnsi" w:hAnsiTheme="majorHAnsi" w:cstheme="majorHAnsi"/>
        </w:rPr>
        <w:t>utazó gyógypedagógiai</w:t>
      </w:r>
      <w:r w:rsidR="000E03F1">
        <w:rPr>
          <w:rFonts w:asciiTheme="majorHAnsi" w:hAnsiTheme="majorHAnsi" w:cstheme="majorHAnsi"/>
        </w:rPr>
        <w:t>, utazó konduktori</w:t>
      </w:r>
      <w:r w:rsidR="00B86FE8" w:rsidRPr="00DC6C83">
        <w:rPr>
          <w:rFonts w:asciiTheme="majorHAnsi" w:hAnsiTheme="majorHAnsi" w:cstheme="majorHAnsi"/>
        </w:rPr>
        <w:t xml:space="preserve"> ellátás. A korai fejlesztés </w:t>
      </w:r>
      <w:r w:rsidR="00152195" w:rsidRPr="00DC6C83">
        <w:rPr>
          <w:rFonts w:asciiTheme="majorHAnsi" w:hAnsiTheme="majorHAnsi" w:cstheme="majorHAnsi"/>
        </w:rPr>
        <w:t>célja</w:t>
      </w:r>
      <w:r w:rsidR="00152195">
        <w:rPr>
          <w:rFonts w:asciiTheme="majorHAnsi" w:hAnsiTheme="majorHAnsi" w:cstheme="majorHAnsi"/>
        </w:rPr>
        <w:t xml:space="preserve"> </w:t>
      </w:r>
      <w:r w:rsidR="00152195" w:rsidRPr="008B0113">
        <w:rPr>
          <w:rFonts w:asciiTheme="majorHAnsi" w:hAnsiTheme="majorHAnsi" w:cstheme="majorHAnsi"/>
        </w:rPr>
        <w:t>a</w:t>
      </w:r>
      <w:r w:rsidR="008B0113" w:rsidRPr="008B0113">
        <w:rPr>
          <w:rFonts w:asciiTheme="majorHAnsi" w:hAnsiTheme="majorHAnsi" w:cstheme="majorHAnsi"/>
        </w:rPr>
        <w:t xml:space="preserve"> komplex koragyermekkori prevenció, tanácsadás és fejlesztés, a gyermek fejlődésének elősegítése, a család kompetenciáinak erősítése a gyermek támogatása érdekében.</w:t>
      </w:r>
    </w:p>
    <w:p w14:paraId="74FA1358" w14:textId="77777777" w:rsidR="006E5C28" w:rsidRDefault="006E5C28" w:rsidP="00B86FE8">
      <w:pPr>
        <w:rPr>
          <w:rFonts w:asciiTheme="majorHAnsi" w:hAnsiTheme="majorHAnsi" w:cstheme="majorHAnsi"/>
        </w:rPr>
      </w:pPr>
    </w:p>
    <w:p w14:paraId="5CED843F" w14:textId="0E029F1F" w:rsidR="006E5C28" w:rsidRPr="00DC6C83" w:rsidRDefault="00BE288F" w:rsidP="006E5C28">
      <w:pPr>
        <w:pStyle w:val="Cmsor2"/>
        <w:rPr>
          <w:rFonts w:asciiTheme="majorHAnsi" w:hAnsiTheme="majorHAnsi" w:cstheme="majorHAnsi"/>
        </w:rPr>
      </w:pPr>
      <w:hyperlink w:anchor="_Toc24753479" w:history="1">
        <w:bookmarkStart w:id="29" w:name="_Toc46822698"/>
        <w:r w:rsidR="006E5C28">
          <w:rPr>
            <w:rFonts w:asciiTheme="majorHAnsi" w:hAnsiTheme="majorHAnsi" w:cstheme="majorHAnsi"/>
          </w:rPr>
          <w:t>A</w:t>
        </w:r>
      </w:hyperlink>
      <w:r w:rsidR="006E5C28">
        <w:rPr>
          <w:rFonts w:asciiTheme="majorHAnsi" w:hAnsiTheme="majorHAnsi" w:cstheme="majorHAnsi"/>
        </w:rPr>
        <w:t xml:space="preserve"> koronavírus-járvány hatása és tapasztalatai a köznevelésben</w:t>
      </w:r>
      <w:bookmarkEnd w:id="29"/>
    </w:p>
    <w:p w14:paraId="1342DB7C" w14:textId="36114A1E" w:rsidR="006E5C28" w:rsidRDefault="006E5C28" w:rsidP="00027564">
      <w:pPr>
        <w:rPr>
          <w:rFonts w:asciiTheme="majorHAnsi" w:hAnsiTheme="majorHAnsi" w:cstheme="majorHAnsi"/>
        </w:rPr>
      </w:pPr>
      <w:r>
        <w:rPr>
          <w:rFonts w:asciiTheme="majorHAnsi" w:hAnsiTheme="majorHAnsi" w:cstheme="majorHAnsi"/>
        </w:rPr>
        <w:t>A</w:t>
      </w:r>
      <w:r w:rsidR="00CF4D05">
        <w:rPr>
          <w:rFonts w:asciiTheme="majorHAnsi" w:hAnsiTheme="majorHAnsi" w:cstheme="majorHAnsi"/>
        </w:rPr>
        <w:t xml:space="preserve"> </w:t>
      </w:r>
      <w:r w:rsidR="004F1E02">
        <w:rPr>
          <w:rFonts w:asciiTheme="majorHAnsi" w:hAnsiTheme="majorHAnsi" w:cstheme="majorHAnsi"/>
        </w:rPr>
        <w:t>Kínából kiinduló koronavírus-járvány (COVID-19) 2020 márciusában jelent meg Magyarországon, és</w:t>
      </w:r>
      <w:r w:rsidR="00027564">
        <w:rPr>
          <w:rFonts w:asciiTheme="majorHAnsi" w:hAnsiTheme="majorHAnsi" w:cstheme="majorHAnsi"/>
        </w:rPr>
        <w:t xml:space="preserve"> nagymértékben érintette a köznevelés működését is. A veszélyhelyzetre reagálva a Kormány március közepétől új, tantermen kívüli digitális munkarendet vezetett be a köznevelési intézményekben. Az új munkarendre való átállás időszaka rengeteg hasznos tapasztalatot szolgáltatott </w:t>
      </w:r>
      <w:r w:rsidR="00BA59EA">
        <w:rPr>
          <w:rFonts w:asciiTheme="majorHAnsi" w:hAnsiTheme="majorHAnsi" w:cstheme="majorHAnsi"/>
        </w:rPr>
        <w:t xml:space="preserve">az intézmények és </w:t>
      </w:r>
      <w:r w:rsidR="00027564">
        <w:rPr>
          <w:rFonts w:asciiTheme="majorHAnsi" w:hAnsiTheme="majorHAnsi" w:cstheme="majorHAnsi"/>
        </w:rPr>
        <w:t>az ágazati irányítás részére, amelyek a köznevelés fejlesztésének stratégiai irányait is befolyásolják, ezért a legfontosabb megállapításokat ebben az alfejezetben összegezzük.</w:t>
      </w:r>
    </w:p>
    <w:p w14:paraId="461E36D1" w14:textId="22C75B98" w:rsidR="008A51F4" w:rsidRDefault="00F903F4" w:rsidP="00F903F4">
      <w:r>
        <w:t xml:space="preserve">A </w:t>
      </w:r>
      <w:r w:rsidRPr="00AE2D49">
        <w:t>tantermen kívüli, digitális munkarend</w:t>
      </w:r>
      <w:r>
        <w:t xml:space="preserve"> </w:t>
      </w:r>
      <w:r w:rsidRPr="00691A9B">
        <w:t xml:space="preserve">időtartama alatt </w:t>
      </w:r>
      <w:r>
        <w:t xml:space="preserve">a </w:t>
      </w:r>
      <w:r w:rsidRPr="00691A9B">
        <w:t xml:space="preserve">pedagógusok és a tanulók egymással </w:t>
      </w:r>
      <w:r>
        <w:t>digitális eszközök és platformok segítségével</w:t>
      </w:r>
      <w:r w:rsidR="008E566E">
        <w:t>,</w:t>
      </w:r>
      <w:r>
        <w:t xml:space="preserve"> </w:t>
      </w:r>
      <w:r w:rsidRPr="00691A9B">
        <w:t xml:space="preserve">vagy egyéb, személyes találkozást nem igénylő </w:t>
      </w:r>
      <w:r w:rsidR="00912F94">
        <w:t>módon</w:t>
      </w:r>
      <w:r w:rsidR="008A51F4">
        <w:t xml:space="preserve"> (pl. telefonon, papír alapon)</w:t>
      </w:r>
      <w:r w:rsidR="00912F94">
        <w:t xml:space="preserve"> tartotta</w:t>
      </w:r>
      <w:r>
        <w:t xml:space="preserve">k kapcsolatot egymással </w:t>
      </w:r>
      <w:r w:rsidRPr="00691A9B">
        <w:t>a tananyag kijelölése</w:t>
      </w:r>
      <w:r>
        <w:t xml:space="preserve">, </w:t>
      </w:r>
      <w:r w:rsidRPr="00691A9B">
        <w:t>a tanulási folyamat ellenőrzése és támogatása céljából</w:t>
      </w:r>
      <w:r>
        <w:t>. A</w:t>
      </w:r>
      <w:r w:rsidRPr="00EC5436">
        <w:t>z intézmények és a pedagógusok túlnyomó többsége a di</w:t>
      </w:r>
      <w:r>
        <w:t xml:space="preserve">gitális </w:t>
      </w:r>
      <w:r w:rsidR="008A51F4">
        <w:t xml:space="preserve">technológiára támaszkodott, ugyanakkor </w:t>
      </w:r>
      <w:r w:rsidR="008A51F4">
        <w:lastRenderedPageBreak/>
        <w:t>továbbra is fontos szerepet töltött be a tanulási folyamatban a tankönyv. Az átállást segítendő, a</w:t>
      </w:r>
      <w:r w:rsidR="008A51F4" w:rsidRPr="00E76972">
        <w:t xml:space="preserve">z Oktatási Hivatal honlapján kialakításra került egy </w:t>
      </w:r>
      <w:r w:rsidR="008A51F4">
        <w:t>ajánlásgyűjtemény</w:t>
      </w:r>
      <w:r w:rsidR="008A51F4" w:rsidRPr="00E76972">
        <w:t xml:space="preserve">, amely a köznevelési intézmények többsége által eddig </w:t>
      </w:r>
      <w:r w:rsidR="00BA59EA">
        <w:t xml:space="preserve">ilyen intenzitással </w:t>
      </w:r>
      <w:r w:rsidR="008A51F4" w:rsidRPr="00E76972">
        <w:t>nem alkalmazott oktatásszervezési és m</w:t>
      </w:r>
      <w:r w:rsidR="008A51F4">
        <w:t>ódszertani megoldásokat összesítette</w:t>
      </w:r>
      <w:r w:rsidR="008A51F4" w:rsidRPr="00E76972">
        <w:t>.</w:t>
      </w:r>
    </w:p>
    <w:p w14:paraId="06544764" w14:textId="55119947" w:rsidR="00D27744" w:rsidRDefault="008A51F4" w:rsidP="00D27744">
      <w:r>
        <w:t>Az új munkarenddel kapcsolatos tapasztalatok azt mutatták,</w:t>
      </w:r>
      <w:r w:rsidR="0024575B">
        <w:t xml:space="preserve"> hogy a pedagógusok és a diákok hatalmas számban (napi több százezres volumenben) kezdték el használni a köznevelési intézmények jelentős részében alkalmazott </w:t>
      </w:r>
      <w:r w:rsidR="00F903F4" w:rsidRPr="00E76972">
        <w:t xml:space="preserve">Köznevelési Regisztrációs és Tanulmányi Alaprendszer </w:t>
      </w:r>
      <w:r w:rsidR="00F903F4">
        <w:t xml:space="preserve">(KRÉTA) </w:t>
      </w:r>
      <w:r w:rsidR="00F903F4" w:rsidRPr="00E76972">
        <w:t>rend</w:t>
      </w:r>
      <w:r w:rsidR="0024575B">
        <w:t xml:space="preserve">szer </w:t>
      </w:r>
      <w:r w:rsidR="00F903F4" w:rsidRPr="00E76972">
        <w:t>otthoni tanulást, illetve a diákokkal és a szülőkkel történő</w:t>
      </w:r>
      <w:r w:rsidR="0024575B">
        <w:t xml:space="preserve"> kommunikációt támogató funkcióit, valamint a nagy</w:t>
      </w:r>
      <w:r w:rsidR="008E566E">
        <w:t>,</w:t>
      </w:r>
      <w:r w:rsidR="0024575B">
        <w:t xml:space="preserve"> állami fejlesztésű tudástárakat (Sulinet, Tankönyvkatalógus, Nemzeti Köznevelési Portál). </w:t>
      </w:r>
      <w:r w:rsidR="008F4F29">
        <w:t xml:space="preserve">A sulinet.hu és a tankonyvkatalogus.hu oldalak heti látogatottsága a korábbihoz képest megháromszorozódott, elérte az egy milliót. </w:t>
      </w:r>
      <w:r w:rsidR="00D27744">
        <w:t>Egyéb, magánkézben lévő, a digitális oktatást támogató platformokat is nagy számban vettek igénybe a tanárok és a gyerekek.</w:t>
      </w:r>
    </w:p>
    <w:p w14:paraId="0996275F" w14:textId="2E121911" w:rsidR="00F903F4" w:rsidRDefault="00D27744" w:rsidP="00F903F4">
      <w:r>
        <w:t>Jelentős lépés volt, hogy a</w:t>
      </w:r>
      <w:r w:rsidR="0024575B" w:rsidRPr="00314D9B">
        <w:t xml:space="preserve"> </w:t>
      </w:r>
      <w:r w:rsidR="0024575B">
        <w:t>Nemzeti Köznevelési P</w:t>
      </w:r>
      <w:r>
        <w:t xml:space="preserve">ortálon </w:t>
      </w:r>
      <w:r w:rsidR="0024575B" w:rsidRPr="00314D9B">
        <w:t>térítésmentes</w:t>
      </w:r>
      <w:r w:rsidR="0024575B">
        <w:t>en, bár</w:t>
      </w:r>
      <w:r>
        <w:t>ki számára hozzáférhetővé vált</w:t>
      </w:r>
      <w:r w:rsidR="0024575B">
        <w:t xml:space="preserve"> </w:t>
      </w:r>
      <w:r w:rsidR="0024575B" w:rsidRPr="00314D9B">
        <w:t xml:space="preserve">az elmúlt években fejlesztett </w:t>
      </w:r>
      <w:r w:rsidR="001B57C3">
        <w:t>több mint</w:t>
      </w:r>
      <w:r>
        <w:t xml:space="preserve"> 80 </w:t>
      </w:r>
      <w:r w:rsidR="0024575B" w:rsidRPr="00314D9B">
        <w:t xml:space="preserve">ún. </w:t>
      </w:r>
      <w:proofErr w:type="spellStart"/>
      <w:r w:rsidR="0024575B" w:rsidRPr="00314D9B">
        <w:t>okostank</w:t>
      </w:r>
      <w:r>
        <w:t>önyv</w:t>
      </w:r>
      <w:proofErr w:type="spellEnd"/>
      <w:r w:rsidR="0024575B" w:rsidRPr="00314D9B">
        <w:t>. E kiadványok az állami tankönyvfejlesztés keretében elkészített, nyomtatásban megjelent újgenerációs tankönyvek digitális tananyagelemekkel</w:t>
      </w:r>
      <w:r w:rsidR="0024575B">
        <w:t xml:space="preserve"> kiegészített</w:t>
      </w:r>
      <w:r>
        <w:t>, interaktív</w:t>
      </w:r>
      <w:r w:rsidR="00A4500E">
        <w:t xml:space="preserve"> változatai, </w:t>
      </w:r>
      <w:proofErr w:type="gramStart"/>
      <w:r w:rsidR="00A4500E">
        <w:t>amelyekkel</w:t>
      </w:r>
      <w:proofErr w:type="gramEnd"/>
      <w:r w:rsidR="00A4500E">
        <w:t xml:space="preserve"> napi rendszerességgel 70-80 ezer tanuló dolgozott.</w:t>
      </w:r>
      <w:r w:rsidR="0024575B">
        <w:t xml:space="preserve"> </w:t>
      </w:r>
      <w:r>
        <w:t xml:space="preserve">A veszélyhelyzethez igazodva </w:t>
      </w:r>
      <w:r w:rsidR="00F903F4">
        <w:t xml:space="preserve">a közszolgálati M5 televíziós csatorna minden hétköznap 8:00-tól 20:30-ig </w:t>
      </w:r>
      <w:r w:rsidR="00F903F4" w:rsidRPr="00C71B5E">
        <w:t>oktatási műsorok</w:t>
      </w:r>
      <w:r w:rsidR="00F903F4">
        <w:t xml:space="preserve">at </w:t>
      </w:r>
      <w:r>
        <w:t>kezdett sugározni, k</w:t>
      </w:r>
      <w:r w:rsidR="00F903F4">
        <w:t>ülön-külön műsorblokkok</w:t>
      </w:r>
      <w:r>
        <w:t xml:space="preserve">at nyújtva </w:t>
      </w:r>
      <w:r w:rsidR="00F903F4">
        <w:t>az alsó és a felső tagozatos diákoknak, illetve az érettségi vizsgára készülő középiskolás tanulóknak.</w:t>
      </w:r>
    </w:p>
    <w:p w14:paraId="1DDE3FC9" w14:textId="6F1DC61A" w:rsidR="00D27744" w:rsidRDefault="00BA59EA" w:rsidP="00F903F4">
      <w:r>
        <w:t xml:space="preserve">A </w:t>
      </w:r>
      <w:r w:rsidR="000E2C8C">
        <w:t>napi gyakorlatban kialakultak és rögzültek</w:t>
      </w:r>
      <w:r w:rsidR="00934747">
        <w:t xml:space="preserve"> a teljesítményértékelés személyes kontaktus nélküli </w:t>
      </w:r>
      <w:r w:rsidR="000E2C8C">
        <w:t>formái, amelyek lehetővé tették, hogy az első 2 hetes időszakot követően a korábbit megközelítő vagy annak megfelelő számú értékelés született.</w:t>
      </w:r>
    </w:p>
    <w:p w14:paraId="08998DBE" w14:textId="44B62A42" w:rsidR="00D27744" w:rsidRDefault="00D27744" w:rsidP="005F4E2A">
      <w:r>
        <w:t>Szintén kihívást</w:t>
      </w:r>
      <w:r w:rsidR="005F4E2A">
        <w:t xml:space="preserve"> jelentett, hogy az ország egyes régióiban, különösen a halmozottan hátrányos tanulók körében voltak olyanok, </w:t>
      </w:r>
      <w:r w:rsidRPr="00D27744">
        <w:t>akik nem rendelkeztek megfelelő digitális eszközökkel és/vagy internet kapcsolattal. A</w:t>
      </w:r>
      <w:r w:rsidR="005F4E2A">
        <w:t xml:space="preserve"> fenntartók erre vonatkozóan részletes</w:t>
      </w:r>
      <w:r w:rsidRPr="00D27744">
        <w:t xml:space="preserve"> felmérés</w:t>
      </w:r>
      <w:r w:rsidR="005F4E2A">
        <w:t>t végeztek, ami</w:t>
      </w:r>
      <w:r w:rsidRPr="00D27744">
        <w:t xml:space="preserve"> alapján új eszközök kerültek beszerzésre, emellett az iskolákból több ezres nagyságrendben adtak ki számítógépeket a pedagógusoknak és a családoknak otthoni használatra</w:t>
      </w:r>
      <w:r w:rsidR="005F4E2A">
        <w:t>.</w:t>
      </w:r>
    </w:p>
    <w:p w14:paraId="1A4FA643" w14:textId="72702ABC" w:rsidR="000E2C8C" w:rsidRDefault="00934747" w:rsidP="000E2C8C">
      <w:pPr>
        <w:rPr>
          <w:rFonts w:asciiTheme="majorHAnsi" w:hAnsiTheme="majorHAnsi" w:cstheme="majorHAnsi"/>
        </w:rPr>
      </w:pPr>
      <w:r>
        <w:t xml:space="preserve">A hirtelen megnövekedett online kommunikáció, az interneten kiadott és beküldött feladatok (videók, hanganyagok stb.) szükségessé tették a digitális oktatással járó kapcsolattartás adatvédelmi szempontú kezelését. </w:t>
      </w:r>
      <w:r w:rsidRPr="00F903F4">
        <w:rPr>
          <w:rFonts w:asciiTheme="majorHAnsi" w:hAnsiTheme="majorHAnsi" w:cstheme="majorHAnsi"/>
        </w:rPr>
        <w:t xml:space="preserve">Az </w:t>
      </w:r>
      <w:r>
        <w:rPr>
          <w:rFonts w:asciiTheme="majorHAnsi" w:hAnsiTheme="majorHAnsi" w:cstheme="majorHAnsi"/>
        </w:rPr>
        <w:t xml:space="preserve">Oktatási Hivatal által közzétett </w:t>
      </w:r>
      <w:r w:rsidRPr="00F903F4">
        <w:rPr>
          <w:rFonts w:asciiTheme="majorHAnsi" w:hAnsiTheme="majorHAnsi" w:cstheme="majorHAnsi"/>
        </w:rPr>
        <w:t>ajánlás</w:t>
      </w:r>
      <w:r>
        <w:rPr>
          <w:rFonts w:asciiTheme="majorHAnsi" w:hAnsiTheme="majorHAnsi" w:cstheme="majorHAnsi"/>
        </w:rPr>
        <w:t xml:space="preserve"> mellet (amely összefoglalta</w:t>
      </w:r>
      <w:r w:rsidRPr="00F903F4">
        <w:rPr>
          <w:rFonts w:asciiTheme="majorHAnsi" w:hAnsiTheme="majorHAnsi" w:cstheme="majorHAnsi"/>
        </w:rPr>
        <w:t xml:space="preserve"> a</w:t>
      </w:r>
      <w:r>
        <w:rPr>
          <w:rFonts w:asciiTheme="majorHAnsi" w:hAnsiTheme="majorHAnsi" w:cstheme="majorHAnsi"/>
        </w:rPr>
        <w:t xml:space="preserve">zokat </w:t>
      </w:r>
      <w:r w:rsidRPr="00F903F4">
        <w:rPr>
          <w:rFonts w:asciiTheme="majorHAnsi" w:hAnsiTheme="majorHAnsi" w:cstheme="majorHAnsi"/>
        </w:rPr>
        <w:t xml:space="preserve">a pedagógusok, tanulók és szüleik biztonságos internethasználatát </w:t>
      </w:r>
      <w:r>
        <w:rPr>
          <w:rFonts w:asciiTheme="majorHAnsi" w:hAnsiTheme="majorHAnsi" w:cstheme="majorHAnsi"/>
        </w:rPr>
        <w:t>elősegítő viselkedési normákat) kiemelten fontos volt a Nemzeti Adatvédelmi és Információszabadság Hatóság állásfoglalása.</w:t>
      </w:r>
      <w:r w:rsidR="000E2C8C">
        <w:rPr>
          <w:rStyle w:val="Lbjegyzet-hivatkozs"/>
          <w:rFonts w:asciiTheme="majorHAnsi" w:hAnsiTheme="majorHAnsi" w:cstheme="majorHAnsi"/>
        </w:rPr>
        <w:footnoteReference w:id="8"/>
      </w:r>
      <w:r>
        <w:rPr>
          <w:rFonts w:asciiTheme="majorHAnsi" w:hAnsiTheme="majorHAnsi" w:cstheme="majorHAnsi"/>
        </w:rPr>
        <w:t xml:space="preserve"> Utóbbi </w:t>
      </w:r>
      <w:r w:rsidR="000E2C8C">
        <w:rPr>
          <w:rFonts w:asciiTheme="majorHAnsi" w:hAnsiTheme="majorHAnsi" w:cstheme="majorHAnsi"/>
        </w:rPr>
        <w:t xml:space="preserve">leszögezte, </w:t>
      </w:r>
      <w:r w:rsidR="000E2C8C">
        <w:t xml:space="preserve">hogy a </w:t>
      </w:r>
      <w:r w:rsidR="000E2C8C">
        <w:lastRenderedPageBreak/>
        <w:t xml:space="preserve">digitális távoktatás keretében a köznevelési intézmények – az adatvédelmi alapelveknek alárendelten – az ágazaton belüli etikai és egyéb szabályok betartása mellett kérhetik a diákoktól (illetve a szülői felügyeletet gyakorló személytől) fénykép és </w:t>
      </w:r>
      <w:proofErr w:type="spellStart"/>
      <w:r w:rsidR="000E2C8C">
        <w:t>videófelvétel</w:t>
      </w:r>
      <w:proofErr w:type="spellEnd"/>
      <w:r w:rsidR="000E2C8C">
        <w:t xml:space="preserve"> megküldését.</w:t>
      </w:r>
    </w:p>
    <w:p w14:paraId="0BEF4A68" w14:textId="73280D5B" w:rsidR="00F903F4" w:rsidRDefault="000E2C8C" w:rsidP="00F903F4">
      <w:r>
        <w:rPr>
          <w:rFonts w:asciiTheme="majorHAnsi" w:hAnsiTheme="majorHAnsi" w:cstheme="majorHAnsi"/>
        </w:rPr>
        <w:t>Az új helyzet egyúttal hatalmas lehetőséget is jelentett a magyar köznevelés számára:</w:t>
      </w:r>
      <w:r w:rsidR="003B02FC">
        <w:rPr>
          <w:rFonts w:asciiTheme="majorHAnsi" w:hAnsiTheme="majorHAnsi" w:cstheme="majorHAnsi"/>
        </w:rPr>
        <w:t xml:space="preserve"> a pedagógusok </w:t>
      </w:r>
      <w:r w:rsidR="00BA59EA">
        <w:rPr>
          <w:rFonts w:asciiTheme="majorHAnsi" w:hAnsiTheme="majorHAnsi" w:cstheme="majorHAnsi"/>
        </w:rPr>
        <w:t xml:space="preserve">döntő </w:t>
      </w:r>
      <w:r w:rsidR="003B02FC">
        <w:rPr>
          <w:rFonts w:asciiTheme="majorHAnsi" w:hAnsiTheme="majorHAnsi" w:cstheme="majorHAnsi"/>
        </w:rPr>
        <w:t xml:space="preserve">többsége kreatívan, elkötelezetten igyekezett – részben új alapokra helyezve – folytatni az oktató-nevelő munkát, és digitális módszertani, illetve eszközhasználati kompetenciák tekintetében sokan jelentős fejlődésen mentek keresztül. Az új munkarend </w:t>
      </w:r>
      <w:r w:rsidR="00F903F4">
        <w:t>nagy lehetőség</w:t>
      </w:r>
      <w:r w:rsidR="003B02FC">
        <w:t xml:space="preserve">et adott </w:t>
      </w:r>
      <w:r w:rsidR="00F903F4">
        <w:t>a differenciál</w:t>
      </w:r>
      <w:r w:rsidR="003B02FC">
        <w:t xml:space="preserve">ásra is a pedagógiai munkában. Mindemellett egyértelművé vált, hogy </w:t>
      </w:r>
      <w:r w:rsidR="00713210">
        <w:t xml:space="preserve">rendszerszinten tovább kell vinni a már megkezdett intézkedéseket: a pedagógusok </w:t>
      </w:r>
      <w:r w:rsidR="00CC33CC">
        <w:t xml:space="preserve">célzott továbbképzését </w:t>
      </w:r>
      <w:r w:rsidR="00713210">
        <w:t>(hangsúlyosan nem pusztán az eszközhasználati készségek, hanem a digitális módszertanok tekintetében), az infrastrukturális fejlesztéseket (</w:t>
      </w:r>
      <w:r w:rsidR="00CC33CC">
        <w:t xml:space="preserve">azon belül is </w:t>
      </w:r>
      <w:r w:rsidR="00713210">
        <w:t>különösen a rászoruló gyerekek és családok eszközellátottságának javítását, az internethálózat bővítését és a sávszélesség növelését az iskolákban), a jó minőségű digitális tartalmak elkészítését és megosztását</w:t>
      </w:r>
      <w:r w:rsidR="00BA59EA">
        <w:t>, a KRÉTA tanulmányi rendszer funkcionalitásának bővítését</w:t>
      </w:r>
      <w:r w:rsidR="00BE54CB">
        <w:t xml:space="preserve">, hogy egy újabb járványhelyzetben sokkal </w:t>
      </w:r>
      <w:proofErr w:type="gramStart"/>
      <w:r w:rsidR="00BE54CB">
        <w:t>felkészültebben</w:t>
      </w:r>
      <w:proofErr w:type="gramEnd"/>
      <w:r w:rsidR="00BE54CB">
        <w:t xml:space="preserve"> történhessen meg az átállás az eltérő munkarendre</w:t>
      </w:r>
      <w:r w:rsidR="00CC33CC">
        <w:t xml:space="preserve">. Emellett </w:t>
      </w:r>
      <w:r w:rsidR="00713210">
        <w:t>fokozott figyelmet kell fordítani a digitális gyermekvédelemre és a tudatos internet, illetve médiahasználatra.</w:t>
      </w:r>
    </w:p>
    <w:p w14:paraId="450046A4" w14:textId="29D4392A" w:rsidR="00027564" w:rsidRDefault="00C25E65" w:rsidP="00027564">
      <w:pPr>
        <w:rPr>
          <w:rFonts w:asciiTheme="majorHAnsi" w:hAnsiTheme="majorHAnsi" w:cstheme="majorHAnsi"/>
        </w:rPr>
      </w:pPr>
      <w:r>
        <w:t>A koronavírus járvány arra is rávilágított, hogy a digitális eszközökkel jobban felszerelt, nagyobb tantestülettel rendelkező köznevelési intézmények általában könnyebben tudtak megfelelni az új kihívásnak, mint az alacsony létszámú, néhány pedagógussal működő iskolák</w:t>
      </w:r>
      <w:r w:rsidR="00BE54CB">
        <w:t xml:space="preserve">, ezért érdemes </w:t>
      </w:r>
      <w:r>
        <w:t xml:space="preserve">ebből a szempontból is áttekinteni az intézményrendszert, </w:t>
      </w:r>
      <w:r w:rsidR="00BE54CB">
        <w:t xml:space="preserve">strukturálisan is megerősítve </w:t>
      </w:r>
      <w:r w:rsidR="00BE54CB">
        <w:rPr>
          <w:rFonts w:asciiTheme="majorHAnsi" w:hAnsiTheme="majorHAnsi" w:cstheme="majorHAnsi"/>
        </w:rPr>
        <w:t xml:space="preserve">annak átállási képességét. </w:t>
      </w:r>
    </w:p>
    <w:p w14:paraId="7F1FF30A" w14:textId="77777777" w:rsidR="00BE54CB" w:rsidRDefault="00BE54CB" w:rsidP="00027564">
      <w:pPr>
        <w:rPr>
          <w:rFonts w:asciiTheme="majorHAnsi" w:hAnsiTheme="majorHAnsi" w:cstheme="majorHAnsi"/>
        </w:rPr>
      </w:pPr>
    </w:p>
    <w:p w14:paraId="5885159B" w14:textId="77777777" w:rsidR="00B86FE8" w:rsidRDefault="00DF76A9" w:rsidP="006C5E07">
      <w:pPr>
        <w:pStyle w:val="Cmsor1"/>
      </w:pPr>
      <w:bookmarkStart w:id="30" w:name="_Toc35596122"/>
      <w:bookmarkStart w:id="31" w:name="_Toc46822699"/>
      <w:r>
        <w:lastRenderedPageBreak/>
        <w:t>Jövőkép és célrendszer</w:t>
      </w:r>
      <w:bookmarkEnd w:id="30"/>
      <w:bookmarkEnd w:id="31"/>
    </w:p>
    <w:p w14:paraId="049AC5DC" w14:textId="4DA1DCA5" w:rsidR="00524611" w:rsidRDefault="000B338E" w:rsidP="00203537">
      <w:r>
        <w:t>A stratégiában o</w:t>
      </w:r>
      <w:r w:rsidR="00524611">
        <w:t xml:space="preserve">lyan jövőkép megfogalmazására törekedtünk, amely érthető, fókuszált, szintetizálja a fejlesztési irányokat, és egyúttal kifejezi azt az értékfelfogást, amely mentén haladni kívánunk a következő időszakban. </w:t>
      </w:r>
    </w:p>
    <w:p w14:paraId="40A547A3" w14:textId="77777777" w:rsidR="000D3B36" w:rsidRPr="0066550A" w:rsidRDefault="00DF76A9" w:rsidP="002E5A6E">
      <w:pPr>
        <w:pStyle w:val="Cmsor2"/>
      </w:pPr>
      <w:bookmarkStart w:id="32" w:name="_Toc35596123"/>
      <w:bookmarkStart w:id="33" w:name="_Toc46822700"/>
      <w:r w:rsidRPr="0066550A">
        <w:t>Jövőkép</w:t>
      </w:r>
      <w:bookmarkEnd w:id="32"/>
      <w:bookmarkEnd w:id="33"/>
    </w:p>
    <w:p w14:paraId="1FBA1354" w14:textId="0412602E" w:rsidR="002E5A6E" w:rsidRDefault="009B0E18" w:rsidP="00B86FE8">
      <w:pPr>
        <w:rPr>
          <w:rFonts w:asciiTheme="majorHAnsi" w:hAnsiTheme="majorHAnsi" w:cstheme="majorHAnsi"/>
        </w:rPr>
      </w:pPr>
      <w:r>
        <w:rPr>
          <w:rFonts w:asciiTheme="majorHAnsi" w:hAnsiTheme="majorHAnsi" w:cstheme="majorHAnsi"/>
        </w:rPr>
        <w:t xml:space="preserve">A köznevelés 2030-ban a nevelés és oktatás egyensúlyát megteremtő, méltányos állami közszolgálat, amely </w:t>
      </w:r>
      <w:r w:rsidR="000B338E">
        <w:rPr>
          <w:rFonts w:asciiTheme="majorHAnsi" w:hAnsiTheme="majorHAnsi" w:cstheme="majorHAnsi"/>
        </w:rPr>
        <w:t xml:space="preserve">a </w:t>
      </w:r>
      <w:r>
        <w:rPr>
          <w:rFonts w:asciiTheme="majorHAnsi" w:hAnsiTheme="majorHAnsi" w:cstheme="majorHAnsi"/>
        </w:rPr>
        <w:t>felkészült és megbecsült pedagó</w:t>
      </w:r>
      <w:r w:rsidR="000B1DD2">
        <w:rPr>
          <w:rFonts w:asciiTheme="majorHAnsi" w:hAnsiTheme="majorHAnsi" w:cstheme="majorHAnsi"/>
        </w:rPr>
        <w:t xml:space="preserve">gusok közreműködésével, korszerű </w:t>
      </w:r>
      <w:r>
        <w:rPr>
          <w:rFonts w:asciiTheme="majorHAnsi" w:hAnsiTheme="majorHAnsi" w:cstheme="majorHAnsi"/>
        </w:rPr>
        <w:t>pedagógiai módszerek</w:t>
      </w:r>
      <w:r w:rsidR="00F07871">
        <w:rPr>
          <w:rFonts w:asciiTheme="majorHAnsi" w:hAnsiTheme="majorHAnsi" w:cstheme="majorHAnsi"/>
        </w:rPr>
        <w:t xml:space="preserve"> alkalmazásával</w:t>
      </w:r>
      <w:r>
        <w:rPr>
          <w:rFonts w:asciiTheme="majorHAnsi" w:hAnsiTheme="majorHAnsi" w:cstheme="majorHAnsi"/>
        </w:rPr>
        <w:t xml:space="preserve"> és modern infrastruktúrával </w:t>
      </w:r>
      <w:r w:rsidR="000B338E">
        <w:rPr>
          <w:rFonts w:asciiTheme="majorHAnsi" w:hAnsiTheme="majorHAnsi" w:cstheme="majorHAnsi"/>
        </w:rPr>
        <w:t>teszi lehetővé</w:t>
      </w:r>
      <w:r w:rsidR="00BC7B20">
        <w:rPr>
          <w:rFonts w:asciiTheme="majorHAnsi" w:hAnsiTheme="majorHAnsi" w:cstheme="majorHAnsi"/>
        </w:rPr>
        <w:t xml:space="preserve"> a </w:t>
      </w:r>
      <w:r>
        <w:rPr>
          <w:rFonts w:asciiTheme="majorHAnsi" w:hAnsiTheme="majorHAnsi" w:cstheme="majorHAnsi"/>
        </w:rPr>
        <w:t>magyar gyermekeknek</w:t>
      </w:r>
      <w:r w:rsidR="000B338E">
        <w:rPr>
          <w:rFonts w:asciiTheme="majorHAnsi" w:hAnsiTheme="majorHAnsi" w:cstheme="majorHAnsi"/>
        </w:rPr>
        <w:t>, hogy felkészüljenek</w:t>
      </w:r>
      <w:r>
        <w:rPr>
          <w:rFonts w:asciiTheme="majorHAnsi" w:hAnsiTheme="majorHAnsi" w:cstheme="majorHAnsi"/>
        </w:rPr>
        <w:t xml:space="preserve"> a </w:t>
      </w:r>
      <w:r w:rsidR="00007267">
        <w:rPr>
          <w:rFonts w:asciiTheme="majorHAnsi" w:hAnsiTheme="majorHAnsi" w:cstheme="majorHAnsi"/>
        </w:rPr>
        <w:t>XXI</w:t>
      </w:r>
      <w:r w:rsidR="00BC7B20">
        <w:rPr>
          <w:rFonts w:asciiTheme="majorHAnsi" w:hAnsiTheme="majorHAnsi" w:cstheme="majorHAnsi"/>
        </w:rPr>
        <w:t>. század társadalmi, munkaerőpiaci</w:t>
      </w:r>
      <w:r w:rsidR="000B1DD2">
        <w:rPr>
          <w:rFonts w:asciiTheme="majorHAnsi" w:hAnsiTheme="majorHAnsi" w:cstheme="majorHAnsi"/>
        </w:rPr>
        <w:t>,</w:t>
      </w:r>
      <w:r>
        <w:rPr>
          <w:rFonts w:asciiTheme="majorHAnsi" w:hAnsiTheme="majorHAnsi" w:cstheme="majorHAnsi"/>
        </w:rPr>
        <w:t xml:space="preserve"> technológiai kihívásaira, megteremtve ezzel a nemzet hosszú</w:t>
      </w:r>
      <w:r w:rsidR="00FF666D">
        <w:rPr>
          <w:rFonts w:asciiTheme="majorHAnsi" w:hAnsiTheme="majorHAnsi" w:cstheme="majorHAnsi"/>
        </w:rPr>
        <w:t xml:space="preserve"> </w:t>
      </w:r>
      <w:r>
        <w:rPr>
          <w:rFonts w:asciiTheme="majorHAnsi" w:hAnsiTheme="majorHAnsi" w:cstheme="majorHAnsi"/>
        </w:rPr>
        <w:t xml:space="preserve">távú fejlődésének </w:t>
      </w:r>
      <w:r w:rsidR="00905D78">
        <w:rPr>
          <w:rFonts w:asciiTheme="majorHAnsi" w:hAnsiTheme="majorHAnsi" w:cstheme="majorHAnsi"/>
        </w:rPr>
        <w:t>alapját</w:t>
      </w:r>
      <w:r>
        <w:rPr>
          <w:rFonts w:asciiTheme="majorHAnsi" w:hAnsiTheme="majorHAnsi" w:cstheme="majorHAnsi"/>
        </w:rPr>
        <w:t>.</w:t>
      </w:r>
    </w:p>
    <w:p w14:paraId="4084528F" w14:textId="77777777" w:rsidR="00DF76A9" w:rsidRDefault="002E5A6E" w:rsidP="002E5A6E">
      <w:pPr>
        <w:pStyle w:val="Cmsor2"/>
      </w:pPr>
      <w:bookmarkStart w:id="34" w:name="_Toc35596124"/>
      <w:bookmarkStart w:id="35" w:name="_Toc46822701"/>
      <w:r>
        <w:t>Célrendszer</w:t>
      </w:r>
      <w:bookmarkEnd w:id="34"/>
      <w:bookmarkEnd w:id="35"/>
    </w:p>
    <w:p w14:paraId="2F601802" w14:textId="77777777" w:rsidR="00BC16EA" w:rsidRDefault="00BC16EA" w:rsidP="00BC16EA">
      <w:r>
        <w:t xml:space="preserve">A stratégia célrendszerét </w:t>
      </w:r>
      <w:r w:rsidR="000B338E">
        <w:t>kettő</w:t>
      </w:r>
      <w:r>
        <w:t xml:space="preserve"> szinten alakítottuk ki: az átfogó cél megvalósulását 5 specifikus célkitűzés szolgálja. A</w:t>
      </w:r>
      <w:r w:rsidR="005239D3">
        <w:t>z 5 specifikus célkitűzéshez összesen 1</w:t>
      </w:r>
      <w:r w:rsidR="00E930E1">
        <w:t>4</w:t>
      </w:r>
      <w:r w:rsidR="005239D3">
        <w:t xml:space="preserve"> beavatkozási irányt, fejlesztési területet rendeltünk. A </w:t>
      </w:r>
      <w:proofErr w:type="gramStart"/>
      <w:r w:rsidR="005239D3">
        <w:t>stratégia következő</w:t>
      </w:r>
      <w:proofErr w:type="gramEnd"/>
      <w:r w:rsidR="005239D3">
        <w:t xml:space="preserve"> fejezetében ezt a 1</w:t>
      </w:r>
      <w:r w:rsidR="002B65B7">
        <w:t>4</w:t>
      </w:r>
      <w:r w:rsidR="005239D3">
        <w:t xml:space="preserve"> beavatkozási irányt</w:t>
      </w:r>
      <w:r w:rsidR="00914895">
        <w:t xml:space="preserve"> </w:t>
      </w:r>
      <w:r w:rsidR="005239D3">
        <w:t>ismertetjük.</w:t>
      </w:r>
    </w:p>
    <w:p w14:paraId="1485D953" w14:textId="75A8D30B" w:rsidR="00516698" w:rsidRDefault="00516698" w:rsidP="00BC16EA">
      <w:r>
        <w:t>A célok és beavatkozási irányok következőkben bemutat</w:t>
      </w:r>
      <w:r w:rsidR="000B338E">
        <w:t>andó</w:t>
      </w:r>
      <w:r>
        <w:t xml:space="preserve"> rendszere a köznevelés-fejlesztés meghatározó törekvéseinek teljes spektrumát lefedi</w:t>
      </w:r>
      <w:r w:rsidR="00772933">
        <w:t>, ugyanakkor nem kizárólagos, értelemszerűen a megváltoztatandó területekre koncentráltunk, a köznevelés teljes rendszere ennél jóval komplexebb</w:t>
      </w:r>
      <w:r>
        <w:t xml:space="preserve">. Az egyes beavatkozási irányokat (fejlesztési területeket) bizonyos esetekben – ha a téma </w:t>
      </w:r>
      <w:r w:rsidR="00524611">
        <w:t>összetettsége</w:t>
      </w:r>
      <w:r>
        <w:t xml:space="preserve"> azt indokolta </w:t>
      </w:r>
      <w:r w:rsidR="000B338E">
        <w:t>−</w:t>
      </w:r>
      <w:r>
        <w:t>tovább strukturáltuk</w:t>
      </w:r>
      <w:r w:rsidR="00524611">
        <w:t>. A célrends</w:t>
      </w:r>
      <w:r w:rsidR="000B33A1">
        <w:t>zer, illetve különösen a beavatkozási logika kialakításakor</w:t>
      </w:r>
      <w:r w:rsidR="00524611">
        <w:t xml:space="preserve"> tekintettel voltunk arra, hogy a 2021</w:t>
      </w:r>
      <w:r w:rsidR="000B338E">
        <w:t>−</w:t>
      </w:r>
      <w:r w:rsidR="00524611">
        <w:t>2027 közötti európai uniós finanszírozási időszak</w:t>
      </w:r>
      <w:r w:rsidR="000B33A1">
        <w:t>ra vonatkozó, az Európai Bizottság által megfogalmazott – köznevelési tárgyú – feljogosító feltételekben rögzített elvárások hangsúlyosan megjelenjenek.</w:t>
      </w:r>
    </w:p>
    <w:p w14:paraId="6DEEFB66" w14:textId="77777777" w:rsidR="00394666" w:rsidRDefault="00394666" w:rsidP="00BC16EA"/>
    <w:p w14:paraId="042F6561" w14:textId="77777777" w:rsidR="00516698" w:rsidRDefault="00516698" w:rsidP="00BC16EA"/>
    <w:p w14:paraId="2950EE51" w14:textId="0ACC5B95" w:rsidR="000B33A1" w:rsidRDefault="000B33A1" w:rsidP="00BC16EA"/>
    <w:p w14:paraId="5CE21268" w14:textId="77777777" w:rsidR="00905D78" w:rsidRDefault="00905D78" w:rsidP="00BC16EA"/>
    <w:p w14:paraId="20D3561F" w14:textId="77777777" w:rsidR="00914895" w:rsidRDefault="00914895" w:rsidP="00BC16EA"/>
    <w:p w14:paraId="669B9BAE" w14:textId="77777777" w:rsidR="000B33A1" w:rsidRDefault="000B33A1" w:rsidP="00BC16EA"/>
    <w:p w14:paraId="7AB059CB" w14:textId="77777777" w:rsidR="000B33A1" w:rsidRPr="00BC16EA" w:rsidRDefault="000B33A1" w:rsidP="00BC16EA"/>
    <w:tbl>
      <w:tblPr>
        <w:tblStyle w:val="Tblzatrcsos42jellszn1"/>
        <w:tblW w:w="8575" w:type="dxa"/>
        <w:jc w:val="center"/>
        <w:tblLook w:val="04A0" w:firstRow="1" w:lastRow="0" w:firstColumn="1" w:lastColumn="0" w:noHBand="0" w:noVBand="1"/>
      </w:tblPr>
      <w:tblGrid>
        <w:gridCol w:w="3256"/>
        <w:gridCol w:w="5319"/>
      </w:tblGrid>
      <w:tr w:rsidR="00A921B8" w:rsidRPr="00ED2C8B" w14:paraId="586E82BF" w14:textId="77777777" w:rsidTr="00EA5F43">
        <w:trPr>
          <w:cnfStyle w:val="100000000000" w:firstRow="1" w:lastRow="0" w:firstColumn="0" w:lastColumn="0" w:oddVBand="0" w:evenVBand="0" w:oddHBand="0" w:evenHBand="0" w:firstRowFirstColumn="0" w:firstRowLastColumn="0" w:lastRowFirstColumn="0" w:lastRowLastColumn="0"/>
          <w:trHeight w:val="611"/>
          <w:jc w:val="center"/>
        </w:trPr>
        <w:tc>
          <w:tcPr>
            <w:cnfStyle w:val="001000000000" w:firstRow="0" w:lastRow="0" w:firstColumn="1" w:lastColumn="0" w:oddVBand="0" w:evenVBand="0" w:oddHBand="0" w:evenHBand="0" w:firstRowFirstColumn="0" w:firstRowLastColumn="0" w:lastRowFirstColumn="0" w:lastRowLastColumn="0"/>
            <w:tcW w:w="8575" w:type="dxa"/>
            <w:gridSpan w:val="2"/>
            <w:shd w:val="clear" w:color="auto" w:fill="574030" w:themeFill="accent2" w:themeFillTint="E6"/>
            <w:vAlign w:val="center"/>
          </w:tcPr>
          <w:p w14:paraId="5A71BD0D" w14:textId="77777777" w:rsidR="00A921B8" w:rsidRPr="00ED2C8B" w:rsidRDefault="00C42A56" w:rsidP="00C42A56">
            <w:pPr>
              <w:jc w:val="center"/>
              <w:rPr>
                <w:rFonts w:asciiTheme="majorHAnsi" w:hAnsiTheme="majorHAnsi" w:cstheme="majorHAnsi"/>
                <w:sz w:val="22"/>
                <w:szCs w:val="22"/>
              </w:rPr>
            </w:pPr>
            <w:r>
              <w:rPr>
                <w:rFonts w:asciiTheme="majorHAnsi" w:hAnsiTheme="majorHAnsi" w:cstheme="majorHAnsi"/>
                <w:sz w:val="22"/>
                <w:szCs w:val="22"/>
              </w:rPr>
              <w:lastRenderedPageBreak/>
              <w:t>ÁTFOGÓ CÉL</w:t>
            </w:r>
          </w:p>
        </w:tc>
      </w:tr>
      <w:tr w:rsidR="00A921B8" w:rsidRPr="00ED2C8B" w14:paraId="2832F7B2" w14:textId="77777777" w:rsidTr="00EA5F43">
        <w:trPr>
          <w:cnfStyle w:val="000000100000" w:firstRow="0" w:lastRow="0" w:firstColumn="0" w:lastColumn="0" w:oddVBand="0" w:evenVBand="0" w:oddHBand="1"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8575" w:type="dxa"/>
            <w:gridSpan w:val="2"/>
            <w:shd w:val="clear" w:color="auto" w:fill="FFFFFF" w:themeFill="background1"/>
            <w:vAlign w:val="center"/>
          </w:tcPr>
          <w:p w14:paraId="229AD03A" w14:textId="77777777" w:rsidR="00A921B8" w:rsidRPr="00ED2C8B" w:rsidRDefault="002B65B7" w:rsidP="00DD4014">
            <w:pPr>
              <w:ind w:right="-104"/>
              <w:jc w:val="center"/>
              <w:rPr>
                <w:rFonts w:asciiTheme="majorHAnsi" w:hAnsiTheme="majorHAnsi" w:cstheme="majorHAnsi"/>
                <w:sz w:val="22"/>
                <w:szCs w:val="22"/>
              </w:rPr>
            </w:pPr>
            <w:r>
              <w:rPr>
                <w:rFonts w:asciiTheme="majorHAnsi" w:hAnsiTheme="majorHAnsi" w:cstheme="majorHAnsi"/>
                <w:sz w:val="22"/>
                <w:szCs w:val="22"/>
              </w:rPr>
              <w:t>M</w:t>
            </w:r>
            <w:r w:rsidR="00A921B8" w:rsidRPr="00ED2C8B">
              <w:rPr>
                <w:rFonts w:asciiTheme="majorHAnsi" w:hAnsiTheme="majorHAnsi" w:cstheme="majorHAnsi"/>
                <w:sz w:val="22"/>
                <w:szCs w:val="22"/>
              </w:rPr>
              <w:t xml:space="preserve">éltányos, korszerű, </w:t>
            </w:r>
            <w:r w:rsidR="00BC16EA">
              <w:rPr>
                <w:rFonts w:asciiTheme="majorHAnsi" w:hAnsiTheme="majorHAnsi" w:cstheme="majorHAnsi"/>
                <w:sz w:val="22"/>
                <w:szCs w:val="22"/>
              </w:rPr>
              <w:t>nemzeti</w:t>
            </w:r>
            <w:r w:rsidR="00C42A56">
              <w:rPr>
                <w:rFonts w:asciiTheme="majorHAnsi" w:hAnsiTheme="majorHAnsi" w:cstheme="majorHAnsi"/>
                <w:sz w:val="22"/>
                <w:szCs w:val="22"/>
              </w:rPr>
              <w:t xml:space="preserve"> köznevelés</w:t>
            </w:r>
          </w:p>
        </w:tc>
      </w:tr>
      <w:tr w:rsidR="00A921B8" w:rsidRPr="00ED2C8B" w14:paraId="18228ADA" w14:textId="77777777" w:rsidTr="00EA5F43">
        <w:trPr>
          <w:trHeight w:val="680"/>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574030" w:themeFill="accent2" w:themeFillTint="E6"/>
            <w:vAlign w:val="center"/>
          </w:tcPr>
          <w:p w14:paraId="46552B19" w14:textId="77777777" w:rsidR="00A921B8" w:rsidRPr="00ED2C8B" w:rsidRDefault="00A921B8" w:rsidP="00ED2C8B">
            <w:pPr>
              <w:pStyle w:val="Listaszerbekezds"/>
              <w:ind w:left="0" w:right="-104"/>
              <w:jc w:val="center"/>
              <w:rPr>
                <w:rFonts w:asciiTheme="majorHAnsi" w:hAnsiTheme="majorHAnsi" w:cstheme="majorHAnsi"/>
                <w:color w:val="FFFFFF" w:themeColor="background1"/>
                <w:sz w:val="22"/>
                <w:szCs w:val="22"/>
              </w:rPr>
            </w:pPr>
            <w:r w:rsidRPr="00ED2C8B">
              <w:rPr>
                <w:rFonts w:asciiTheme="majorHAnsi" w:hAnsiTheme="majorHAnsi" w:cstheme="majorHAnsi"/>
                <w:color w:val="FFFFFF" w:themeColor="background1"/>
                <w:sz w:val="22"/>
                <w:szCs w:val="22"/>
              </w:rPr>
              <w:t>SPECIFIKUS CÉLKITŰZÉSEK</w:t>
            </w:r>
          </w:p>
        </w:tc>
        <w:tc>
          <w:tcPr>
            <w:tcW w:w="5319" w:type="dxa"/>
            <w:shd w:val="clear" w:color="auto" w:fill="574030" w:themeFill="accent2" w:themeFillTint="E6"/>
            <w:vAlign w:val="center"/>
          </w:tcPr>
          <w:p w14:paraId="4C634A34" w14:textId="77777777" w:rsidR="00A921B8" w:rsidRPr="00ED2C8B" w:rsidRDefault="00DF20A5" w:rsidP="00BC16EA">
            <w:pPr>
              <w:pStyle w:val="Listaszerbekezds"/>
              <w:ind w:left="0" w:right="-104"/>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FFFF" w:themeColor="background1"/>
                <w:sz w:val="22"/>
                <w:szCs w:val="22"/>
              </w:rPr>
            </w:pPr>
            <w:r w:rsidRPr="00ED2C8B">
              <w:rPr>
                <w:rFonts w:asciiTheme="majorHAnsi" w:hAnsiTheme="majorHAnsi" w:cstheme="majorHAnsi"/>
                <w:b/>
                <w:color w:val="FFFFFF" w:themeColor="background1"/>
                <w:sz w:val="22"/>
                <w:szCs w:val="22"/>
              </w:rPr>
              <w:t>A SPECIFIKUS CÉLKITŰZÉSEKHEZ</w:t>
            </w:r>
            <w:r w:rsidR="00A921B8" w:rsidRPr="00ED2C8B">
              <w:rPr>
                <w:rFonts w:asciiTheme="majorHAnsi" w:hAnsiTheme="majorHAnsi" w:cstheme="majorHAnsi"/>
                <w:b/>
                <w:color w:val="FFFFFF" w:themeColor="background1"/>
                <w:sz w:val="22"/>
                <w:szCs w:val="22"/>
              </w:rPr>
              <w:t xml:space="preserve"> RENDELT </w:t>
            </w:r>
            <w:r w:rsidR="00BC16EA">
              <w:rPr>
                <w:rFonts w:asciiTheme="majorHAnsi" w:hAnsiTheme="majorHAnsi" w:cstheme="majorHAnsi"/>
                <w:b/>
                <w:color w:val="FFFFFF" w:themeColor="background1"/>
                <w:sz w:val="22"/>
                <w:szCs w:val="22"/>
              </w:rPr>
              <w:t>BEAVATKOZÁSI IRÁNYOK</w:t>
            </w:r>
          </w:p>
        </w:tc>
      </w:tr>
      <w:tr w:rsidR="00BC16EA" w:rsidRPr="00ED2C8B" w14:paraId="6227DE0C" w14:textId="77777777" w:rsidTr="00EA5F43">
        <w:trPr>
          <w:cnfStyle w:val="000000100000" w:firstRow="0" w:lastRow="0" w:firstColumn="0" w:lastColumn="0" w:oddVBand="0" w:evenVBand="0" w:oddHBand="1" w:evenHBand="0" w:firstRowFirstColumn="0" w:firstRowLastColumn="0" w:lastRowFirstColumn="0" w:lastRowLastColumn="0"/>
          <w:trHeight w:val="1331"/>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vAlign w:val="center"/>
          </w:tcPr>
          <w:p w14:paraId="00359E7F" w14:textId="77777777" w:rsidR="00BC16EA" w:rsidRPr="00ED2C8B" w:rsidRDefault="006F7AF3" w:rsidP="00BC16EA">
            <w:pPr>
              <w:pStyle w:val="Listaszerbekezds"/>
              <w:ind w:left="360"/>
              <w:jc w:val="left"/>
              <w:rPr>
                <w:rFonts w:asciiTheme="majorHAnsi" w:hAnsiTheme="majorHAnsi" w:cstheme="majorHAnsi"/>
                <w:sz w:val="22"/>
                <w:szCs w:val="22"/>
              </w:rPr>
            </w:pPr>
            <w:r>
              <w:rPr>
                <w:sz w:val="22"/>
                <w:szCs w:val="22"/>
              </w:rPr>
              <w:t xml:space="preserve">1. </w:t>
            </w:r>
            <w:r w:rsidR="007072D1">
              <w:rPr>
                <w:sz w:val="22"/>
                <w:szCs w:val="22"/>
              </w:rPr>
              <w:t>Az oktatás</w:t>
            </w:r>
            <w:r w:rsidR="00BC16EA" w:rsidRPr="00ED2C8B">
              <w:rPr>
                <w:sz w:val="22"/>
                <w:szCs w:val="22"/>
              </w:rPr>
              <w:t>-nevelés belső egyensúlyának biztosítása</w:t>
            </w:r>
          </w:p>
        </w:tc>
        <w:tc>
          <w:tcPr>
            <w:tcW w:w="5319" w:type="dxa"/>
            <w:shd w:val="clear" w:color="auto" w:fill="E5DBD4" w:themeFill="accent3" w:themeFillTint="33"/>
            <w:vAlign w:val="center"/>
          </w:tcPr>
          <w:p w14:paraId="240E24B0" w14:textId="77777777" w:rsidR="00BC16EA" w:rsidRPr="00ED2C8B" w:rsidRDefault="00380937" w:rsidP="00FE07E1">
            <w:pPr>
              <w:pStyle w:val="Listaszerbekezds"/>
              <w:numPr>
                <w:ilvl w:val="0"/>
                <w:numId w:val="11"/>
              </w:numPr>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00BC16EA" w:rsidRPr="00ED2C8B">
              <w:rPr>
                <w:sz w:val="22"/>
                <w:szCs w:val="22"/>
              </w:rPr>
              <w:t>anulók összehangolt értelmi, lelki és fizikai fejlesztése</w:t>
            </w:r>
          </w:p>
          <w:p w14:paraId="4DA23068" w14:textId="77777777" w:rsidR="00BC16EA" w:rsidRPr="00ED2C8B" w:rsidRDefault="00536C01" w:rsidP="00FE07E1">
            <w:pPr>
              <w:pStyle w:val="Listaszerbekezds"/>
              <w:numPr>
                <w:ilvl w:val="0"/>
                <w:numId w:val="11"/>
              </w:numPr>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Kis</w:t>
            </w:r>
            <w:r w:rsidR="00BC16EA" w:rsidRPr="00ED2C8B">
              <w:rPr>
                <w:sz w:val="22"/>
                <w:szCs w:val="22"/>
              </w:rPr>
              <w:t>gyermekkori intézményes nevelés fejlesztése</w:t>
            </w:r>
          </w:p>
        </w:tc>
      </w:tr>
      <w:tr w:rsidR="00A921B8" w:rsidRPr="00ED2C8B" w14:paraId="712D422A" w14:textId="77777777" w:rsidTr="00EA5F43">
        <w:trPr>
          <w:trHeight w:val="962"/>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vAlign w:val="center"/>
          </w:tcPr>
          <w:p w14:paraId="2E7E4B27" w14:textId="77777777" w:rsidR="00A921B8" w:rsidRPr="00ED2C8B" w:rsidRDefault="006F7AF3" w:rsidP="00BC16EA">
            <w:pPr>
              <w:pStyle w:val="Listaszerbekezds"/>
              <w:ind w:left="360"/>
              <w:jc w:val="left"/>
              <w:rPr>
                <w:rFonts w:asciiTheme="majorHAnsi" w:hAnsiTheme="majorHAnsi" w:cstheme="majorHAnsi"/>
                <w:sz w:val="22"/>
                <w:szCs w:val="22"/>
              </w:rPr>
            </w:pPr>
            <w:r>
              <w:rPr>
                <w:rFonts w:asciiTheme="majorHAnsi" w:hAnsiTheme="majorHAnsi" w:cstheme="majorHAnsi"/>
                <w:sz w:val="22"/>
                <w:szCs w:val="22"/>
              </w:rPr>
              <w:t xml:space="preserve">2. </w:t>
            </w:r>
            <w:r w:rsidR="007C14C9" w:rsidRPr="00A12619">
              <w:rPr>
                <w:rFonts w:asciiTheme="majorHAnsi" w:hAnsiTheme="majorHAnsi"/>
                <w:sz w:val="22"/>
              </w:rPr>
              <w:t>A köznevelésben, mint állami közszolgálatban részt</w:t>
            </w:r>
            <w:r w:rsidR="00A12619" w:rsidRPr="00A12619">
              <w:rPr>
                <w:rFonts w:asciiTheme="majorHAnsi" w:hAnsiTheme="majorHAnsi" w:cstheme="majorHAnsi"/>
                <w:sz w:val="22"/>
                <w:szCs w:val="22"/>
              </w:rPr>
              <w:t xml:space="preserve"> </w:t>
            </w:r>
            <w:r w:rsidR="007C14C9" w:rsidRPr="00A12619">
              <w:rPr>
                <w:rFonts w:asciiTheme="majorHAnsi" w:hAnsiTheme="majorHAnsi"/>
                <w:sz w:val="22"/>
              </w:rPr>
              <w:t>vevő emberi erőforrás fejlesztése</w:t>
            </w:r>
          </w:p>
        </w:tc>
        <w:tc>
          <w:tcPr>
            <w:tcW w:w="5319" w:type="dxa"/>
            <w:shd w:val="clear" w:color="auto" w:fill="FFFFFF" w:themeFill="background1"/>
            <w:vAlign w:val="center"/>
          </w:tcPr>
          <w:p w14:paraId="3E15D403" w14:textId="77777777" w:rsidR="00A921B8" w:rsidRDefault="00A921B8" w:rsidP="00FE07E1">
            <w:pPr>
              <w:pStyle w:val="Listaszerbekezds"/>
              <w:numPr>
                <w:ilvl w:val="0"/>
                <w:numId w:val="11"/>
              </w:numPr>
              <w:jc w:val="left"/>
              <w:cnfStyle w:val="000000000000" w:firstRow="0" w:lastRow="0" w:firstColumn="0" w:lastColumn="0" w:oddVBand="0" w:evenVBand="0" w:oddHBand="0" w:evenHBand="0" w:firstRowFirstColumn="0" w:firstRowLastColumn="0" w:lastRowFirstColumn="0" w:lastRowLastColumn="0"/>
              <w:rPr>
                <w:sz w:val="22"/>
                <w:szCs w:val="22"/>
              </w:rPr>
            </w:pPr>
            <w:r w:rsidRPr="00ED2C8B">
              <w:rPr>
                <w:sz w:val="22"/>
                <w:szCs w:val="22"/>
              </w:rPr>
              <w:t xml:space="preserve">Pedagógusok felkészültségének, megbecsültségének növelése </w:t>
            </w:r>
          </w:p>
          <w:p w14:paraId="66733D72" w14:textId="77777777" w:rsidR="00ED454E" w:rsidRPr="00ED2C8B" w:rsidRDefault="00ED454E" w:rsidP="00FE07E1">
            <w:pPr>
              <w:pStyle w:val="Listaszerbekezds"/>
              <w:numPr>
                <w:ilvl w:val="0"/>
                <w:numId w:val="11"/>
              </w:numPr>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Nevelő-oktató munkát közvetlenül segítők szerepének növelése</w:t>
            </w:r>
          </w:p>
          <w:p w14:paraId="6E092DC1" w14:textId="77777777" w:rsidR="00A921B8" w:rsidRPr="00ED2C8B" w:rsidRDefault="00A921B8" w:rsidP="00FE07E1">
            <w:pPr>
              <w:pStyle w:val="Listaszerbekezds"/>
              <w:numPr>
                <w:ilvl w:val="0"/>
                <w:numId w:val="11"/>
              </w:numPr>
              <w:jc w:val="lef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ED2C8B">
              <w:rPr>
                <w:sz w:val="22"/>
                <w:szCs w:val="22"/>
              </w:rPr>
              <w:t>Intézményvezetők fejlesztése, támogatása</w:t>
            </w:r>
          </w:p>
        </w:tc>
      </w:tr>
      <w:tr w:rsidR="00ED2C8B" w:rsidRPr="00ED2C8B" w14:paraId="28A73463" w14:textId="77777777" w:rsidTr="00EA5F43">
        <w:trPr>
          <w:cnfStyle w:val="000000100000" w:firstRow="0" w:lastRow="0" w:firstColumn="0" w:lastColumn="0" w:oddVBand="0" w:evenVBand="0" w:oddHBand="1" w:evenHBand="0" w:firstRowFirstColumn="0" w:firstRowLastColumn="0" w:lastRowFirstColumn="0" w:lastRowLastColumn="0"/>
          <w:trHeight w:val="878"/>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vAlign w:val="center"/>
          </w:tcPr>
          <w:p w14:paraId="70504B9A" w14:textId="2948D372" w:rsidR="00ED2C8B" w:rsidRPr="00ED2C8B" w:rsidRDefault="006F7AF3" w:rsidP="00BF1AA0">
            <w:pPr>
              <w:pStyle w:val="Listaszerbekezds"/>
              <w:ind w:left="360"/>
              <w:jc w:val="left"/>
              <w:rPr>
                <w:sz w:val="22"/>
                <w:szCs w:val="22"/>
              </w:rPr>
            </w:pPr>
            <w:r>
              <w:rPr>
                <w:sz w:val="22"/>
                <w:szCs w:val="22"/>
              </w:rPr>
              <w:t>3.</w:t>
            </w:r>
            <w:r w:rsidR="00BF1AA0">
              <w:rPr>
                <w:sz w:val="22"/>
                <w:szCs w:val="22"/>
              </w:rPr>
              <w:t>M</w:t>
            </w:r>
            <w:r w:rsidR="00ED2C8B" w:rsidRPr="00ED2C8B">
              <w:rPr>
                <w:sz w:val="22"/>
                <w:szCs w:val="22"/>
              </w:rPr>
              <w:t>éltányos, egyéni sajátosságokat figyelembe vevő köznevelés</w:t>
            </w:r>
          </w:p>
        </w:tc>
        <w:tc>
          <w:tcPr>
            <w:tcW w:w="5319" w:type="dxa"/>
            <w:shd w:val="clear" w:color="auto" w:fill="E5DBD4" w:themeFill="accent3" w:themeFillTint="33"/>
            <w:vAlign w:val="center"/>
          </w:tcPr>
          <w:p w14:paraId="53714702" w14:textId="77777777" w:rsidR="00ED2C8B" w:rsidRPr="00ED2C8B" w:rsidRDefault="00ED2C8B" w:rsidP="00FE07E1">
            <w:pPr>
              <w:pStyle w:val="Listaszerbekezds"/>
              <w:numPr>
                <w:ilvl w:val="0"/>
                <w:numId w:val="11"/>
              </w:numPr>
              <w:jc w:val="left"/>
              <w:cnfStyle w:val="000000100000" w:firstRow="0" w:lastRow="0" w:firstColumn="0" w:lastColumn="0" w:oddVBand="0" w:evenVBand="0" w:oddHBand="1" w:evenHBand="0" w:firstRowFirstColumn="0" w:firstRowLastColumn="0" w:lastRowFirstColumn="0" w:lastRowLastColumn="0"/>
              <w:rPr>
                <w:sz w:val="22"/>
                <w:szCs w:val="22"/>
              </w:rPr>
            </w:pPr>
            <w:r w:rsidRPr="00ED2C8B">
              <w:rPr>
                <w:sz w:val="22"/>
                <w:szCs w:val="22"/>
              </w:rPr>
              <w:t>Alulteljesítők, korai iskolaelhagyók arányának csökkentése</w:t>
            </w:r>
            <w:r w:rsidR="00B01557">
              <w:rPr>
                <w:sz w:val="22"/>
                <w:szCs w:val="22"/>
              </w:rPr>
              <w:t xml:space="preserve"> – esélyteremtés, integráció, felzárkózás</w:t>
            </w:r>
          </w:p>
          <w:p w14:paraId="3BBDFF81" w14:textId="77777777" w:rsidR="00ED2C8B" w:rsidRPr="00ED2C8B" w:rsidRDefault="00FB4D8A" w:rsidP="00FE07E1">
            <w:pPr>
              <w:pStyle w:val="Listaszerbekezds"/>
              <w:numPr>
                <w:ilvl w:val="0"/>
                <w:numId w:val="11"/>
              </w:numPr>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Inkluzív nevelés-oktatás, sajátos nevelési igényű gyermekek, tanulók fejlesztése</w:t>
            </w:r>
          </w:p>
          <w:p w14:paraId="02FFC14C" w14:textId="77777777" w:rsidR="00ED2C8B" w:rsidRPr="00ED2C8B" w:rsidRDefault="00825CF1" w:rsidP="00FE07E1">
            <w:pPr>
              <w:pStyle w:val="Listaszerbekezds"/>
              <w:numPr>
                <w:ilvl w:val="0"/>
                <w:numId w:val="11"/>
              </w:numPr>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00ED2C8B" w:rsidRPr="00ED2C8B">
              <w:rPr>
                <w:sz w:val="22"/>
                <w:szCs w:val="22"/>
              </w:rPr>
              <w:t>ehetséggondozás megerősítése</w:t>
            </w:r>
          </w:p>
        </w:tc>
      </w:tr>
      <w:tr w:rsidR="00ED2C8B" w:rsidRPr="00ED2C8B" w14:paraId="751C454A" w14:textId="77777777" w:rsidTr="00EA5F43">
        <w:trPr>
          <w:trHeight w:val="962"/>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vAlign w:val="center"/>
          </w:tcPr>
          <w:p w14:paraId="31918126" w14:textId="77777777" w:rsidR="00ED2C8B" w:rsidRPr="00ED2C8B" w:rsidRDefault="006F7AF3" w:rsidP="00BC16EA">
            <w:pPr>
              <w:pStyle w:val="Listaszerbekezds"/>
              <w:ind w:left="360"/>
              <w:jc w:val="left"/>
              <w:rPr>
                <w:sz w:val="22"/>
                <w:szCs w:val="22"/>
              </w:rPr>
            </w:pPr>
            <w:r>
              <w:rPr>
                <w:sz w:val="22"/>
                <w:szCs w:val="22"/>
              </w:rPr>
              <w:t xml:space="preserve">4. </w:t>
            </w:r>
            <w:r w:rsidR="00ED2C8B" w:rsidRPr="00ED2C8B">
              <w:rPr>
                <w:sz w:val="22"/>
                <w:szCs w:val="22"/>
              </w:rPr>
              <w:t xml:space="preserve">A </w:t>
            </w:r>
            <w:r w:rsidR="00483925">
              <w:rPr>
                <w:sz w:val="22"/>
                <w:szCs w:val="22"/>
              </w:rPr>
              <w:t>XXI</w:t>
            </w:r>
            <w:r w:rsidR="00ED2C8B" w:rsidRPr="00ED2C8B">
              <w:rPr>
                <w:sz w:val="22"/>
                <w:szCs w:val="22"/>
              </w:rPr>
              <w:t>. század kihívásaira reagáló köznevelés</w:t>
            </w:r>
          </w:p>
        </w:tc>
        <w:tc>
          <w:tcPr>
            <w:tcW w:w="5319" w:type="dxa"/>
            <w:shd w:val="clear" w:color="auto" w:fill="FFFFFF" w:themeFill="background1"/>
            <w:vAlign w:val="center"/>
          </w:tcPr>
          <w:p w14:paraId="36146EB7" w14:textId="03F330FD" w:rsidR="00ED2C8B" w:rsidRPr="00ED2C8B" w:rsidRDefault="00ED2C8B" w:rsidP="00FE07E1">
            <w:pPr>
              <w:pStyle w:val="Listaszerbekezds"/>
              <w:numPr>
                <w:ilvl w:val="0"/>
                <w:numId w:val="11"/>
              </w:numPr>
              <w:jc w:val="left"/>
              <w:cnfStyle w:val="000000000000" w:firstRow="0" w:lastRow="0" w:firstColumn="0" w:lastColumn="0" w:oddVBand="0" w:evenVBand="0" w:oddHBand="0" w:evenHBand="0" w:firstRowFirstColumn="0" w:firstRowLastColumn="0" w:lastRowFirstColumn="0" w:lastRowLastColumn="0"/>
              <w:rPr>
                <w:sz w:val="22"/>
                <w:szCs w:val="22"/>
              </w:rPr>
            </w:pPr>
            <w:r w:rsidRPr="00ED2C8B">
              <w:rPr>
                <w:sz w:val="22"/>
                <w:szCs w:val="22"/>
              </w:rPr>
              <w:t xml:space="preserve">Digitális </w:t>
            </w:r>
            <w:r w:rsidR="00EA5F43">
              <w:rPr>
                <w:sz w:val="22"/>
                <w:szCs w:val="22"/>
              </w:rPr>
              <w:t>kompetenciák</w:t>
            </w:r>
            <w:r w:rsidRPr="00ED2C8B">
              <w:rPr>
                <w:sz w:val="22"/>
                <w:szCs w:val="22"/>
              </w:rPr>
              <w:t xml:space="preserve"> </w:t>
            </w:r>
            <w:r w:rsidR="00DE332C">
              <w:rPr>
                <w:sz w:val="22"/>
                <w:szCs w:val="22"/>
              </w:rPr>
              <w:t xml:space="preserve">és szolgáltatások </w:t>
            </w:r>
            <w:r w:rsidRPr="00ED2C8B">
              <w:rPr>
                <w:sz w:val="22"/>
                <w:szCs w:val="22"/>
              </w:rPr>
              <w:t>fejlesztése</w:t>
            </w:r>
          </w:p>
          <w:p w14:paraId="48E82923" w14:textId="77777777" w:rsidR="00ED2C8B" w:rsidRPr="00ED2C8B" w:rsidRDefault="00ED2C8B" w:rsidP="00FE07E1">
            <w:pPr>
              <w:pStyle w:val="Listaszerbekezds"/>
              <w:numPr>
                <w:ilvl w:val="0"/>
                <w:numId w:val="11"/>
              </w:numPr>
              <w:jc w:val="left"/>
              <w:cnfStyle w:val="000000000000" w:firstRow="0" w:lastRow="0" w:firstColumn="0" w:lastColumn="0" w:oddVBand="0" w:evenVBand="0" w:oddHBand="0" w:evenHBand="0" w:firstRowFirstColumn="0" w:firstRowLastColumn="0" w:lastRowFirstColumn="0" w:lastRowLastColumn="0"/>
              <w:rPr>
                <w:sz w:val="22"/>
                <w:szCs w:val="22"/>
              </w:rPr>
            </w:pPr>
            <w:r w:rsidRPr="00ED2C8B">
              <w:rPr>
                <w:sz w:val="22"/>
                <w:szCs w:val="22"/>
              </w:rPr>
              <w:t>Idegen nyelvi tudás fejlesztése</w:t>
            </w:r>
          </w:p>
          <w:p w14:paraId="0D7F0892" w14:textId="77777777" w:rsidR="00ED2C8B" w:rsidRPr="00ED2C8B" w:rsidRDefault="00ED2C8B" w:rsidP="00FE07E1">
            <w:pPr>
              <w:pStyle w:val="Listaszerbekezds"/>
              <w:numPr>
                <w:ilvl w:val="0"/>
                <w:numId w:val="11"/>
              </w:numPr>
              <w:jc w:val="left"/>
              <w:cnfStyle w:val="000000000000" w:firstRow="0" w:lastRow="0" w:firstColumn="0" w:lastColumn="0" w:oddVBand="0" w:evenVBand="0" w:oddHBand="0" w:evenHBand="0" w:firstRowFirstColumn="0" w:firstRowLastColumn="0" w:lastRowFirstColumn="0" w:lastRowLastColumn="0"/>
              <w:rPr>
                <w:sz w:val="22"/>
                <w:szCs w:val="22"/>
              </w:rPr>
            </w:pPr>
            <w:r w:rsidRPr="00ED2C8B">
              <w:rPr>
                <w:sz w:val="22"/>
                <w:szCs w:val="22"/>
              </w:rPr>
              <w:t>Tartalomfejlesztés</w:t>
            </w:r>
          </w:p>
          <w:p w14:paraId="5D788F3F" w14:textId="77777777" w:rsidR="00ED2C8B" w:rsidRPr="00ED2C8B" w:rsidRDefault="00ED2C8B" w:rsidP="00FE07E1">
            <w:pPr>
              <w:pStyle w:val="Listaszerbekezds"/>
              <w:numPr>
                <w:ilvl w:val="0"/>
                <w:numId w:val="11"/>
              </w:numPr>
              <w:jc w:val="left"/>
              <w:cnfStyle w:val="000000000000" w:firstRow="0" w:lastRow="0" w:firstColumn="0" w:lastColumn="0" w:oddVBand="0" w:evenVBand="0" w:oddHBand="0" w:evenHBand="0" w:firstRowFirstColumn="0" w:firstRowLastColumn="0" w:lastRowFirstColumn="0" w:lastRowLastColumn="0"/>
              <w:rPr>
                <w:sz w:val="22"/>
                <w:szCs w:val="22"/>
              </w:rPr>
            </w:pPr>
            <w:r w:rsidRPr="00ED2C8B">
              <w:rPr>
                <w:sz w:val="22"/>
                <w:szCs w:val="22"/>
              </w:rPr>
              <w:t>Korszerű köznevelési infrastruktúra</w:t>
            </w:r>
          </w:p>
        </w:tc>
      </w:tr>
      <w:tr w:rsidR="00A921B8" w:rsidRPr="00ED2C8B" w14:paraId="2933EBB6" w14:textId="77777777" w:rsidTr="00EA5F43">
        <w:trPr>
          <w:cnfStyle w:val="000000100000" w:firstRow="0" w:lastRow="0" w:firstColumn="0" w:lastColumn="0" w:oddVBand="0" w:evenVBand="0" w:oddHBand="1" w:evenHBand="0" w:firstRowFirstColumn="0" w:firstRowLastColumn="0" w:lastRowFirstColumn="0" w:lastRowLastColumn="0"/>
          <w:trHeight w:val="1255"/>
          <w:jc w:val="center"/>
        </w:trPr>
        <w:tc>
          <w:tcPr>
            <w:cnfStyle w:val="001000000000" w:firstRow="0" w:lastRow="0" w:firstColumn="1" w:lastColumn="0" w:oddVBand="0" w:evenVBand="0" w:oddHBand="0" w:evenHBand="0" w:firstRowFirstColumn="0" w:firstRowLastColumn="0" w:lastRowFirstColumn="0" w:lastRowLastColumn="0"/>
            <w:tcW w:w="3256" w:type="dxa"/>
            <w:shd w:val="clear" w:color="auto" w:fill="FFFFFF" w:themeFill="background1"/>
            <w:vAlign w:val="center"/>
          </w:tcPr>
          <w:p w14:paraId="589B2D2E" w14:textId="77777777" w:rsidR="00A921B8" w:rsidRPr="00ED2C8B" w:rsidRDefault="006F7AF3" w:rsidP="00BC16EA">
            <w:pPr>
              <w:pStyle w:val="Listaszerbekezds"/>
              <w:ind w:left="360"/>
              <w:jc w:val="left"/>
              <w:rPr>
                <w:rFonts w:asciiTheme="majorHAnsi" w:hAnsiTheme="majorHAnsi" w:cstheme="majorHAnsi"/>
                <w:sz w:val="22"/>
                <w:szCs w:val="22"/>
              </w:rPr>
            </w:pPr>
            <w:r>
              <w:rPr>
                <w:rFonts w:asciiTheme="majorHAnsi" w:hAnsiTheme="majorHAnsi" w:cstheme="majorHAnsi"/>
                <w:sz w:val="22"/>
                <w:szCs w:val="22"/>
              </w:rPr>
              <w:t xml:space="preserve">5. </w:t>
            </w:r>
            <w:r w:rsidR="00A921B8" w:rsidRPr="00ED2C8B">
              <w:rPr>
                <w:rFonts w:asciiTheme="majorHAnsi" w:hAnsiTheme="majorHAnsi" w:cstheme="majorHAnsi"/>
                <w:sz w:val="22"/>
                <w:szCs w:val="22"/>
              </w:rPr>
              <w:t>Külhoni magyarok – magyarországi nemzetiségek oktatásának-nevelésének fejlesztése</w:t>
            </w:r>
          </w:p>
        </w:tc>
        <w:tc>
          <w:tcPr>
            <w:tcW w:w="5319" w:type="dxa"/>
            <w:shd w:val="clear" w:color="auto" w:fill="E5DBD4" w:themeFill="accent3" w:themeFillTint="33"/>
            <w:vAlign w:val="center"/>
          </w:tcPr>
          <w:p w14:paraId="54211CF2" w14:textId="77777777" w:rsidR="00ED2C8B" w:rsidRPr="00ED2C8B" w:rsidRDefault="00ED2C8B" w:rsidP="00FE07E1">
            <w:pPr>
              <w:pStyle w:val="Listaszerbekezds"/>
              <w:numPr>
                <w:ilvl w:val="0"/>
                <w:numId w:val="11"/>
              </w:numPr>
              <w:jc w:val="left"/>
              <w:cnfStyle w:val="000000100000" w:firstRow="0" w:lastRow="0" w:firstColumn="0" w:lastColumn="0" w:oddVBand="0" w:evenVBand="0" w:oddHBand="1" w:evenHBand="0" w:firstRowFirstColumn="0" w:firstRowLastColumn="0" w:lastRowFirstColumn="0" w:lastRowLastColumn="0"/>
              <w:rPr>
                <w:sz w:val="22"/>
                <w:szCs w:val="22"/>
              </w:rPr>
            </w:pPr>
            <w:r w:rsidRPr="00ED2C8B">
              <w:rPr>
                <w:sz w:val="22"/>
                <w:szCs w:val="22"/>
              </w:rPr>
              <w:t>Kárpát-medencei oktatási térség megvalósítása</w:t>
            </w:r>
          </w:p>
          <w:p w14:paraId="15604496" w14:textId="77777777" w:rsidR="00A921B8" w:rsidRPr="00ED2C8B" w:rsidRDefault="00ED2C8B" w:rsidP="00FE07E1">
            <w:pPr>
              <w:pStyle w:val="Listaszerbekezds"/>
              <w:numPr>
                <w:ilvl w:val="0"/>
                <w:numId w:val="11"/>
              </w:numPr>
              <w:jc w:val="left"/>
              <w:cnfStyle w:val="000000100000" w:firstRow="0" w:lastRow="0" w:firstColumn="0" w:lastColumn="0" w:oddVBand="0" w:evenVBand="0" w:oddHBand="1" w:evenHBand="0" w:firstRowFirstColumn="0" w:firstRowLastColumn="0" w:lastRowFirstColumn="0" w:lastRowLastColumn="0"/>
              <w:rPr>
                <w:sz w:val="22"/>
                <w:szCs w:val="22"/>
              </w:rPr>
            </w:pPr>
            <w:r w:rsidRPr="00ED2C8B">
              <w:rPr>
                <w:sz w:val="22"/>
                <w:szCs w:val="22"/>
              </w:rPr>
              <w:t>Magyarországon élő nemzetiségek nevelésének-oktatásának támogatása</w:t>
            </w:r>
          </w:p>
        </w:tc>
      </w:tr>
    </w:tbl>
    <w:p w14:paraId="47E667F4" w14:textId="77777777" w:rsidR="003D0D4B" w:rsidRDefault="003D0D4B" w:rsidP="00DF76A9">
      <w:pPr>
        <w:rPr>
          <w:rFonts w:asciiTheme="majorHAnsi" w:hAnsiTheme="majorHAnsi" w:cstheme="majorHAnsi"/>
        </w:rPr>
      </w:pPr>
    </w:p>
    <w:p w14:paraId="6D2ED660" w14:textId="77777777" w:rsidR="00DF76A9" w:rsidRPr="006C5E07" w:rsidRDefault="00DF76A9" w:rsidP="00DF76A9">
      <w:pPr>
        <w:rPr>
          <w:rFonts w:asciiTheme="majorHAnsi" w:hAnsiTheme="majorHAnsi" w:cstheme="majorHAnsi"/>
        </w:rPr>
      </w:pPr>
    </w:p>
    <w:p w14:paraId="38E31FCE" w14:textId="77777777" w:rsidR="00B86FE8" w:rsidRDefault="00912E0B" w:rsidP="00B86FE8">
      <w:pPr>
        <w:pStyle w:val="Cmsor1"/>
        <w:spacing w:line="276" w:lineRule="auto"/>
        <w:rPr>
          <w:rFonts w:asciiTheme="majorHAnsi" w:hAnsiTheme="majorHAnsi" w:cstheme="majorHAnsi"/>
        </w:rPr>
      </w:pPr>
      <w:bookmarkStart w:id="36" w:name="_Toc35596125"/>
      <w:bookmarkStart w:id="37" w:name="_Toc46822702"/>
      <w:r>
        <w:rPr>
          <w:rFonts w:asciiTheme="majorHAnsi" w:hAnsiTheme="majorHAnsi" w:cstheme="majorHAnsi"/>
        </w:rPr>
        <w:lastRenderedPageBreak/>
        <w:t xml:space="preserve">Javasolt </w:t>
      </w:r>
      <w:r w:rsidR="00BC16EA">
        <w:rPr>
          <w:rFonts w:asciiTheme="majorHAnsi" w:hAnsiTheme="majorHAnsi" w:cstheme="majorHAnsi"/>
        </w:rPr>
        <w:t>beavatkozási</w:t>
      </w:r>
      <w:r w:rsidR="00D018BF">
        <w:rPr>
          <w:rFonts w:asciiTheme="majorHAnsi" w:hAnsiTheme="majorHAnsi" w:cstheme="majorHAnsi"/>
        </w:rPr>
        <w:t xml:space="preserve"> irányok</w:t>
      </w:r>
      <w:r w:rsidR="00B86FE8" w:rsidRPr="00DC6C83">
        <w:rPr>
          <w:rFonts w:asciiTheme="majorHAnsi" w:hAnsiTheme="majorHAnsi" w:cstheme="majorHAnsi"/>
        </w:rPr>
        <w:t xml:space="preserve"> a</w:t>
      </w:r>
      <w:r>
        <w:rPr>
          <w:rFonts w:asciiTheme="majorHAnsi" w:hAnsiTheme="majorHAnsi" w:cstheme="majorHAnsi"/>
        </w:rPr>
        <w:t xml:space="preserve"> köznevelés</w:t>
      </w:r>
      <w:r w:rsidR="00595490">
        <w:rPr>
          <w:rFonts w:asciiTheme="majorHAnsi" w:hAnsiTheme="majorHAnsi" w:cstheme="majorHAnsi"/>
        </w:rPr>
        <w:t xml:space="preserve"> </w:t>
      </w:r>
      <w:r w:rsidR="00536C01">
        <w:rPr>
          <w:rFonts w:asciiTheme="majorHAnsi" w:hAnsiTheme="majorHAnsi" w:cstheme="majorHAnsi"/>
        </w:rPr>
        <w:t>eredményességének</w:t>
      </w:r>
      <w:r w:rsidR="00B86FE8" w:rsidRPr="00DC6C83">
        <w:rPr>
          <w:rFonts w:asciiTheme="majorHAnsi" w:hAnsiTheme="majorHAnsi" w:cstheme="majorHAnsi"/>
        </w:rPr>
        <w:t xml:space="preserve"> növelése érdekében</w:t>
      </w:r>
      <w:bookmarkEnd w:id="36"/>
      <w:bookmarkEnd w:id="37"/>
    </w:p>
    <w:p w14:paraId="7C47F048" w14:textId="2CB5A843" w:rsidR="00D018BF" w:rsidRPr="00D018BF" w:rsidRDefault="00D018BF" w:rsidP="00D018BF">
      <w:r>
        <w:t xml:space="preserve">Az előző fejezetben felvázolt jövőkép, illetve az ahhoz illesztett célrendszer alapján a következőkben bemutatjuk a stratégia fejlesztési irányait. Tekintettel arra, hogy a megfogalmazott intézkedések a legtöbb esetben a már megkezdett szakpolitikai törekvések folytatásának tekinthetők, az egyes területeknél </w:t>
      </w:r>
      <w:r w:rsidR="000B2D8D">
        <w:t xml:space="preserve">egységben kezeljük a közelmúltban </w:t>
      </w:r>
      <w:r w:rsidR="00905D78">
        <w:t>megvalósult</w:t>
      </w:r>
      <w:r w:rsidR="000B2D8D">
        <w:t xml:space="preserve">, </w:t>
      </w:r>
      <w:r w:rsidR="00912D28">
        <w:t>a</w:t>
      </w:r>
      <w:r w:rsidR="000B2D8D">
        <w:t xml:space="preserve"> folyamatban lévő és </w:t>
      </w:r>
      <w:r w:rsidR="00912D28">
        <w:t>a</w:t>
      </w:r>
      <w:r w:rsidR="000B2D8D">
        <w:t xml:space="preserve"> tervezett fejlesztéseket. </w:t>
      </w:r>
      <w:r w:rsidR="00870B46">
        <w:t xml:space="preserve">Az egyes fejlesztési irányokon belül, a részfejezetek végén összegezzük azokat a szakpolitikai </w:t>
      </w:r>
      <w:r w:rsidR="00A87D94">
        <w:t>irányokat, amelyek mentén a 2021</w:t>
      </w:r>
      <w:r w:rsidR="00870B46">
        <w:t xml:space="preserve"> és 2030 közötti időszakban a magyar köznevelés továbbfejlesztését tervezzük.</w:t>
      </w:r>
    </w:p>
    <w:p w14:paraId="6EDA012D" w14:textId="77777777" w:rsidR="00B86FE8" w:rsidRPr="00DC6C83" w:rsidRDefault="00670695" w:rsidP="00B86FE8">
      <w:pPr>
        <w:pStyle w:val="Cmsor2"/>
        <w:rPr>
          <w:rFonts w:asciiTheme="majorHAnsi" w:hAnsiTheme="majorHAnsi" w:cstheme="majorHAnsi"/>
        </w:rPr>
      </w:pPr>
      <w:bookmarkStart w:id="38" w:name="_Toc35596126"/>
      <w:bookmarkStart w:id="39" w:name="_Toc46822703"/>
      <w:r>
        <w:rPr>
          <w:rFonts w:asciiTheme="majorHAnsi" w:hAnsiTheme="majorHAnsi" w:cstheme="majorHAnsi"/>
        </w:rPr>
        <w:t>A</w:t>
      </w:r>
      <w:r w:rsidR="007072D1">
        <w:rPr>
          <w:rFonts w:asciiTheme="majorHAnsi" w:hAnsiTheme="majorHAnsi" w:cstheme="majorHAnsi"/>
        </w:rPr>
        <w:t xml:space="preserve"> nevelés</w:t>
      </w:r>
      <w:r w:rsidR="00801810">
        <w:rPr>
          <w:rFonts w:asciiTheme="majorHAnsi" w:hAnsiTheme="majorHAnsi" w:cstheme="majorHAnsi"/>
        </w:rPr>
        <w:t xml:space="preserve">-oktatás </w:t>
      </w:r>
      <w:r w:rsidR="00BC16EA">
        <w:rPr>
          <w:rFonts w:asciiTheme="majorHAnsi" w:hAnsiTheme="majorHAnsi" w:cstheme="majorHAnsi"/>
        </w:rPr>
        <w:t xml:space="preserve">belső egyensúlyának </w:t>
      </w:r>
      <w:r w:rsidR="00536C01">
        <w:rPr>
          <w:rFonts w:asciiTheme="majorHAnsi" w:hAnsiTheme="majorHAnsi" w:cstheme="majorHAnsi"/>
        </w:rPr>
        <w:t>biztosítása</w:t>
      </w:r>
      <w:bookmarkEnd w:id="38"/>
      <w:bookmarkEnd w:id="39"/>
    </w:p>
    <w:p w14:paraId="3C6C017A" w14:textId="77777777" w:rsidR="00D018BF" w:rsidRDefault="00B86FE8" w:rsidP="00B86FE8">
      <w:pPr>
        <w:rPr>
          <w:rFonts w:asciiTheme="majorHAnsi" w:hAnsiTheme="majorHAnsi" w:cstheme="majorHAnsi"/>
        </w:rPr>
      </w:pPr>
      <w:r w:rsidRPr="00DC6C83">
        <w:rPr>
          <w:rFonts w:asciiTheme="majorHAnsi" w:hAnsiTheme="majorHAnsi" w:cstheme="majorHAnsi"/>
        </w:rPr>
        <w:t>A jövő társadalmának alap</w:t>
      </w:r>
      <w:r w:rsidR="00E80F2B">
        <w:rPr>
          <w:rFonts w:asciiTheme="majorHAnsi" w:hAnsiTheme="majorHAnsi" w:cstheme="majorHAnsi"/>
        </w:rPr>
        <w:t xml:space="preserve">ját </w:t>
      </w:r>
      <w:r w:rsidRPr="00DC6C83">
        <w:rPr>
          <w:rFonts w:asciiTheme="majorHAnsi" w:hAnsiTheme="majorHAnsi" w:cstheme="majorHAnsi"/>
        </w:rPr>
        <w:t>a gyermekek</w:t>
      </w:r>
      <w:r w:rsidR="00912D28">
        <w:rPr>
          <w:rFonts w:asciiTheme="majorHAnsi" w:hAnsiTheme="majorHAnsi" w:cstheme="majorHAnsi"/>
        </w:rPr>
        <w:t xml:space="preserve"> jelentik</w:t>
      </w:r>
      <w:r w:rsidRPr="00DC6C83">
        <w:rPr>
          <w:rFonts w:asciiTheme="majorHAnsi" w:hAnsiTheme="majorHAnsi" w:cstheme="majorHAnsi"/>
        </w:rPr>
        <w:t xml:space="preserve">. </w:t>
      </w:r>
      <w:r w:rsidR="00D018BF">
        <w:rPr>
          <w:rFonts w:asciiTheme="majorHAnsi" w:hAnsiTheme="majorHAnsi" w:cstheme="majorHAnsi"/>
        </w:rPr>
        <w:t xml:space="preserve">A köznevelés </w:t>
      </w:r>
      <w:r w:rsidR="00912D28">
        <w:rPr>
          <w:rFonts w:asciiTheme="majorHAnsi" w:hAnsiTheme="majorHAnsi" w:cstheme="majorHAnsi"/>
        </w:rPr>
        <w:t>középpontjában</w:t>
      </w:r>
      <w:r w:rsidR="00D018BF">
        <w:rPr>
          <w:rFonts w:asciiTheme="majorHAnsi" w:hAnsiTheme="majorHAnsi" w:cstheme="majorHAnsi"/>
        </w:rPr>
        <w:t xml:space="preserve"> </w:t>
      </w:r>
      <w:r w:rsidR="000B2D8D">
        <w:rPr>
          <w:rFonts w:asciiTheme="majorHAnsi" w:hAnsiTheme="majorHAnsi" w:cstheme="majorHAnsi"/>
        </w:rPr>
        <w:t>ezért – hangsúlyozva az ismeretátadáson túl</w:t>
      </w:r>
      <w:r w:rsidR="00533C3B">
        <w:rPr>
          <w:rFonts w:asciiTheme="majorHAnsi" w:hAnsiTheme="majorHAnsi" w:cstheme="majorHAnsi"/>
        </w:rPr>
        <w:t xml:space="preserve"> a nevelés szükségességét is </w:t>
      </w:r>
      <w:r w:rsidR="00E171A7">
        <w:rPr>
          <w:rFonts w:asciiTheme="majorHAnsi" w:hAnsiTheme="majorHAnsi" w:cstheme="majorHAnsi"/>
        </w:rPr>
        <w:t>–</w:t>
      </w:r>
      <w:r w:rsidR="000B2D8D">
        <w:rPr>
          <w:rFonts w:asciiTheme="majorHAnsi" w:hAnsiTheme="majorHAnsi" w:cstheme="majorHAnsi"/>
        </w:rPr>
        <w:t>alapvetően</w:t>
      </w:r>
      <w:r w:rsidR="00E171A7">
        <w:rPr>
          <w:rFonts w:asciiTheme="majorHAnsi" w:hAnsiTheme="majorHAnsi" w:cstheme="majorHAnsi"/>
        </w:rPr>
        <w:t xml:space="preserve"> a testi, lelki (érzelmi) és az értelmi</w:t>
      </w:r>
      <w:r w:rsidR="000B2D8D">
        <w:rPr>
          <w:rFonts w:asciiTheme="majorHAnsi" w:hAnsiTheme="majorHAnsi" w:cstheme="majorHAnsi"/>
        </w:rPr>
        <w:t xml:space="preserve"> fejlesztés harmonikus egyensúlya áll. Ennek </w:t>
      </w:r>
      <w:r w:rsidR="00912D28">
        <w:rPr>
          <w:rFonts w:asciiTheme="majorHAnsi" w:hAnsiTheme="majorHAnsi" w:cstheme="majorHAnsi"/>
        </w:rPr>
        <w:t>elérésére</w:t>
      </w:r>
      <w:r w:rsidR="000B2D8D">
        <w:rPr>
          <w:rFonts w:asciiTheme="majorHAnsi" w:hAnsiTheme="majorHAnsi" w:cstheme="majorHAnsi"/>
        </w:rPr>
        <w:t xml:space="preserve"> számos</w:t>
      </w:r>
      <w:r w:rsidR="00912D28">
        <w:rPr>
          <w:rFonts w:asciiTheme="majorHAnsi" w:hAnsiTheme="majorHAnsi" w:cstheme="majorHAnsi"/>
        </w:rPr>
        <w:t>, már megfogalmazott/megkezdett</w:t>
      </w:r>
      <w:r w:rsidR="000B2D8D">
        <w:rPr>
          <w:rFonts w:asciiTheme="majorHAnsi" w:hAnsiTheme="majorHAnsi" w:cstheme="majorHAnsi"/>
        </w:rPr>
        <w:t xml:space="preserve"> intézkedés továbbvitelét tervezzük.</w:t>
      </w:r>
    </w:p>
    <w:p w14:paraId="16816EFA" w14:textId="77777777" w:rsidR="00BC16EA" w:rsidRDefault="00BC16EA" w:rsidP="00F71CF2">
      <w:pPr>
        <w:rPr>
          <w:rFonts w:asciiTheme="majorHAnsi" w:hAnsiTheme="majorHAnsi" w:cstheme="majorHAnsi"/>
        </w:rPr>
      </w:pPr>
    </w:p>
    <w:p w14:paraId="7E8B357F" w14:textId="77777777" w:rsidR="00BC16EA" w:rsidRPr="00BC16EA" w:rsidRDefault="00380937" w:rsidP="00BC16EA">
      <w:pPr>
        <w:pStyle w:val="Cmsor3"/>
        <w:rPr>
          <w:rFonts w:cs="Calibri"/>
        </w:rPr>
      </w:pPr>
      <w:bookmarkStart w:id="40" w:name="_Toc35596127"/>
      <w:bookmarkStart w:id="41" w:name="_Toc46822704"/>
      <w:r>
        <w:t>T</w:t>
      </w:r>
      <w:r w:rsidR="00BC16EA" w:rsidRPr="00BC16EA">
        <w:t>anulók összehangolt értelmi, lelki és fizikai fejlesztése</w:t>
      </w:r>
      <w:bookmarkEnd w:id="40"/>
      <w:bookmarkEnd w:id="41"/>
    </w:p>
    <w:p w14:paraId="3D9050AF" w14:textId="77777777" w:rsidR="00F71CF2" w:rsidRDefault="00F71CF2" w:rsidP="00F71CF2">
      <w:pPr>
        <w:rPr>
          <w:rFonts w:asciiTheme="majorHAnsi" w:hAnsiTheme="majorHAnsi" w:cstheme="majorHAnsi"/>
        </w:rPr>
      </w:pPr>
      <w:r>
        <w:rPr>
          <w:rFonts w:asciiTheme="majorHAnsi" w:hAnsiTheme="majorHAnsi" w:cstheme="majorHAnsi"/>
        </w:rPr>
        <w:t>A köznevelés közvetlen</w:t>
      </w:r>
      <w:r w:rsidR="00A92062">
        <w:rPr>
          <w:rFonts w:asciiTheme="majorHAnsi" w:hAnsiTheme="majorHAnsi" w:cstheme="majorHAnsi"/>
        </w:rPr>
        <w:t xml:space="preserve"> </w:t>
      </w:r>
      <w:r>
        <w:rPr>
          <w:rFonts w:asciiTheme="majorHAnsi" w:hAnsiTheme="majorHAnsi" w:cstheme="majorHAnsi"/>
        </w:rPr>
        <w:t xml:space="preserve">feladata a </w:t>
      </w:r>
      <w:r w:rsidR="00A92062">
        <w:rPr>
          <w:rFonts w:asciiTheme="majorHAnsi" w:hAnsiTheme="majorHAnsi" w:cstheme="majorHAnsi"/>
        </w:rPr>
        <w:t>fiatalok</w:t>
      </w:r>
      <w:r>
        <w:rPr>
          <w:rFonts w:asciiTheme="majorHAnsi" w:hAnsiTheme="majorHAnsi" w:cstheme="majorHAnsi"/>
        </w:rPr>
        <w:t xml:space="preserve"> ismereteinek, képességeinek</w:t>
      </w:r>
      <w:r w:rsidR="00CC281F">
        <w:rPr>
          <w:rFonts w:asciiTheme="majorHAnsi" w:hAnsiTheme="majorHAnsi" w:cstheme="majorHAnsi"/>
        </w:rPr>
        <w:t xml:space="preserve">, készségeinek </w:t>
      </w:r>
      <w:r>
        <w:rPr>
          <w:rFonts w:asciiTheme="majorHAnsi" w:hAnsiTheme="majorHAnsi" w:cstheme="majorHAnsi"/>
        </w:rPr>
        <w:t>fejlesztése</w:t>
      </w:r>
      <w:r w:rsidR="00CC281F">
        <w:rPr>
          <w:rFonts w:asciiTheme="majorHAnsi" w:hAnsiTheme="majorHAnsi" w:cstheme="majorHAnsi"/>
        </w:rPr>
        <w:t xml:space="preserve">. A jövő kihívásainak való megfelelés a változó munkaerőpiaci elvárások és </w:t>
      </w:r>
      <w:r w:rsidR="00912D28">
        <w:rPr>
          <w:rFonts w:asciiTheme="majorHAnsi" w:hAnsiTheme="majorHAnsi" w:cstheme="majorHAnsi"/>
        </w:rPr>
        <w:t xml:space="preserve">a </w:t>
      </w:r>
      <w:r w:rsidR="00CC281F">
        <w:rPr>
          <w:rFonts w:asciiTheme="majorHAnsi" w:hAnsiTheme="majorHAnsi" w:cstheme="majorHAnsi"/>
        </w:rPr>
        <w:t xml:space="preserve">külső környezet közepette akkor lehetséges, ha a jövő iskolájában a tartalomfejlesztés és a nevelő-oktató munka </w:t>
      </w:r>
      <w:r w:rsidR="00982826">
        <w:rPr>
          <w:rFonts w:asciiTheme="majorHAnsi" w:hAnsiTheme="majorHAnsi" w:cstheme="majorHAnsi"/>
        </w:rPr>
        <w:t xml:space="preserve">az ismeretátadás mellett </w:t>
      </w:r>
      <w:r w:rsidR="00CC281F">
        <w:rPr>
          <w:rFonts w:asciiTheme="majorHAnsi" w:hAnsiTheme="majorHAnsi" w:cstheme="majorHAnsi"/>
        </w:rPr>
        <w:t xml:space="preserve">megfelelő figyelmet fordít </w:t>
      </w:r>
      <w:r w:rsidR="003A38E6">
        <w:rPr>
          <w:rFonts w:asciiTheme="majorHAnsi" w:hAnsiTheme="majorHAnsi" w:cstheme="majorHAnsi"/>
        </w:rPr>
        <w:t>a tanult ismeretek alkalmazására</w:t>
      </w:r>
      <w:r w:rsidR="00CC281F">
        <w:rPr>
          <w:rFonts w:asciiTheme="majorHAnsi" w:hAnsiTheme="majorHAnsi" w:cstheme="majorHAnsi"/>
        </w:rPr>
        <w:t xml:space="preserve">, </w:t>
      </w:r>
      <w:r w:rsidR="003A38E6">
        <w:rPr>
          <w:rFonts w:asciiTheme="majorHAnsi" w:hAnsiTheme="majorHAnsi" w:cstheme="majorHAnsi"/>
        </w:rPr>
        <w:t xml:space="preserve">a </w:t>
      </w:r>
      <w:r w:rsidR="00CC281F">
        <w:rPr>
          <w:rFonts w:asciiTheme="majorHAnsi" w:hAnsiTheme="majorHAnsi" w:cstheme="majorHAnsi"/>
        </w:rPr>
        <w:t>kreativitás, problémamegoldás, mérlegelő gondolkodás</w:t>
      </w:r>
      <w:r w:rsidR="00495F08">
        <w:rPr>
          <w:rFonts w:asciiTheme="majorHAnsi" w:hAnsiTheme="majorHAnsi" w:cstheme="majorHAnsi"/>
        </w:rPr>
        <w:t>, egészségtudatos magatartás</w:t>
      </w:r>
      <w:r w:rsidR="00CC281F">
        <w:rPr>
          <w:rFonts w:asciiTheme="majorHAnsi" w:hAnsiTheme="majorHAnsi" w:cstheme="majorHAnsi"/>
        </w:rPr>
        <w:t xml:space="preserve"> fejlesztésére.</w:t>
      </w:r>
      <w:r w:rsidR="00595490">
        <w:rPr>
          <w:rFonts w:asciiTheme="majorHAnsi" w:hAnsiTheme="majorHAnsi" w:cstheme="majorHAnsi"/>
        </w:rPr>
        <w:t xml:space="preserve"> </w:t>
      </w:r>
      <w:r w:rsidR="003A38E6">
        <w:rPr>
          <w:rFonts w:asciiTheme="majorHAnsi" w:hAnsiTheme="majorHAnsi" w:cstheme="majorHAnsi"/>
        </w:rPr>
        <w:t>Ezek a társadalmi fejlődés, a gazdasági növekedés szempontjából, illetve a munkaerőpiacon is vitathatatlanul fontosak. A</w:t>
      </w:r>
      <w:r w:rsidR="008B46EE" w:rsidRPr="00DC6C83">
        <w:rPr>
          <w:rFonts w:asciiTheme="majorHAnsi" w:hAnsiTheme="majorHAnsi" w:cstheme="majorHAnsi"/>
        </w:rPr>
        <w:t xml:space="preserve"> </w:t>
      </w:r>
      <w:proofErr w:type="spellStart"/>
      <w:r w:rsidR="008B46EE" w:rsidRPr="00DC6C83">
        <w:rPr>
          <w:rFonts w:asciiTheme="majorHAnsi" w:hAnsiTheme="majorHAnsi" w:cstheme="majorHAnsi"/>
        </w:rPr>
        <w:t>PISA-viz</w:t>
      </w:r>
      <w:r w:rsidR="003A38E6">
        <w:rPr>
          <w:rFonts w:asciiTheme="majorHAnsi" w:hAnsiTheme="majorHAnsi" w:cstheme="majorHAnsi"/>
        </w:rPr>
        <w:t>sgálatok</w:t>
      </w:r>
      <w:proofErr w:type="spellEnd"/>
      <w:r w:rsidR="003A38E6">
        <w:rPr>
          <w:rFonts w:asciiTheme="majorHAnsi" w:hAnsiTheme="majorHAnsi" w:cstheme="majorHAnsi"/>
        </w:rPr>
        <w:t xml:space="preserve"> eredményei is igazolják ezt az összefüggést</w:t>
      </w:r>
      <w:r w:rsidR="008B46EE" w:rsidRPr="00DC6C83">
        <w:rPr>
          <w:rFonts w:asciiTheme="majorHAnsi" w:hAnsiTheme="majorHAnsi" w:cstheme="majorHAnsi"/>
        </w:rPr>
        <w:t xml:space="preserve"> </w:t>
      </w:r>
      <w:r w:rsidR="003A38E6">
        <w:rPr>
          <w:rFonts w:asciiTheme="majorHAnsi" w:hAnsiTheme="majorHAnsi" w:cstheme="majorHAnsi"/>
        </w:rPr>
        <w:t>és rámutatnak</w:t>
      </w:r>
      <w:r w:rsidR="008B46EE" w:rsidRPr="00DC6C83">
        <w:rPr>
          <w:rFonts w:asciiTheme="majorHAnsi" w:hAnsiTheme="majorHAnsi" w:cstheme="majorHAnsi"/>
        </w:rPr>
        <w:t xml:space="preserve"> </w:t>
      </w:r>
      <w:r w:rsidR="008B46EE">
        <w:rPr>
          <w:rFonts w:asciiTheme="majorHAnsi" w:hAnsiTheme="majorHAnsi" w:cstheme="majorHAnsi"/>
        </w:rPr>
        <w:t xml:space="preserve">a mérlegelő gondolkodás, </w:t>
      </w:r>
      <w:r w:rsidR="008B46EE" w:rsidRPr="00DC6C83">
        <w:rPr>
          <w:rFonts w:asciiTheme="majorHAnsi" w:hAnsiTheme="majorHAnsi" w:cstheme="majorHAnsi"/>
        </w:rPr>
        <w:t>a problémamegoldás és a kreativitás szoros kapcsolatára</w:t>
      </w:r>
      <w:r w:rsidR="008B46EE">
        <w:rPr>
          <w:rFonts w:asciiTheme="majorHAnsi" w:hAnsiTheme="majorHAnsi" w:cstheme="majorHAnsi"/>
        </w:rPr>
        <w:t>.</w:t>
      </w:r>
    </w:p>
    <w:p w14:paraId="647413AD" w14:textId="3216F5F4" w:rsidR="0051277E" w:rsidRDefault="00380937" w:rsidP="00B86FE8">
      <w:r>
        <w:rPr>
          <w:rFonts w:asciiTheme="majorHAnsi" w:hAnsiTheme="majorHAnsi" w:cstheme="majorHAnsi"/>
        </w:rPr>
        <w:t>A</w:t>
      </w:r>
      <w:r w:rsidR="00B86FE8" w:rsidRPr="00DC6C83">
        <w:rPr>
          <w:rFonts w:asciiTheme="majorHAnsi" w:hAnsiTheme="majorHAnsi" w:cstheme="majorHAnsi"/>
        </w:rPr>
        <w:t xml:space="preserve">z </w:t>
      </w:r>
      <w:r w:rsidR="00DF056E">
        <w:rPr>
          <w:rFonts w:asciiTheme="majorHAnsi" w:hAnsiTheme="majorHAnsi" w:cstheme="majorHAnsi"/>
        </w:rPr>
        <w:t xml:space="preserve">iskolákban az </w:t>
      </w:r>
      <w:r w:rsidR="00B86FE8" w:rsidRPr="00DC6C83">
        <w:rPr>
          <w:rFonts w:asciiTheme="majorHAnsi" w:hAnsiTheme="majorHAnsi" w:cstheme="majorHAnsi"/>
        </w:rPr>
        <w:t xml:space="preserve">erkölcstan-hittan bevezetése olyan változtatás, </w:t>
      </w:r>
      <w:r w:rsidR="00912D28">
        <w:rPr>
          <w:rFonts w:asciiTheme="majorHAnsi" w:hAnsiTheme="majorHAnsi" w:cstheme="majorHAnsi"/>
        </w:rPr>
        <w:t>a</w:t>
      </w:r>
      <w:r w:rsidR="00B86FE8" w:rsidRPr="00DC6C83">
        <w:rPr>
          <w:rFonts w:asciiTheme="majorHAnsi" w:hAnsiTheme="majorHAnsi" w:cstheme="majorHAnsi"/>
        </w:rPr>
        <w:t>melyek lehetőséget kínál a gyermekek</w:t>
      </w:r>
      <w:r w:rsidR="00595490">
        <w:rPr>
          <w:rFonts w:asciiTheme="majorHAnsi" w:hAnsiTheme="majorHAnsi" w:cstheme="majorHAnsi"/>
        </w:rPr>
        <w:t xml:space="preserve"> </w:t>
      </w:r>
      <w:r w:rsidR="00E80F2B">
        <w:rPr>
          <w:rFonts w:asciiTheme="majorHAnsi" w:hAnsiTheme="majorHAnsi" w:cstheme="majorHAnsi"/>
        </w:rPr>
        <w:t>jellem</w:t>
      </w:r>
      <w:r w:rsidR="00E717BD">
        <w:rPr>
          <w:rFonts w:asciiTheme="majorHAnsi" w:hAnsiTheme="majorHAnsi" w:cstheme="majorHAnsi"/>
        </w:rPr>
        <w:t>éne</w:t>
      </w:r>
      <w:r w:rsidR="00E80F2B">
        <w:rPr>
          <w:rFonts w:asciiTheme="majorHAnsi" w:hAnsiTheme="majorHAnsi" w:cstheme="majorHAnsi"/>
        </w:rPr>
        <w:t xml:space="preserve">k </w:t>
      </w:r>
      <w:r w:rsidR="00CC281F">
        <w:rPr>
          <w:rFonts w:asciiTheme="majorHAnsi" w:hAnsiTheme="majorHAnsi" w:cstheme="majorHAnsi"/>
        </w:rPr>
        <w:t>fejlesztésére</w:t>
      </w:r>
      <w:r w:rsidR="00B86FE8" w:rsidRPr="00DC6C83">
        <w:rPr>
          <w:rFonts w:asciiTheme="majorHAnsi" w:hAnsiTheme="majorHAnsi" w:cstheme="majorHAnsi"/>
        </w:rPr>
        <w:t xml:space="preserve">. </w:t>
      </w:r>
      <w:r w:rsidR="00DF056E" w:rsidRPr="00DC6C83">
        <w:rPr>
          <w:rFonts w:asciiTheme="majorHAnsi" w:hAnsiTheme="majorHAnsi" w:cstheme="majorHAnsi"/>
        </w:rPr>
        <w:t>A</w:t>
      </w:r>
      <w:r w:rsidR="008F65D3">
        <w:rPr>
          <w:rFonts w:asciiTheme="majorHAnsi" w:hAnsiTheme="majorHAnsi" w:cstheme="majorHAnsi"/>
        </w:rPr>
        <w:t>z etikaóra helyett</w:t>
      </w:r>
      <w:r w:rsidR="00595490">
        <w:rPr>
          <w:rFonts w:asciiTheme="majorHAnsi" w:hAnsiTheme="majorHAnsi" w:cstheme="majorHAnsi"/>
        </w:rPr>
        <w:t xml:space="preserve"> </w:t>
      </w:r>
      <w:r w:rsidR="00111D5B" w:rsidRPr="00111D5B">
        <w:rPr>
          <w:rFonts w:asciiTheme="majorHAnsi" w:hAnsiTheme="majorHAnsi" w:cstheme="majorHAnsi"/>
        </w:rPr>
        <w:t>válasz</w:t>
      </w:r>
      <w:r w:rsidR="00111D5B">
        <w:rPr>
          <w:rFonts w:asciiTheme="majorHAnsi" w:hAnsiTheme="majorHAnsi" w:cstheme="majorHAnsi"/>
        </w:rPr>
        <w:t>tható hit- és erkölcstan</w:t>
      </w:r>
      <w:r w:rsidR="00595490">
        <w:rPr>
          <w:rFonts w:asciiTheme="majorHAnsi" w:hAnsiTheme="majorHAnsi" w:cstheme="majorHAnsi"/>
        </w:rPr>
        <w:t xml:space="preserve"> </w:t>
      </w:r>
      <w:r w:rsidR="00111D5B">
        <w:rPr>
          <w:rFonts w:asciiTheme="majorHAnsi" w:hAnsiTheme="majorHAnsi" w:cstheme="majorHAnsi"/>
        </w:rPr>
        <w:t>oktatás</w:t>
      </w:r>
      <w:r w:rsidR="00595490">
        <w:rPr>
          <w:rFonts w:asciiTheme="majorHAnsi" w:hAnsiTheme="majorHAnsi" w:cstheme="majorHAnsi"/>
        </w:rPr>
        <w:t xml:space="preserve"> </w:t>
      </w:r>
      <w:r w:rsidR="00DF056E" w:rsidRPr="00DC6C83">
        <w:rPr>
          <w:rFonts w:asciiTheme="majorHAnsi" w:hAnsiTheme="majorHAnsi" w:cstheme="majorHAnsi"/>
        </w:rPr>
        <w:t>bevezetésé</w:t>
      </w:r>
      <w:r w:rsidR="000C288E">
        <w:rPr>
          <w:rFonts w:asciiTheme="majorHAnsi" w:hAnsiTheme="majorHAnsi" w:cstheme="majorHAnsi"/>
        </w:rPr>
        <w:t>t</w:t>
      </w:r>
      <w:r w:rsidR="00DF056E" w:rsidRPr="00DC6C83">
        <w:rPr>
          <w:rFonts w:asciiTheme="majorHAnsi" w:hAnsiTheme="majorHAnsi" w:cstheme="majorHAnsi"/>
        </w:rPr>
        <w:t xml:space="preserve"> először a</w:t>
      </w:r>
      <w:r w:rsidR="001C3D8D">
        <w:rPr>
          <w:rFonts w:asciiTheme="majorHAnsi" w:hAnsiTheme="majorHAnsi" w:cstheme="majorHAnsi"/>
        </w:rPr>
        <w:t>z</w:t>
      </w:r>
      <w:r w:rsidR="00DF056E" w:rsidRPr="00DC6C83">
        <w:rPr>
          <w:rFonts w:asciiTheme="majorHAnsi" w:hAnsiTheme="majorHAnsi" w:cstheme="majorHAnsi"/>
        </w:rPr>
        <w:t xml:space="preserve"> </w:t>
      </w:r>
      <w:proofErr w:type="spellStart"/>
      <w:r w:rsidR="00483925">
        <w:rPr>
          <w:rFonts w:asciiTheme="majorHAnsi" w:hAnsiTheme="majorHAnsi" w:cstheme="majorHAnsi"/>
        </w:rPr>
        <w:t>Nkt</w:t>
      </w:r>
      <w:proofErr w:type="spellEnd"/>
      <w:r w:rsidR="00483925">
        <w:rPr>
          <w:rFonts w:asciiTheme="majorHAnsi" w:hAnsiTheme="majorHAnsi" w:cstheme="majorHAnsi"/>
        </w:rPr>
        <w:t>.</w:t>
      </w:r>
      <w:r w:rsidR="000C288E">
        <w:rPr>
          <w:rFonts w:asciiTheme="majorHAnsi" w:hAnsiTheme="majorHAnsi" w:cstheme="majorHAnsi"/>
        </w:rPr>
        <w:t xml:space="preserve"> írta elő az erkölcsi nevelés alapjainak megteremtés</w:t>
      </w:r>
      <w:r w:rsidR="00A653DE">
        <w:rPr>
          <w:rFonts w:asciiTheme="majorHAnsi" w:hAnsiTheme="majorHAnsi" w:cstheme="majorHAnsi"/>
        </w:rPr>
        <w:t>ére</w:t>
      </w:r>
      <w:r w:rsidR="00DF056E" w:rsidRPr="00DC6C83">
        <w:rPr>
          <w:rFonts w:asciiTheme="majorHAnsi" w:hAnsiTheme="majorHAnsi" w:cstheme="majorHAnsi"/>
        </w:rPr>
        <w:t xml:space="preserve">. </w:t>
      </w:r>
      <w:r w:rsidR="002723B8">
        <w:rPr>
          <w:rFonts w:asciiTheme="majorHAnsi" w:hAnsiTheme="majorHAnsi" w:cstheme="majorHAnsi"/>
        </w:rPr>
        <w:t xml:space="preserve">A tanulók családjainak megkérdezését követően az iskola </w:t>
      </w:r>
      <w:r w:rsidR="00A653DE">
        <w:rPr>
          <w:rFonts w:asciiTheme="majorHAnsi" w:hAnsiTheme="majorHAnsi" w:cstheme="majorHAnsi"/>
        </w:rPr>
        <w:t xml:space="preserve">lehetővé teszi és </w:t>
      </w:r>
      <w:r w:rsidR="002723B8">
        <w:rPr>
          <w:rFonts w:asciiTheme="majorHAnsi" w:hAnsiTheme="majorHAnsi" w:cstheme="majorHAnsi"/>
        </w:rPr>
        <w:t>megszervezi</w:t>
      </w:r>
      <w:r w:rsidR="00A653DE">
        <w:rPr>
          <w:rFonts w:asciiTheme="majorHAnsi" w:hAnsiTheme="majorHAnsi" w:cstheme="majorHAnsi"/>
        </w:rPr>
        <w:t xml:space="preserve">, </w:t>
      </w:r>
      <w:r w:rsidR="003F300B">
        <w:rPr>
          <w:rFonts w:asciiTheme="majorHAnsi" w:hAnsiTheme="majorHAnsi" w:cstheme="majorHAnsi"/>
        </w:rPr>
        <w:t>hogy</w:t>
      </w:r>
      <w:r w:rsidR="002723B8">
        <w:rPr>
          <w:rFonts w:asciiTheme="majorHAnsi" w:hAnsiTheme="majorHAnsi" w:cstheme="majorHAnsi"/>
        </w:rPr>
        <w:t xml:space="preserve"> a</w:t>
      </w:r>
      <w:r w:rsidR="001C3D8D">
        <w:rPr>
          <w:rFonts w:asciiTheme="majorHAnsi" w:hAnsiTheme="majorHAnsi" w:cstheme="majorHAnsi"/>
        </w:rPr>
        <w:t xml:space="preserve"> </w:t>
      </w:r>
      <w:r w:rsidR="002723B8">
        <w:rPr>
          <w:rFonts w:asciiTheme="majorHAnsi" w:hAnsiTheme="majorHAnsi" w:cstheme="majorHAnsi"/>
        </w:rPr>
        <w:t>különböző felekezetű hittan órá</w:t>
      </w:r>
      <w:r w:rsidR="00A653DE">
        <w:rPr>
          <w:rFonts w:asciiTheme="majorHAnsi" w:hAnsiTheme="majorHAnsi" w:cstheme="majorHAnsi"/>
        </w:rPr>
        <w:t>kon a gyerekek</w:t>
      </w:r>
      <w:r w:rsidR="002723B8">
        <w:rPr>
          <w:rFonts w:asciiTheme="majorHAnsi" w:hAnsiTheme="majorHAnsi" w:cstheme="majorHAnsi"/>
        </w:rPr>
        <w:t xml:space="preserve"> heti egy alkalommal </w:t>
      </w:r>
      <w:r w:rsidR="00A653DE">
        <w:rPr>
          <w:rFonts w:asciiTheme="majorHAnsi" w:hAnsiTheme="majorHAnsi" w:cstheme="majorHAnsi"/>
        </w:rPr>
        <w:t xml:space="preserve">részt vehessenek </w:t>
      </w:r>
      <w:r w:rsidR="002723B8">
        <w:rPr>
          <w:rFonts w:asciiTheme="majorHAnsi" w:hAnsiTheme="majorHAnsi" w:cstheme="majorHAnsi"/>
        </w:rPr>
        <w:t xml:space="preserve">vagy szintén heti egy </w:t>
      </w:r>
      <w:r w:rsidR="00A653DE">
        <w:rPr>
          <w:rFonts w:asciiTheme="majorHAnsi" w:hAnsiTheme="majorHAnsi" w:cstheme="majorHAnsi"/>
        </w:rPr>
        <w:t xml:space="preserve">alkalommal az </w:t>
      </w:r>
      <w:r w:rsidR="002723B8">
        <w:rPr>
          <w:rFonts w:asciiTheme="majorHAnsi" w:hAnsiTheme="majorHAnsi" w:cstheme="majorHAnsi"/>
        </w:rPr>
        <w:t xml:space="preserve">etika tanórát </w:t>
      </w:r>
      <w:r w:rsidR="00A653DE">
        <w:rPr>
          <w:rFonts w:asciiTheme="majorHAnsi" w:hAnsiTheme="majorHAnsi" w:cstheme="majorHAnsi"/>
        </w:rPr>
        <w:t>látogassák</w:t>
      </w:r>
      <w:r w:rsidR="002723B8">
        <w:rPr>
          <w:rFonts w:asciiTheme="majorHAnsi" w:hAnsiTheme="majorHAnsi" w:cstheme="majorHAnsi"/>
        </w:rPr>
        <w:t xml:space="preserve">. </w:t>
      </w:r>
      <w:r w:rsidR="00DF056E" w:rsidRPr="00DC6C83">
        <w:rPr>
          <w:rFonts w:asciiTheme="majorHAnsi" w:hAnsiTheme="majorHAnsi" w:cstheme="majorHAnsi"/>
        </w:rPr>
        <w:t xml:space="preserve">Az új tantárgyak 2013-tól, felmenő rendszerben történő bevezetése 2016-ban lett teljes mind a </w:t>
      </w:r>
      <w:r w:rsidR="000C288E">
        <w:rPr>
          <w:rFonts w:asciiTheme="majorHAnsi" w:hAnsiTheme="majorHAnsi" w:cstheme="majorHAnsi"/>
        </w:rPr>
        <w:t>nyolc évfolyamon. A</w:t>
      </w:r>
      <w:r w:rsidR="00DF056E" w:rsidRPr="00DC6C83">
        <w:rPr>
          <w:rFonts w:asciiTheme="majorHAnsi" w:hAnsiTheme="majorHAnsi" w:cstheme="majorHAnsi"/>
        </w:rPr>
        <w:t>z új</w:t>
      </w:r>
      <w:r w:rsidR="002723B8">
        <w:rPr>
          <w:rFonts w:asciiTheme="majorHAnsi" w:hAnsiTheme="majorHAnsi" w:cstheme="majorHAnsi"/>
        </w:rPr>
        <w:t>ítás</w:t>
      </w:r>
      <w:r w:rsidR="00DF056E" w:rsidRPr="00DC6C83">
        <w:rPr>
          <w:rFonts w:asciiTheme="majorHAnsi" w:hAnsiTheme="majorHAnsi" w:cstheme="majorHAnsi"/>
        </w:rPr>
        <w:t xml:space="preserve"> hatékonynak bizonyult, az egyházak és iskolák közötti együttműködés </w:t>
      </w:r>
      <w:r w:rsidR="000C288E">
        <w:rPr>
          <w:rFonts w:asciiTheme="majorHAnsi" w:hAnsiTheme="majorHAnsi" w:cstheme="majorHAnsi"/>
        </w:rPr>
        <w:t>keretei kialakultak</w:t>
      </w:r>
      <w:r w:rsidR="00DF056E" w:rsidRPr="00DC6C83">
        <w:rPr>
          <w:rFonts w:asciiTheme="majorHAnsi" w:hAnsiTheme="majorHAnsi" w:cstheme="majorHAnsi"/>
        </w:rPr>
        <w:t xml:space="preserve">. </w:t>
      </w:r>
      <w:r w:rsidR="00152195">
        <w:rPr>
          <w:rFonts w:asciiTheme="majorHAnsi" w:hAnsiTheme="majorHAnsi" w:cstheme="majorHAnsi"/>
        </w:rPr>
        <w:lastRenderedPageBreak/>
        <w:t xml:space="preserve">Európai kultúránk – </w:t>
      </w:r>
      <w:r w:rsidR="00152195" w:rsidRPr="00111D5B">
        <w:rPr>
          <w:rFonts w:asciiTheme="majorHAnsi" w:hAnsiTheme="majorHAnsi" w:cstheme="majorHAnsi"/>
        </w:rPr>
        <w:t>a</w:t>
      </w:r>
      <w:r w:rsidR="00152195">
        <w:rPr>
          <w:rFonts w:asciiTheme="majorHAnsi" w:hAnsiTheme="majorHAnsi" w:cstheme="majorHAnsi"/>
        </w:rPr>
        <w:t>melyet meg szeretnénk őrizni –</w:t>
      </w:r>
      <w:r w:rsidR="00152195" w:rsidRPr="00111D5B">
        <w:rPr>
          <w:rFonts w:asciiTheme="majorHAnsi" w:hAnsiTheme="majorHAnsi" w:cstheme="majorHAnsi"/>
        </w:rPr>
        <w:t xml:space="preserve"> a keresztény </w:t>
      </w:r>
      <w:r w:rsidR="00152195">
        <w:rPr>
          <w:rFonts w:asciiTheme="majorHAnsi" w:hAnsiTheme="majorHAnsi" w:cstheme="majorHAnsi"/>
        </w:rPr>
        <w:t xml:space="preserve">erkölcsi alapokra épül, ezért különösen fontos a köznevelésben a </w:t>
      </w:r>
      <w:r w:rsidR="00152195" w:rsidRPr="00DC6C83">
        <w:rPr>
          <w:rFonts w:asciiTheme="majorHAnsi" w:hAnsiTheme="majorHAnsi" w:cstheme="majorHAnsi"/>
        </w:rPr>
        <w:t>keresztény értékek ápolása és átadása</w:t>
      </w:r>
      <w:r w:rsidR="00152195">
        <w:rPr>
          <w:rFonts w:asciiTheme="majorHAnsi" w:hAnsiTheme="majorHAnsi" w:cstheme="majorHAnsi"/>
        </w:rPr>
        <w:t>. Ez</w:t>
      </w:r>
      <w:r w:rsidR="00152195" w:rsidRPr="00DC6C83">
        <w:rPr>
          <w:rFonts w:asciiTheme="majorHAnsi" w:hAnsiTheme="majorHAnsi" w:cstheme="majorHAnsi"/>
        </w:rPr>
        <w:t xml:space="preserve"> segít a gyermek</w:t>
      </w:r>
      <w:r w:rsidR="00152195">
        <w:rPr>
          <w:rFonts w:asciiTheme="majorHAnsi" w:hAnsiTheme="majorHAnsi" w:cstheme="majorHAnsi"/>
        </w:rPr>
        <w:t>ek</w:t>
      </w:r>
      <w:r w:rsidR="00152195" w:rsidRPr="00DC6C83">
        <w:rPr>
          <w:rFonts w:asciiTheme="majorHAnsi" w:hAnsiTheme="majorHAnsi" w:cstheme="majorHAnsi"/>
        </w:rPr>
        <w:t>nek</w:t>
      </w:r>
      <w:r w:rsidR="00152195">
        <w:rPr>
          <w:rFonts w:asciiTheme="majorHAnsi" w:hAnsiTheme="majorHAnsi" w:cstheme="majorHAnsi"/>
        </w:rPr>
        <w:t xml:space="preserve"> abban</w:t>
      </w:r>
      <w:r w:rsidR="00152195" w:rsidRPr="00DC6C83">
        <w:rPr>
          <w:rFonts w:asciiTheme="majorHAnsi" w:hAnsiTheme="majorHAnsi" w:cstheme="majorHAnsi"/>
        </w:rPr>
        <w:t xml:space="preserve">, hogy </w:t>
      </w:r>
      <w:r w:rsidR="00152195">
        <w:rPr>
          <w:rFonts w:asciiTheme="majorHAnsi" w:hAnsiTheme="majorHAnsi" w:cstheme="majorHAnsi"/>
        </w:rPr>
        <w:t xml:space="preserve">megismerjék világunk erkölcsi normáit, önmagukat reálisan lássák, </w:t>
      </w:r>
      <w:r w:rsidR="00152195" w:rsidRPr="00DC6C83">
        <w:rPr>
          <w:rFonts w:asciiTheme="majorHAnsi" w:hAnsiTheme="majorHAnsi" w:cstheme="majorHAnsi"/>
        </w:rPr>
        <w:t>a bennük megfogalmazódott kérdések</w:t>
      </w:r>
      <w:r w:rsidR="00152195">
        <w:rPr>
          <w:rFonts w:asciiTheme="majorHAnsi" w:hAnsiTheme="majorHAnsi" w:cstheme="majorHAnsi"/>
        </w:rPr>
        <w:t>re válaszokat</w:t>
      </w:r>
      <w:r w:rsidR="00152195" w:rsidRPr="00DC6C83">
        <w:rPr>
          <w:rFonts w:asciiTheme="majorHAnsi" w:hAnsiTheme="majorHAnsi" w:cstheme="majorHAnsi"/>
        </w:rPr>
        <w:t>,</w:t>
      </w:r>
      <w:r w:rsidR="00152195">
        <w:rPr>
          <w:rFonts w:asciiTheme="majorHAnsi" w:hAnsiTheme="majorHAnsi" w:cstheme="majorHAnsi"/>
        </w:rPr>
        <w:t xml:space="preserve"> illetve </w:t>
      </w:r>
      <w:r w:rsidR="00152195">
        <w:t xml:space="preserve">támogatást kapjanak a helyes életvezetéshez és a társadalmi együttéléshez nélkülözhetetlen magatartásformák elsajátításához. </w:t>
      </w:r>
      <w:r w:rsidR="00A653DE">
        <w:t>Azért</w:t>
      </w:r>
      <w:r w:rsidR="00A754A3">
        <w:t xml:space="preserve">, hogy az etika, a hit- és erkölcstan, illetve a választható hitoktatás </w:t>
      </w:r>
      <w:r w:rsidR="00A653DE">
        <w:t>a nevelés szempontjából hatékonyabb</w:t>
      </w:r>
      <w:r w:rsidR="00A754A3">
        <w:t xml:space="preserve"> legyen, fontos további felkészítő és támogató programok, képzések </w:t>
      </w:r>
      <w:r w:rsidR="00A653DE">
        <w:t>szervezése, végrehajtása</w:t>
      </w:r>
      <w:r w:rsidR="00A754A3">
        <w:t>.</w:t>
      </w:r>
    </w:p>
    <w:p w14:paraId="5423C656" w14:textId="77777777" w:rsidR="00A67F59" w:rsidRDefault="004C6839" w:rsidP="00B86FE8">
      <w:pPr>
        <w:rPr>
          <w:rFonts w:asciiTheme="majorHAnsi" w:hAnsiTheme="majorHAnsi" w:cstheme="majorHAnsi"/>
        </w:rPr>
      </w:pPr>
      <w:r>
        <w:t>A társadalmi és közösségi felelősségvállalásra nevelés fontos és sikeres eszközeként jelent meg 2011-től az 50 órás kötelező iskolai közösségi szolgálat programja.</w:t>
      </w:r>
      <w:r w:rsidR="00111D5B">
        <w:t xml:space="preserve"> Ennek kapcsán a jövőben fokozott figyelmet kell fordítani arra, hogy még inkább a társadalom, a helyi közösségek</w:t>
      </w:r>
      <w:r w:rsidR="008D34E8">
        <w:t xml:space="preserve"> javát, a környezet védelmét szolgáló tevékenységek domináljanak.</w:t>
      </w:r>
    </w:p>
    <w:p w14:paraId="7BE0F216" w14:textId="52EFBA19" w:rsidR="00B86FE8" w:rsidRPr="00091F9F" w:rsidRDefault="00B86FE8" w:rsidP="00B86FE8">
      <w:r w:rsidRPr="000C288E">
        <w:rPr>
          <w:rFonts w:asciiTheme="majorHAnsi" w:hAnsiTheme="majorHAnsi" w:cstheme="majorHAnsi"/>
        </w:rPr>
        <w:t xml:space="preserve">Az elöregedő társadalom és a munkaerőhiány </w:t>
      </w:r>
      <w:r w:rsidR="00A653DE">
        <w:rPr>
          <w:rFonts w:asciiTheme="majorHAnsi" w:hAnsiTheme="majorHAnsi" w:cstheme="majorHAnsi"/>
        </w:rPr>
        <w:t>miatti</w:t>
      </w:r>
      <w:r w:rsidRPr="000C288E">
        <w:rPr>
          <w:rFonts w:asciiTheme="majorHAnsi" w:hAnsiTheme="majorHAnsi" w:cstheme="majorHAnsi"/>
        </w:rPr>
        <w:t xml:space="preserve"> kihívások leküzdése </w:t>
      </w:r>
      <w:r w:rsidR="00DF056E" w:rsidRPr="000C288E">
        <w:rPr>
          <w:rFonts w:asciiTheme="majorHAnsi" w:hAnsiTheme="majorHAnsi" w:cstheme="majorHAnsi"/>
        </w:rPr>
        <w:t xml:space="preserve">és az egészségben töltött évek minél </w:t>
      </w:r>
      <w:r w:rsidR="00A653DE">
        <w:rPr>
          <w:rFonts w:asciiTheme="majorHAnsi" w:hAnsiTheme="majorHAnsi" w:cstheme="majorHAnsi"/>
        </w:rPr>
        <w:t>szélesebb körű elérésére</w:t>
      </w:r>
      <w:r w:rsidRPr="000C288E">
        <w:rPr>
          <w:rFonts w:asciiTheme="majorHAnsi" w:hAnsiTheme="majorHAnsi" w:cstheme="majorHAnsi"/>
        </w:rPr>
        <w:t xml:space="preserve"> </w:t>
      </w:r>
      <w:r w:rsidR="000C288E">
        <w:rPr>
          <w:rFonts w:asciiTheme="majorHAnsi" w:hAnsiTheme="majorHAnsi" w:cstheme="majorHAnsi"/>
        </w:rPr>
        <w:t xml:space="preserve">a Kormány </w:t>
      </w:r>
      <w:r w:rsidRPr="000C288E">
        <w:rPr>
          <w:rFonts w:asciiTheme="majorHAnsi" w:hAnsiTheme="majorHAnsi" w:cstheme="majorHAnsi"/>
        </w:rPr>
        <w:t>cél</w:t>
      </w:r>
      <w:r w:rsidR="000C288E">
        <w:rPr>
          <w:rFonts w:asciiTheme="majorHAnsi" w:hAnsiTheme="majorHAnsi" w:cstheme="majorHAnsi"/>
        </w:rPr>
        <w:t>ja</w:t>
      </w:r>
      <w:r w:rsidRPr="000C288E">
        <w:rPr>
          <w:rFonts w:asciiTheme="majorHAnsi" w:hAnsiTheme="majorHAnsi" w:cstheme="majorHAnsi"/>
        </w:rPr>
        <w:t xml:space="preserve"> egy mentálisan és fizikálisan is</w:t>
      </w:r>
      <w:r w:rsidR="00495F08">
        <w:rPr>
          <w:rFonts w:asciiTheme="majorHAnsi" w:hAnsiTheme="majorHAnsi" w:cstheme="majorHAnsi"/>
        </w:rPr>
        <w:t xml:space="preserve"> egészséges és</w:t>
      </w:r>
      <w:r w:rsidRPr="000C288E">
        <w:rPr>
          <w:rFonts w:asciiTheme="majorHAnsi" w:hAnsiTheme="majorHAnsi" w:cstheme="majorHAnsi"/>
        </w:rPr>
        <w:t xml:space="preserve"> egészségtudatos társadalom kialakítása. Az egészségtudatosságra nevelést a lehető legkorábban meg kell kezdeni, amelyben a köznevelés</w:t>
      </w:r>
      <w:r w:rsidRPr="00DC6C83">
        <w:rPr>
          <w:rFonts w:asciiTheme="majorHAnsi" w:hAnsiTheme="majorHAnsi" w:cstheme="majorHAnsi"/>
        </w:rPr>
        <w:t xml:space="preserve">, ezen </w:t>
      </w:r>
      <w:r w:rsidRPr="00091F9F">
        <w:rPr>
          <w:rFonts w:asciiTheme="majorHAnsi" w:hAnsiTheme="majorHAnsi" w:cstheme="majorHAnsi"/>
        </w:rPr>
        <w:t xml:space="preserve">belül </w:t>
      </w:r>
      <w:r w:rsidR="00FC4F69" w:rsidRPr="00091F9F">
        <w:t xml:space="preserve">az óvodai rendszeres egészségfejlesztő testmozgás, a gyermekek egyéni fejlettségi szintjéhez igazodó mozgásos játékok és feladatok, az iskolában pedig a minőségi mindennapos testnevelés, az iskolai sporttevékenység (ideérve a sportági programokat is) és a diáksport </w:t>
      </w:r>
      <w:r w:rsidRPr="00091F9F">
        <w:rPr>
          <w:rFonts w:asciiTheme="majorHAnsi" w:hAnsiTheme="majorHAnsi" w:cstheme="majorHAnsi"/>
        </w:rPr>
        <w:t xml:space="preserve">jelentős szerepet tölt be. Az </w:t>
      </w:r>
      <w:r w:rsidR="00FC4F69" w:rsidRPr="00091F9F">
        <w:t xml:space="preserve">óvodáknak és az </w:t>
      </w:r>
      <w:r w:rsidRPr="00091F9F">
        <w:rPr>
          <w:rFonts w:asciiTheme="majorHAnsi" w:hAnsiTheme="majorHAnsi" w:cstheme="majorHAnsi"/>
        </w:rPr>
        <w:t>iskoláknak</w:t>
      </w:r>
      <w:r w:rsidR="001C3D8D" w:rsidRPr="00091F9F">
        <w:rPr>
          <w:rFonts w:asciiTheme="majorHAnsi" w:hAnsiTheme="majorHAnsi" w:cstheme="majorHAnsi"/>
        </w:rPr>
        <w:t xml:space="preserve"> </w:t>
      </w:r>
      <w:r w:rsidR="00B1579C" w:rsidRPr="00091F9F">
        <w:t>rendelkezniük</w:t>
      </w:r>
      <w:r w:rsidRPr="00091F9F">
        <w:t xml:space="preserve"> kell </w:t>
      </w:r>
      <w:r w:rsidR="00B1579C" w:rsidRPr="00091F9F">
        <w:t>azokkal</w:t>
      </w:r>
      <w:r w:rsidRPr="00091F9F">
        <w:t xml:space="preserve"> a </w:t>
      </w:r>
      <w:r w:rsidR="00B1579C" w:rsidRPr="00091F9F">
        <w:t>motivációs eszközökkel, amelyekkel a</w:t>
      </w:r>
      <w:r w:rsidR="00FC4F69" w:rsidRPr="00091F9F">
        <w:t xml:space="preserve"> gyermekeket és a</w:t>
      </w:r>
      <w:r w:rsidR="00B1579C" w:rsidRPr="00091F9F">
        <w:t xml:space="preserve"> diákokat rábírják a mindennapi aktív mozgásra.</w:t>
      </w:r>
      <w:r w:rsidRPr="00091F9F">
        <w:rPr>
          <w:rFonts w:asciiTheme="majorHAnsi" w:hAnsiTheme="majorHAnsi" w:cstheme="majorHAnsi"/>
        </w:rPr>
        <w:t xml:space="preserve"> </w:t>
      </w:r>
      <w:r w:rsidR="00FC4F69" w:rsidRPr="00091F9F">
        <w:t>Az óvodai mozgásfejlesztés,</w:t>
      </w:r>
      <w:r w:rsidR="00FC4F69" w:rsidRPr="00091F9F">
        <w:rPr>
          <w:rFonts w:asciiTheme="majorHAnsi" w:hAnsiTheme="majorHAnsi" w:cstheme="majorHAnsi"/>
        </w:rPr>
        <w:t xml:space="preserve"> a</w:t>
      </w:r>
      <w:r w:rsidR="00152195" w:rsidRPr="00091F9F">
        <w:rPr>
          <w:rFonts w:asciiTheme="majorHAnsi" w:hAnsiTheme="majorHAnsi" w:cstheme="majorHAnsi"/>
        </w:rPr>
        <w:t xml:space="preserve"> testnevelés-oktatás </w:t>
      </w:r>
      <w:r w:rsidR="00334A59" w:rsidRPr="00091F9F">
        <w:t xml:space="preserve">és sporttevékenység </w:t>
      </w:r>
      <w:r w:rsidR="00152195" w:rsidRPr="00091F9F">
        <w:rPr>
          <w:rFonts w:asciiTheme="majorHAnsi" w:hAnsiTheme="majorHAnsi" w:cstheme="majorHAnsi"/>
        </w:rPr>
        <w:t xml:space="preserve">akkor igazán hatékony, ha a tanulók a lehető legszélesebb körű, </w:t>
      </w:r>
      <w:r w:rsidR="001A2E0B" w:rsidRPr="00091F9F">
        <w:t>életkori sajátosságaikhoz igazodó, változatos</w:t>
      </w:r>
      <w:r w:rsidR="00152195" w:rsidRPr="00091F9F">
        <w:rPr>
          <w:rFonts w:asciiTheme="majorHAnsi" w:hAnsiTheme="majorHAnsi" w:cstheme="majorHAnsi"/>
        </w:rPr>
        <w:t xml:space="preserve"> mozgásformákkal ismerkednek meg. A</w:t>
      </w:r>
      <w:r w:rsidR="008D1D48" w:rsidRPr="00091F9F">
        <w:rPr>
          <w:rFonts w:asciiTheme="majorHAnsi" w:hAnsiTheme="majorHAnsi" w:cstheme="majorHAnsi"/>
        </w:rPr>
        <w:t>z iskolai</w:t>
      </w:r>
      <w:r w:rsidR="00152195" w:rsidRPr="00091F9F">
        <w:rPr>
          <w:rFonts w:asciiTheme="majorHAnsi" w:hAnsiTheme="majorHAnsi" w:cstheme="majorHAnsi"/>
        </w:rPr>
        <w:t xml:space="preserve"> mindennapos testnevelés bevezetésének célja a tanulók −</w:t>
      </w:r>
      <w:r w:rsidR="00E717BD">
        <w:rPr>
          <w:rFonts w:asciiTheme="majorHAnsi" w:hAnsiTheme="majorHAnsi" w:cstheme="majorHAnsi"/>
        </w:rPr>
        <w:t xml:space="preserve"> </w:t>
      </w:r>
      <w:r w:rsidR="00152195" w:rsidRPr="00091F9F">
        <w:rPr>
          <w:rFonts w:asciiTheme="majorHAnsi" w:hAnsiTheme="majorHAnsi" w:cstheme="majorHAnsi"/>
        </w:rPr>
        <w:t xml:space="preserve">távlatosan pedig az egész lakosság − állóképességének, egészségi állapotának javítása. </w:t>
      </w:r>
      <w:r w:rsidR="004A719C" w:rsidRPr="00091F9F">
        <w:rPr>
          <w:rFonts w:asciiTheme="majorHAnsi" w:hAnsiTheme="majorHAnsi" w:cstheme="majorHAnsi"/>
        </w:rPr>
        <w:t>201</w:t>
      </w:r>
      <w:r w:rsidR="00495F08" w:rsidRPr="00091F9F">
        <w:rPr>
          <w:rFonts w:asciiTheme="majorHAnsi" w:hAnsiTheme="majorHAnsi" w:cstheme="majorHAnsi"/>
        </w:rPr>
        <w:t>2</w:t>
      </w:r>
      <w:r w:rsidR="004A719C" w:rsidRPr="00091F9F">
        <w:rPr>
          <w:rFonts w:asciiTheme="majorHAnsi" w:hAnsiTheme="majorHAnsi" w:cstheme="majorHAnsi"/>
        </w:rPr>
        <w:t>-</w:t>
      </w:r>
      <w:r w:rsidR="004814EC" w:rsidRPr="00091F9F">
        <w:rPr>
          <w:rFonts w:asciiTheme="majorHAnsi" w:hAnsiTheme="majorHAnsi" w:cstheme="majorHAnsi"/>
        </w:rPr>
        <w:t>e</w:t>
      </w:r>
      <w:r w:rsidR="004A719C" w:rsidRPr="00091F9F">
        <w:rPr>
          <w:rFonts w:asciiTheme="majorHAnsi" w:hAnsiTheme="majorHAnsi" w:cstheme="majorHAnsi"/>
        </w:rPr>
        <w:t xml:space="preserve">s bevezetése óta már </w:t>
      </w:r>
      <w:r w:rsidRPr="00091F9F">
        <w:rPr>
          <w:rFonts w:asciiTheme="majorHAnsi" w:hAnsiTheme="majorHAnsi" w:cstheme="majorHAnsi"/>
        </w:rPr>
        <w:t>látható</w:t>
      </w:r>
      <w:r w:rsidR="00E717BD">
        <w:rPr>
          <w:rFonts w:asciiTheme="majorHAnsi" w:hAnsiTheme="majorHAnsi" w:cstheme="majorHAnsi"/>
        </w:rPr>
        <w:t>a</w:t>
      </w:r>
      <w:r w:rsidRPr="00091F9F">
        <w:rPr>
          <w:rFonts w:asciiTheme="majorHAnsi" w:hAnsiTheme="majorHAnsi" w:cstheme="majorHAnsi"/>
        </w:rPr>
        <w:t xml:space="preserve">k a mindennapos testnevelés pozitív eredményei a Magyar Diáksport Szövetség által </w:t>
      </w:r>
      <w:r w:rsidR="008D1D48" w:rsidRPr="00091F9F">
        <w:t>működtetett NETFIT</w:t>
      </w:r>
      <w:r w:rsidR="008D1D48" w:rsidRPr="00091F9F">
        <w:rPr>
          <w:rFonts w:cstheme="minorHAnsi"/>
        </w:rPr>
        <w:t>®</w:t>
      </w:r>
      <w:r w:rsidR="008D1D48" w:rsidRPr="00091F9F">
        <w:rPr>
          <w:rStyle w:val="Lbjegyzet-hivatkozs"/>
          <w:rFonts w:asciiTheme="majorHAnsi" w:hAnsiTheme="majorHAnsi" w:cstheme="majorHAnsi"/>
        </w:rPr>
        <w:footnoteReference w:id="9"/>
      </w:r>
      <w:r w:rsidR="008D1D48" w:rsidRPr="00091F9F">
        <w:t xml:space="preserve"> mérés eredményei </w:t>
      </w:r>
      <w:r w:rsidRPr="00091F9F">
        <w:rPr>
          <w:rFonts w:asciiTheme="majorHAnsi" w:hAnsiTheme="majorHAnsi" w:cstheme="majorHAnsi"/>
        </w:rPr>
        <w:t>alapján</w:t>
      </w:r>
      <w:r w:rsidR="00AB4C5F" w:rsidRPr="00091F9F">
        <w:rPr>
          <w:rFonts w:asciiTheme="majorHAnsi" w:hAnsiTheme="majorHAnsi" w:cstheme="majorHAnsi"/>
        </w:rPr>
        <w:t xml:space="preserve"> (pl. 2014/2015</w:t>
      </w:r>
      <w:r w:rsidR="008A3894" w:rsidRPr="00091F9F">
        <w:rPr>
          <w:rFonts w:asciiTheme="majorHAnsi" w:hAnsiTheme="majorHAnsi" w:cstheme="majorHAnsi"/>
        </w:rPr>
        <w:t>-ös</w:t>
      </w:r>
      <w:r w:rsidR="00AB4C5F" w:rsidRPr="00091F9F">
        <w:rPr>
          <w:rFonts w:asciiTheme="majorHAnsi" w:hAnsiTheme="majorHAnsi" w:cstheme="majorHAnsi"/>
        </w:rPr>
        <w:t xml:space="preserve"> tanév óta érzékelhető javulás mutatkozik az állóképességi és izomerővel összefüggő tesztek eredményeiben).</w:t>
      </w:r>
      <w:r w:rsidR="001D70E2">
        <w:rPr>
          <w:rFonts w:asciiTheme="majorHAnsi" w:hAnsiTheme="majorHAnsi" w:cstheme="majorHAnsi"/>
        </w:rPr>
        <w:t xml:space="preserve"> </w:t>
      </w:r>
      <w:r w:rsidR="00F71CF2" w:rsidRPr="00091F9F">
        <w:rPr>
          <w:rFonts w:asciiTheme="majorHAnsi" w:hAnsiTheme="majorHAnsi" w:cstheme="majorHAnsi"/>
        </w:rPr>
        <w:t>Természetesen a fittség erőteljesen összefügg a genetikai</w:t>
      </w:r>
      <w:r w:rsidR="00E27BC5" w:rsidRPr="00091F9F">
        <w:t xml:space="preserve"> és környezeti</w:t>
      </w:r>
      <w:r w:rsidR="00F71CF2" w:rsidRPr="00091F9F">
        <w:rPr>
          <w:rFonts w:asciiTheme="majorHAnsi" w:hAnsiTheme="majorHAnsi" w:cstheme="majorHAnsi"/>
        </w:rPr>
        <w:t xml:space="preserve"> adottságokkal és az egyéni életmóddal, ugyanakkor elmondható, hogy t</w:t>
      </w:r>
      <w:r w:rsidRPr="00091F9F">
        <w:rPr>
          <w:rFonts w:asciiTheme="majorHAnsi" w:hAnsiTheme="majorHAnsi" w:cstheme="majorHAnsi"/>
        </w:rPr>
        <w:t xml:space="preserve">öbb mutatóban javult a magyar diákok </w:t>
      </w:r>
      <w:r w:rsidR="00F71CF2" w:rsidRPr="00091F9F">
        <w:rPr>
          <w:rFonts w:asciiTheme="majorHAnsi" w:hAnsiTheme="majorHAnsi" w:cstheme="majorHAnsi"/>
        </w:rPr>
        <w:t>fizikai állapota</w:t>
      </w:r>
      <w:r w:rsidRPr="00091F9F">
        <w:rPr>
          <w:rFonts w:asciiTheme="majorHAnsi" w:hAnsiTheme="majorHAnsi" w:cstheme="majorHAnsi"/>
        </w:rPr>
        <w:t>, ám továbbra is komoly gondot jelent az elhízás a fiatalok körében</w:t>
      </w:r>
      <w:r w:rsidR="008D34E8" w:rsidRPr="00091F9F">
        <w:rPr>
          <w:rFonts w:asciiTheme="majorHAnsi" w:hAnsiTheme="majorHAnsi" w:cstheme="majorHAnsi"/>
        </w:rPr>
        <w:t xml:space="preserve">. Ezért a következő időszakban is hangsúlyt kell </w:t>
      </w:r>
      <w:r w:rsidR="008A3894" w:rsidRPr="00091F9F">
        <w:rPr>
          <w:rFonts w:asciiTheme="majorHAnsi" w:hAnsiTheme="majorHAnsi" w:cstheme="majorHAnsi"/>
        </w:rPr>
        <w:t>fektetni arra, hogy</w:t>
      </w:r>
      <w:r w:rsidR="008D34E8" w:rsidRPr="00091F9F">
        <w:rPr>
          <w:rFonts w:asciiTheme="majorHAnsi" w:hAnsiTheme="majorHAnsi" w:cstheme="majorHAnsi"/>
        </w:rPr>
        <w:t xml:space="preserve"> </w:t>
      </w:r>
      <w:r w:rsidR="00E27BC5" w:rsidRPr="00091F9F">
        <w:t>megfelelő óvoda-iskola átmenetet biztosítva minőségi testmozgásprogram és mindennapos testnevelés valósuljon meg az érintett intézményekben hozzájárulva ahhoz, hogy az Egészségügyi Világszervezet (WHO) 5-17 éves korosztálynak javasolt napi 60 perces, közepes-erős intenzitású mozgásmennyiség-ajánlásának eléréshez.</w:t>
      </w:r>
    </w:p>
    <w:p w14:paraId="7FB432E5" w14:textId="77777777" w:rsidR="00E27BC5" w:rsidRPr="00091F9F" w:rsidRDefault="00E27BC5" w:rsidP="00B86FE8">
      <w:r w:rsidRPr="00091F9F">
        <w:lastRenderedPageBreak/>
        <w:t xml:space="preserve">A továbbképzések keretében felkészített tanítók, testnevelők és diáksport szakemberek hálózatának segítségével kidolgozott korszerű testnevelési és sportjáték-módszereket minél több iskolában </w:t>
      </w:r>
      <w:r w:rsidR="00091F9F" w:rsidRPr="00091F9F">
        <w:t>célszerű meg</w:t>
      </w:r>
      <w:r w:rsidRPr="00091F9F">
        <w:t>honosítani az egyéni fejlesztés és a differenciálás támogatása érdekében</w:t>
      </w:r>
      <w:r w:rsidR="00091F9F" w:rsidRPr="00091F9F">
        <w:t>, illetve javasolt támogatni a sportfesztiválok, tornák, táborok stb. megvalósítását.</w:t>
      </w:r>
    </w:p>
    <w:p w14:paraId="3F11739A" w14:textId="35E65753" w:rsidR="00536C01" w:rsidRPr="00091F9F" w:rsidRDefault="00536C01" w:rsidP="00536C01">
      <w:pPr>
        <w:rPr>
          <w:rFonts w:asciiTheme="majorHAnsi" w:hAnsiTheme="majorHAnsi" w:cstheme="majorHAnsi"/>
        </w:rPr>
      </w:pPr>
      <w:r w:rsidRPr="00091F9F">
        <w:rPr>
          <w:rFonts w:asciiTheme="majorHAnsi" w:hAnsiTheme="majorHAnsi" w:cstheme="majorHAnsi"/>
        </w:rPr>
        <w:t xml:space="preserve">A tanulók </w:t>
      </w:r>
      <w:r w:rsidR="00865AA2" w:rsidRPr="00091F9F">
        <w:rPr>
          <w:rFonts w:asciiTheme="majorHAnsi" w:hAnsiTheme="majorHAnsi" w:cstheme="majorHAnsi"/>
        </w:rPr>
        <w:t>helyes egészségmagatartásának, egészségtudatos életvitelének kialakítás</w:t>
      </w:r>
      <w:r w:rsidR="008A3894" w:rsidRPr="00091F9F">
        <w:rPr>
          <w:rFonts w:asciiTheme="majorHAnsi" w:hAnsiTheme="majorHAnsi" w:cstheme="majorHAnsi"/>
        </w:rPr>
        <w:t>ára</w:t>
      </w:r>
      <w:r w:rsidR="00865AA2" w:rsidRPr="00091F9F">
        <w:rPr>
          <w:rFonts w:asciiTheme="majorHAnsi" w:hAnsiTheme="majorHAnsi" w:cstheme="majorHAnsi"/>
        </w:rPr>
        <w:t xml:space="preserve"> 2012-ben előír</w:t>
      </w:r>
      <w:r w:rsidR="008A3894" w:rsidRPr="00091F9F">
        <w:rPr>
          <w:rFonts w:asciiTheme="majorHAnsi" w:hAnsiTheme="majorHAnsi" w:cstheme="majorHAnsi"/>
        </w:rPr>
        <w:t>tuk</w:t>
      </w:r>
      <w:r w:rsidR="00865AA2" w:rsidRPr="00091F9F">
        <w:rPr>
          <w:rFonts w:asciiTheme="majorHAnsi" w:hAnsiTheme="majorHAnsi" w:cstheme="majorHAnsi"/>
        </w:rPr>
        <w:t xml:space="preserve"> a teljeskörű iskolai egészségfejlesztés</w:t>
      </w:r>
      <w:r w:rsidR="008A3894" w:rsidRPr="00091F9F">
        <w:rPr>
          <w:rFonts w:asciiTheme="majorHAnsi" w:hAnsiTheme="majorHAnsi" w:cstheme="majorHAnsi"/>
        </w:rPr>
        <w:t>t</w:t>
      </w:r>
      <w:r w:rsidR="00865AA2" w:rsidRPr="00091F9F">
        <w:rPr>
          <w:rFonts w:asciiTheme="majorHAnsi" w:hAnsiTheme="majorHAnsi" w:cstheme="majorHAnsi"/>
        </w:rPr>
        <w:t xml:space="preserve"> (a továbbiakban: TIE) minden köznevelési intézmény</w:t>
      </w:r>
      <w:r w:rsidR="008A3894" w:rsidRPr="00091F9F">
        <w:rPr>
          <w:rFonts w:asciiTheme="majorHAnsi" w:hAnsiTheme="majorHAnsi" w:cstheme="majorHAnsi"/>
        </w:rPr>
        <w:t>ben</w:t>
      </w:r>
      <w:r w:rsidR="003A38E6" w:rsidRPr="00091F9F">
        <w:rPr>
          <w:rFonts w:asciiTheme="majorHAnsi" w:hAnsiTheme="majorHAnsi" w:cstheme="majorHAnsi"/>
        </w:rPr>
        <w:t xml:space="preserve">, </w:t>
      </w:r>
      <w:r w:rsidR="00865AA2" w:rsidRPr="00091F9F">
        <w:rPr>
          <w:rFonts w:asciiTheme="majorHAnsi" w:hAnsiTheme="majorHAnsi" w:cstheme="majorHAnsi"/>
        </w:rPr>
        <w:t xml:space="preserve">a pedagógusok </w:t>
      </w:r>
      <w:r w:rsidR="003A38E6" w:rsidRPr="00091F9F">
        <w:rPr>
          <w:rFonts w:asciiTheme="majorHAnsi" w:hAnsiTheme="majorHAnsi" w:cstheme="majorHAnsi"/>
        </w:rPr>
        <w:t>munkáját pedig az</w:t>
      </w:r>
      <w:r w:rsidR="00865AA2" w:rsidRPr="00091F9F">
        <w:rPr>
          <w:rFonts w:asciiTheme="majorHAnsi" w:hAnsiTheme="majorHAnsi" w:cstheme="majorHAnsi"/>
        </w:rPr>
        <w:t xml:space="preserve"> alapvető egészségfejlesztési tevékenység</w:t>
      </w:r>
      <w:r w:rsidR="003A38E6" w:rsidRPr="00091F9F">
        <w:rPr>
          <w:rFonts w:asciiTheme="majorHAnsi" w:hAnsiTheme="majorHAnsi" w:cstheme="majorHAnsi"/>
        </w:rPr>
        <w:t>ekre vonatkozó módszertani útmutatással</w:t>
      </w:r>
      <w:r w:rsidR="00865AA2" w:rsidRPr="00091F9F">
        <w:rPr>
          <w:rFonts w:asciiTheme="majorHAnsi" w:hAnsiTheme="majorHAnsi" w:cstheme="majorHAnsi"/>
        </w:rPr>
        <w:t xml:space="preserve"> </w:t>
      </w:r>
      <w:r w:rsidR="003A38E6" w:rsidRPr="00091F9F">
        <w:rPr>
          <w:rFonts w:asciiTheme="majorHAnsi" w:hAnsiTheme="majorHAnsi" w:cstheme="majorHAnsi"/>
        </w:rPr>
        <w:t>is segítjük</w:t>
      </w:r>
      <w:r w:rsidR="00865AA2" w:rsidRPr="00091F9F">
        <w:rPr>
          <w:rFonts w:asciiTheme="majorHAnsi" w:hAnsiTheme="majorHAnsi" w:cstheme="majorHAnsi"/>
        </w:rPr>
        <w:t xml:space="preserve">. </w:t>
      </w:r>
      <w:r w:rsidRPr="00091F9F">
        <w:rPr>
          <w:rFonts w:asciiTheme="majorHAnsi" w:hAnsiTheme="majorHAnsi" w:cstheme="majorHAnsi"/>
        </w:rPr>
        <w:t xml:space="preserve">A TIE hosszú távú célja, hogy a felnövekvő nemzedék minden tagja képes legyen arra, hogy folyamatosan nyomon kövesse saját egészségi állapotát, érzékelje a belső és külső környezeti tényezők megváltozásából fakadó, az egészségi állapotot érintő hatásokat, és ez által képessé váljon </w:t>
      </w:r>
      <w:r w:rsidR="006C20D4" w:rsidRPr="00091F9F">
        <w:rPr>
          <w:rFonts w:asciiTheme="majorHAnsi" w:hAnsiTheme="majorHAnsi" w:cstheme="majorHAnsi"/>
        </w:rPr>
        <w:t>testi és le</w:t>
      </w:r>
      <w:r w:rsidR="00E717BD">
        <w:rPr>
          <w:rFonts w:asciiTheme="majorHAnsi" w:hAnsiTheme="majorHAnsi" w:cstheme="majorHAnsi"/>
        </w:rPr>
        <w:t>l</w:t>
      </w:r>
      <w:r w:rsidR="006C20D4" w:rsidRPr="00091F9F">
        <w:rPr>
          <w:rFonts w:asciiTheme="majorHAnsi" w:hAnsiTheme="majorHAnsi" w:cstheme="majorHAnsi"/>
        </w:rPr>
        <w:t xml:space="preserve">ki </w:t>
      </w:r>
      <w:r w:rsidRPr="00091F9F">
        <w:rPr>
          <w:rFonts w:asciiTheme="majorHAnsi" w:hAnsiTheme="majorHAnsi" w:cstheme="majorHAnsi"/>
        </w:rPr>
        <w:t>egészség</w:t>
      </w:r>
      <w:r w:rsidR="006C20D4" w:rsidRPr="00091F9F">
        <w:rPr>
          <w:rFonts w:asciiTheme="majorHAnsi" w:hAnsiTheme="majorHAnsi" w:cstheme="majorHAnsi"/>
        </w:rPr>
        <w:t>e</w:t>
      </w:r>
      <w:r w:rsidRPr="00091F9F">
        <w:rPr>
          <w:rFonts w:asciiTheme="majorHAnsi" w:hAnsiTheme="majorHAnsi" w:cstheme="majorHAnsi"/>
        </w:rPr>
        <w:t xml:space="preserve"> megőrzésére, </w:t>
      </w:r>
      <w:r w:rsidR="00C62B5E" w:rsidRPr="00091F9F">
        <w:t>azaz az egészségtudatos, jövőorientált életvezetésre.</w:t>
      </w:r>
    </w:p>
    <w:p w14:paraId="1B8CB0E4" w14:textId="60B0E224" w:rsidR="00536C01" w:rsidRPr="00091F9F" w:rsidRDefault="00865AA2" w:rsidP="00536C01">
      <w:pPr>
        <w:rPr>
          <w:rFonts w:asciiTheme="majorHAnsi" w:hAnsiTheme="majorHAnsi" w:cstheme="majorHAnsi"/>
        </w:rPr>
      </w:pPr>
      <w:r w:rsidRPr="00091F9F">
        <w:rPr>
          <w:rFonts w:asciiTheme="majorHAnsi" w:hAnsiTheme="majorHAnsi" w:cstheme="majorHAnsi"/>
        </w:rPr>
        <w:t>A</w:t>
      </w:r>
      <w:r w:rsidR="00E27BC5" w:rsidRPr="00091F9F">
        <w:rPr>
          <w:rFonts w:asciiTheme="majorHAnsi" w:hAnsiTheme="majorHAnsi" w:cstheme="majorHAnsi"/>
        </w:rPr>
        <w:t xml:space="preserve"> </w:t>
      </w:r>
      <w:r w:rsidR="00536C01" w:rsidRPr="00091F9F">
        <w:rPr>
          <w:rFonts w:asciiTheme="majorHAnsi" w:hAnsiTheme="majorHAnsi" w:cstheme="majorHAnsi"/>
        </w:rPr>
        <w:t xml:space="preserve">2015. évben </w:t>
      </w:r>
      <w:r w:rsidR="00E717BD">
        <w:rPr>
          <w:rFonts w:asciiTheme="majorHAnsi" w:hAnsiTheme="majorHAnsi" w:cstheme="majorHAnsi"/>
        </w:rPr>
        <w:t xml:space="preserve">a Kormány </w:t>
      </w:r>
      <w:r w:rsidR="00536C01" w:rsidRPr="00091F9F">
        <w:rPr>
          <w:rFonts w:asciiTheme="majorHAnsi" w:hAnsiTheme="majorHAnsi" w:cstheme="majorHAnsi"/>
        </w:rPr>
        <w:t>elfogad</w:t>
      </w:r>
      <w:r w:rsidR="008A3894" w:rsidRPr="00091F9F">
        <w:rPr>
          <w:rFonts w:asciiTheme="majorHAnsi" w:hAnsiTheme="majorHAnsi" w:cstheme="majorHAnsi"/>
        </w:rPr>
        <w:t>t</w:t>
      </w:r>
      <w:r w:rsidR="00E717BD">
        <w:rPr>
          <w:rFonts w:asciiTheme="majorHAnsi" w:hAnsiTheme="majorHAnsi" w:cstheme="majorHAnsi"/>
        </w:rPr>
        <w:t>a</w:t>
      </w:r>
      <w:r w:rsidR="00536C01" w:rsidRPr="00091F9F">
        <w:rPr>
          <w:rFonts w:asciiTheme="majorHAnsi" w:hAnsiTheme="majorHAnsi" w:cstheme="majorHAnsi"/>
        </w:rPr>
        <w:t xml:space="preserve"> </w:t>
      </w:r>
      <w:r w:rsidR="00E717BD">
        <w:rPr>
          <w:rFonts w:asciiTheme="majorHAnsi" w:hAnsiTheme="majorHAnsi" w:cstheme="majorHAnsi"/>
        </w:rPr>
        <w:t xml:space="preserve">az </w:t>
      </w:r>
      <w:r w:rsidR="00536C01" w:rsidRPr="00091F9F">
        <w:rPr>
          <w:rFonts w:asciiTheme="majorHAnsi" w:hAnsiTheme="majorHAnsi" w:cstheme="majorHAnsi"/>
        </w:rPr>
        <w:t>„Egészséges Magyarország „2014</w:t>
      </w:r>
      <w:r w:rsidR="008A3894" w:rsidRPr="00091F9F">
        <w:rPr>
          <w:rFonts w:asciiTheme="majorHAnsi" w:hAnsiTheme="majorHAnsi" w:cstheme="majorHAnsi"/>
        </w:rPr>
        <w:noBreakHyphen/>
      </w:r>
      <w:r w:rsidR="00536C01" w:rsidRPr="00091F9F">
        <w:rPr>
          <w:rFonts w:asciiTheme="majorHAnsi" w:hAnsiTheme="majorHAnsi" w:cstheme="majorHAnsi"/>
        </w:rPr>
        <w:t>2020” című stratégi</w:t>
      </w:r>
      <w:r w:rsidR="008A3894" w:rsidRPr="00091F9F">
        <w:rPr>
          <w:rFonts w:asciiTheme="majorHAnsi" w:hAnsiTheme="majorHAnsi" w:cstheme="majorHAnsi"/>
        </w:rPr>
        <w:t>át</w:t>
      </w:r>
      <w:r w:rsidR="00536C01" w:rsidRPr="00091F9F">
        <w:rPr>
          <w:rFonts w:asciiTheme="majorHAnsi" w:hAnsiTheme="majorHAnsi" w:cstheme="majorHAnsi"/>
        </w:rPr>
        <w:t xml:space="preserve">, </w:t>
      </w:r>
      <w:r w:rsidR="008A3894" w:rsidRPr="00091F9F">
        <w:rPr>
          <w:rFonts w:asciiTheme="majorHAnsi" w:hAnsiTheme="majorHAnsi" w:cstheme="majorHAnsi"/>
        </w:rPr>
        <w:t>a</w:t>
      </w:r>
      <w:r w:rsidR="00536C01" w:rsidRPr="00091F9F">
        <w:rPr>
          <w:rFonts w:asciiTheme="majorHAnsi" w:hAnsiTheme="majorHAnsi" w:cstheme="majorHAnsi"/>
        </w:rPr>
        <w:t>mely az Alaptörvénnyel összhangban meghatározza a fő népegészségügyi célokat és tennivalókat</w:t>
      </w:r>
      <w:r w:rsidR="008A3894" w:rsidRPr="00091F9F">
        <w:rPr>
          <w:rFonts w:asciiTheme="majorHAnsi" w:hAnsiTheme="majorHAnsi" w:cstheme="majorHAnsi"/>
        </w:rPr>
        <w:t>. E</w:t>
      </w:r>
      <w:r w:rsidR="00536C01" w:rsidRPr="00091F9F">
        <w:rPr>
          <w:rFonts w:asciiTheme="majorHAnsi" w:hAnsiTheme="majorHAnsi" w:cstheme="majorHAnsi"/>
        </w:rPr>
        <w:t>gyik kiemelkedően fontos</w:t>
      </w:r>
      <w:r w:rsidR="008A3894" w:rsidRPr="00091F9F">
        <w:rPr>
          <w:rFonts w:asciiTheme="majorHAnsi" w:hAnsiTheme="majorHAnsi" w:cstheme="majorHAnsi"/>
        </w:rPr>
        <w:t xml:space="preserve"> eleme</w:t>
      </w:r>
      <w:r w:rsidRPr="00091F9F">
        <w:rPr>
          <w:rFonts w:asciiTheme="majorHAnsi" w:hAnsiTheme="majorHAnsi" w:cstheme="majorHAnsi"/>
        </w:rPr>
        <w:t xml:space="preserve"> a köznevelésben </w:t>
      </w:r>
      <w:r w:rsidR="00536C01" w:rsidRPr="00091F9F">
        <w:rPr>
          <w:rFonts w:asciiTheme="majorHAnsi" w:hAnsiTheme="majorHAnsi" w:cstheme="majorHAnsi"/>
        </w:rPr>
        <w:t>a teljes körű iskolai egészségfejlesztés.</w:t>
      </w:r>
    </w:p>
    <w:p w14:paraId="2F21A3F6" w14:textId="77777777" w:rsidR="009F2A9A" w:rsidRDefault="00B86FE8" w:rsidP="00B86FE8">
      <w:pPr>
        <w:rPr>
          <w:rFonts w:asciiTheme="majorHAnsi" w:hAnsiTheme="majorHAnsi" w:cstheme="majorHAnsi"/>
        </w:rPr>
      </w:pPr>
      <w:r w:rsidRPr="00091F9F">
        <w:rPr>
          <w:rFonts w:asciiTheme="majorHAnsi" w:hAnsiTheme="majorHAnsi" w:cstheme="majorHAnsi"/>
        </w:rPr>
        <w:t>A</w:t>
      </w:r>
      <w:r w:rsidR="00B627D8" w:rsidRPr="00091F9F">
        <w:rPr>
          <w:rFonts w:asciiTheme="majorHAnsi" w:hAnsiTheme="majorHAnsi" w:cstheme="majorHAnsi"/>
        </w:rPr>
        <w:t xml:space="preserve"> tanulói közérzetet nagyban meghatározza az épített környezet állapota</w:t>
      </w:r>
      <w:r w:rsidR="00215F6F" w:rsidRPr="00091F9F">
        <w:rPr>
          <w:rFonts w:asciiTheme="majorHAnsi" w:hAnsiTheme="majorHAnsi" w:cstheme="majorHAnsi"/>
        </w:rPr>
        <w:t>, a rendezett épület, a tiszta udvar</w:t>
      </w:r>
      <w:r w:rsidR="00B627D8" w:rsidRPr="00091F9F">
        <w:rPr>
          <w:rFonts w:asciiTheme="majorHAnsi" w:hAnsiTheme="majorHAnsi" w:cstheme="majorHAnsi"/>
        </w:rPr>
        <w:t>.</w:t>
      </w:r>
      <w:r w:rsidR="001C3D8D" w:rsidRPr="00091F9F">
        <w:rPr>
          <w:rFonts w:asciiTheme="majorHAnsi" w:hAnsiTheme="majorHAnsi" w:cstheme="majorHAnsi"/>
        </w:rPr>
        <w:t xml:space="preserve"> </w:t>
      </w:r>
      <w:r w:rsidR="00865AA2" w:rsidRPr="00091F9F">
        <w:rPr>
          <w:rFonts w:asciiTheme="majorHAnsi" w:hAnsiTheme="majorHAnsi" w:cstheme="majorHAnsi"/>
        </w:rPr>
        <w:t>2019 a</w:t>
      </w:r>
      <w:r w:rsidR="001C3D8D" w:rsidRPr="00091F9F">
        <w:rPr>
          <w:rFonts w:asciiTheme="majorHAnsi" w:hAnsiTheme="majorHAnsi" w:cstheme="majorHAnsi"/>
        </w:rPr>
        <w:t xml:space="preserve"> </w:t>
      </w:r>
      <w:r w:rsidRPr="00091F9F">
        <w:rPr>
          <w:rFonts w:asciiTheme="majorHAnsi" w:hAnsiTheme="majorHAnsi" w:cstheme="majorHAnsi"/>
        </w:rPr>
        <w:t xml:space="preserve">felújítások éve volt, </w:t>
      </w:r>
      <w:r w:rsidR="00B627D8" w:rsidRPr="00091F9F">
        <w:rPr>
          <w:rFonts w:asciiTheme="majorHAnsi" w:hAnsiTheme="majorHAnsi" w:cstheme="majorHAnsi"/>
        </w:rPr>
        <w:t xml:space="preserve">számos </w:t>
      </w:r>
      <w:r w:rsidR="00865AA2" w:rsidRPr="00091F9F">
        <w:rPr>
          <w:rFonts w:asciiTheme="majorHAnsi" w:hAnsiTheme="majorHAnsi" w:cstheme="majorHAnsi"/>
        </w:rPr>
        <w:t xml:space="preserve">köznevelési intézmény </w:t>
      </w:r>
      <w:r w:rsidRPr="00091F9F">
        <w:rPr>
          <w:rFonts w:asciiTheme="majorHAnsi" w:hAnsiTheme="majorHAnsi" w:cstheme="majorHAnsi"/>
        </w:rPr>
        <w:t>felújítás</w:t>
      </w:r>
      <w:r w:rsidR="00865AA2" w:rsidRPr="00091F9F">
        <w:rPr>
          <w:rFonts w:asciiTheme="majorHAnsi" w:hAnsiTheme="majorHAnsi" w:cstheme="majorHAnsi"/>
        </w:rPr>
        <w:t>a</w:t>
      </w:r>
      <w:r w:rsidRPr="00091F9F">
        <w:rPr>
          <w:rFonts w:asciiTheme="majorHAnsi" w:hAnsiTheme="majorHAnsi" w:cstheme="majorHAnsi"/>
        </w:rPr>
        <w:t xml:space="preserve"> zajlott, ami </w:t>
      </w:r>
      <w:r w:rsidR="002934E1" w:rsidRPr="00091F9F">
        <w:rPr>
          <w:rFonts w:asciiTheme="majorHAnsi" w:hAnsiTheme="majorHAnsi" w:cstheme="majorHAnsi"/>
        </w:rPr>
        <w:t>minőségi</w:t>
      </w:r>
      <w:r w:rsidRPr="00091F9F">
        <w:rPr>
          <w:rFonts w:asciiTheme="majorHAnsi" w:hAnsiTheme="majorHAnsi" w:cstheme="majorHAnsi"/>
        </w:rPr>
        <w:t xml:space="preserve"> előrelépést jelentett szám</w:t>
      </w:r>
      <w:r w:rsidR="00865AA2" w:rsidRPr="00091F9F">
        <w:rPr>
          <w:rFonts w:asciiTheme="majorHAnsi" w:hAnsiTheme="majorHAnsi" w:cstheme="majorHAnsi"/>
        </w:rPr>
        <w:t>uk</w:t>
      </w:r>
      <w:r w:rsidRPr="00091F9F">
        <w:rPr>
          <w:rFonts w:asciiTheme="majorHAnsi" w:hAnsiTheme="majorHAnsi" w:cstheme="majorHAnsi"/>
        </w:rPr>
        <w:t>ra</w:t>
      </w:r>
      <w:r w:rsidR="00865AA2" w:rsidRPr="00091F9F">
        <w:rPr>
          <w:rFonts w:asciiTheme="majorHAnsi" w:hAnsiTheme="majorHAnsi" w:cstheme="majorHAnsi"/>
        </w:rPr>
        <w:t>.</w:t>
      </w:r>
      <w:r w:rsidR="001C3D8D" w:rsidRPr="00091F9F">
        <w:rPr>
          <w:rFonts w:asciiTheme="majorHAnsi" w:hAnsiTheme="majorHAnsi" w:cstheme="majorHAnsi"/>
        </w:rPr>
        <w:t xml:space="preserve"> </w:t>
      </w:r>
      <w:r w:rsidR="00865AA2" w:rsidRPr="00091F9F">
        <w:rPr>
          <w:rFonts w:asciiTheme="majorHAnsi" w:hAnsiTheme="majorHAnsi" w:cstheme="majorHAnsi"/>
        </w:rPr>
        <w:t>Ö</w:t>
      </w:r>
      <w:r w:rsidR="00D63746" w:rsidRPr="00091F9F">
        <w:rPr>
          <w:rFonts w:asciiTheme="majorHAnsi" w:hAnsiTheme="majorHAnsi" w:cstheme="majorHAnsi"/>
        </w:rPr>
        <w:t>sszességében</w:t>
      </w:r>
      <w:r w:rsidR="00DF056E" w:rsidRPr="00091F9F">
        <w:rPr>
          <w:rFonts w:asciiTheme="majorHAnsi" w:hAnsiTheme="majorHAnsi" w:cstheme="majorHAnsi"/>
        </w:rPr>
        <w:t xml:space="preserve"> legalább </w:t>
      </w:r>
      <w:r w:rsidRPr="00091F9F">
        <w:rPr>
          <w:rFonts w:asciiTheme="majorHAnsi" w:hAnsiTheme="majorHAnsi" w:cstheme="majorHAnsi"/>
        </w:rPr>
        <w:t xml:space="preserve">800 </w:t>
      </w:r>
      <w:r w:rsidR="008409CC" w:rsidRPr="00091F9F">
        <w:rPr>
          <w:rFonts w:asciiTheme="majorHAnsi" w:hAnsiTheme="majorHAnsi" w:cstheme="majorHAnsi"/>
        </w:rPr>
        <w:t>is</w:t>
      </w:r>
      <w:r w:rsidR="002934E1" w:rsidRPr="00091F9F">
        <w:rPr>
          <w:rFonts w:asciiTheme="majorHAnsi" w:hAnsiTheme="majorHAnsi" w:cstheme="majorHAnsi"/>
        </w:rPr>
        <w:t xml:space="preserve">kolában, oktatási feladatellátási </w:t>
      </w:r>
      <w:r w:rsidRPr="00091F9F">
        <w:rPr>
          <w:rFonts w:asciiTheme="majorHAnsi" w:hAnsiTheme="majorHAnsi" w:cstheme="majorHAnsi"/>
        </w:rPr>
        <w:t xml:space="preserve">helyen </w:t>
      </w:r>
      <w:r w:rsidR="008409CC" w:rsidRPr="00091F9F">
        <w:rPr>
          <w:rFonts w:asciiTheme="majorHAnsi" w:hAnsiTheme="majorHAnsi" w:cstheme="majorHAnsi"/>
        </w:rPr>
        <w:t>zajlott</w:t>
      </w:r>
      <w:r w:rsidR="00D37C90" w:rsidRPr="00091F9F">
        <w:rPr>
          <w:rFonts w:asciiTheme="majorHAnsi" w:hAnsiTheme="majorHAnsi" w:cstheme="majorHAnsi"/>
        </w:rPr>
        <w:t xml:space="preserve"> vagy van </w:t>
      </w:r>
      <w:r w:rsidR="008409CC" w:rsidRPr="00091F9F">
        <w:rPr>
          <w:rFonts w:asciiTheme="majorHAnsi" w:hAnsiTheme="majorHAnsi" w:cstheme="majorHAnsi"/>
        </w:rPr>
        <w:t>folyamatban</w:t>
      </w:r>
      <w:r w:rsidRPr="00091F9F">
        <w:rPr>
          <w:rFonts w:asciiTheme="majorHAnsi" w:hAnsiTheme="majorHAnsi" w:cstheme="majorHAnsi"/>
        </w:rPr>
        <w:t xml:space="preserve"> felújít</w:t>
      </w:r>
      <w:r w:rsidRPr="00DC6C83">
        <w:rPr>
          <w:rFonts w:asciiTheme="majorHAnsi" w:hAnsiTheme="majorHAnsi" w:cstheme="majorHAnsi"/>
        </w:rPr>
        <w:t>ás, bővítés</w:t>
      </w:r>
      <w:r w:rsidR="001C3D8D">
        <w:rPr>
          <w:rFonts w:asciiTheme="majorHAnsi" w:hAnsiTheme="majorHAnsi" w:cstheme="majorHAnsi"/>
        </w:rPr>
        <w:t xml:space="preserve"> </w:t>
      </w:r>
      <w:r w:rsidRPr="00DC6C83">
        <w:rPr>
          <w:rFonts w:asciiTheme="majorHAnsi" w:hAnsiTheme="majorHAnsi" w:cstheme="majorHAnsi"/>
        </w:rPr>
        <w:t xml:space="preserve">összesen 276 milliárd </w:t>
      </w:r>
      <w:proofErr w:type="gramStart"/>
      <w:r w:rsidRPr="00DC6C83">
        <w:rPr>
          <w:rFonts w:asciiTheme="majorHAnsi" w:hAnsiTheme="majorHAnsi" w:cstheme="majorHAnsi"/>
        </w:rPr>
        <w:t>forint</w:t>
      </w:r>
      <w:r w:rsidR="000E4A4A">
        <w:rPr>
          <w:rFonts w:asciiTheme="majorHAnsi" w:hAnsiTheme="majorHAnsi" w:cstheme="majorHAnsi"/>
        </w:rPr>
        <w:t xml:space="preserve"> </w:t>
      </w:r>
      <w:r w:rsidR="008409CC">
        <w:rPr>
          <w:rFonts w:asciiTheme="majorHAnsi" w:hAnsiTheme="majorHAnsi" w:cstheme="majorHAnsi"/>
        </w:rPr>
        <w:t>értékben</w:t>
      </w:r>
      <w:proofErr w:type="gramEnd"/>
      <w:r w:rsidRPr="00DC6C83">
        <w:rPr>
          <w:rFonts w:asciiTheme="majorHAnsi" w:hAnsiTheme="majorHAnsi" w:cstheme="majorHAnsi"/>
        </w:rPr>
        <w:t xml:space="preserve">. A </w:t>
      </w:r>
      <w:r w:rsidR="00982826">
        <w:rPr>
          <w:rFonts w:asciiTheme="majorHAnsi" w:hAnsiTheme="majorHAnsi" w:cstheme="majorHAnsi"/>
        </w:rPr>
        <w:t>gyermekek egészsége</w:t>
      </w:r>
      <w:r w:rsidR="001C3D8D">
        <w:rPr>
          <w:rFonts w:asciiTheme="majorHAnsi" w:hAnsiTheme="majorHAnsi" w:cstheme="majorHAnsi"/>
        </w:rPr>
        <w:t xml:space="preserve"> </w:t>
      </w:r>
      <w:r w:rsidR="00982826">
        <w:rPr>
          <w:rFonts w:asciiTheme="majorHAnsi" w:hAnsiTheme="majorHAnsi" w:cstheme="majorHAnsi"/>
        </w:rPr>
        <w:t>szempontjából is</w:t>
      </w:r>
      <w:r w:rsidR="00F71CF2">
        <w:rPr>
          <w:rFonts w:asciiTheme="majorHAnsi" w:hAnsiTheme="majorHAnsi" w:cstheme="majorHAnsi"/>
        </w:rPr>
        <w:t xml:space="preserve"> kulcsfontosságú </w:t>
      </w:r>
      <w:r w:rsidRPr="00DC6C83">
        <w:rPr>
          <w:rFonts w:asciiTheme="majorHAnsi" w:hAnsiTheme="majorHAnsi" w:cstheme="majorHAnsi"/>
        </w:rPr>
        <w:t xml:space="preserve">testnevelési infrastruktúra fejlesztésére hazánkban komoly figyelmet fordít a Kormány, többek </w:t>
      </w:r>
      <w:r w:rsidRPr="00B627D8">
        <w:rPr>
          <w:rFonts w:asciiTheme="majorHAnsi" w:hAnsiTheme="majorHAnsi" w:cstheme="majorHAnsi"/>
        </w:rPr>
        <w:t>között a Nemzeti Köznevelési Infrastruktúra Fejlesztési Program keretében, amelynek fol</w:t>
      </w:r>
      <w:r w:rsidRPr="00DC6C83">
        <w:rPr>
          <w:rFonts w:asciiTheme="majorHAnsi" w:hAnsiTheme="majorHAnsi" w:cstheme="majorHAnsi"/>
        </w:rPr>
        <w:t xml:space="preserve">ytatását </w:t>
      </w:r>
      <w:r w:rsidR="008409CC">
        <w:rPr>
          <w:rFonts w:asciiTheme="majorHAnsi" w:hAnsiTheme="majorHAnsi" w:cstheme="majorHAnsi"/>
        </w:rPr>
        <w:t>fontosnak</w:t>
      </w:r>
      <w:r w:rsidR="001C3D8D">
        <w:rPr>
          <w:rFonts w:asciiTheme="majorHAnsi" w:hAnsiTheme="majorHAnsi" w:cstheme="majorHAnsi"/>
        </w:rPr>
        <w:t xml:space="preserve"> </w:t>
      </w:r>
      <w:r w:rsidRPr="00DC6C83">
        <w:rPr>
          <w:rFonts w:asciiTheme="majorHAnsi" w:hAnsiTheme="majorHAnsi" w:cstheme="majorHAnsi"/>
        </w:rPr>
        <w:t xml:space="preserve">ítéljük. </w:t>
      </w:r>
      <w:r w:rsidRPr="00DF056E">
        <w:rPr>
          <w:rFonts w:asciiTheme="majorHAnsi" w:hAnsiTheme="majorHAnsi" w:cstheme="majorHAnsi"/>
        </w:rPr>
        <w:t xml:space="preserve">A </w:t>
      </w:r>
      <w:r w:rsidRPr="00AD6641">
        <w:rPr>
          <w:rFonts w:asciiTheme="majorHAnsi" w:hAnsiTheme="majorHAnsi" w:cstheme="majorHAnsi"/>
        </w:rPr>
        <w:t>program</w:t>
      </w:r>
      <w:r w:rsidR="0062338F">
        <w:rPr>
          <w:rFonts w:asciiTheme="majorHAnsi" w:hAnsiTheme="majorHAnsi" w:cstheme="majorHAnsi"/>
        </w:rPr>
        <w:t>ban jelenleg</w:t>
      </w:r>
      <w:r w:rsidR="00216BE5">
        <w:rPr>
          <w:rFonts w:asciiTheme="majorHAnsi" w:hAnsiTheme="majorHAnsi" w:cstheme="majorHAnsi"/>
        </w:rPr>
        <w:t xml:space="preserve"> </w:t>
      </w:r>
      <w:r w:rsidRPr="00AD6641">
        <w:rPr>
          <w:rFonts w:asciiTheme="majorHAnsi" w:hAnsiTheme="majorHAnsi" w:cstheme="majorHAnsi"/>
        </w:rPr>
        <w:t>158 projekt</w:t>
      </w:r>
      <w:r w:rsidR="0062338F">
        <w:rPr>
          <w:rFonts w:asciiTheme="majorHAnsi" w:hAnsiTheme="majorHAnsi" w:cstheme="majorHAnsi"/>
        </w:rPr>
        <w:t xml:space="preserve"> van folyamatban</w:t>
      </w:r>
      <w:r w:rsidRPr="00DF056E">
        <w:rPr>
          <w:rFonts w:asciiTheme="majorHAnsi" w:hAnsiTheme="majorHAnsi" w:cstheme="majorHAnsi"/>
        </w:rPr>
        <w:t xml:space="preserve">, </w:t>
      </w:r>
      <w:r w:rsidR="00216BE5">
        <w:rPr>
          <w:rFonts w:asciiTheme="majorHAnsi" w:hAnsiTheme="majorHAnsi" w:cstheme="majorHAnsi"/>
        </w:rPr>
        <w:t>és kormányzati szándék szerint további</w:t>
      </w:r>
      <w:r w:rsidRPr="00DC6C83">
        <w:rPr>
          <w:rFonts w:asciiTheme="majorHAnsi" w:hAnsiTheme="majorHAnsi" w:cstheme="majorHAnsi"/>
        </w:rPr>
        <w:t xml:space="preserve"> tornaterem </w:t>
      </w:r>
      <w:r w:rsidR="00216BE5">
        <w:rPr>
          <w:rFonts w:asciiTheme="majorHAnsi" w:hAnsiTheme="majorHAnsi" w:cstheme="majorHAnsi"/>
        </w:rPr>
        <w:t>építéseket tervezünk</w:t>
      </w:r>
      <w:r w:rsidRPr="00DC6C83">
        <w:rPr>
          <w:rFonts w:asciiTheme="majorHAnsi" w:hAnsiTheme="majorHAnsi" w:cstheme="majorHAnsi"/>
        </w:rPr>
        <w:t xml:space="preserve">. A Modern Városok Programban mintegy </w:t>
      </w:r>
      <w:r w:rsidR="00D63746">
        <w:rPr>
          <w:rFonts w:asciiTheme="majorHAnsi" w:hAnsiTheme="majorHAnsi" w:cstheme="majorHAnsi"/>
        </w:rPr>
        <w:t>50 milliárd</w:t>
      </w:r>
      <w:r w:rsidR="001C3D8D">
        <w:rPr>
          <w:rFonts w:asciiTheme="majorHAnsi" w:hAnsiTheme="majorHAnsi" w:cstheme="majorHAnsi"/>
        </w:rPr>
        <w:t xml:space="preserve"> </w:t>
      </w:r>
      <w:r w:rsidRPr="00DC6C83">
        <w:rPr>
          <w:rFonts w:asciiTheme="majorHAnsi" w:hAnsiTheme="majorHAnsi" w:cstheme="majorHAnsi"/>
        </w:rPr>
        <w:t xml:space="preserve">forintból zajlanak köznevelési fejlesztések, </w:t>
      </w:r>
      <w:r w:rsidR="002723B8">
        <w:rPr>
          <w:rFonts w:asciiTheme="majorHAnsi" w:hAnsiTheme="majorHAnsi" w:cstheme="majorHAnsi"/>
        </w:rPr>
        <w:t xml:space="preserve">és jelentős nagyságrendet képviselnek </w:t>
      </w:r>
      <w:r w:rsidRPr="00DC6C83">
        <w:rPr>
          <w:rFonts w:asciiTheme="majorHAnsi" w:hAnsiTheme="majorHAnsi" w:cstheme="majorHAnsi"/>
        </w:rPr>
        <w:t xml:space="preserve">a Terület- </w:t>
      </w:r>
      <w:r w:rsidR="00B627D8">
        <w:rPr>
          <w:rFonts w:asciiTheme="majorHAnsi" w:hAnsiTheme="majorHAnsi" w:cstheme="majorHAnsi"/>
        </w:rPr>
        <w:t xml:space="preserve">és </w:t>
      </w:r>
      <w:r w:rsidRPr="00DC6C83">
        <w:rPr>
          <w:rFonts w:asciiTheme="majorHAnsi" w:hAnsiTheme="majorHAnsi" w:cstheme="majorHAnsi"/>
        </w:rPr>
        <w:t>Településfejlesztési Operatív Program</w:t>
      </w:r>
      <w:r w:rsidR="001C3D8D">
        <w:rPr>
          <w:rFonts w:asciiTheme="majorHAnsi" w:hAnsiTheme="majorHAnsi" w:cstheme="majorHAnsi"/>
        </w:rPr>
        <w:t xml:space="preserve"> </w:t>
      </w:r>
      <w:r w:rsidR="009F2A9A">
        <w:rPr>
          <w:rFonts w:asciiTheme="majorHAnsi" w:hAnsiTheme="majorHAnsi" w:cstheme="majorHAnsi"/>
        </w:rPr>
        <w:t>óvodafejlesztéssel</w:t>
      </w:r>
      <w:r w:rsidR="00602204" w:rsidRPr="00DC6C83">
        <w:rPr>
          <w:rFonts w:asciiTheme="majorHAnsi" w:hAnsiTheme="majorHAnsi" w:cstheme="majorHAnsi"/>
        </w:rPr>
        <w:t xml:space="preserve"> kapcsolatos </w:t>
      </w:r>
      <w:r w:rsidR="002934E1">
        <w:rPr>
          <w:rFonts w:asciiTheme="majorHAnsi" w:hAnsiTheme="majorHAnsi" w:cstheme="majorHAnsi"/>
        </w:rPr>
        <w:t xml:space="preserve">infrastrukturális </w:t>
      </w:r>
      <w:r w:rsidR="009F2A9A">
        <w:rPr>
          <w:rFonts w:asciiTheme="majorHAnsi" w:hAnsiTheme="majorHAnsi" w:cstheme="majorHAnsi"/>
        </w:rPr>
        <w:t>beruházásai, valamint az önkormányzati tulajdonú épületek energetikai korszerűsítésének keretében az alap- és középfokú oktatási infrastruktúra (iskolaépületek, kollégiumok, tornatermek, tanműhelyek stb.) energiahatékonysági fejlesztése és megújuló energia-felhasználásra történő átállítása is</w:t>
      </w:r>
      <w:r w:rsidRPr="00DC6C83">
        <w:rPr>
          <w:rFonts w:asciiTheme="majorHAnsi" w:hAnsiTheme="majorHAnsi" w:cstheme="majorHAnsi"/>
        </w:rPr>
        <w:t xml:space="preserve">. </w:t>
      </w:r>
    </w:p>
    <w:p w14:paraId="7F6ADB6A" w14:textId="389BD3AF"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mindennapos testnevelés </w:t>
      </w:r>
      <w:r w:rsidR="00602204">
        <w:rPr>
          <w:rFonts w:asciiTheme="majorHAnsi" w:hAnsiTheme="majorHAnsi" w:cstheme="majorHAnsi"/>
        </w:rPr>
        <w:t>feltételeinek</w:t>
      </w:r>
      <w:r w:rsidR="001C3D8D">
        <w:rPr>
          <w:rFonts w:asciiTheme="majorHAnsi" w:hAnsiTheme="majorHAnsi" w:cstheme="majorHAnsi"/>
        </w:rPr>
        <w:t xml:space="preserve"> </w:t>
      </w:r>
      <w:r w:rsidRPr="00DC6C83">
        <w:rPr>
          <w:rFonts w:asciiTheme="majorHAnsi" w:hAnsiTheme="majorHAnsi" w:cstheme="majorHAnsi"/>
        </w:rPr>
        <w:t>bővítése</w:t>
      </w:r>
      <w:r w:rsidR="00602204">
        <w:rPr>
          <w:rFonts w:asciiTheme="majorHAnsi" w:hAnsiTheme="majorHAnsi" w:cstheme="majorHAnsi"/>
        </w:rPr>
        <w:t>, javítása</w:t>
      </w:r>
      <w:r w:rsidRPr="00DC6C83">
        <w:rPr>
          <w:rFonts w:asciiTheme="majorHAnsi" w:hAnsiTheme="majorHAnsi" w:cstheme="majorHAnsi"/>
        </w:rPr>
        <w:t xml:space="preserve"> 2013 óta folyamatos</w:t>
      </w:r>
      <w:r w:rsidR="0062338F">
        <w:rPr>
          <w:rFonts w:asciiTheme="majorHAnsi" w:hAnsiTheme="majorHAnsi" w:cstheme="majorHAnsi"/>
        </w:rPr>
        <w:t>an zajlik</w:t>
      </w:r>
      <w:r w:rsidRPr="00DC6C83">
        <w:rPr>
          <w:rFonts w:asciiTheme="majorHAnsi" w:hAnsiTheme="majorHAnsi" w:cstheme="majorHAnsi"/>
        </w:rPr>
        <w:t xml:space="preserve">, azonban több intézménynél a megvalósítás feltételei még hiányoznak, ezek az iskolák </w:t>
      </w:r>
      <w:r w:rsidR="00C5216E">
        <w:rPr>
          <w:rFonts w:asciiTheme="majorHAnsi" w:hAnsiTheme="majorHAnsi" w:cstheme="majorHAnsi"/>
        </w:rPr>
        <w:t xml:space="preserve">különböző megoldásokat alkalmaznak (pl. </w:t>
      </w:r>
      <w:r w:rsidRPr="00DC6C83">
        <w:rPr>
          <w:rFonts w:asciiTheme="majorHAnsi" w:hAnsiTheme="majorHAnsi" w:cstheme="majorHAnsi"/>
        </w:rPr>
        <w:t>jellemzően bérleményekben tartják a testnevelésórákat</w:t>
      </w:r>
      <w:r w:rsidR="00C5216E">
        <w:rPr>
          <w:rFonts w:asciiTheme="majorHAnsi" w:hAnsiTheme="majorHAnsi" w:cstheme="majorHAnsi"/>
        </w:rPr>
        <w:t>)</w:t>
      </w:r>
      <w:r w:rsidRPr="00DC6C83">
        <w:rPr>
          <w:rFonts w:asciiTheme="majorHAnsi" w:hAnsiTheme="majorHAnsi" w:cstheme="majorHAnsi"/>
        </w:rPr>
        <w:t xml:space="preserve">, de természetesen az a cél, hogy mindenhol legyen megfelelő </w:t>
      </w:r>
      <w:r w:rsidR="00C5216E">
        <w:rPr>
          <w:rFonts w:asciiTheme="majorHAnsi" w:hAnsiTheme="majorHAnsi" w:cstheme="majorHAnsi"/>
        </w:rPr>
        <w:t>infrastruktúra</w:t>
      </w:r>
      <w:r w:rsidRPr="00DC6C83">
        <w:rPr>
          <w:rFonts w:asciiTheme="majorHAnsi" w:hAnsiTheme="majorHAnsi" w:cstheme="majorHAnsi"/>
        </w:rPr>
        <w:t xml:space="preserve">. A kerettanterv része az úszásoktatás, azonban ennek a mozgásformának az oktatása csupán a megfelelő infrastrukturális háttér mellett lehetséges. A tanuszodák fejlesztése ezért folyamatos annak érdekében, hogy még ebben a kormányzati ciklusban </w:t>
      </w:r>
      <w:r w:rsidRPr="00DC6C83">
        <w:rPr>
          <w:rFonts w:asciiTheme="majorHAnsi" w:hAnsiTheme="majorHAnsi" w:cstheme="majorHAnsi"/>
        </w:rPr>
        <w:lastRenderedPageBreak/>
        <w:t>teljes legyen az ország területének lefedettsége</w:t>
      </w:r>
      <w:r w:rsidR="00DF056E">
        <w:rPr>
          <w:rFonts w:asciiTheme="majorHAnsi" w:hAnsiTheme="majorHAnsi" w:cstheme="majorHAnsi"/>
        </w:rPr>
        <w:t xml:space="preserve"> az úszásoktatás minél racionálisabb megszervezése érdekében</w:t>
      </w:r>
      <w:r w:rsidR="003A38E6">
        <w:rPr>
          <w:rFonts w:asciiTheme="majorHAnsi" w:hAnsiTheme="majorHAnsi" w:cstheme="majorHAnsi"/>
        </w:rPr>
        <w:t>, és minden óvoda, iskola elérhető közelségében legyen uszoda</w:t>
      </w:r>
      <w:r w:rsidRPr="00DC6C83">
        <w:rPr>
          <w:rFonts w:asciiTheme="majorHAnsi" w:hAnsiTheme="majorHAnsi" w:cstheme="majorHAnsi"/>
        </w:rPr>
        <w:t xml:space="preserve">. </w:t>
      </w:r>
    </w:p>
    <w:p w14:paraId="41706160" w14:textId="6FD07CB6" w:rsidR="00215F6F" w:rsidRDefault="00215F6F" w:rsidP="00B86FE8">
      <w:pPr>
        <w:rPr>
          <w:rFonts w:asciiTheme="majorHAnsi" w:hAnsiTheme="majorHAnsi" w:cstheme="majorHAnsi"/>
        </w:rPr>
      </w:pPr>
      <w:r>
        <w:rPr>
          <w:rFonts w:asciiTheme="majorHAnsi" w:hAnsiTheme="majorHAnsi" w:cstheme="majorHAnsi"/>
        </w:rPr>
        <w:t xml:space="preserve">A tanulók </w:t>
      </w:r>
      <w:r w:rsidR="00865AA2">
        <w:rPr>
          <w:rFonts w:asciiTheme="majorHAnsi" w:hAnsiTheme="majorHAnsi" w:cstheme="majorHAnsi"/>
        </w:rPr>
        <w:t>testi, lelki és értelmi egészségének fejlesztése</w:t>
      </w:r>
      <w:r w:rsidR="0062338F">
        <w:rPr>
          <w:rFonts w:asciiTheme="majorHAnsi" w:hAnsiTheme="majorHAnsi" w:cstheme="majorHAnsi"/>
        </w:rPr>
        <w:t xml:space="preserve">kor </w:t>
      </w:r>
      <w:r>
        <w:rPr>
          <w:rFonts w:asciiTheme="majorHAnsi" w:hAnsiTheme="majorHAnsi" w:cstheme="majorHAnsi"/>
        </w:rPr>
        <w:t>kiemel</w:t>
      </w:r>
      <w:r w:rsidR="0062338F">
        <w:rPr>
          <w:rFonts w:asciiTheme="majorHAnsi" w:hAnsiTheme="majorHAnsi" w:cstheme="majorHAnsi"/>
        </w:rPr>
        <w:t>ten figyelmet kell fordítani a környezettudatos nevelésre</w:t>
      </w:r>
      <w:r>
        <w:rPr>
          <w:rFonts w:asciiTheme="majorHAnsi" w:hAnsiTheme="majorHAnsi" w:cstheme="majorHAnsi"/>
        </w:rPr>
        <w:t xml:space="preserve"> a fenntarthatóságra, a környezet védelmére. Világunk erőforrásai végesek, a Kárpát-medence élő- és állatvilágának megőrzése </w:t>
      </w:r>
      <w:r w:rsidR="00533C3B">
        <w:rPr>
          <w:rFonts w:asciiTheme="majorHAnsi" w:hAnsiTheme="majorHAnsi" w:cstheme="majorHAnsi"/>
        </w:rPr>
        <w:t>mindannyiunk</w:t>
      </w:r>
      <w:r>
        <w:rPr>
          <w:rFonts w:asciiTheme="majorHAnsi" w:hAnsiTheme="majorHAnsi" w:cstheme="majorHAnsi"/>
        </w:rPr>
        <w:t xml:space="preserve"> felelőssége.</w:t>
      </w:r>
      <w:r w:rsidR="00380937">
        <w:rPr>
          <w:rFonts w:asciiTheme="majorHAnsi" w:hAnsiTheme="majorHAnsi" w:cstheme="majorHAnsi"/>
        </w:rPr>
        <w:t xml:space="preserve"> Folytatni kell az </w:t>
      </w:r>
      <w:proofErr w:type="spellStart"/>
      <w:r>
        <w:rPr>
          <w:rFonts w:asciiTheme="majorHAnsi" w:hAnsiTheme="majorHAnsi" w:cstheme="majorHAnsi"/>
        </w:rPr>
        <w:t>Ökoiskola</w:t>
      </w:r>
      <w:proofErr w:type="spellEnd"/>
      <w:r>
        <w:rPr>
          <w:rFonts w:asciiTheme="majorHAnsi" w:hAnsiTheme="majorHAnsi" w:cstheme="majorHAnsi"/>
        </w:rPr>
        <w:t xml:space="preserve"> programokat</w:t>
      </w:r>
      <w:r w:rsidR="00380937">
        <w:rPr>
          <w:rFonts w:asciiTheme="majorHAnsi" w:hAnsiTheme="majorHAnsi" w:cstheme="majorHAnsi"/>
        </w:rPr>
        <w:t xml:space="preserve"> (melynek „előszobája” a Zöld Óvoda program)</w:t>
      </w:r>
      <w:r>
        <w:rPr>
          <w:rFonts w:asciiTheme="majorHAnsi" w:hAnsiTheme="majorHAnsi" w:cstheme="majorHAnsi"/>
        </w:rPr>
        <w:t xml:space="preserve">, a tanórai és tanórán kívüli tevékenységek körében pedig helyet </w:t>
      </w:r>
      <w:r w:rsidR="00091F9F">
        <w:rPr>
          <w:rFonts w:asciiTheme="majorHAnsi" w:hAnsiTheme="majorHAnsi" w:cstheme="majorHAnsi"/>
        </w:rPr>
        <w:t>kell, hogy</w:t>
      </w:r>
      <w:r>
        <w:rPr>
          <w:rFonts w:asciiTheme="majorHAnsi" w:hAnsiTheme="majorHAnsi" w:cstheme="majorHAnsi"/>
        </w:rPr>
        <w:t xml:space="preserve"> kapjanak </w:t>
      </w:r>
      <w:r w:rsidR="000A7388">
        <w:rPr>
          <w:rFonts w:asciiTheme="majorHAnsi" w:hAnsiTheme="majorHAnsi" w:cstheme="majorHAnsi"/>
        </w:rPr>
        <w:t>a tanuló</w:t>
      </w:r>
      <w:r w:rsidR="0062338F">
        <w:rPr>
          <w:rFonts w:asciiTheme="majorHAnsi" w:hAnsiTheme="majorHAnsi" w:cstheme="majorHAnsi"/>
        </w:rPr>
        <w:t>k</w:t>
      </w:r>
      <w:r w:rsidR="00914895">
        <w:rPr>
          <w:rFonts w:asciiTheme="majorHAnsi" w:hAnsiTheme="majorHAnsi" w:cstheme="majorHAnsi"/>
        </w:rPr>
        <w:t xml:space="preserve"> </w:t>
      </w:r>
      <w:r w:rsidR="0062338F">
        <w:rPr>
          <w:rFonts w:asciiTheme="majorHAnsi" w:hAnsiTheme="majorHAnsi" w:cstheme="majorHAnsi"/>
        </w:rPr>
        <w:t xml:space="preserve">környezettudatos </w:t>
      </w:r>
      <w:r w:rsidR="000A7388">
        <w:rPr>
          <w:rFonts w:asciiTheme="majorHAnsi" w:hAnsiTheme="majorHAnsi" w:cstheme="majorHAnsi"/>
        </w:rPr>
        <w:t>szemlélet</w:t>
      </w:r>
      <w:r w:rsidR="0062338F">
        <w:rPr>
          <w:rFonts w:asciiTheme="majorHAnsi" w:hAnsiTheme="majorHAnsi" w:cstheme="majorHAnsi"/>
        </w:rPr>
        <w:t>ének</w:t>
      </w:r>
      <w:r w:rsidR="000A7388">
        <w:rPr>
          <w:rFonts w:asciiTheme="majorHAnsi" w:hAnsiTheme="majorHAnsi" w:cstheme="majorHAnsi"/>
        </w:rPr>
        <w:t xml:space="preserve"> formálására</w:t>
      </w:r>
      <w:r w:rsidR="00091F9F">
        <w:rPr>
          <w:rFonts w:asciiTheme="majorHAnsi" w:hAnsiTheme="majorHAnsi" w:cstheme="majorHAnsi"/>
        </w:rPr>
        <w:t xml:space="preserve"> alkalmas tartalmi elemek</w:t>
      </w:r>
      <w:r>
        <w:rPr>
          <w:rFonts w:asciiTheme="majorHAnsi" w:hAnsiTheme="majorHAnsi" w:cstheme="majorHAnsi"/>
        </w:rPr>
        <w:t xml:space="preserve">. Ezt a célt szolgálta az a döntés is, </w:t>
      </w:r>
      <w:r w:rsidR="0062338F">
        <w:rPr>
          <w:rFonts w:asciiTheme="majorHAnsi" w:hAnsiTheme="majorHAnsi" w:cstheme="majorHAnsi"/>
        </w:rPr>
        <w:t>a</w:t>
      </w:r>
      <w:r>
        <w:rPr>
          <w:rFonts w:asciiTheme="majorHAnsi" w:hAnsiTheme="majorHAnsi" w:cstheme="majorHAnsi"/>
        </w:rPr>
        <w:t xml:space="preserve">mely a minősítési eljárások folyamán a pedagógus kompetenciák körébe sorolta a fenntarthatóságra nevelés kérdéskörét. </w:t>
      </w:r>
      <w:r w:rsidR="00BF3702">
        <w:rPr>
          <w:rFonts w:asciiTheme="majorHAnsi" w:hAnsiTheme="majorHAnsi" w:cstheme="majorHAnsi"/>
        </w:rPr>
        <w:t>Emellett az</w:t>
      </w:r>
      <w:r w:rsidR="00BF3702" w:rsidRPr="00367572">
        <w:rPr>
          <w:rFonts w:asciiTheme="majorHAnsi" w:hAnsiTheme="majorHAnsi" w:cstheme="majorHAnsi"/>
        </w:rPr>
        <w:t xml:space="preserve"> infrastrukturális fejlesztéseknél szem előtt tartjuk a zöldenergia hasznosítását és a</w:t>
      </w:r>
      <w:r w:rsidR="00BF3702">
        <w:rPr>
          <w:rFonts w:asciiTheme="majorHAnsi" w:hAnsiTheme="majorHAnsi" w:cstheme="majorHAnsi"/>
        </w:rPr>
        <w:t xml:space="preserve"> környezetbarát technológiákat, valamint a</w:t>
      </w:r>
      <w:r w:rsidR="00BF3702" w:rsidRPr="00367572">
        <w:rPr>
          <w:rFonts w:asciiTheme="majorHAnsi" w:hAnsiTheme="majorHAnsi" w:cstheme="majorHAnsi"/>
        </w:rPr>
        <w:t xml:space="preserve"> témahetek tematikájában </w:t>
      </w:r>
      <w:r w:rsidR="00BF3702">
        <w:rPr>
          <w:rFonts w:asciiTheme="majorHAnsi" w:hAnsiTheme="majorHAnsi" w:cstheme="majorHAnsi"/>
        </w:rPr>
        <w:t xml:space="preserve">is </w:t>
      </w:r>
      <w:r w:rsidR="00BF3702" w:rsidRPr="00367572">
        <w:rPr>
          <w:rFonts w:asciiTheme="majorHAnsi" w:hAnsiTheme="majorHAnsi" w:cstheme="majorHAnsi"/>
        </w:rPr>
        <w:t>szerepeltetjük a klímapolitikai kérdéseket.</w:t>
      </w:r>
    </w:p>
    <w:p w14:paraId="0F54810F" w14:textId="77777777" w:rsidR="00387236" w:rsidRPr="00AC3F4D" w:rsidRDefault="00387236" w:rsidP="00387236">
      <w:pPr>
        <w:rPr>
          <w:rFonts w:asciiTheme="majorHAnsi" w:hAnsiTheme="majorHAnsi" w:cstheme="majorHAnsi"/>
        </w:rPr>
      </w:pPr>
      <w:r w:rsidRPr="00AC3F4D">
        <w:rPr>
          <w:rFonts w:asciiTheme="majorHAnsi" w:hAnsiTheme="majorHAnsi" w:cstheme="majorHAnsi"/>
        </w:rPr>
        <w:t>Az oktatás rendszerében kiemelt feladat a művészetoktatás,</w:t>
      </w:r>
      <w:r w:rsidR="00AC3F4D" w:rsidRPr="00AC3F4D">
        <w:rPr>
          <w:rFonts w:asciiTheme="majorHAnsi" w:hAnsiTheme="majorHAnsi" w:cstheme="majorHAnsi"/>
        </w:rPr>
        <w:t xml:space="preserve"> azon belül a művészeti nevelés. A</w:t>
      </w:r>
      <w:r w:rsidRPr="00AC3F4D">
        <w:rPr>
          <w:rFonts w:asciiTheme="majorHAnsi" w:hAnsiTheme="majorHAnsi" w:cstheme="majorHAnsi"/>
        </w:rPr>
        <w:t>z igényes művészeti tevékenység megszerettetése, el</w:t>
      </w:r>
      <w:r w:rsidR="00AC3F4D" w:rsidRPr="00AC3F4D">
        <w:rPr>
          <w:rFonts w:asciiTheme="majorHAnsi" w:hAnsiTheme="majorHAnsi" w:cstheme="majorHAnsi"/>
        </w:rPr>
        <w:t>sajátítása egész életre szólóan,</w:t>
      </w:r>
      <w:r w:rsidRPr="00AC3F4D">
        <w:rPr>
          <w:rFonts w:asciiTheme="majorHAnsi" w:hAnsiTheme="majorHAnsi" w:cstheme="majorHAnsi"/>
        </w:rPr>
        <w:t xml:space="preserve"> élményt adó értéket jelent a tanulók kreativitásának, problémamegoldó képességének komplex fejlesztésén keresztül. Az alapfokú művészetoktatásban négy művészeti ágban jellemzően 230-240.000 tanuló vesz részt, képző- és iparművészeti, szín- és bábművészeti, zene, és táncművészeti ágon.</w:t>
      </w:r>
    </w:p>
    <w:p w14:paraId="37E7E67B" w14:textId="77777777" w:rsidR="00387236" w:rsidRPr="00AC3F4D" w:rsidRDefault="00387236" w:rsidP="00387236">
      <w:pPr>
        <w:rPr>
          <w:rFonts w:asciiTheme="majorHAnsi" w:hAnsiTheme="majorHAnsi" w:cstheme="majorHAnsi"/>
        </w:rPr>
      </w:pPr>
      <w:r w:rsidRPr="00AC3F4D">
        <w:rPr>
          <w:rFonts w:asciiTheme="majorHAnsi" w:hAnsiTheme="majorHAnsi" w:cstheme="majorHAnsi"/>
        </w:rPr>
        <w:t>A művészeti nevelés lehetőséget ad az egyetemes kultúra, az európai műveltség, a nemzeti hagyományok, értékek átadására, az értékmegőrzés formáinak kialakítására, a személyiség harmonikus fejlődésére. Hozzájárul a kitartó munkához, a jobb terhelhetőséghez az esztétikai-művészeti tudatossághoz, kifejezőkészség alakulásához, a központi idegrendszerre ható pozitív hatásán keresztül az érzelmi intelligencia fejlődéséhez, a koncentráció javításához. Kiemelt szerepe van a hátrányos helyzetből induló tanulók esélyegyenlőségének elősegítéséhez, hidat képezve az iskolai elvárások felé, ezáltal segítve társadalmi helyzetükből való kiemelkedésüket.</w:t>
      </w:r>
    </w:p>
    <w:p w14:paraId="5681C1D7" w14:textId="77777777" w:rsidR="00387236" w:rsidRPr="00387236" w:rsidRDefault="00387236" w:rsidP="00387236">
      <w:pPr>
        <w:rPr>
          <w:rFonts w:asciiTheme="majorHAnsi" w:hAnsiTheme="majorHAnsi" w:cstheme="majorHAnsi"/>
        </w:rPr>
      </w:pPr>
      <w:r w:rsidRPr="00AC3F4D">
        <w:rPr>
          <w:rFonts w:asciiTheme="majorHAnsi" w:hAnsiTheme="majorHAnsi" w:cstheme="majorHAnsi"/>
        </w:rPr>
        <w:t>A művészetoktatás az oktatási rendszer eredményességét azzal segíti, hogy a tanulók a művészetekben elért eredményességük transzfer hatásaként a hagyományos tantárgyakban is eredményesebben teljesítenek. A művészetek kapcsán olyan kompetenciáik javulnak, amelyek a munkaerő-piaci elhelyezkedésüket könnyítik majd meg (kreativitás, problémamegoldó képesség, együttműködés, szabályok követése, finom motoros mozgások, figyelem orientáció, feladatkövetés, érzelmi intelligencia, digitális kompetenciák stb.).</w:t>
      </w:r>
    </w:p>
    <w:p w14:paraId="4AF6480C" w14:textId="61E3B03C" w:rsidR="00F57A01" w:rsidRDefault="00B86FE8" w:rsidP="00B86FE8">
      <w:pPr>
        <w:rPr>
          <w:rFonts w:asciiTheme="majorHAnsi" w:hAnsiTheme="majorHAnsi" w:cstheme="majorHAnsi"/>
        </w:rPr>
      </w:pPr>
      <w:r w:rsidRPr="00DC6C83">
        <w:rPr>
          <w:rFonts w:asciiTheme="majorHAnsi" w:hAnsiTheme="majorHAnsi" w:cstheme="majorHAnsi"/>
        </w:rPr>
        <w:t xml:space="preserve">2019-ben </w:t>
      </w:r>
      <w:r w:rsidRPr="00B627D8">
        <w:rPr>
          <w:rFonts w:asciiTheme="majorHAnsi" w:hAnsiTheme="majorHAnsi" w:cstheme="majorHAnsi"/>
        </w:rPr>
        <w:t xml:space="preserve">elindult a Lázár Ervin </w:t>
      </w:r>
      <w:r w:rsidR="00602204">
        <w:rPr>
          <w:rFonts w:asciiTheme="majorHAnsi" w:hAnsiTheme="majorHAnsi" w:cstheme="majorHAnsi"/>
        </w:rPr>
        <w:t>P</w:t>
      </w:r>
      <w:r w:rsidRPr="00B627D8">
        <w:rPr>
          <w:rFonts w:asciiTheme="majorHAnsi" w:hAnsiTheme="majorHAnsi" w:cstheme="majorHAnsi"/>
        </w:rPr>
        <w:t>rogram, amely</w:t>
      </w:r>
      <w:r w:rsidRPr="00DC6C83">
        <w:rPr>
          <w:rFonts w:asciiTheme="majorHAnsi" w:hAnsiTheme="majorHAnsi" w:cstheme="majorHAnsi"/>
        </w:rPr>
        <w:t xml:space="preserve"> minden általános iskolás számára </w:t>
      </w:r>
      <w:r w:rsidR="0062338F">
        <w:rPr>
          <w:rFonts w:asciiTheme="majorHAnsi" w:hAnsiTheme="majorHAnsi" w:cstheme="majorHAnsi"/>
        </w:rPr>
        <w:t>lehetővé teszi</w:t>
      </w:r>
      <w:r w:rsidRPr="00DC6C83">
        <w:rPr>
          <w:rFonts w:asciiTheme="majorHAnsi" w:hAnsiTheme="majorHAnsi" w:cstheme="majorHAnsi"/>
        </w:rPr>
        <w:t xml:space="preserve">, hogy </w:t>
      </w:r>
      <w:r w:rsidR="008B46EE">
        <w:rPr>
          <w:rFonts w:asciiTheme="majorHAnsi" w:hAnsiTheme="majorHAnsi" w:cstheme="majorHAnsi"/>
        </w:rPr>
        <w:t xml:space="preserve">részt </w:t>
      </w:r>
      <w:r w:rsidR="00152195">
        <w:rPr>
          <w:rFonts w:asciiTheme="majorHAnsi" w:hAnsiTheme="majorHAnsi" w:cstheme="majorHAnsi"/>
        </w:rPr>
        <w:t xml:space="preserve">vehessen </w:t>
      </w:r>
      <w:r w:rsidR="00152195" w:rsidRPr="00DC6C83">
        <w:rPr>
          <w:rFonts w:asciiTheme="majorHAnsi" w:hAnsiTheme="majorHAnsi" w:cstheme="majorHAnsi"/>
        </w:rPr>
        <w:t>kulturális</w:t>
      </w:r>
      <w:r w:rsidRPr="00DC6C83">
        <w:rPr>
          <w:rFonts w:asciiTheme="majorHAnsi" w:hAnsiTheme="majorHAnsi" w:cstheme="majorHAnsi"/>
        </w:rPr>
        <w:t xml:space="preserve"> </w:t>
      </w:r>
      <w:r w:rsidR="008B46EE">
        <w:rPr>
          <w:rFonts w:asciiTheme="majorHAnsi" w:hAnsiTheme="majorHAnsi" w:cstheme="majorHAnsi"/>
        </w:rPr>
        <w:t>programokon</w:t>
      </w:r>
      <w:r w:rsidRPr="00DC6C83">
        <w:rPr>
          <w:rFonts w:asciiTheme="majorHAnsi" w:hAnsiTheme="majorHAnsi" w:cstheme="majorHAnsi"/>
        </w:rPr>
        <w:t>. Kulcsfontosságú, hogy a diákok</w:t>
      </w:r>
      <w:r w:rsidR="008B46EE">
        <w:rPr>
          <w:rFonts w:asciiTheme="majorHAnsi" w:hAnsiTheme="majorHAnsi" w:cstheme="majorHAnsi"/>
        </w:rPr>
        <w:t>ban</w:t>
      </w:r>
      <w:r w:rsidRPr="00DC6C83">
        <w:rPr>
          <w:rFonts w:asciiTheme="majorHAnsi" w:hAnsiTheme="majorHAnsi" w:cstheme="majorHAnsi"/>
        </w:rPr>
        <w:t xml:space="preserve"> a tanórákon kívül</w:t>
      </w:r>
      <w:r w:rsidR="008B46EE">
        <w:rPr>
          <w:rFonts w:asciiTheme="majorHAnsi" w:hAnsiTheme="majorHAnsi" w:cstheme="majorHAnsi"/>
        </w:rPr>
        <w:t xml:space="preserve"> is, könnyedebb keretek között, művészeti alkotások segítségével</w:t>
      </w:r>
      <w:r w:rsidR="002934E1">
        <w:rPr>
          <w:rFonts w:asciiTheme="majorHAnsi" w:hAnsiTheme="majorHAnsi" w:cstheme="majorHAnsi"/>
        </w:rPr>
        <w:t xml:space="preserve">, </w:t>
      </w:r>
      <w:r w:rsidR="002934E1" w:rsidRPr="002934E1">
        <w:rPr>
          <w:rFonts w:asciiTheme="majorHAnsi" w:hAnsiTheme="majorHAnsi" w:cstheme="majorHAnsi"/>
        </w:rPr>
        <w:t>audiovizuális fejlesztés</w:t>
      </w:r>
      <w:r w:rsidR="002934E1">
        <w:rPr>
          <w:rFonts w:asciiTheme="majorHAnsi" w:hAnsiTheme="majorHAnsi" w:cstheme="majorHAnsi"/>
        </w:rPr>
        <w:t>sel,</w:t>
      </w:r>
      <w:r w:rsidR="002934E1" w:rsidRPr="002934E1">
        <w:rPr>
          <w:rFonts w:asciiTheme="majorHAnsi" w:hAnsiTheme="majorHAnsi" w:cstheme="majorHAnsi"/>
        </w:rPr>
        <w:t xml:space="preserve"> érzelmi nevelés</w:t>
      </w:r>
      <w:r w:rsidR="002934E1">
        <w:rPr>
          <w:rFonts w:asciiTheme="majorHAnsi" w:hAnsiTheme="majorHAnsi" w:cstheme="majorHAnsi"/>
        </w:rPr>
        <w:t>sel</w:t>
      </w:r>
      <w:r w:rsidR="002934E1" w:rsidRPr="002934E1">
        <w:rPr>
          <w:rFonts w:asciiTheme="majorHAnsi" w:hAnsiTheme="majorHAnsi" w:cstheme="majorHAnsi"/>
        </w:rPr>
        <w:t xml:space="preserve">, </w:t>
      </w:r>
      <w:r w:rsidR="002934E1">
        <w:rPr>
          <w:rFonts w:asciiTheme="majorHAnsi" w:hAnsiTheme="majorHAnsi" w:cstheme="majorHAnsi"/>
        </w:rPr>
        <w:t xml:space="preserve">az </w:t>
      </w:r>
      <w:r w:rsidR="002934E1" w:rsidRPr="002934E1">
        <w:rPr>
          <w:rFonts w:asciiTheme="majorHAnsi" w:hAnsiTheme="majorHAnsi" w:cstheme="majorHAnsi"/>
        </w:rPr>
        <w:t>értékek iránti fogékonyság, a ne</w:t>
      </w:r>
      <w:r w:rsidR="002934E1">
        <w:rPr>
          <w:rFonts w:asciiTheme="majorHAnsi" w:hAnsiTheme="majorHAnsi" w:cstheme="majorHAnsi"/>
        </w:rPr>
        <w:t xml:space="preserve">mzeti </w:t>
      </w:r>
      <w:r w:rsidR="002934E1">
        <w:rPr>
          <w:rFonts w:asciiTheme="majorHAnsi" w:hAnsiTheme="majorHAnsi" w:cstheme="majorHAnsi"/>
        </w:rPr>
        <w:lastRenderedPageBreak/>
        <w:t>identitástudat fejlesztésével</w:t>
      </w:r>
      <w:r w:rsidR="008B46EE">
        <w:rPr>
          <w:rFonts w:asciiTheme="majorHAnsi" w:hAnsiTheme="majorHAnsi" w:cstheme="majorHAnsi"/>
        </w:rPr>
        <w:t xml:space="preserve"> alakuljon és erősödjön a haza </w:t>
      </w:r>
      <w:r w:rsidR="002934E1">
        <w:rPr>
          <w:rFonts w:asciiTheme="majorHAnsi" w:hAnsiTheme="majorHAnsi" w:cstheme="majorHAnsi"/>
        </w:rPr>
        <w:t>szeretete</w:t>
      </w:r>
      <w:r w:rsidR="008B46EE">
        <w:rPr>
          <w:rFonts w:asciiTheme="majorHAnsi" w:hAnsiTheme="majorHAnsi" w:cstheme="majorHAnsi"/>
        </w:rPr>
        <w:t xml:space="preserve">. </w:t>
      </w:r>
      <w:r w:rsidRPr="00DC6C83">
        <w:rPr>
          <w:rFonts w:asciiTheme="majorHAnsi" w:hAnsiTheme="majorHAnsi" w:cstheme="majorHAnsi"/>
        </w:rPr>
        <w:t>Ezt a célt szolgálja a Lázár Ervin Program, amely az összes általános iskolás tanuló</w:t>
      </w:r>
      <w:r w:rsidR="006B4B0E">
        <w:rPr>
          <w:rFonts w:asciiTheme="majorHAnsi" w:hAnsiTheme="majorHAnsi" w:cstheme="majorHAnsi"/>
        </w:rPr>
        <w:t>nak</w:t>
      </w:r>
      <w:r w:rsidRPr="00DC6C83">
        <w:rPr>
          <w:rFonts w:asciiTheme="majorHAnsi" w:hAnsiTheme="majorHAnsi" w:cstheme="majorHAnsi"/>
        </w:rPr>
        <w:t xml:space="preserve"> lehetővé teszi, hogy évente egyszer eljuthasson </w:t>
      </w:r>
      <w:r w:rsidR="00351B48">
        <w:rPr>
          <w:rFonts w:asciiTheme="majorHAnsi" w:hAnsiTheme="majorHAnsi" w:cstheme="majorHAnsi"/>
        </w:rPr>
        <w:t xml:space="preserve">klasszikus és népzenei koncertekre, </w:t>
      </w:r>
      <w:r w:rsidRPr="00DC6C83">
        <w:rPr>
          <w:rFonts w:asciiTheme="majorHAnsi" w:hAnsiTheme="majorHAnsi" w:cstheme="majorHAnsi"/>
        </w:rPr>
        <w:t xml:space="preserve">színházi, tánc- vagy cirkuszi előadásra, </w:t>
      </w:r>
      <w:r w:rsidR="00351B48">
        <w:rPr>
          <w:rFonts w:asciiTheme="majorHAnsi" w:hAnsiTheme="majorHAnsi" w:cstheme="majorHAnsi"/>
        </w:rPr>
        <w:t xml:space="preserve">országos jelentőségű múzeumba, </w:t>
      </w:r>
      <w:r w:rsidR="006B4B0E">
        <w:rPr>
          <w:rFonts w:asciiTheme="majorHAnsi" w:hAnsiTheme="majorHAnsi" w:cstheme="majorHAnsi"/>
        </w:rPr>
        <w:t>kiállítóhelyekre,</w:t>
      </w:r>
      <w:r w:rsidR="001C3D8D">
        <w:rPr>
          <w:rFonts w:asciiTheme="majorHAnsi" w:hAnsiTheme="majorHAnsi" w:cstheme="majorHAnsi"/>
        </w:rPr>
        <w:t xml:space="preserve"> </w:t>
      </w:r>
      <w:r w:rsidRPr="00DC6C83">
        <w:rPr>
          <w:rFonts w:asciiTheme="majorHAnsi" w:hAnsiTheme="majorHAnsi" w:cstheme="majorHAnsi"/>
        </w:rPr>
        <w:t xml:space="preserve">őshonos állatok bemutatóhelyeire. Minderre a </w:t>
      </w:r>
      <w:r w:rsidR="00170AB1">
        <w:rPr>
          <w:rFonts w:asciiTheme="majorHAnsi" w:hAnsiTheme="majorHAnsi" w:cstheme="majorHAnsi"/>
        </w:rPr>
        <w:t>K</w:t>
      </w:r>
      <w:r w:rsidR="00170AB1" w:rsidRPr="00DC6C83">
        <w:rPr>
          <w:rFonts w:asciiTheme="majorHAnsi" w:hAnsiTheme="majorHAnsi" w:cstheme="majorHAnsi"/>
        </w:rPr>
        <w:t xml:space="preserve">ormány </w:t>
      </w:r>
      <w:r w:rsidRPr="00DC6C83">
        <w:rPr>
          <w:rFonts w:asciiTheme="majorHAnsi" w:hAnsiTheme="majorHAnsi" w:cstheme="majorHAnsi"/>
        </w:rPr>
        <w:t>2019-ben 6 milliárd, 2020-t</w:t>
      </w:r>
      <w:r w:rsidR="001C3D8D">
        <w:rPr>
          <w:rFonts w:asciiTheme="majorHAnsi" w:hAnsiTheme="majorHAnsi" w:cstheme="majorHAnsi"/>
        </w:rPr>
        <w:t>ól évente 5,</w:t>
      </w:r>
      <w:proofErr w:type="spellStart"/>
      <w:r w:rsidR="001C3D8D">
        <w:rPr>
          <w:rFonts w:asciiTheme="majorHAnsi" w:hAnsiTheme="majorHAnsi" w:cstheme="majorHAnsi"/>
        </w:rPr>
        <w:t>5</w:t>
      </w:r>
      <w:proofErr w:type="spellEnd"/>
      <w:r w:rsidR="001C3D8D">
        <w:rPr>
          <w:rFonts w:asciiTheme="majorHAnsi" w:hAnsiTheme="majorHAnsi" w:cstheme="majorHAnsi"/>
        </w:rPr>
        <w:t xml:space="preserve"> milliárd forintot</w:t>
      </w:r>
      <w:r w:rsidR="001D70E2">
        <w:rPr>
          <w:rFonts w:asciiTheme="majorHAnsi" w:hAnsiTheme="majorHAnsi" w:cstheme="majorHAnsi"/>
        </w:rPr>
        <w:t xml:space="preserve"> biztosít</w:t>
      </w:r>
      <w:r w:rsidRPr="00DC6C83">
        <w:rPr>
          <w:rFonts w:asciiTheme="majorHAnsi" w:hAnsiTheme="majorHAnsi" w:cstheme="majorHAnsi"/>
        </w:rPr>
        <w:t>. A program nemcsak az állami fenntartású oktatási intézményeket érinti, hanem az összes 1-8. osztályos diákot, több mint 74</w:t>
      </w:r>
      <w:r w:rsidR="006573C5">
        <w:rPr>
          <w:rFonts w:asciiTheme="majorHAnsi" w:hAnsiTheme="majorHAnsi" w:cstheme="majorHAnsi"/>
        </w:rPr>
        <w:t>6,5</w:t>
      </w:r>
      <w:r w:rsidRPr="00DC6C83">
        <w:rPr>
          <w:rFonts w:asciiTheme="majorHAnsi" w:hAnsiTheme="majorHAnsi" w:cstheme="majorHAnsi"/>
        </w:rPr>
        <w:t xml:space="preserve"> ezer </w:t>
      </w:r>
      <w:r w:rsidR="006573C5">
        <w:rPr>
          <w:rFonts w:asciiTheme="majorHAnsi" w:hAnsiTheme="majorHAnsi" w:cstheme="majorHAnsi"/>
        </w:rPr>
        <w:t>tanulót</w:t>
      </w:r>
      <w:r w:rsidRPr="00DC6C83">
        <w:rPr>
          <w:rFonts w:asciiTheme="majorHAnsi" w:hAnsiTheme="majorHAnsi" w:cstheme="majorHAnsi"/>
        </w:rPr>
        <w:t xml:space="preserve">. </w:t>
      </w:r>
    </w:p>
    <w:p w14:paraId="6536C043" w14:textId="77777777"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Az iskola nem csupán tantárgyak halmaza, annál sokkal több, ahogy az elindult program is a </w:t>
      </w:r>
      <w:r w:rsidR="00602204" w:rsidRPr="00DC6C83">
        <w:rPr>
          <w:rFonts w:asciiTheme="majorHAnsi" w:hAnsiTheme="majorHAnsi" w:cstheme="majorHAnsi"/>
        </w:rPr>
        <w:t>kultúra</w:t>
      </w:r>
      <w:r w:rsidR="00602204">
        <w:rPr>
          <w:rFonts w:asciiTheme="majorHAnsi" w:hAnsiTheme="majorHAnsi" w:cstheme="majorHAnsi"/>
        </w:rPr>
        <w:t xml:space="preserve"> iránti fogékonyságra </w:t>
      </w:r>
      <w:r w:rsidRPr="00DC6C83">
        <w:rPr>
          <w:rFonts w:asciiTheme="majorHAnsi" w:hAnsiTheme="majorHAnsi" w:cstheme="majorHAnsi"/>
        </w:rPr>
        <w:t xml:space="preserve">nevelést, a tanórai kereteken túlmutató </w:t>
      </w:r>
      <w:r w:rsidR="00E1141D">
        <w:rPr>
          <w:rFonts w:asciiTheme="majorHAnsi" w:hAnsiTheme="majorHAnsi" w:cstheme="majorHAnsi"/>
        </w:rPr>
        <w:t>értékátadást</w:t>
      </w:r>
      <w:r w:rsidRPr="00DC6C83">
        <w:rPr>
          <w:rFonts w:asciiTheme="majorHAnsi" w:hAnsiTheme="majorHAnsi" w:cstheme="majorHAnsi"/>
        </w:rPr>
        <w:t xml:space="preserve"> szolgálja.</w:t>
      </w:r>
      <w:r w:rsidR="000A7388">
        <w:rPr>
          <w:rFonts w:asciiTheme="majorHAnsi" w:hAnsiTheme="majorHAnsi" w:cstheme="majorHAnsi"/>
        </w:rPr>
        <w:t xml:space="preserve"> A magyar kultúra felfedezésén is túlmutató jelentőségű, a nemzeti identitás megerősítését, a hazafias elkötelezettség kialakítását és a közösség építését szolgálja például a Határtalanul! Program, vagy éppen a Nemzeti Összetartozás Napja. </w:t>
      </w:r>
    </w:p>
    <w:p w14:paraId="007AA442" w14:textId="6357636B" w:rsidR="00B86FE8" w:rsidRDefault="00B86FE8" w:rsidP="00B86FE8">
      <w:r w:rsidRPr="00DC6C83">
        <w:rPr>
          <w:rFonts w:asciiTheme="majorHAnsi" w:hAnsiTheme="majorHAnsi" w:cstheme="majorHAnsi"/>
        </w:rPr>
        <w:t>A</w:t>
      </w:r>
      <w:r w:rsidR="00B627D8">
        <w:rPr>
          <w:rFonts w:asciiTheme="majorHAnsi" w:hAnsiTheme="majorHAnsi" w:cstheme="majorHAnsi"/>
        </w:rPr>
        <w:t xml:space="preserve"> mérési eredmények kapcsán már említett</w:t>
      </w:r>
      <w:r w:rsidRPr="00DC6C83">
        <w:rPr>
          <w:rFonts w:asciiTheme="majorHAnsi" w:hAnsiTheme="majorHAnsi" w:cstheme="majorHAnsi"/>
        </w:rPr>
        <w:t xml:space="preserve"> iskolai kortárs</w:t>
      </w:r>
      <w:r w:rsidR="006B4B0E">
        <w:rPr>
          <w:rFonts w:asciiTheme="majorHAnsi" w:hAnsiTheme="majorHAnsi" w:cstheme="majorHAnsi"/>
        </w:rPr>
        <w:t>-</w:t>
      </w:r>
      <w:r w:rsidR="00602204">
        <w:rPr>
          <w:rFonts w:asciiTheme="majorHAnsi" w:hAnsiTheme="majorHAnsi" w:cstheme="majorHAnsi"/>
        </w:rPr>
        <w:t>bántalmazás</w:t>
      </w:r>
      <w:r w:rsidR="001C3D8D">
        <w:rPr>
          <w:rFonts w:asciiTheme="majorHAnsi" w:hAnsiTheme="majorHAnsi" w:cstheme="majorHAnsi"/>
        </w:rPr>
        <w:t xml:space="preserve"> </w:t>
      </w:r>
      <w:r w:rsidRPr="00DC6C83">
        <w:rPr>
          <w:rFonts w:asciiTheme="majorHAnsi" w:hAnsiTheme="majorHAnsi" w:cstheme="majorHAnsi"/>
        </w:rPr>
        <w:t>egy komoly probléma</w:t>
      </w:r>
      <w:r w:rsidR="00DF056E">
        <w:rPr>
          <w:rFonts w:asciiTheme="majorHAnsi" w:hAnsiTheme="majorHAnsi" w:cstheme="majorHAnsi"/>
        </w:rPr>
        <w:t>,</w:t>
      </w:r>
      <w:r w:rsidRPr="00DC6C83">
        <w:rPr>
          <w:rFonts w:asciiTheme="majorHAnsi" w:hAnsiTheme="majorHAnsi" w:cstheme="majorHAnsi"/>
        </w:rPr>
        <w:t xml:space="preserve"> az elmúlt évtizedek során már kiderült, hogy az iskolai zaklatás hatása hosszú távú</w:t>
      </w:r>
      <w:r w:rsidR="00AB741C">
        <w:rPr>
          <w:rFonts w:asciiTheme="majorHAnsi" w:hAnsiTheme="majorHAnsi" w:cstheme="majorHAnsi"/>
        </w:rPr>
        <w:t>, és jelentősen rontja a</w:t>
      </w:r>
      <w:r w:rsidR="00602204">
        <w:rPr>
          <w:rFonts w:asciiTheme="majorHAnsi" w:hAnsiTheme="majorHAnsi" w:cstheme="majorHAnsi"/>
        </w:rPr>
        <w:t xml:space="preserve">z </w:t>
      </w:r>
      <w:r w:rsidR="006B4B0E">
        <w:rPr>
          <w:rFonts w:asciiTheme="majorHAnsi" w:hAnsiTheme="majorHAnsi" w:cstheme="majorHAnsi"/>
        </w:rPr>
        <w:t>érintett</w:t>
      </w:r>
      <w:r w:rsidR="00602204">
        <w:rPr>
          <w:rFonts w:asciiTheme="majorHAnsi" w:hAnsiTheme="majorHAnsi" w:cstheme="majorHAnsi"/>
        </w:rPr>
        <w:t xml:space="preserve"> életminőség</w:t>
      </w:r>
      <w:r w:rsidR="006B4B0E">
        <w:rPr>
          <w:rFonts w:asciiTheme="majorHAnsi" w:hAnsiTheme="majorHAnsi" w:cstheme="majorHAnsi"/>
        </w:rPr>
        <w:t>é</w:t>
      </w:r>
      <w:r w:rsidR="00602204">
        <w:rPr>
          <w:rFonts w:asciiTheme="majorHAnsi" w:hAnsiTheme="majorHAnsi" w:cstheme="majorHAnsi"/>
        </w:rPr>
        <w:t>t,</w:t>
      </w:r>
      <w:r w:rsidR="00834C6B">
        <w:rPr>
          <w:rFonts w:asciiTheme="majorHAnsi" w:hAnsiTheme="majorHAnsi" w:cstheme="majorHAnsi"/>
        </w:rPr>
        <w:t xml:space="preserve"> eredményességét</w:t>
      </w:r>
      <w:r w:rsidR="006B4B0E">
        <w:rPr>
          <w:rFonts w:asciiTheme="majorHAnsi" w:hAnsiTheme="majorHAnsi" w:cstheme="majorHAnsi"/>
        </w:rPr>
        <w:t xml:space="preserve"> </w:t>
      </w:r>
      <w:r w:rsidR="00602204">
        <w:rPr>
          <w:rFonts w:asciiTheme="majorHAnsi" w:hAnsiTheme="majorHAnsi" w:cstheme="majorHAnsi"/>
        </w:rPr>
        <w:t>a</w:t>
      </w:r>
      <w:r w:rsidR="001C3D8D">
        <w:rPr>
          <w:rFonts w:asciiTheme="majorHAnsi" w:hAnsiTheme="majorHAnsi" w:cstheme="majorHAnsi"/>
        </w:rPr>
        <w:t xml:space="preserve"> </w:t>
      </w:r>
      <w:r w:rsidR="00533C3B">
        <w:rPr>
          <w:rFonts w:asciiTheme="majorHAnsi" w:hAnsiTheme="majorHAnsi" w:cstheme="majorHAnsi"/>
        </w:rPr>
        <w:t>tanulás</w:t>
      </w:r>
      <w:r w:rsidR="006B4B0E">
        <w:rPr>
          <w:rFonts w:asciiTheme="majorHAnsi" w:hAnsiTheme="majorHAnsi" w:cstheme="majorHAnsi"/>
        </w:rPr>
        <w:t>ban</w:t>
      </w:r>
      <w:r w:rsidRPr="00DC6C83">
        <w:rPr>
          <w:rFonts w:asciiTheme="majorHAnsi" w:hAnsiTheme="majorHAnsi" w:cstheme="majorHAnsi"/>
        </w:rPr>
        <w:t>. A</w:t>
      </w:r>
      <w:r w:rsidR="001D70E2">
        <w:rPr>
          <w:rFonts w:asciiTheme="majorHAnsi" w:hAnsiTheme="majorHAnsi" w:cstheme="majorHAnsi"/>
        </w:rPr>
        <w:t>mint arra már utaltunk, a</w:t>
      </w:r>
      <w:r w:rsidRPr="00DC6C83">
        <w:rPr>
          <w:rFonts w:asciiTheme="majorHAnsi" w:hAnsiTheme="majorHAnsi" w:cstheme="majorHAnsi"/>
        </w:rPr>
        <w:t xml:space="preserve"> </w:t>
      </w:r>
      <w:proofErr w:type="spellStart"/>
      <w:r w:rsidRPr="00DC6C83">
        <w:rPr>
          <w:rFonts w:asciiTheme="majorHAnsi" w:hAnsiTheme="majorHAnsi" w:cstheme="majorHAnsi"/>
        </w:rPr>
        <w:t>PISA-felmérés</w:t>
      </w:r>
      <w:proofErr w:type="spellEnd"/>
      <w:r w:rsidRPr="00DC6C83">
        <w:rPr>
          <w:rFonts w:asciiTheme="majorHAnsi" w:hAnsiTheme="majorHAnsi" w:cstheme="majorHAnsi"/>
        </w:rPr>
        <w:t xml:space="preserve"> szerint Magyarországon a 15 éves diákok 23 százaléka jelezte, hogy az előző hónapban legalább egyszer zaklatták a társai</w:t>
      </w:r>
      <w:r w:rsidR="006B4B0E">
        <w:rPr>
          <w:rFonts w:asciiTheme="majorHAnsi" w:hAnsiTheme="majorHAnsi" w:cstheme="majorHAnsi"/>
        </w:rPr>
        <w:t>. Az eredmény</w:t>
      </w:r>
      <w:r w:rsidRPr="00DC6C83">
        <w:rPr>
          <w:rFonts w:asciiTheme="majorHAnsi" w:hAnsiTheme="majorHAnsi" w:cstheme="majorHAnsi"/>
        </w:rPr>
        <w:t xml:space="preserve"> pontosan megegyezik az OECD átlaggal, ugyanakkor </w:t>
      </w:r>
      <w:r w:rsidR="00AB741C">
        <w:rPr>
          <w:rFonts w:asciiTheme="majorHAnsi" w:hAnsiTheme="majorHAnsi" w:cstheme="majorHAnsi"/>
        </w:rPr>
        <w:t xml:space="preserve">ez is </w:t>
      </w:r>
      <w:r w:rsidRPr="00DC6C83">
        <w:rPr>
          <w:rFonts w:asciiTheme="majorHAnsi" w:hAnsiTheme="majorHAnsi" w:cstheme="majorHAnsi"/>
        </w:rPr>
        <w:t>fokozott odafigyelést és szakpolitikai kezelést igényel. Fontos különbséget tenni a „hagyományos” iskolai bántalmazás és az</w:t>
      </w:r>
      <w:r w:rsidR="00CB08DD">
        <w:rPr>
          <w:rFonts w:asciiTheme="majorHAnsi" w:hAnsiTheme="majorHAnsi" w:cstheme="majorHAnsi"/>
        </w:rPr>
        <w:t xml:space="preserve"> iskolás korosztályt ma már inkább érintő</w:t>
      </w:r>
      <w:r w:rsidRPr="00DC6C83">
        <w:rPr>
          <w:rFonts w:asciiTheme="majorHAnsi" w:hAnsiTheme="majorHAnsi" w:cstheme="majorHAnsi"/>
        </w:rPr>
        <w:t xml:space="preserve"> online bántalmazás (</w:t>
      </w:r>
      <w:proofErr w:type="spellStart"/>
      <w:r w:rsidRPr="00DC6C83">
        <w:rPr>
          <w:rFonts w:asciiTheme="majorHAnsi" w:hAnsiTheme="majorHAnsi" w:cstheme="majorHAnsi"/>
        </w:rPr>
        <w:t>cyber-bullying</w:t>
      </w:r>
      <w:proofErr w:type="spellEnd"/>
      <w:r w:rsidRPr="00DC6C83">
        <w:rPr>
          <w:rFonts w:asciiTheme="majorHAnsi" w:hAnsiTheme="majorHAnsi" w:cstheme="majorHAnsi"/>
        </w:rPr>
        <w:t xml:space="preserve">) között. </w:t>
      </w:r>
      <w:r w:rsidR="00CB08DD" w:rsidRPr="002723B8">
        <w:rPr>
          <w:rFonts w:asciiTheme="majorHAnsi" w:hAnsiTheme="majorHAnsi" w:cstheme="majorHAnsi"/>
        </w:rPr>
        <w:t>Ugyan</w:t>
      </w:r>
      <w:r w:rsidR="00CB08DD">
        <w:rPr>
          <w:rFonts w:asciiTheme="majorHAnsi" w:hAnsiTheme="majorHAnsi" w:cstheme="majorHAnsi"/>
        </w:rPr>
        <w:t>a</w:t>
      </w:r>
      <w:r w:rsidR="00CB08DD" w:rsidRPr="002723B8">
        <w:rPr>
          <w:rFonts w:asciiTheme="majorHAnsi" w:hAnsiTheme="majorHAnsi" w:cstheme="majorHAnsi"/>
        </w:rPr>
        <w:t xml:space="preserve">kkor </w:t>
      </w:r>
      <w:r w:rsidR="00CB08DD">
        <w:rPr>
          <w:rFonts w:asciiTheme="majorHAnsi" w:hAnsiTheme="majorHAnsi" w:cstheme="majorHAnsi"/>
        </w:rPr>
        <w:t xml:space="preserve">az iskolának a bántalmazás és </w:t>
      </w:r>
      <w:r w:rsidR="00834C6B">
        <w:rPr>
          <w:rFonts w:asciiTheme="majorHAnsi" w:hAnsiTheme="majorHAnsi" w:cstheme="majorHAnsi"/>
        </w:rPr>
        <w:t xml:space="preserve">az </w:t>
      </w:r>
      <w:r w:rsidR="00CB08DD">
        <w:rPr>
          <w:rFonts w:asciiTheme="majorHAnsi" w:hAnsiTheme="majorHAnsi" w:cstheme="majorHAnsi"/>
        </w:rPr>
        <w:t xml:space="preserve">agresszió minden megnyilvánulása ellen fel kell lépnie. </w:t>
      </w:r>
      <w:r w:rsidR="006B4B0E">
        <w:rPr>
          <w:rFonts w:asciiTheme="majorHAnsi" w:hAnsiTheme="majorHAnsi" w:cstheme="majorHAnsi"/>
        </w:rPr>
        <w:t>A</w:t>
      </w:r>
      <w:r w:rsidR="00CB08DD">
        <w:rPr>
          <w:rFonts w:asciiTheme="majorHAnsi" w:hAnsiTheme="majorHAnsi" w:cstheme="majorHAnsi"/>
        </w:rPr>
        <w:t xml:space="preserve"> tanároknak és a tanulóknak tudniuk kell, hogy </w:t>
      </w:r>
      <w:r w:rsidR="00CB08DD">
        <w:t>ha valakit bántalmaznak, hogyan lehet megállítani a bántalmazást áldozatként, szemlélőként, szülőként, tanárként, melyek a jó vé</w:t>
      </w:r>
      <w:r w:rsidR="00834C6B">
        <w:t xml:space="preserve">dekezési és </w:t>
      </w:r>
      <w:r w:rsidR="00CB08DD">
        <w:t>védelmi stratégiák</w:t>
      </w:r>
      <w:r w:rsidR="00834C6B">
        <w:t xml:space="preserve"> az egészséges boldog közösségek kialakítás</w:t>
      </w:r>
      <w:r w:rsidR="006B4B0E">
        <w:t>ához</w:t>
      </w:r>
      <w:r w:rsidR="00834C6B">
        <w:t xml:space="preserve"> és megtartás</w:t>
      </w:r>
      <w:r w:rsidR="006B4B0E">
        <w:t>ához</w:t>
      </w:r>
      <w:r w:rsidR="00834C6B">
        <w:t xml:space="preserve">. Az elmúlt években a Digitális Gyermekvédelmi Stratégia egyes intézkedései az online zaklatás mérséklésére, az </w:t>
      </w:r>
      <w:r w:rsidR="00834C6B" w:rsidRPr="002723B8">
        <w:t>Oktatási Hivatal által megtartott ENABLE képzések pedig a gyermekek bántalmazásának eredményes felismerésére, a beavatkozás és</w:t>
      </w:r>
      <w:r w:rsidR="00904565">
        <w:t xml:space="preserve"> </w:t>
      </w:r>
      <w:r w:rsidR="00834C6B" w:rsidRPr="002723B8">
        <w:t>segítségnyújtás módjainak alkalmazására készítik fel a pedagógusokat.</w:t>
      </w:r>
      <w:r w:rsidR="001C3D8D">
        <w:t xml:space="preserve"> </w:t>
      </w:r>
      <w:r w:rsidR="00536C01">
        <w:t>Emellett</w:t>
      </w:r>
      <w:r w:rsidR="00536C01" w:rsidRPr="00536C01">
        <w:t xml:space="preserve"> számos továbbképzés kínálkozik a pedagógus-továbbképzés rendszerében, amelyek az iskolai erőszak kialakulásának megelőzését szolgálják.</w:t>
      </w:r>
      <w:r w:rsidR="001C3D8D">
        <w:t xml:space="preserve"> </w:t>
      </w:r>
      <w:r w:rsidR="00CE271D" w:rsidRPr="00F116DE">
        <w:t xml:space="preserve">A </w:t>
      </w:r>
      <w:r w:rsidR="006B4B0E" w:rsidRPr="00F116DE">
        <w:t xml:space="preserve">tanórai munkában </w:t>
      </w:r>
      <w:r w:rsidR="006B4B0E">
        <w:t>a</w:t>
      </w:r>
      <w:r w:rsidR="00D63A18">
        <w:t xml:space="preserve"> </w:t>
      </w:r>
      <w:r w:rsidR="00CE271D" w:rsidRPr="00F116DE">
        <w:t xml:space="preserve">lelki egészséget elősegítő pedagógiai módszerek alkalmazása </w:t>
      </w:r>
      <w:r w:rsidR="006B4B0E">
        <w:t xml:space="preserve">támogatja </w:t>
      </w:r>
      <w:r w:rsidR="00CE271D" w:rsidRPr="00F116DE">
        <w:t>az agresszió mellett</w:t>
      </w:r>
      <w:r w:rsidR="006B4B0E">
        <w:t>,</w:t>
      </w:r>
      <w:r w:rsidR="00CE271D" w:rsidRPr="00F116DE">
        <w:t xml:space="preserve"> a különböző függőségek általános</w:t>
      </w:r>
      <w:r w:rsidR="008562FE">
        <w:t xml:space="preserve"> </w:t>
      </w:r>
      <w:r w:rsidR="00152195">
        <w:t xml:space="preserve">és </w:t>
      </w:r>
      <w:r w:rsidR="00152195" w:rsidRPr="00F116DE">
        <w:t>e</w:t>
      </w:r>
      <w:r w:rsidR="00152195">
        <w:t>lsődleges</w:t>
      </w:r>
      <w:r w:rsidR="00CE271D" w:rsidRPr="00F116DE">
        <w:t xml:space="preserve"> megelőzését, ezért e </w:t>
      </w:r>
      <w:r w:rsidR="003C1BDD">
        <w:t>módszerek használatát</w:t>
      </w:r>
      <w:r w:rsidR="00D63A18">
        <w:t xml:space="preserve"> </w:t>
      </w:r>
      <w:r w:rsidR="003C1BDD" w:rsidRPr="00F116DE">
        <w:t xml:space="preserve">szükséges </w:t>
      </w:r>
      <w:r w:rsidR="002C2673">
        <w:t>tovább erősíteni, többek között a létező jó gyakorlatokra támaszkodva.</w:t>
      </w:r>
    </w:p>
    <w:p w14:paraId="226E951C" w14:textId="1A9AB92C" w:rsidR="00994E15" w:rsidRDefault="00994E15" w:rsidP="00B86FE8">
      <w:r>
        <w:t>A digitális gyermekvédelem fontosságára a koronavírus járvány is rámutatott. A tudatos médiamagatartás, a köznevelésben érintett korosztályok fokozott védelme az onl</w:t>
      </w:r>
      <w:r w:rsidR="005657F4">
        <w:t>ine térben a jövőben is kiemelt</w:t>
      </w:r>
      <w:r>
        <w:t xml:space="preserve"> cél</w:t>
      </w:r>
      <w:r w:rsidR="005657F4">
        <w:t>unk.</w:t>
      </w:r>
    </w:p>
    <w:p w14:paraId="071ADD13" w14:textId="77777777" w:rsidR="00A02981" w:rsidRDefault="00A02981" w:rsidP="00B86FE8"/>
    <w:p w14:paraId="7BFC2A40" w14:textId="77777777" w:rsidR="00F57A01" w:rsidRPr="00F57A01" w:rsidRDefault="00F57A01" w:rsidP="00B86FE8">
      <w:pPr>
        <w:rPr>
          <w:u w:val="single"/>
        </w:rPr>
      </w:pPr>
      <w:r w:rsidRPr="00F57A01">
        <w:rPr>
          <w:u w:val="single"/>
        </w:rPr>
        <w:lastRenderedPageBreak/>
        <w:t xml:space="preserve">A gyermekek, tanulók összehangolt </w:t>
      </w:r>
      <w:proofErr w:type="spellStart"/>
      <w:r w:rsidRPr="00F57A01">
        <w:rPr>
          <w:u w:val="single"/>
        </w:rPr>
        <w:t>értelmi-lelki-fizikai</w:t>
      </w:r>
      <w:proofErr w:type="spellEnd"/>
      <w:r w:rsidRPr="00F57A01">
        <w:rPr>
          <w:u w:val="single"/>
        </w:rPr>
        <w:t xml:space="preserve"> fejlesztéséhez kapcsolódó legfontosabb fejlesztési irányok:</w:t>
      </w:r>
    </w:p>
    <w:p w14:paraId="13EDD4E3" w14:textId="77777777" w:rsidR="00F57A01" w:rsidRPr="009B2A4A" w:rsidRDefault="00F57A01" w:rsidP="00FE07E1">
      <w:pPr>
        <w:pStyle w:val="Listaszerbekezds"/>
        <w:numPr>
          <w:ilvl w:val="0"/>
          <w:numId w:val="10"/>
        </w:numPr>
      </w:pPr>
      <w:r>
        <w:rPr>
          <w:rFonts w:asciiTheme="majorHAnsi" w:hAnsiTheme="majorHAnsi" w:cstheme="majorHAnsi"/>
        </w:rPr>
        <w:t>a nemzeti identitás megerősítésére, a hazafias elkötelezettség kialakítására irányuló programok folytatása;</w:t>
      </w:r>
    </w:p>
    <w:p w14:paraId="260CBC3E" w14:textId="44414263" w:rsidR="00533140" w:rsidRPr="0059087D" w:rsidRDefault="00533140" w:rsidP="00FE07E1">
      <w:pPr>
        <w:pStyle w:val="Listaszerbekezds"/>
        <w:numPr>
          <w:ilvl w:val="0"/>
          <w:numId w:val="10"/>
        </w:numPr>
      </w:pPr>
      <w:r>
        <w:rPr>
          <w:rFonts w:asciiTheme="majorHAnsi" w:hAnsiTheme="majorHAnsi" w:cstheme="majorHAnsi"/>
        </w:rPr>
        <w:t>a családi életre nevelés hangsúlyos</w:t>
      </w:r>
      <w:r w:rsidR="004F1797">
        <w:rPr>
          <w:rFonts w:asciiTheme="majorHAnsi" w:hAnsiTheme="majorHAnsi" w:cstheme="majorHAnsi"/>
        </w:rPr>
        <w:t>abb megjelenése a köznevelésben;</w:t>
      </w:r>
    </w:p>
    <w:p w14:paraId="519E5DB4" w14:textId="77777777" w:rsidR="00F57A01" w:rsidRPr="00F57A01" w:rsidRDefault="00F57A01" w:rsidP="00FE07E1">
      <w:pPr>
        <w:pStyle w:val="Listaszerbekezds"/>
        <w:numPr>
          <w:ilvl w:val="0"/>
          <w:numId w:val="10"/>
        </w:numPr>
      </w:pPr>
      <w:r w:rsidRPr="004814EC">
        <w:rPr>
          <w:rFonts w:asciiTheme="majorHAnsi" w:hAnsiTheme="majorHAnsi" w:cstheme="majorHAnsi"/>
        </w:rPr>
        <w:t>a gyermekek, tanulók művészeti nevelésének és fejlesztésének továbbvitele;</w:t>
      </w:r>
    </w:p>
    <w:p w14:paraId="437DB1A9" w14:textId="77777777" w:rsidR="00F57A01" w:rsidRPr="00F57A01" w:rsidRDefault="00F57A01" w:rsidP="00FE07E1">
      <w:pPr>
        <w:pStyle w:val="Listaszerbekezds"/>
        <w:numPr>
          <w:ilvl w:val="0"/>
          <w:numId w:val="10"/>
        </w:numPr>
        <w:rPr>
          <w:rFonts w:asciiTheme="majorHAnsi" w:hAnsiTheme="majorHAnsi" w:cstheme="majorHAnsi"/>
        </w:rPr>
      </w:pPr>
      <w:r>
        <w:rPr>
          <w:rFonts w:asciiTheme="majorHAnsi" w:hAnsiTheme="majorHAnsi" w:cstheme="majorHAnsi"/>
        </w:rPr>
        <w:t>egészségfejlesztést célzó programok folytatása, az eredmények rendszeres mérésével és értékelésével;</w:t>
      </w:r>
    </w:p>
    <w:p w14:paraId="4815701E" w14:textId="77777777" w:rsidR="00F57A01" w:rsidRPr="005657F4" w:rsidRDefault="00F57A01" w:rsidP="00FE07E1">
      <w:pPr>
        <w:pStyle w:val="Listaszerbekezds"/>
        <w:numPr>
          <w:ilvl w:val="0"/>
          <w:numId w:val="10"/>
        </w:numPr>
      </w:pPr>
      <w:r>
        <w:rPr>
          <w:rFonts w:asciiTheme="majorHAnsi" w:hAnsiTheme="majorHAnsi" w:cstheme="majorHAnsi"/>
        </w:rPr>
        <w:t xml:space="preserve">fenntarthatóságra nevelés, környezettudatosság (Zöld Óvoda és </w:t>
      </w:r>
      <w:proofErr w:type="spellStart"/>
      <w:r>
        <w:rPr>
          <w:rFonts w:asciiTheme="majorHAnsi" w:hAnsiTheme="majorHAnsi" w:cstheme="majorHAnsi"/>
        </w:rPr>
        <w:t>Ökoiskola</w:t>
      </w:r>
      <w:proofErr w:type="spellEnd"/>
      <w:r>
        <w:rPr>
          <w:rFonts w:asciiTheme="majorHAnsi" w:hAnsiTheme="majorHAnsi" w:cstheme="majorHAnsi"/>
        </w:rPr>
        <w:t xml:space="preserve"> programok stb.) folytatása;</w:t>
      </w:r>
    </w:p>
    <w:p w14:paraId="3CBE9704" w14:textId="4B038370" w:rsidR="005657F4" w:rsidRPr="00994E15" w:rsidRDefault="0041360C" w:rsidP="00FE07E1">
      <w:pPr>
        <w:pStyle w:val="Listaszerbekezds"/>
        <w:numPr>
          <w:ilvl w:val="0"/>
          <w:numId w:val="10"/>
        </w:numPr>
      </w:pPr>
      <w:r>
        <w:rPr>
          <w:rFonts w:asciiTheme="majorHAnsi" w:hAnsiTheme="majorHAnsi" w:cstheme="majorHAnsi"/>
        </w:rPr>
        <w:t xml:space="preserve">digitális gyermekvédelem fejlesztése, </w:t>
      </w:r>
      <w:r w:rsidR="005657F4">
        <w:rPr>
          <w:rFonts w:asciiTheme="majorHAnsi" w:hAnsiTheme="majorHAnsi" w:cstheme="majorHAnsi"/>
        </w:rPr>
        <w:t>tudatos médiahasználatra nevelés;</w:t>
      </w:r>
    </w:p>
    <w:p w14:paraId="797B12ED" w14:textId="0FE31F17" w:rsidR="00F57A01" w:rsidRDefault="00F57A01" w:rsidP="00FE07E1">
      <w:pPr>
        <w:pStyle w:val="Listaszerbekezds"/>
        <w:numPr>
          <w:ilvl w:val="0"/>
          <w:numId w:val="10"/>
        </w:numPr>
      </w:pPr>
      <w:r>
        <w:t>iskolai kortárs</w:t>
      </w:r>
      <w:r w:rsidR="006B4B0E">
        <w:t>-</w:t>
      </w:r>
      <w:r>
        <w:t>bántalmazás, illetve online bántalmazás mérséklésére irányuló programok</w:t>
      </w:r>
      <w:r w:rsidR="00A754A3">
        <w:t xml:space="preserve"> megerősítése.</w:t>
      </w:r>
    </w:p>
    <w:p w14:paraId="0191FABF" w14:textId="77777777" w:rsidR="00BC16EA" w:rsidRPr="00DC6C83" w:rsidRDefault="00BC16EA" w:rsidP="00BC16EA">
      <w:pPr>
        <w:pStyle w:val="Cmsor3"/>
      </w:pPr>
      <w:bookmarkStart w:id="42" w:name="_Toc35596128"/>
      <w:bookmarkStart w:id="43" w:name="_Toc46822705"/>
      <w:r w:rsidRPr="00DC6C83">
        <w:t xml:space="preserve">A </w:t>
      </w:r>
      <w:r w:rsidR="00536C01">
        <w:t>kis</w:t>
      </w:r>
      <w:r w:rsidRPr="00DC6C83">
        <w:t>gyermekkori intézményes nevelés</w:t>
      </w:r>
      <w:r>
        <w:t xml:space="preserve"> továbbfejlesztése</w:t>
      </w:r>
      <w:bookmarkEnd w:id="42"/>
      <w:bookmarkEnd w:id="43"/>
    </w:p>
    <w:p w14:paraId="584D338C" w14:textId="4A0A121C" w:rsidR="00BC16EA" w:rsidRPr="00DC6C83" w:rsidRDefault="00BC16EA" w:rsidP="00BC16EA">
      <w:pPr>
        <w:widowControl w:val="0"/>
        <w:autoSpaceDE w:val="0"/>
        <w:autoSpaceDN w:val="0"/>
        <w:adjustRightInd w:val="0"/>
        <w:spacing w:after="0" w:line="276" w:lineRule="auto"/>
        <w:rPr>
          <w:rFonts w:asciiTheme="majorHAnsi" w:hAnsiTheme="majorHAnsi" w:cstheme="majorHAnsi"/>
        </w:rPr>
      </w:pPr>
      <w:r w:rsidRPr="00DC6C83">
        <w:rPr>
          <w:rFonts w:asciiTheme="majorHAnsi" w:hAnsiTheme="majorHAnsi" w:cstheme="majorHAnsi"/>
        </w:rPr>
        <w:t>A</w:t>
      </w:r>
      <w:r>
        <w:rPr>
          <w:rFonts w:asciiTheme="majorHAnsi" w:hAnsiTheme="majorHAnsi" w:cstheme="majorHAnsi"/>
        </w:rPr>
        <w:t xml:space="preserve"> köznevelés</w:t>
      </w:r>
      <w:r w:rsidRPr="00DC6C83">
        <w:rPr>
          <w:rFonts w:asciiTheme="majorHAnsi" w:hAnsiTheme="majorHAnsi" w:cstheme="majorHAnsi"/>
        </w:rPr>
        <w:t xml:space="preserve"> első szintje, a kisgyermekkori nevelés és gondozás intézményei fontos szerepet játszanak és egyre nagyobb hangsúlyt kapnak a gyermekek jövőbeli lehetőségei szempontjából. A színvonalas óvodai nevelés nagyban hozzájárul a gyermek fejlődéséhez, elősegíti a szülők, a kulturális értékek és hagyományok iránti tisztelet kifejlődését és az anyanyelv megfelelő elsajátítását</w:t>
      </w:r>
      <w:r w:rsidR="001E2F5C">
        <w:rPr>
          <w:rFonts w:asciiTheme="majorHAnsi" w:hAnsiTheme="majorHAnsi" w:cstheme="majorHAnsi"/>
        </w:rPr>
        <w:t>; a s</w:t>
      </w:r>
      <w:r w:rsidR="008562FE">
        <w:rPr>
          <w:rFonts w:asciiTheme="majorHAnsi" w:hAnsiTheme="majorHAnsi" w:cstheme="majorHAnsi"/>
        </w:rPr>
        <w:t>zocializációval h</w:t>
      </w:r>
      <w:r w:rsidRPr="00DC6C83">
        <w:rPr>
          <w:rFonts w:asciiTheme="majorHAnsi" w:hAnsiTheme="majorHAnsi" w:cstheme="majorHAnsi"/>
        </w:rPr>
        <w:t xml:space="preserve">ozzásegíti a gyermeket a társadalomba való </w:t>
      </w:r>
      <w:r w:rsidR="008562FE">
        <w:rPr>
          <w:rFonts w:asciiTheme="majorHAnsi" w:hAnsiTheme="majorHAnsi" w:cstheme="majorHAnsi"/>
        </w:rPr>
        <w:t xml:space="preserve">könnyebb </w:t>
      </w:r>
      <w:r w:rsidRPr="00DC6C83">
        <w:rPr>
          <w:rFonts w:asciiTheme="majorHAnsi" w:hAnsiTheme="majorHAnsi" w:cstheme="majorHAnsi"/>
        </w:rPr>
        <w:t xml:space="preserve">beilleszkedéshez. A kora gyermekkori nevelés és gondozás </w:t>
      </w:r>
      <w:r w:rsidR="002B330B">
        <w:rPr>
          <w:rFonts w:asciiTheme="majorHAnsi" w:hAnsiTheme="majorHAnsi" w:cstheme="majorHAnsi"/>
        </w:rPr>
        <w:t xml:space="preserve">jó </w:t>
      </w:r>
      <w:r w:rsidRPr="00DC6C83">
        <w:rPr>
          <w:rFonts w:asciiTheme="majorHAnsi" w:hAnsiTheme="majorHAnsi" w:cstheme="majorHAnsi"/>
        </w:rPr>
        <w:t>alapokat a</w:t>
      </w:r>
      <w:r w:rsidR="002B330B">
        <w:rPr>
          <w:rFonts w:asciiTheme="majorHAnsi" w:hAnsiTheme="majorHAnsi" w:cstheme="majorHAnsi"/>
        </w:rPr>
        <w:t xml:space="preserve">d arra, hogy </w:t>
      </w:r>
      <w:r w:rsidRPr="00DC6C83">
        <w:rPr>
          <w:rFonts w:asciiTheme="majorHAnsi" w:hAnsiTheme="majorHAnsi" w:cstheme="majorHAnsi"/>
        </w:rPr>
        <w:t>a gyerekek</w:t>
      </w:r>
      <w:r w:rsidR="00380937">
        <w:rPr>
          <w:rFonts w:asciiTheme="majorHAnsi" w:hAnsiTheme="majorHAnsi" w:cstheme="majorHAnsi"/>
        </w:rPr>
        <w:t xml:space="preserve"> </w:t>
      </w:r>
      <w:r w:rsidRPr="00DC6C83">
        <w:rPr>
          <w:rFonts w:asciiTheme="majorHAnsi" w:hAnsiTheme="majorHAnsi" w:cstheme="majorHAnsi"/>
        </w:rPr>
        <w:t xml:space="preserve">– különösen a hátrányos helyzetű gyerekek –, életük későbbi szakaszaiban sikeresek lehessenek az </w:t>
      </w:r>
      <w:r w:rsidR="002B330B">
        <w:rPr>
          <w:rFonts w:asciiTheme="majorHAnsi" w:hAnsiTheme="majorHAnsi" w:cstheme="majorHAnsi"/>
        </w:rPr>
        <w:t>élet kü</w:t>
      </w:r>
      <w:r w:rsidR="00E051E2">
        <w:rPr>
          <w:rFonts w:asciiTheme="majorHAnsi" w:hAnsiTheme="majorHAnsi" w:cstheme="majorHAnsi"/>
        </w:rPr>
        <w:t xml:space="preserve">lönböző területein: </w:t>
      </w:r>
      <w:r w:rsidR="001D70E2">
        <w:rPr>
          <w:rFonts w:asciiTheme="majorHAnsi" w:hAnsiTheme="majorHAnsi" w:cstheme="majorHAnsi"/>
        </w:rPr>
        <w:t xml:space="preserve">az </w:t>
      </w:r>
      <w:r w:rsidRPr="00DC6C83">
        <w:rPr>
          <w:rFonts w:asciiTheme="majorHAnsi" w:hAnsiTheme="majorHAnsi" w:cstheme="majorHAnsi"/>
        </w:rPr>
        <w:t>iskolázottság, a foglalkoztathatóság</w:t>
      </w:r>
      <w:r w:rsidR="002B330B">
        <w:rPr>
          <w:rFonts w:asciiTheme="majorHAnsi" w:hAnsiTheme="majorHAnsi" w:cstheme="majorHAnsi"/>
        </w:rPr>
        <w:t xml:space="preserve">, </w:t>
      </w:r>
      <w:r w:rsidR="001D70E2">
        <w:rPr>
          <w:rFonts w:asciiTheme="majorHAnsi" w:hAnsiTheme="majorHAnsi" w:cstheme="majorHAnsi"/>
        </w:rPr>
        <w:t xml:space="preserve">az </w:t>
      </w:r>
      <w:r w:rsidR="002B330B">
        <w:rPr>
          <w:rFonts w:asciiTheme="majorHAnsi" w:hAnsiTheme="majorHAnsi" w:cstheme="majorHAnsi"/>
        </w:rPr>
        <w:t>életkörülmények</w:t>
      </w:r>
      <w:r w:rsidRPr="00DC6C83">
        <w:rPr>
          <w:rFonts w:asciiTheme="majorHAnsi" w:hAnsiTheme="majorHAnsi" w:cstheme="majorHAnsi"/>
        </w:rPr>
        <w:t xml:space="preserve"> és a társadalmi integráció </w:t>
      </w:r>
      <w:r w:rsidR="002B330B">
        <w:rPr>
          <w:rFonts w:asciiTheme="majorHAnsi" w:hAnsiTheme="majorHAnsi" w:cstheme="majorHAnsi"/>
        </w:rPr>
        <w:t>terén</w:t>
      </w:r>
      <w:r w:rsidRPr="00DC6C83">
        <w:rPr>
          <w:rFonts w:asciiTheme="majorHAnsi" w:hAnsiTheme="majorHAnsi" w:cstheme="majorHAnsi"/>
        </w:rPr>
        <w:t>.</w:t>
      </w:r>
      <w:r w:rsidR="001D70E2">
        <w:rPr>
          <w:rFonts w:asciiTheme="majorHAnsi" w:hAnsiTheme="majorHAnsi" w:cstheme="majorHAnsi"/>
        </w:rPr>
        <w:t xml:space="preserve"> </w:t>
      </w:r>
    </w:p>
    <w:p w14:paraId="24BF6A9D" w14:textId="77777777" w:rsidR="00536C01" w:rsidRDefault="00536C01" w:rsidP="00BC16EA">
      <w:pPr>
        <w:widowControl w:val="0"/>
        <w:autoSpaceDE w:val="0"/>
        <w:autoSpaceDN w:val="0"/>
        <w:adjustRightInd w:val="0"/>
        <w:spacing w:after="0" w:line="276" w:lineRule="auto"/>
        <w:rPr>
          <w:rFonts w:asciiTheme="majorHAnsi" w:hAnsiTheme="majorHAnsi" w:cstheme="majorHAnsi"/>
        </w:rPr>
      </w:pPr>
      <w:r w:rsidRPr="00536C01">
        <w:rPr>
          <w:rFonts w:asciiTheme="majorHAnsi" w:hAnsiTheme="majorHAnsi" w:cstheme="majorHAnsi"/>
        </w:rPr>
        <w:t xml:space="preserve">A kisgyermekkor 3–6 éves szakaszában jelentősen fejlődnek azok a kompetenciák, amelyek a gyermekek későbbi iskolai teljesítményét, szocializációját, személyiségfejlődését megalapozzák. </w:t>
      </w:r>
      <w:r w:rsidR="00152195">
        <w:rPr>
          <w:rFonts w:asciiTheme="majorHAnsi" w:hAnsiTheme="majorHAnsi" w:cstheme="majorHAnsi"/>
        </w:rPr>
        <w:t>A</w:t>
      </w:r>
      <w:r w:rsidR="00152195" w:rsidRPr="00536C01">
        <w:rPr>
          <w:rFonts w:asciiTheme="majorHAnsi" w:hAnsiTheme="majorHAnsi" w:cstheme="majorHAnsi"/>
        </w:rPr>
        <w:t xml:space="preserve"> testi</w:t>
      </w:r>
      <w:r w:rsidR="00152195">
        <w:rPr>
          <w:rFonts w:asciiTheme="majorHAnsi" w:hAnsiTheme="majorHAnsi" w:cstheme="majorHAnsi"/>
        </w:rPr>
        <w:t>, szellemi</w:t>
      </w:r>
      <w:r w:rsidR="00152195" w:rsidRPr="00536C01">
        <w:rPr>
          <w:rFonts w:asciiTheme="majorHAnsi" w:hAnsiTheme="majorHAnsi" w:cstheme="majorHAnsi"/>
        </w:rPr>
        <w:t xml:space="preserve"> fejlődés </w:t>
      </w:r>
      <w:r w:rsidR="00152195">
        <w:rPr>
          <w:rFonts w:asciiTheme="majorHAnsi" w:hAnsiTheme="majorHAnsi" w:cstheme="majorHAnsi"/>
        </w:rPr>
        <w:t xml:space="preserve">feltételeinek megteremtése mellett fontos </w:t>
      </w:r>
      <w:r w:rsidR="00152195" w:rsidRPr="00536C01">
        <w:rPr>
          <w:rFonts w:asciiTheme="majorHAnsi" w:hAnsiTheme="majorHAnsi" w:cstheme="majorHAnsi"/>
        </w:rPr>
        <w:t>a fejlődő szervezet</w:t>
      </w:r>
      <w:r w:rsidR="00152195">
        <w:rPr>
          <w:rFonts w:asciiTheme="majorHAnsi" w:hAnsiTheme="majorHAnsi" w:cstheme="majorHAnsi"/>
        </w:rPr>
        <w:t xml:space="preserve"> számára</w:t>
      </w:r>
      <w:r w:rsidR="00152195" w:rsidRPr="00536C01">
        <w:rPr>
          <w:rFonts w:asciiTheme="majorHAnsi" w:hAnsiTheme="majorHAnsi" w:cstheme="majorHAnsi"/>
        </w:rPr>
        <w:t xml:space="preserve"> a megfelelő </w:t>
      </w:r>
      <w:r w:rsidR="00152195">
        <w:rPr>
          <w:rFonts w:asciiTheme="majorHAnsi" w:hAnsiTheme="majorHAnsi" w:cstheme="majorHAnsi"/>
        </w:rPr>
        <w:t>táplálkozási lehetőségek megteremtése is.</w:t>
      </w:r>
      <w:r w:rsidR="00152195" w:rsidRPr="00536C01">
        <w:rPr>
          <w:rFonts w:asciiTheme="majorHAnsi" w:hAnsiTheme="majorHAnsi" w:cstheme="majorHAnsi"/>
        </w:rPr>
        <w:t xml:space="preserve"> </w:t>
      </w:r>
      <w:r w:rsidR="002B330B">
        <w:rPr>
          <w:rFonts w:asciiTheme="majorHAnsi" w:hAnsiTheme="majorHAnsi" w:cstheme="majorHAnsi"/>
        </w:rPr>
        <w:t>A szülőknek e</w:t>
      </w:r>
      <w:r w:rsidRPr="00536C01">
        <w:rPr>
          <w:rFonts w:asciiTheme="majorHAnsi" w:hAnsiTheme="majorHAnsi" w:cstheme="majorHAnsi"/>
        </w:rPr>
        <w:t xml:space="preserve">hhez </w:t>
      </w:r>
      <w:r w:rsidR="002B330B">
        <w:rPr>
          <w:rFonts w:asciiTheme="majorHAnsi" w:hAnsiTheme="majorHAnsi" w:cstheme="majorHAnsi"/>
        </w:rPr>
        <w:t xml:space="preserve">nyújt támogatást </w:t>
      </w:r>
      <w:r w:rsidRPr="00536C01">
        <w:rPr>
          <w:rFonts w:asciiTheme="majorHAnsi" w:hAnsiTheme="majorHAnsi" w:cstheme="majorHAnsi"/>
        </w:rPr>
        <w:t>a kedvezményes vagy térítésmentes óvodai gyermekétkeztetés is</w:t>
      </w:r>
      <w:r w:rsidR="002B330B">
        <w:rPr>
          <w:rFonts w:asciiTheme="majorHAnsi" w:hAnsiTheme="majorHAnsi" w:cstheme="majorHAnsi"/>
        </w:rPr>
        <w:t>, amelyet</w:t>
      </w:r>
      <w:r w:rsidRPr="00536C01">
        <w:rPr>
          <w:rFonts w:asciiTheme="majorHAnsi" w:hAnsiTheme="majorHAnsi" w:cstheme="majorHAnsi"/>
        </w:rPr>
        <w:t xml:space="preserve"> a család anyagi helyzetétől függően</w:t>
      </w:r>
      <w:r w:rsidR="002B330B">
        <w:rPr>
          <w:rFonts w:asciiTheme="majorHAnsi" w:hAnsiTheme="majorHAnsi" w:cstheme="majorHAnsi"/>
        </w:rPr>
        <w:t xml:space="preserve"> vehetnek igénybe</w:t>
      </w:r>
      <w:r w:rsidRPr="00536C01">
        <w:rPr>
          <w:rFonts w:asciiTheme="majorHAnsi" w:hAnsiTheme="majorHAnsi" w:cstheme="majorHAnsi"/>
        </w:rPr>
        <w:t>.</w:t>
      </w:r>
    </w:p>
    <w:p w14:paraId="5E69C56D" w14:textId="77777777" w:rsidR="00536C01" w:rsidRDefault="00BC16EA" w:rsidP="00BC16EA">
      <w:pPr>
        <w:rPr>
          <w:rFonts w:asciiTheme="majorHAnsi" w:hAnsiTheme="majorHAnsi" w:cstheme="majorHAnsi"/>
        </w:rPr>
      </w:pPr>
      <w:r w:rsidRPr="00DC6C83">
        <w:rPr>
          <w:rFonts w:asciiTheme="majorHAnsi" w:hAnsiTheme="majorHAnsi" w:cstheme="majorHAnsi"/>
        </w:rPr>
        <w:t>Az egyes országok oktatással kapcsolatos szakpolitikai döntéseikben ezért figyelmet fordítanak a kisgyermekkori nevelés és gondozás támogatására, fejlesztésére. Ugyanakkor megfigyelhető, hogy a kisgyermekkori nevelésre vonatkozó szakpolitikák számos különbséget mutatnak az államok eltérő gazdasági</w:t>
      </w:r>
      <w:r w:rsidR="002B330B">
        <w:rPr>
          <w:rFonts w:asciiTheme="majorHAnsi" w:hAnsiTheme="majorHAnsi" w:cstheme="majorHAnsi"/>
        </w:rPr>
        <w:t>-</w:t>
      </w:r>
      <w:r w:rsidRPr="00DC6C83">
        <w:rPr>
          <w:rFonts w:asciiTheme="majorHAnsi" w:hAnsiTheme="majorHAnsi" w:cstheme="majorHAnsi"/>
        </w:rPr>
        <w:t>társadalmi sajátosságaiból adódóan.</w:t>
      </w:r>
      <w:r w:rsidRPr="00DC6C83">
        <w:rPr>
          <w:rStyle w:val="Lbjegyzet-hivatkozs"/>
          <w:rFonts w:asciiTheme="majorHAnsi" w:hAnsiTheme="majorHAnsi" w:cstheme="majorHAnsi"/>
        </w:rPr>
        <w:footnoteReference w:id="10"/>
      </w:r>
      <w:r w:rsidRPr="00DC6C83">
        <w:rPr>
          <w:rFonts w:asciiTheme="majorHAnsi" w:hAnsiTheme="majorHAnsi" w:cstheme="majorHAnsi"/>
        </w:rPr>
        <w:t xml:space="preserve">  Magyarországon a 3 éves kortól kötelező óvoda nyújtja a gyermek</w:t>
      </w:r>
      <w:r w:rsidR="00BC265C">
        <w:rPr>
          <w:rFonts w:asciiTheme="majorHAnsi" w:hAnsiTheme="majorHAnsi" w:cstheme="majorHAnsi"/>
        </w:rPr>
        <w:t>nek</w:t>
      </w:r>
      <w:r w:rsidRPr="00DC6C83">
        <w:rPr>
          <w:rFonts w:asciiTheme="majorHAnsi" w:hAnsiTheme="majorHAnsi" w:cstheme="majorHAnsi"/>
        </w:rPr>
        <w:t xml:space="preserve"> az első családon kívüli szocializációs közeget, </w:t>
      </w:r>
      <w:r w:rsidR="00BC265C">
        <w:rPr>
          <w:rFonts w:asciiTheme="majorHAnsi" w:hAnsiTheme="majorHAnsi" w:cstheme="majorHAnsi"/>
        </w:rPr>
        <w:t>a</w:t>
      </w:r>
      <w:r w:rsidRPr="00DC6C83">
        <w:rPr>
          <w:rFonts w:asciiTheme="majorHAnsi" w:hAnsiTheme="majorHAnsi" w:cstheme="majorHAnsi"/>
        </w:rPr>
        <w:t>melyben a gyermek elsőként találkozik a nevelés és tanulás intézményesített formájával. A kora gye</w:t>
      </w:r>
      <w:r>
        <w:rPr>
          <w:rFonts w:asciiTheme="majorHAnsi" w:hAnsiTheme="majorHAnsi" w:cstheme="majorHAnsi"/>
        </w:rPr>
        <w:t xml:space="preserve">rmekkori nevelést és gondozást </w:t>
      </w:r>
      <w:r w:rsidRPr="00DC6C83">
        <w:rPr>
          <w:rFonts w:asciiTheme="majorHAnsi" w:hAnsiTheme="majorHAnsi" w:cstheme="majorHAnsi"/>
        </w:rPr>
        <w:t xml:space="preserve">vizsgáló OECD </w:t>
      </w:r>
      <w:r w:rsidRPr="00DC6C83">
        <w:rPr>
          <w:rFonts w:asciiTheme="majorHAnsi" w:hAnsiTheme="majorHAnsi" w:cstheme="majorHAnsi"/>
        </w:rPr>
        <w:lastRenderedPageBreak/>
        <w:t>mutatóból</w:t>
      </w:r>
      <w:r w:rsidRPr="00DC6C83">
        <w:rPr>
          <w:rStyle w:val="Lbjegyzet-hivatkozs"/>
          <w:rFonts w:asciiTheme="majorHAnsi" w:hAnsiTheme="majorHAnsi" w:cstheme="majorHAnsi"/>
        </w:rPr>
        <w:footnoteReference w:id="11"/>
      </w:r>
      <w:r w:rsidRPr="00DC6C83">
        <w:rPr>
          <w:rFonts w:asciiTheme="majorHAnsi" w:hAnsiTheme="majorHAnsi" w:cstheme="majorHAnsi"/>
        </w:rPr>
        <w:t xml:space="preserve"> kitűnik, hogy a kisgyermekkori nevelés bővítése egyre nagyobb hangsúlyt kapott az OECD tagállamok oktatáspolitikájában, és egymástól lényegesen eltérő mintákat követnek. Az intézménybe lépési életkorban, az intézményben eltöltött évek számá</w:t>
      </w:r>
      <w:r w:rsidR="00BC265C">
        <w:rPr>
          <w:rFonts w:asciiTheme="majorHAnsi" w:hAnsiTheme="majorHAnsi" w:cstheme="majorHAnsi"/>
        </w:rPr>
        <w:t>t</w:t>
      </w:r>
      <w:r w:rsidR="00E051E2">
        <w:rPr>
          <w:rFonts w:asciiTheme="majorHAnsi" w:hAnsiTheme="majorHAnsi" w:cstheme="majorHAnsi"/>
        </w:rPr>
        <w:t xml:space="preserve"> </w:t>
      </w:r>
      <w:r w:rsidRPr="00DC6C83">
        <w:rPr>
          <w:rFonts w:asciiTheme="majorHAnsi" w:hAnsiTheme="majorHAnsi" w:cstheme="majorHAnsi"/>
        </w:rPr>
        <w:t xml:space="preserve">és az intézmények finanszírozását tekintve is </w:t>
      </w:r>
      <w:r w:rsidR="00BC265C">
        <w:rPr>
          <w:rFonts w:asciiTheme="majorHAnsi" w:hAnsiTheme="majorHAnsi" w:cstheme="majorHAnsi"/>
        </w:rPr>
        <w:t>jelentős különbségek vannak</w:t>
      </w:r>
      <w:r w:rsidRPr="00DC6C83">
        <w:rPr>
          <w:rFonts w:asciiTheme="majorHAnsi" w:hAnsiTheme="majorHAnsi" w:cstheme="majorHAnsi"/>
        </w:rPr>
        <w:t xml:space="preserve">. A gyermekek és családjaik életminőségére jelentős hatást gyakorol, ha a gyerekek színvonalas óvodai nevelésben részesülnek. Hazánkban a korai gyermekkori nevelésbe-oktatásba történő bevonás tekintetében kedvezőek a mutatók, ami a 3 éves kortól kötelező </w:t>
      </w:r>
      <w:r w:rsidR="001A54F4">
        <w:rPr>
          <w:rFonts w:asciiTheme="majorHAnsi" w:hAnsiTheme="majorHAnsi" w:cstheme="majorHAnsi"/>
        </w:rPr>
        <w:t>óvodai nevelésben való részvétel</w:t>
      </w:r>
      <w:r w:rsidRPr="00DC6C83">
        <w:rPr>
          <w:rFonts w:asciiTheme="majorHAnsi" w:hAnsiTheme="majorHAnsi" w:cstheme="majorHAnsi"/>
        </w:rPr>
        <w:t xml:space="preserve"> bevezetésével 2015-től tovább növekedett. </w:t>
      </w:r>
    </w:p>
    <w:p w14:paraId="1AC7CFE0" w14:textId="77777777" w:rsidR="00BC16EA" w:rsidRPr="00DC6C83" w:rsidRDefault="00BC16EA" w:rsidP="00BC16EA">
      <w:pPr>
        <w:rPr>
          <w:rFonts w:asciiTheme="majorHAnsi" w:hAnsiTheme="majorHAnsi" w:cstheme="majorHAnsi"/>
        </w:rPr>
      </w:pPr>
      <w:r w:rsidRPr="00DC6C83">
        <w:rPr>
          <w:rFonts w:asciiTheme="majorHAnsi" w:hAnsiTheme="majorHAnsi" w:cstheme="majorHAnsi"/>
        </w:rPr>
        <w:t xml:space="preserve">Az „Oktatás és Képzés 2020” program célértéke, hogy a 4 éves életkor és az iskolaköteles kor közötti korosztály 95 </w:t>
      </w:r>
      <w:r w:rsidR="00863D75">
        <w:rPr>
          <w:rFonts w:asciiTheme="majorHAnsi" w:hAnsiTheme="majorHAnsi" w:cstheme="majorHAnsi"/>
        </w:rPr>
        <w:t>%-a</w:t>
      </w:r>
      <w:r w:rsidRPr="00DC6C83">
        <w:rPr>
          <w:rFonts w:asciiTheme="majorHAnsi" w:hAnsiTheme="majorHAnsi" w:cstheme="majorHAnsi"/>
        </w:rPr>
        <w:t xml:space="preserve"> részesüljön óvodai ellátásban, és Magyarország ezt 2017-ben </w:t>
      </w:r>
      <w:r>
        <w:rPr>
          <w:rFonts w:asciiTheme="majorHAnsi" w:hAnsiTheme="majorHAnsi" w:cstheme="majorHAnsi"/>
        </w:rPr>
        <w:t xml:space="preserve">már </w:t>
      </w:r>
      <w:r w:rsidRPr="00DC6C83">
        <w:rPr>
          <w:rFonts w:asciiTheme="majorHAnsi" w:hAnsiTheme="majorHAnsi" w:cstheme="majorHAnsi"/>
        </w:rPr>
        <w:t>teljesítette (95,6%-kal).</w:t>
      </w:r>
      <w:r w:rsidRPr="00DC6C83">
        <w:rPr>
          <w:rStyle w:val="Lbjegyzet-hivatkozs"/>
          <w:rFonts w:asciiTheme="majorHAnsi" w:eastAsia="Calibri" w:hAnsiTheme="majorHAnsi" w:cstheme="majorHAnsi"/>
        </w:rPr>
        <w:footnoteReference w:id="12"/>
      </w:r>
      <w:r w:rsidR="00E051E2">
        <w:rPr>
          <w:rFonts w:asciiTheme="majorHAnsi" w:hAnsiTheme="majorHAnsi" w:cstheme="majorHAnsi"/>
        </w:rPr>
        <w:t xml:space="preserve"> </w:t>
      </w:r>
      <w:r w:rsidRPr="00DC6C83">
        <w:rPr>
          <w:rFonts w:asciiTheme="majorHAnsi" w:eastAsia="Calibri" w:hAnsiTheme="majorHAnsi" w:cstheme="majorHAnsi"/>
        </w:rPr>
        <w:t>Az eltelt időszakban valamennyi korcsoportjában nőtt az óvodai részvétel, a 3-5 éves gyermekek</w:t>
      </w:r>
      <w:r w:rsidRPr="00DC6C83">
        <w:rPr>
          <w:rFonts w:asciiTheme="majorHAnsi" w:hAnsiTheme="majorHAnsi" w:cstheme="majorHAnsi"/>
        </w:rPr>
        <w:t xml:space="preserve"> aránya 2005 és 2017 között 87%-ról 92%-ra emelkedett (az OECD-átlag 87%).</w:t>
      </w:r>
      <w:r w:rsidRPr="00DC6C83">
        <w:rPr>
          <w:rStyle w:val="Lbjegyzet-hivatkozs"/>
          <w:rFonts w:asciiTheme="majorHAnsi" w:hAnsiTheme="majorHAnsi" w:cstheme="majorHAnsi"/>
        </w:rPr>
        <w:footnoteReference w:id="13"/>
      </w:r>
      <w:r w:rsidRPr="00DC6C83">
        <w:rPr>
          <w:rFonts w:asciiTheme="majorHAnsi" w:hAnsiTheme="majorHAnsi" w:cstheme="majorHAnsi"/>
        </w:rPr>
        <w:t xml:space="preserve"> </w:t>
      </w:r>
      <w:r w:rsidR="00E051E2">
        <w:rPr>
          <w:rFonts w:asciiTheme="majorHAnsi" w:hAnsiTheme="majorHAnsi" w:cstheme="majorHAnsi"/>
        </w:rPr>
        <w:t xml:space="preserve"> </w:t>
      </w:r>
      <w:r w:rsidRPr="00DC6C83">
        <w:rPr>
          <w:rFonts w:asciiTheme="majorHAnsi" w:hAnsiTheme="majorHAnsi" w:cstheme="majorHAnsi"/>
        </w:rPr>
        <w:t xml:space="preserve">Magyarországon </w:t>
      </w:r>
      <w:r w:rsidR="00E051E2">
        <w:rPr>
          <w:rFonts w:asciiTheme="majorHAnsi" w:hAnsiTheme="majorHAnsi" w:cstheme="majorHAnsi"/>
        </w:rPr>
        <w:t>2019.</w:t>
      </w:r>
      <w:r w:rsidR="00BD39CF">
        <w:rPr>
          <w:rFonts w:asciiTheme="majorHAnsi" w:hAnsiTheme="majorHAnsi" w:cstheme="majorHAnsi"/>
        </w:rPr>
        <w:t xml:space="preserve"> novemberi adatok szerint</w:t>
      </w:r>
      <w:r w:rsidRPr="00DC6C83">
        <w:rPr>
          <w:rFonts w:asciiTheme="majorHAnsi" w:hAnsiTheme="majorHAnsi" w:cstheme="majorHAnsi"/>
        </w:rPr>
        <w:t xml:space="preserve"> összesen 4</w:t>
      </w:r>
      <w:r w:rsidR="002D1D02">
        <w:rPr>
          <w:rFonts w:asciiTheme="majorHAnsi" w:hAnsiTheme="majorHAnsi" w:cstheme="majorHAnsi"/>
        </w:rPr>
        <w:t xml:space="preserve"> </w:t>
      </w:r>
      <w:r w:rsidR="00BD39CF">
        <w:rPr>
          <w:rFonts w:asciiTheme="majorHAnsi" w:hAnsiTheme="majorHAnsi" w:cstheme="majorHAnsi"/>
        </w:rPr>
        <w:t>608</w:t>
      </w:r>
      <w:r w:rsidRPr="00DC6C83">
        <w:rPr>
          <w:rFonts w:asciiTheme="majorHAnsi" w:hAnsiTheme="majorHAnsi" w:cstheme="majorHAnsi"/>
        </w:rPr>
        <w:t xml:space="preserve"> óvoda működ</w:t>
      </w:r>
      <w:r>
        <w:rPr>
          <w:rFonts w:asciiTheme="majorHAnsi" w:hAnsiTheme="majorHAnsi" w:cstheme="majorHAnsi"/>
        </w:rPr>
        <w:t>ött</w:t>
      </w:r>
      <w:r w:rsidRPr="00DC6C83">
        <w:rPr>
          <w:rFonts w:asciiTheme="majorHAnsi" w:hAnsiTheme="majorHAnsi" w:cstheme="majorHAnsi"/>
        </w:rPr>
        <w:t xml:space="preserve"> (</w:t>
      </w:r>
      <w:r w:rsidR="00BD39CF">
        <w:rPr>
          <w:rFonts w:asciiTheme="majorHAnsi" w:hAnsiTheme="majorHAnsi" w:cstheme="majorHAnsi"/>
        </w:rPr>
        <w:t>250-nel több, mint 2010-ben</w:t>
      </w:r>
      <w:r w:rsidRPr="00DC6C83">
        <w:rPr>
          <w:rFonts w:asciiTheme="majorHAnsi" w:hAnsiTheme="majorHAnsi" w:cstheme="majorHAnsi"/>
        </w:rPr>
        <w:t xml:space="preserve">). Az óvodába beíratott gyermekek száma </w:t>
      </w:r>
      <w:r w:rsidR="002D1D02">
        <w:rPr>
          <w:rFonts w:asciiTheme="majorHAnsi" w:hAnsiTheme="majorHAnsi" w:cstheme="majorHAnsi"/>
        </w:rPr>
        <w:t xml:space="preserve">330 </w:t>
      </w:r>
      <w:r w:rsidR="00BD39CF">
        <w:rPr>
          <w:rFonts w:asciiTheme="majorHAnsi" w:hAnsiTheme="majorHAnsi" w:cstheme="majorHAnsi"/>
        </w:rPr>
        <w:t>539</w:t>
      </w:r>
      <w:r w:rsidRPr="00DC6C83">
        <w:rPr>
          <w:rFonts w:asciiTheme="majorHAnsi" w:hAnsiTheme="majorHAnsi" w:cstheme="majorHAnsi"/>
        </w:rPr>
        <w:t xml:space="preserve"> fő volt, számuk </w:t>
      </w:r>
      <w:r w:rsidR="00606002">
        <w:rPr>
          <w:rFonts w:asciiTheme="majorHAnsi" w:hAnsiTheme="majorHAnsi" w:cstheme="majorHAnsi"/>
        </w:rPr>
        <w:t>közel 4</w:t>
      </w:r>
      <w:r w:rsidR="002D1D02">
        <w:rPr>
          <w:rFonts w:asciiTheme="majorHAnsi" w:hAnsiTheme="majorHAnsi" w:cstheme="majorHAnsi"/>
        </w:rPr>
        <w:t xml:space="preserve"> </w:t>
      </w:r>
      <w:r w:rsidR="00E051E2">
        <w:rPr>
          <w:rFonts w:asciiTheme="majorHAnsi" w:hAnsiTheme="majorHAnsi" w:cstheme="majorHAnsi"/>
        </w:rPr>
        <w:t>000</w:t>
      </w:r>
      <w:r w:rsidR="00606002">
        <w:rPr>
          <w:rFonts w:asciiTheme="majorHAnsi" w:hAnsiTheme="majorHAnsi" w:cstheme="majorHAnsi"/>
        </w:rPr>
        <w:t xml:space="preserve"> </w:t>
      </w:r>
      <w:r w:rsidRPr="00DC6C83">
        <w:rPr>
          <w:rFonts w:asciiTheme="majorHAnsi" w:hAnsiTheme="majorHAnsi" w:cstheme="majorHAnsi"/>
        </w:rPr>
        <w:t xml:space="preserve">fővel </w:t>
      </w:r>
      <w:r>
        <w:rPr>
          <w:rFonts w:asciiTheme="majorHAnsi" w:hAnsiTheme="majorHAnsi" w:cstheme="majorHAnsi"/>
        </w:rPr>
        <w:t xml:space="preserve">volt magasabb </w:t>
      </w:r>
      <w:r w:rsidRPr="00DC6C83">
        <w:rPr>
          <w:rFonts w:asciiTheme="majorHAnsi" w:hAnsiTheme="majorHAnsi" w:cstheme="majorHAnsi"/>
        </w:rPr>
        <w:t>az előző nevelési évinél. Az óvodai férőhelyek száma 3</w:t>
      </w:r>
      <w:r w:rsidR="00E051E2">
        <w:rPr>
          <w:rFonts w:asciiTheme="majorHAnsi" w:hAnsiTheme="majorHAnsi" w:cstheme="majorHAnsi"/>
        </w:rPr>
        <w:t>84</w:t>
      </w:r>
      <w:r w:rsidR="002D1D02">
        <w:rPr>
          <w:rFonts w:asciiTheme="majorHAnsi" w:hAnsiTheme="majorHAnsi" w:cstheme="majorHAnsi"/>
        </w:rPr>
        <w:t xml:space="preserve"> </w:t>
      </w:r>
      <w:r w:rsidR="00E051E2">
        <w:rPr>
          <w:rFonts w:asciiTheme="majorHAnsi" w:hAnsiTheme="majorHAnsi" w:cstheme="majorHAnsi"/>
        </w:rPr>
        <w:t>000-</w:t>
      </w:r>
      <w:r w:rsidR="00606002">
        <w:rPr>
          <w:rFonts w:asciiTheme="majorHAnsi" w:hAnsiTheme="majorHAnsi" w:cstheme="majorHAnsi"/>
        </w:rPr>
        <w:t>re nőtt</w:t>
      </w:r>
      <w:r w:rsidR="00BD39CF">
        <w:rPr>
          <w:rFonts w:asciiTheme="majorHAnsi" w:hAnsiTheme="majorHAnsi" w:cstheme="majorHAnsi"/>
        </w:rPr>
        <w:t xml:space="preserve">, </w:t>
      </w:r>
      <w:r w:rsidR="00606002">
        <w:rPr>
          <w:rFonts w:asciiTheme="majorHAnsi" w:hAnsiTheme="majorHAnsi" w:cstheme="majorHAnsi"/>
        </w:rPr>
        <w:t xml:space="preserve">ami több mint </w:t>
      </w:r>
      <w:r w:rsidR="002D1D02">
        <w:rPr>
          <w:rFonts w:asciiTheme="majorHAnsi" w:hAnsiTheme="majorHAnsi" w:cstheme="majorHAnsi"/>
        </w:rPr>
        <w:t xml:space="preserve">14 </w:t>
      </w:r>
      <w:r w:rsidR="00D908B0">
        <w:rPr>
          <w:rFonts w:asciiTheme="majorHAnsi" w:hAnsiTheme="majorHAnsi" w:cstheme="majorHAnsi"/>
        </w:rPr>
        <w:t>000-</w:t>
      </w:r>
      <w:r w:rsidR="00606002">
        <w:rPr>
          <w:rFonts w:asciiTheme="majorHAnsi" w:hAnsiTheme="majorHAnsi" w:cstheme="majorHAnsi"/>
        </w:rPr>
        <w:t>rel haladja meg a 2010. évi adatot</w:t>
      </w:r>
      <w:r w:rsidR="00E051E2">
        <w:rPr>
          <w:rFonts w:asciiTheme="majorHAnsi" w:hAnsiTheme="majorHAnsi" w:cstheme="majorHAnsi"/>
        </w:rPr>
        <w:t>.</w:t>
      </w:r>
      <w:r w:rsidR="00606002">
        <w:rPr>
          <w:rFonts w:asciiTheme="majorHAnsi" w:hAnsiTheme="majorHAnsi" w:cstheme="majorHAnsi"/>
        </w:rPr>
        <w:t xml:space="preserve"> </w:t>
      </w:r>
      <w:r w:rsidRPr="00DC6C83">
        <w:rPr>
          <w:rFonts w:asciiTheme="majorHAnsi" w:hAnsiTheme="majorHAnsi" w:cstheme="majorHAnsi"/>
        </w:rPr>
        <w:t>Az óvodai férőhely-kihasználtsági mutató alapján, országos szinten 100 férőhelyre kevesebb</w:t>
      </w:r>
      <w:r>
        <w:rPr>
          <w:rFonts w:asciiTheme="majorHAnsi" w:hAnsiTheme="majorHAnsi" w:cstheme="majorHAnsi"/>
        </w:rPr>
        <w:t>,</w:t>
      </w:r>
      <w:r w:rsidRPr="00DC6C83">
        <w:rPr>
          <w:rFonts w:asciiTheme="majorHAnsi" w:hAnsiTheme="majorHAnsi" w:cstheme="majorHAnsi"/>
        </w:rPr>
        <w:t xml:space="preserve"> mint 86 gyermek jut, ugyanakkor helyi, települési szinten előfordul, hogy a mutató értéke meghaladja a 100-at.</w:t>
      </w:r>
    </w:p>
    <w:p w14:paraId="7E7E7FB7" w14:textId="0895E916" w:rsidR="00BC16EA" w:rsidRPr="00DC6C83" w:rsidRDefault="00BC16EA" w:rsidP="00BC16EA">
      <w:pPr>
        <w:rPr>
          <w:rFonts w:asciiTheme="majorHAnsi" w:hAnsiTheme="majorHAnsi" w:cstheme="majorHAnsi"/>
        </w:rPr>
      </w:pPr>
      <w:r w:rsidRPr="00DC6C83">
        <w:rPr>
          <w:rFonts w:asciiTheme="majorHAnsi" w:hAnsiTheme="majorHAnsi" w:cstheme="majorHAnsi"/>
        </w:rPr>
        <w:t>Az óvodákban foglalkoztatott pedagógusok létszáma</w:t>
      </w:r>
      <w:r w:rsidR="009E2A80">
        <w:rPr>
          <w:rFonts w:asciiTheme="majorHAnsi" w:hAnsiTheme="majorHAnsi" w:cstheme="majorHAnsi"/>
        </w:rPr>
        <w:t xml:space="preserve"> a </w:t>
      </w:r>
      <w:r w:rsidR="009E2A80">
        <w:t>2019/2020. nevelési év adati szerint</w:t>
      </w:r>
      <w:r w:rsidRPr="00DC6C83">
        <w:rPr>
          <w:rFonts w:asciiTheme="majorHAnsi" w:hAnsiTheme="majorHAnsi" w:cstheme="majorHAnsi"/>
        </w:rPr>
        <w:t xml:space="preserve"> 31</w:t>
      </w:r>
      <w:r w:rsidR="002D1D02">
        <w:rPr>
          <w:rFonts w:asciiTheme="majorHAnsi" w:hAnsiTheme="majorHAnsi" w:cstheme="majorHAnsi"/>
        </w:rPr>
        <w:t xml:space="preserve"> </w:t>
      </w:r>
      <w:r w:rsidR="009E2A80">
        <w:rPr>
          <w:rFonts w:asciiTheme="majorHAnsi" w:hAnsiTheme="majorHAnsi" w:cstheme="majorHAnsi"/>
        </w:rPr>
        <w:t>054</w:t>
      </w:r>
      <w:r w:rsidR="0090103B">
        <w:rPr>
          <w:rFonts w:asciiTheme="majorHAnsi" w:hAnsiTheme="majorHAnsi" w:cstheme="majorHAnsi"/>
        </w:rPr>
        <w:t xml:space="preserve"> fő</w:t>
      </w:r>
      <w:r>
        <w:rPr>
          <w:rFonts w:asciiTheme="majorHAnsi" w:hAnsiTheme="majorHAnsi" w:cstheme="majorHAnsi"/>
        </w:rPr>
        <w:t>, így k</w:t>
      </w:r>
      <w:r w:rsidRPr="00DC6C83">
        <w:rPr>
          <w:rFonts w:asciiTheme="majorHAnsi" w:hAnsiTheme="majorHAnsi" w:cstheme="majorHAnsi"/>
        </w:rPr>
        <w:t>edvező az egy óvodapedagógusra jutó gyermekek számának aránya</w:t>
      </w:r>
      <w:r>
        <w:rPr>
          <w:rFonts w:asciiTheme="majorHAnsi" w:hAnsiTheme="majorHAnsi" w:cstheme="majorHAnsi"/>
        </w:rPr>
        <w:t>: o</w:t>
      </w:r>
      <w:r w:rsidRPr="00DC6C83">
        <w:rPr>
          <w:rFonts w:asciiTheme="majorHAnsi" w:hAnsiTheme="majorHAnsi" w:cstheme="majorHAnsi"/>
        </w:rPr>
        <w:t>rszágos átlagban egy óvodapedagógusra 10,</w:t>
      </w:r>
      <w:r w:rsidR="009E2A80">
        <w:rPr>
          <w:rFonts w:asciiTheme="majorHAnsi" w:hAnsiTheme="majorHAnsi" w:cstheme="majorHAnsi"/>
        </w:rPr>
        <w:t>6</w:t>
      </w:r>
      <w:r w:rsidRPr="00DC6C83">
        <w:rPr>
          <w:rFonts w:asciiTheme="majorHAnsi" w:hAnsiTheme="majorHAnsi" w:cstheme="majorHAnsi"/>
        </w:rPr>
        <w:t xml:space="preserve"> egy óvodai csoportra 2</w:t>
      </w:r>
      <w:r w:rsidR="009E2A80">
        <w:rPr>
          <w:rFonts w:asciiTheme="majorHAnsi" w:hAnsiTheme="majorHAnsi" w:cstheme="majorHAnsi"/>
        </w:rPr>
        <w:t>1,9</w:t>
      </w:r>
      <w:r w:rsidRPr="00DC6C83">
        <w:rPr>
          <w:rFonts w:asciiTheme="majorHAnsi" w:hAnsiTheme="majorHAnsi" w:cstheme="majorHAnsi"/>
        </w:rPr>
        <w:t xml:space="preserve"> gyermek jut. A sajátos nevelési igényű (SNI) gyermekek aránya 3,</w:t>
      </w:r>
      <w:r w:rsidR="009E2A80">
        <w:rPr>
          <w:rFonts w:asciiTheme="majorHAnsi" w:hAnsiTheme="majorHAnsi" w:cstheme="majorHAnsi"/>
        </w:rPr>
        <w:t>1</w:t>
      </w:r>
      <w:r w:rsidRPr="00DC6C83">
        <w:rPr>
          <w:rFonts w:asciiTheme="majorHAnsi" w:hAnsiTheme="majorHAnsi" w:cstheme="majorHAnsi"/>
        </w:rPr>
        <w:t xml:space="preserve"> az óvodások körében, 0</w:t>
      </w:r>
      <w:r w:rsidR="009E2A80">
        <w:rPr>
          <w:rFonts w:asciiTheme="majorHAnsi" w:hAnsiTheme="majorHAnsi" w:cstheme="majorHAnsi"/>
        </w:rPr>
        <w:t>,1</w:t>
      </w:r>
      <w:r w:rsidRPr="00DC6C83">
        <w:rPr>
          <w:rFonts w:asciiTheme="majorHAnsi" w:hAnsiTheme="majorHAnsi" w:cstheme="majorHAnsi"/>
        </w:rPr>
        <w:t xml:space="preserve"> százalékponttal magasabb az egy évvel korábbinál. Az érintett </w:t>
      </w:r>
      <w:r w:rsidR="009E2A80">
        <w:rPr>
          <w:rFonts w:asciiTheme="majorHAnsi" w:hAnsiTheme="majorHAnsi" w:cstheme="majorHAnsi"/>
        </w:rPr>
        <w:t>több mint</w:t>
      </w:r>
      <w:r w:rsidRPr="00DC6C83">
        <w:rPr>
          <w:rFonts w:asciiTheme="majorHAnsi" w:hAnsiTheme="majorHAnsi" w:cstheme="majorHAnsi"/>
        </w:rPr>
        <w:t xml:space="preserve"> 10</w:t>
      </w:r>
      <w:r w:rsidR="002D1D02">
        <w:rPr>
          <w:rFonts w:asciiTheme="majorHAnsi" w:hAnsiTheme="majorHAnsi" w:cstheme="majorHAnsi"/>
        </w:rPr>
        <w:t xml:space="preserve"> </w:t>
      </w:r>
      <w:r>
        <w:rPr>
          <w:rFonts w:asciiTheme="majorHAnsi" w:hAnsiTheme="majorHAnsi" w:cstheme="majorHAnsi"/>
        </w:rPr>
        <w:t>000</w:t>
      </w:r>
      <w:r w:rsidRPr="00DC6C83">
        <w:rPr>
          <w:rFonts w:asciiTheme="majorHAnsi" w:hAnsiTheme="majorHAnsi" w:cstheme="majorHAnsi"/>
        </w:rPr>
        <w:t xml:space="preserve"> gyermek 8</w:t>
      </w:r>
      <w:r w:rsidR="009E2A80">
        <w:rPr>
          <w:rFonts w:asciiTheme="majorHAnsi" w:hAnsiTheme="majorHAnsi" w:cstheme="majorHAnsi"/>
        </w:rPr>
        <w:t>1</w:t>
      </w:r>
      <w:r w:rsidRPr="00DC6C83">
        <w:rPr>
          <w:rFonts w:asciiTheme="majorHAnsi" w:hAnsiTheme="majorHAnsi" w:cstheme="majorHAnsi"/>
        </w:rPr>
        <w:t>,</w:t>
      </w:r>
      <w:r w:rsidR="009E2A80">
        <w:rPr>
          <w:rFonts w:asciiTheme="majorHAnsi" w:hAnsiTheme="majorHAnsi" w:cstheme="majorHAnsi"/>
        </w:rPr>
        <w:t>7</w:t>
      </w:r>
      <w:r w:rsidRPr="00DC6C83">
        <w:rPr>
          <w:rFonts w:asciiTheme="majorHAnsi" w:hAnsiTheme="majorHAnsi" w:cstheme="majorHAnsi"/>
        </w:rPr>
        <w:t>%-</w:t>
      </w:r>
      <w:proofErr w:type="gramStart"/>
      <w:r w:rsidRPr="00DC6C83">
        <w:rPr>
          <w:rFonts w:asciiTheme="majorHAnsi" w:hAnsiTheme="majorHAnsi" w:cstheme="majorHAnsi"/>
        </w:rPr>
        <w:t>a</w:t>
      </w:r>
      <w:proofErr w:type="gramEnd"/>
      <w:r w:rsidRPr="00DC6C83">
        <w:rPr>
          <w:rFonts w:asciiTheme="majorHAnsi" w:hAnsiTheme="majorHAnsi" w:cstheme="majorHAnsi"/>
        </w:rPr>
        <w:t xml:space="preserve"> integrált nevelésben részesül.</w:t>
      </w:r>
    </w:p>
    <w:p w14:paraId="55F68A49" w14:textId="05E62BBD" w:rsidR="00BC16EA" w:rsidRDefault="00BC16EA" w:rsidP="00BC16EA">
      <w:pPr>
        <w:rPr>
          <w:rFonts w:asciiTheme="majorHAnsi" w:hAnsiTheme="majorHAnsi" w:cstheme="majorHAnsi"/>
        </w:rPr>
      </w:pPr>
      <w:r>
        <w:rPr>
          <w:rFonts w:asciiTheme="majorHAnsi" w:hAnsiTheme="majorHAnsi" w:cstheme="majorHAnsi"/>
        </w:rPr>
        <w:t xml:space="preserve">Az óvodai szakmai fejlesztéseknek a jövőben is garantálniuk kell a magyar óvodák </w:t>
      </w:r>
      <w:r w:rsidR="007213D0">
        <w:rPr>
          <w:rFonts w:asciiTheme="majorHAnsi" w:hAnsiTheme="majorHAnsi" w:cstheme="majorHAnsi"/>
        </w:rPr>
        <w:t>gyermekközpontú nevelésének</w:t>
      </w:r>
      <w:r w:rsidR="001E4127">
        <w:rPr>
          <w:rFonts w:asciiTheme="majorHAnsi" w:hAnsiTheme="majorHAnsi" w:cstheme="majorHAnsi"/>
        </w:rPr>
        <w:t xml:space="preserve"> (ideértve az egészségközpontú és művészeti nevelé</w:t>
      </w:r>
      <w:r w:rsidR="002E059C">
        <w:rPr>
          <w:rFonts w:asciiTheme="majorHAnsi" w:hAnsiTheme="majorHAnsi" w:cstheme="majorHAnsi"/>
        </w:rPr>
        <w:t>s</w:t>
      </w:r>
      <w:r w:rsidR="001E4127">
        <w:rPr>
          <w:rFonts w:asciiTheme="majorHAnsi" w:hAnsiTheme="majorHAnsi" w:cstheme="majorHAnsi"/>
        </w:rPr>
        <w:t>s</w:t>
      </w:r>
      <w:r w:rsidR="002E059C">
        <w:rPr>
          <w:rFonts w:asciiTheme="majorHAnsi" w:hAnsiTheme="majorHAnsi" w:cstheme="majorHAnsi"/>
        </w:rPr>
        <w:t>el együtt</w:t>
      </w:r>
      <w:r w:rsidR="001E4127">
        <w:rPr>
          <w:rFonts w:asciiTheme="majorHAnsi" w:hAnsiTheme="majorHAnsi" w:cstheme="majorHAnsi"/>
        </w:rPr>
        <w:t>),</w:t>
      </w:r>
      <w:r w:rsidR="007213D0">
        <w:rPr>
          <w:rFonts w:asciiTheme="majorHAnsi" w:hAnsiTheme="majorHAnsi" w:cstheme="majorHAnsi"/>
        </w:rPr>
        <w:t xml:space="preserve"> valamint </w:t>
      </w:r>
      <w:r>
        <w:rPr>
          <w:rFonts w:asciiTheme="majorHAnsi" w:hAnsiTheme="majorHAnsi" w:cstheme="majorHAnsi"/>
        </w:rPr>
        <w:t xml:space="preserve">iskolafelkészítő tevékenységének szakmai és infrastrukturális feltételrendszerét. </w:t>
      </w:r>
    </w:p>
    <w:p w14:paraId="2C9FE8DC" w14:textId="77777777" w:rsidR="00A02981" w:rsidRDefault="00A02981" w:rsidP="00BC16EA">
      <w:pPr>
        <w:rPr>
          <w:rFonts w:asciiTheme="majorHAnsi" w:hAnsiTheme="majorHAnsi" w:cstheme="majorHAnsi"/>
        </w:rPr>
      </w:pPr>
    </w:p>
    <w:p w14:paraId="0DB51A4A" w14:textId="77777777" w:rsidR="00A02981" w:rsidRDefault="00A02981" w:rsidP="00BC16EA">
      <w:pPr>
        <w:rPr>
          <w:rFonts w:asciiTheme="majorHAnsi" w:hAnsiTheme="majorHAnsi" w:cstheme="majorHAnsi"/>
        </w:rPr>
      </w:pPr>
    </w:p>
    <w:p w14:paraId="77BE3E9A" w14:textId="77777777" w:rsidR="00A02981" w:rsidRDefault="00A02981" w:rsidP="00BC16EA">
      <w:pPr>
        <w:rPr>
          <w:rFonts w:asciiTheme="majorHAnsi" w:hAnsiTheme="majorHAnsi" w:cstheme="majorHAnsi"/>
        </w:rPr>
      </w:pPr>
    </w:p>
    <w:p w14:paraId="6E2407A1" w14:textId="77777777" w:rsidR="00BC1F52" w:rsidRPr="00584F06" w:rsidRDefault="00584F06" w:rsidP="00BC16EA">
      <w:pPr>
        <w:rPr>
          <w:rFonts w:asciiTheme="majorHAnsi" w:hAnsiTheme="majorHAnsi" w:cstheme="majorHAnsi"/>
          <w:u w:val="single"/>
        </w:rPr>
      </w:pPr>
      <w:r w:rsidRPr="00584F06">
        <w:rPr>
          <w:rFonts w:asciiTheme="majorHAnsi" w:hAnsiTheme="majorHAnsi" w:cstheme="majorHAnsi"/>
          <w:u w:val="single"/>
        </w:rPr>
        <w:lastRenderedPageBreak/>
        <w:t xml:space="preserve">A </w:t>
      </w:r>
      <w:r w:rsidR="00536C01">
        <w:rPr>
          <w:rFonts w:asciiTheme="majorHAnsi" w:hAnsiTheme="majorHAnsi" w:cstheme="majorHAnsi"/>
          <w:u w:val="single"/>
        </w:rPr>
        <w:t>kis</w:t>
      </w:r>
      <w:r w:rsidRPr="00584F06">
        <w:rPr>
          <w:rFonts w:asciiTheme="majorHAnsi" w:hAnsiTheme="majorHAnsi" w:cstheme="majorHAnsi"/>
          <w:u w:val="single"/>
        </w:rPr>
        <w:t>gyermekkori intézményes neveléshez kapcsolódó legfontosabb fejlesztési irányok:</w:t>
      </w:r>
    </w:p>
    <w:p w14:paraId="7745A804" w14:textId="77777777" w:rsidR="00764BE3" w:rsidRDefault="00764BE3" w:rsidP="00FE07E1">
      <w:pPr>
        <w:pStyle w:val="Listaszerbekezds"/>
        <w:numPr>
          <w:ilvl w:val="0"/>
          <w:numId w:val="10"/>
        </w:numPr>
        <w:rPr>
          <w:rFonts w:asciiTheme="majorHAnsi" w:hAnsiTheme="majorHAnsi" w:cstheme="majorHAnsi"/>
        </w:rPr>
      </w:pPr>
      <w:r>
        <w:rPr>
          <w:rFonts w:asciiTheme="majorHAnsi" w:hAnsiTheme="majorHAnsi" w:cstheme="majorHAnsi"/>
        </w:rPr>
        <w:t>korai gyermekkori nevelésbe való bekapcsolódás minél szélesebb körű biztosítása;</w:t>
      </w:r>
    </w:p>
    <w:p w14:paraId="464B9D76" w14:textId="64D15017" w:rsidR="00BC16EA" w:rsidRDefault="002F7206" w:rsidP="00FE07E1">
      <w:pPr>
        <w:pStyle w:val="Listaszerbekezds"/>
        <w:numPr>
          <w:ilvl w:val="0"/>
          <w:numId w:val="10"/>
        </w:numPr>
        <w:rPr>
          <w:rFonts w:asciiTheme="majorHAnsi" w:hAnsiTheme="majorHAnsi" w:cstheme="majorHAnsi"/>
        </w:rPr>
      </w:pPr>
      <w:r>
        <w:rPr>
          <w:rFonts w:asciiTheme="majorHAnsi" w:hAnsiTheme="majorHAnsi" w:cstheme="majorHAnsi"/>
        </w:rPr>
        <w:t>az óvodák</w:t>
      </w:r>
      <w:r w:rsidR="001E4127">
        <w:rPr>
          <w:rFonts w:asciiTheme="majorHAnsi" w:hAnsiTheme="majorHAnsi" w:cstheme="majorHAnsi"/>
        </w:rPr>
        <w:t>nak</w:t>
      </w:r>
      <w:r w:rsidR="00D908B0">
        <w:rPr>
          <w:rFonts w:asciiTheme="majorHAnsi" w:hAnsiTheme="majorHAnsi" w:cstheme="majorHAnsi"/>
        </w:rPr>
        <w:t xml:space="preserve"> </w:t>
      </w:r>
      <w:r w:rsidR="007213D0">
        <w:rPr>
          <w:rFonts w:asciiTheme="majorHAnsi" w:hAnsiTheme="majorHAnsi" w:cstheme="majorHAnsi"/>
        </w:rPr>
        <w:t>a gyermek személyiségének kibontakoztatását segítő nevelésének</w:t>
      </w:r>
      <w:r w:rsidR="001E4127">
        <w:rPr>
          <w:rFonts w:asciiTheme="majorHAnsi" w:hAnsiTheme="majorHAnsi" w:cstheme="majorHAnsi"/>
        </w:rPr>
        <w:t>,</w:t>
      </w:r>
      <w:r w:rsidR="007213D0">
        <w:rPr>
          <w:rFonts w:asciiTheme="majorHAnsi" w:hAnsiTheme="majorHAnsi" w:cstheme="majorHAnsi"/>
        </w:rPr>
        <w:t xml:space="preserve"> valamint </w:t>
      </w:r>
      <w:r>
        <w:rPr>
          <w:rFonts w:asciiTheme="majorHAnsi" w:hAnsiTheme="majorHAnsi" w:cstheme="majorHAnsi"/>
        </w:rPr>
        <w:t>iskolafelkészítő tevékenység</w:t>
      </w:r>
      <w:r w:rsidR="00764BE3">
        <w:rPr>
          <w:rFonts w:asciiTheme="majorHAnsi" w:hAnsiTheme="majorHAnsi" w:cstheme="majorHAnsi"/>
        </w:rPr>
        <w:t>ének</w:t>
      </w:r>
      <w:r w:rsidR="00666D8C">
        <w:rPr>
          <w:rFonts w:asciiTheme="majorHAnsi" w:hAnsiTheme="majorHAnsi" w:cstheme="majorHAnsi"/>
        </w:rPr>
        <w:t>, az óvoda-iskola átmenet elősegítésének</w:t>
      </w:r>
      <w:r w:rsidR="00764BE3">
        <w:rPr>
          <w:rFonts w:asciiTheme="majorHAnsi" w:hAnsiTheme="majorHAnsi" w:cstheme="majorHAnsi"/>
        </w:rPr>
        <w:t xml:space="preserve"> szakmai </w:t>
      </w:r>
      <w:r w:rsidR="00606002">
        <w:rPr>
          <w:rFonts w:asciiTheme="majorHAnsi" w:hAnsiTheme="majorHAnsi" w:cstheme="majorHAnsi"/>
        </w:rPr>
        <w:t xml:space="preserve">és infrastrukturális </w:t>
      </w:r>
      <w:r w:rsidR="001E276A">
        <w:rPr>
          <w:rFonts w:asciiTheme="majorHAnsi" w:hAnsiTheme="majorHAnsi" w:cstheme="majorHAnsi"/>
        </w:rPr>
        <w:t>támogatása;</w:t>
      </w:r>
    </w:p>
    <w:p w14:paraId="015C617D" w14:textId="6A74202E" w:rsidR="002C2673" w:rsidRDefault="00606002" w:rsidP="002C2673">
      <w:pPr>
        <w:pStyle w:val="Listaszerbekezds"/>
        <w:numPr>
          <w:ilvl w:val="0"/>
          <w:numId w:val="10"/>
        </w:numPr>
        <w:rPr>
          <w:rFonts w:asciiTheme="majorHAnsi" w:hAnsiTheme="majorHAnsi" w:cstheme="majorHAnsi"/>
        </w:rPr>
      </w:pPr>
      <w:r w:rsidRPr="00606002">
        <w:rPr>
          <w:rFonts w:asciiTheme="majorHAnsi" w:hAnsiTheme="majorHAnsi" w:cstheme="majorHAnsi"/>
        </w:rPr>
        <w:t>a gyakorló óvodák és gyakorlóiskolák rendszerének fejlesz</w:t>
      </w:r>
      <w:r w:rsidR="002C2673">
        <w:rPr>
          <w:rFonts w:asciiTheme="majorHAnsi" w:hAnsiTheme="majorHAnsi" w:cstheme="majorHAnsi"/>
        </w:rPr>
        <w:t>tése, felelősségük megerősítése</w:t>
      </w:r>
      <w:r w:rsidR="001E276A">
        <w:rPr>
          <w:rFonts w:asciiTheme="majorHAnsi" w:hAnsiTheme="majorHAnsi" w:cstheme="majorHAnsi"/>
        </w:rPr>
        <w:t>.</w:t>
      </w:r>
    </w:p>
    <w:p w14:paraId="228337C7" w14:textId="77777777" w:rsidR="00D921A9" w:rsidRPr="00D921A9" w:rsidRDefault="00D921A9" w:rsidP="00D921A9">
      <w:pPr>
        <w:pStyle w:val="Cmsor2"/>
      </w:pPr>
      <w:bookmarkStart w:id="44" w:name="_Toc35596129"/>
      <w:bookmarkStart w:id="45" w:name="_Toc46822706"/>
      <w:r w:rsidRPr="00D921A9">
        <w:t>A köznevelés</w:t>
      </w:r>
      <w:r w:rsidR="002E059C">
        <w:t>ben</w:t>
      </w:r>
      <w:r w:rsidRPr="00D921A9">
        <w:t>, mint állami közszolgálat</w:t>
      </w:r>
      <w:r w:rsidR="002E059C">
        <w:t>ban</w:t>
      </w:r>
      <w:r w:rsidRPr="00D921A9">
        <w:t xml:space="preserve"> résztvevő emberi erőforrás fejlesztése</w:t>
      </w:r>
      <w:bookmarkEnd w:id="44"/>
      <w:bookmarkEnd w:id="45"/>
    </w:p>
    <w:p w14:paraId="1EFF826B" w14:textId="77777777" w:rsidR="00B86FE8" w:rsidRPr="00DC6C83" w:rsidRDefault="00670695" w:rsidP="00D921A9">
      <w:pPr>
        <w:pStyle w:val="Cmsor3"/>
      </w:pPr>
      <w:bookmarkStart w:id="46" w:name="_Toc35596130"/>
      <w:bookmarkStart w:id="47" w:name="_Toc46822707"/>
      <w:r>
        <w:t>Pedagógusok felkészültségének, megbecsültségének növelése</w:t>
      </w:r>
      <w:bookmarkEnd w:id="46"/>
      <w:bookmarkEnd w:id="47"/>
    </w:p>
    <w:p w14:paraId="4B3B1465" w14:textId="77777777" w:rsidR="008D5A3A" w:rsidRDefault="00B86FE8" w:rsidP="00B86FE8">
      <w:pPr>
        <w:spacing w:line="276" w:lineRule="auto"/>
        <w:rPr>
          <w:rFonts w:asciiTheme="majorHAnsi" w:hAnsiTheme="majorHAnsi" w:cstheme="majorHAnsi"/>
        </w:rPr>
      </w:pPr>
      <w:r w:rsidRPr="00DC6C83">
        <w:rPr>
          <w:rFonts w:asciiTheme="majorHAnsi" w:hAnsiTheme="majorHAnsi" w:cstheme="majorHAnsi"/>
        </w:rPr>
        <w:t>Az utóbbi évek nemzetközi kutatásainak</w:t>
      </w:r>
      <w:r w:rsidRPr="00DC6C83">
        <w:rPr>
          <w:rStyle w:val="Lbjegyzet-hivatkozs"/>
          <w:rFonts w:asciiTheme="majorHAnsi" w:hAnsiTheme="majorHAnsi" w:cstheme="majorHAnsi"/>
        </w:rPr>
        <w:footnoteReference w:id="14"/>
      </w:r>
      <w:r w:rsidRPr="00DC6C83">
        <w:rPr>
          <w:rFonts w:asciiTheme="majorHAnsi" w:hAnsiTheme="majorHAnsi" w:cstheme="majorHAnsi"/>
        </w:rPr>
        <w:t xml:space="preserve"> és tudományos </w:t>
      </w:r>
      <w:r w:rsidR="00465CF3">
        <w:rPr>
          <w:rFonts w:asciiTheme="majorHAnsi" w:hAnsiTheme="majorHAnsi" w:cstheme="majorHAnsi"/>
        </w:rPr>
        <w:t>elemzése</w:t>
      </w:r>
      <w:r w:rsidR="00801503">
        <w:rPr>
          <w:rFonts w:asciiTheme="majorHAnsi" w:hAnsiTheme="majorHAnsi" w:cstheme="majorHAnsi"/>
        </w:rPr>
        <w:t>ine</w:t>
      </w:r>
      <w:r w:rsidR="00465CF3">
        <w:rPr>
          <w:rFonts w:asciiTheme="majorHAnsi" w:hAnsiTheme="majorHAnsi" w:cstheme="majorHAnsi"/>
        </w:rPr>
        <w:t>k</w:t>
      </w:r>
      <w:r w:rsidR="00A86D3B">
        <w:rPr>
          <w:rFonts w:asciiTheme="majorHAnsi" w:hAnsiTheme="majorHAnsi" w:cstheme="majorHAnsi"/>
        </w:rPr>
        <w:t xml:space="preserve"> </w:t>
      </w:r>
      <w:r w:rsidRPr="000A7388">
        <w:rPr>
          <w:rFonts w:asciiTheme="majorHAnsi" w:hAnsiTheme="majorHAnsi" w:cstheme="majorHAnsi"/>
        </w:rPr>
        <w:t>eredménye szerint az oktatási rendszerek sikeressége elsősorban a pedagógusokon múlik. Magyarországon</w:t>
      </w:r>
      <w:r w:rsidRPr="00DC6C83">
        <w:rPr>
          <w:rFonts w:asciiTheme="majorHAnsi" w:hAnsiTheme="majorHAnsi" w:cstheme="majorHAnsi"/>
        </w:rPr>
        <w:t xml:space="preserve"> a pedagógusképzés a harmadik legnépszerűbb képzési terület, ez a magyar oktatási rendszer eredményessége szempontjából kulcsfontosságú, hiszen az utánpótlás </w:t>
      </w:r>
      <w:r w:rsidR="00801503">
        <w:rPr>
          <w:rFonts w:asciiTheme="majorHAnsi" w:hAnsiTheme="majorHAnsi" w:cstheme="majorHAnsi"/>
        </w:rPr>
        <w:t>lehetősége</w:t>
      </w:r>
      <w:r w:rsidRPr="00DC6C83">
        <w:rPr>
          <w:rFonts w:asciiTheme="majorHAnsi" w:hAnsiTheme="majorHAnsi" w:cstheme="majorHAnsi"/>
        </w:rPr>
        <w:t xml:space="preserve"> megvan. </w:t>
      </w:r>
      <w:r w:rsidR="00152195" w:rsidRPr="00DC6C83">
        <w:rPr>
          <w:rFonts w:asciiTheme="majorHAnsi" w:hAnsiTheme="majorHAnsi" w:cstheme="majorHAnsi"/>
        </w:rPr>
        <w:t>A pedagóguspálya népszerűségének fenntartás</w:t>
      </w:r>
      <w:r w:rsidR="00152195">
        <w:rPr>
          <w:rFonts w:asciiTheme="majorHAnsi" w:hAnsiTheme="majorHAnsi" w:cstheme="majorHAnsi"/>
        </w:rPr>
        <w:t xml:space="preserve">ához </w:t>
      </w:r>
      <w:r w:rsidR="00152195" w:rsidRPr="00DC6C83">
        <w:rPr>
          <w:rFonts w:asciiTheme="majorHAnsi" w:hAnsiTheme="majorHAnsi" w:cstheme="majorHAnsi"/>
        </w:rPr>
        <w:t xml:space="preserve">fontos, hogy aki pedagógusként végez, az ezt a hivatást válassza, ne más mesterséget folytasson, továbbá aki ezen a pályán helyezkedett el, az a pályán is maradjon, és sikeres szakmai munkát végezzen. </w:t>
      </w:r>
    </w:p>
    <w:p w14:paraId="523587C1" w14:textId="03925A5B" w:rsidR="002D324B" w:rsidRPr="002D324B" w:rsidRDefault="00B86FE8" w:rsidP="002D324B">
      <w:pPr>
        <w:spacing w:line="276" w:lineRule="auto"/>
        <w:rPr>
          <w:rFonts w:asciiTheme="majorHAnsi" w:hAnsiTheme="majorHAnsi" w:cstheme="majorHAnsi"/>
        </w:rPr>
      </w:pPr>
      <w:r w:rsidRPr="00DC6C83">
        <w:rPr>
          <w:rFonts w:asciiTheme="majorHAnsi" w:hAnsiTheme="majorHAnsi" w:cstheme="majorHAnsi"/>
        </w:rPr>
        <w:t>Ennek érdekében érdemi előrelépést jelentett a 2013. szeptember 1-jén bevezetett új pedagógus előmeneteli rendszer, amely lehetővé teszi a pedagógusok munkaerő-piaci helyzetének, szakmai és társadalmi megbecsültségének javulását</w:t>
      </w:r>
      <w:r w:rsidR="00801503">
        <w:rPr>
          <w:rFonts w:asciiTheme="majorHAnsi" w:hAnsiTheme="majorHAnsi" w:cstheme="majorHAnsi"/>
        </w:rPr>
        <w:t>.</w:t>
      </w:r>
      <w:r w:rsidR="00A86D3B">
        <w:rPr>
          <w:rFonts w:asciiTheme="majorHAnsi" w:hAnsiTheme="majorHAnsi" w:cstheme="majorHAnsi"/>
        </w:rPr>
        <w:t xml:space="preserve"> </w:t>
      </w:r>
      <w:r w:rsidR="00801503">
        <w:rPr>
          <w:rFonts w:asciiTheme="majorHAnsi" w:hAnsiTheme="majorHAnsi" w:cstheme="majorHAnsi"/>
        </w:rPr>
        <w:t>E</w:t>
      </w:r>
      <w:r w:rsidR="00170AB1">
        <w:rPr>
          <w:rFonts w:asciiTheme="majorHAnsi" w:hAnsiTheme="majorHAnsi" w:cstheme="majorHAnsi"/>
        </w:rPr>
        <w:t xml:space="preserve">mellett </w:t>
      </w:r>
      <w:r w:rsidRPr="00DC6C83">
        <w:rPr>
          <w:rFonts w:asciiTheme="majorHAnsi" w:hAnsiTheme="majorHAnsi" w:cstheme="majorHAnsi"/>
        </w:rPr>
        <w:t>azonban</w:t>
      </w:r>
      <w:r w:rsidR="00170AB1">
        <w:rPr>
          <w:rFonts w:asciiTheme="majorHAnsi" w:hAnsiTheme="majorHAnsi" w:cstheme="majorHAnsi"/>
        </w:rPr>
        <w:t xml:space="preserve"> </w:t>
      </w:r>
      <w:r w:rsidRPr="00DC6C83">
        <w:rPr>
          <w:rFonts w:asciiTheme="majorHAnsi" w:hAnsiTheme="majorHAnsi" w:cstheme="majorHAnsi"/>
        </w:rPr>
        <w:t xml:space="preserve">folyamatosan </w:t>
      </w:r>
      <w:r w:rsidR="00801503">
        <w:rPr>
          <w:rFonts w:asciiTheme="majorHAnsi" w:hAnsiTheme="majorHAnsi" w:cstheme="majorHAnsi"/>
        </w:rPr>
        <w:t>figyelmet</w:t>
      </w:r>
      <w:r w:rsidRPr="00DC6C83">
        <w:rPr>
          <w:rFonts w:asciiTheme="majorHAnsi" w:hAnsiTheme="majorHAnsi" w:cstheme="majorHAnsi"/>
        </w:rPr>
        <w:t xml:space="preserve"> kell </w:t>
      </w:r>
      <w:r w:rsidR="00801503">
        <w:rPr>
          <w:rFonts w:asciiTheme="majorHAnsi" w:hAnsiTheme="majorHAnsi" w:cstheme="majorHAnsi"/>
        </w:rPr>
        <w:t>fordítani arra</w:t>
      </w:r>
      <w:r w:rsidRPr="00DC6C83">
        <w:rPr>
          <w:rFonts w:asciiTheme="majorHAnsi" w:hAnsiTheme="majorHAnsi" w:cstheme="majorHAnsi"/>
        </w:rPr>
        <w:t>, hogy a bérek növekedésével a pálya vonzereje meg</w:t>
      </w:r>
      <w:r w:rsidR="00170AB1">
        <w:rPr>
          <w:rFonts w:asciiTheme="majorHAnsi" w:hAnsiTheme="majorHAnsi" w:cstheme="majorHAnsi"/>
        </w:rPr>
        <w:t xml:space="preserve"> is </w:t>
      </w:r>
      <w:r w:rsidRPr="00DC6C83">
        <w:rPr>
          <w:rFonts w:asciiTheme="majorHAnsi" w:hAnsiTheme="majorHAnsi" w:cstheme="majorHAnsi"/>
        </w:rPr>
        <w:t>maradjon, illetve javuljon.</w:t>
      </w:r>
      <w:r w:rsidR="0051277E">
        <w:rPr>
          <w:rFonts w:asciiTheme="majorHAnsi" w:hAnsiTheme="majorHAnsi" w:cstheme="majorHAnsi"/>
        </w:rPr>
        <w:t xml:space="preserve"> </w:t>
      </w:r>
      <w:r w:rsidR="00152195">
        <w:rPr>
          <w:rFonts w:asciiTheme="majorHAnsi" w:hAnsiTheme="majorHAnsi" w:cstheme="majorHAnsi"/>
        </w:rPr>
        <w:t xml:space="preserve">Ennek érdekében figyelemmel kell lenni a pedagógus átlagbérek és a diplomás átlagbérek viszonyára is, valamint arra, hogy </w:t>
      </w:r>
      <w:proofErr w:type="gramStart"/>
      <w:r w:rsidR="00152195">
        <w:rPr>
          <w:rFonts w:asciiTheme="majorHAnsi" w:hAnsiTheme="majorHAnsi" w:cstheme="majorHAnsi"/>
        </w:rPr>
        <w:t>a</w:t>
      </w:r>
      <w:proofErr w:type="gramEnd"/>
      <w:r w:rsidR="00152195">
        <w:rPr>
          <w:rFonts w:asciiTheme="majorHAnsi" w:hAnsiTheme="majorHAnsi" w:cstheme="majorHAnsi"/>
        </w:rPr>
        <w:t xml:space="preserve"> bérek versenyképesek maradjanak</w:t>
      </w:r>
      <w:r w:rsidR="00EE6A53">
        <w:rPr>
          <w:rFonts w:asciiTheme="majorHAnsi" w:hAnsiTheme="majorHAnsi" w:cstheme="majorHAnsi"/>
        </w:rPr>
        <w:t>.</w:t>
      </w:r>
      <w:r w:rsidR="002D324B" w:rsidRPr="002D324B">
        <w:rPr>
          <w:rFonts w:asciiTheme="majorHAnsi" w:hAnsiTheme="majorHAnsi" w:cstheme="majorHAnsi"/>
        </w:rPr>
        <w:t xml:space="preserve"> </w:t>
      </w:r>
      <w:r w:rsidR="00EE6A53">
        <w:rPr>
          <w:rFonts w:asciiTheme="majorHAnsi" w:hAnsiTheme="majorHAnsi" w:cstheme="majorHAnsi"/>
        </w:rPr>
        <w:t>A</w:t>
      </w:r>
      <w:r w:rsidR="002D324B" w:rsidRPr="002D324B">
        <w:rPr>
          <w:rFonts w:asciiTheme="majorHAnsi" w:hAnsiTheme="majorHAnsi" w:cstheme="majorHAnsi"/>
        </w:rPr>
        <w:t xml:space="preserve"> Kormány áttekintette a pedagógus bérek emelésének lehetőségét és úgy döntött, hogy 2020 júliusától 10 %-kal emeli a pedagógusok bérét. A béremelés közel 170.000 pedagógust érint. A béremelés technikailag egy ágazati szakmai pótlék bevezetésével történik, </w:t>
      </w:r>
      <w:r w:rsidR="00EE6A53">
        <w:rPr>
          <w:rFonts w:asciiTheme="majorHAnsi" w:hAnsiTheme="majorHAnsi" w:cstheme="majorHAnsi"/>
        </w:rPr>
        <w:t>a</w:t>
      </w:r>
      <w:r w:rsidR="002D324B" w:rsidRPr="002D324B">
        <w:rPr>
          <w:rFonts w:asciiTheme="majorHAnsi" w:hAnsiTheme="majorHAnsi" w:cstheme="majorHAnsi"/>
        </w:rPr>
        <w:t xml:space="preserve">melyre minden pedagógus munkakörben foglalkoztatott személy jogosult. A gyakornoki besorolású pedagógusok esetében a garantált diplomás bérminimumon felül érvényesül az ágazati pótlék, ami </w:t>
      </w:r>
      <w:r w:rsidR="00EE6A53">
        <w:rPr>
          <w:rFonts w:asciiTheme="majorHAnsi" w:hAnsiTheme="majorHAnsi" w:cstheme="majorHAnsi"/>
        </w:rPr>
        <w:t xml:space="preserve">2020. </w:t>
      </w:r>
      <w:r w:rsidR="002D324B" w:rsidRPr="002D324B">
        <w:rPr>
          <w:rFonts w:asciiTheme="majorHAnsi" w:hAnsiTheme="majorHAnsi" w:cstheme="majorHAnsi"/>
        </w:rPr>
        <w:t>január elsejétől 8%-kal emelkedett, ezen újabb 10 %-os emeléssel</w:t>
      </w:r>
      <w:r w:rsidR="00AD427C">
        <w:rPr>
          <w:rFonts w:asciiTheme="majorHAnsi" w:hAnsiTheme="majorHAnsi" w:cstheme="majorHAnsi"/>
        </w:rPr>
        <w:t>,</w:t>
      </w:r>
      <w:r w:rsidR="002D324B" w:rsidRPr="002D324B">
        <w:rPr>
          <w:rFonts w:asciiTheme="majorHAnsi" w:hAnsiTheme="majorHAnsi" w:cstheme="majorHAnsi"/>
        </w:rPr>
        <w:t xml:space="preserve"> tehát összegezve fél év alatt 18 %-kal emelkedik az érintettek bére. </w:t>
      </w:r>
    </w:p>
    <w:p w14:paraId="34B28BE9" w14:textId="2FC45BEA" w:rsidR="008D5A3A" w:rsidRDefault="002D324B" w:rsidP="00B86FE8">
      <w:pPr>
        <w:spacing w:line="276" w:lineRule="auto"/>
        <w:rPr>
          <w:rFonts w:asciiTheme="majorHAnsi" w:hAnsiTheme="majorHAnsi" w:cstheme="majorHAnsi"/>
        </w:rPr>
      </w:pPr>
      <w:r w:rsidRPr="002D324B">
        <w:rPr>
          <w:rFonts w:asciiTheme="majorHAnsi" w:hAnsiTheme="majorHAnsi" w:cstheme="majorHAnsi"/>
        </w:rPr>
        <w:t>A köznevelés hatékonyságának és színvonalának további emelése szempontjából fontos az iskolai menedzsment feladata, ezért támogattuk az intézményvezetők és helyetteseik juttatásainak emelését.</w:t>
      </w:r>
      <w:r w:rsidR="00BA7A5C">
        <w:rPr>
          <w:rFonts w:asciiTheme="majorHAnsi" w:hAnsiTheme="majorHAnsi" w:cstheme="majorHAnsi"/>
        </w:rPr>
        <w:t xml:space="preserve"> </w:t>
      </w:r>
      <w:r w:rsidRPr="005C4944">
        <w:t xml:space="preserve">Ezen túl a minőségi munkavégzés támogatása céljából lehetőség nyílik az intézmény vezetője által nyújtott munkateljesítmény alapján külön ösztönzési </w:t>
      </w:r>
      <w:r w:rsidRPr="005C4944">
        <w:lastRenderedPageBreak/>
        <w:t xml:space="preserve">keresetkiegészítés megítélésére is, ezzel az a célunk, hogy a bér egy részét teljesítményük alapján kapják az igazgatók. </w:t>
      </w:r>
      <w:r w:rsidR="008B46EE">
        <w:rPr>
          <w:rFonts w:asciiTheme="majorHAnsi" w:hAnsiTheme="majorHAnsi" w:cstheme="majorHAnsi"/>
        </w:rPr>
        <w:t>A</w:t>
      </w:r>
      <w:r w:rsidR="003A38E6">
        <w:rPr>
          <w:rFonts w:asciiTheme="majorHAnsi" w:hAnsiTheme="majorHAnsi" w:cstheme="majorHAnsi"/>
        </w:rPr>
        <w:t xml:space="preserve"> motiváció</w:t>
      </w:r>
      <w:r w:rsidR="008B46EE">
        <w:rPr>
          <w:rFonts w:asciiTheme="majorHAnsi" w:hAnsiTheme="majorHAnsi" w:cstheme="majorHAnsi"/>
        </w:rPr>
        <w:t xml:space="preserve"> és az elkötelezettség szempontjából fontos, hogy a pedagógusok számára folyamatosan elérhetőek legyenek a szakmai fejlődést elősegítő, színvonalas továbbképzések, </w:t>
      </w:r>
      <w:r w:rsidR="003A38E6">
        <w:rPr>
          <w:rFonts w:asciiTheme="majorHAnsi" w:hAnsiTheme="majorHAnsi" w:cstheme="majorHAnsi"/>
        </w:rPr>
        <w:t xml:space="preserve">egyúttal </w:t>
      </w:r>
      <w:r w:rsidR="008B46EE">
        <w:rPr>
          <w:rFonts w:asciiTheme="majorHAnsi" w:hAnsiTheme="majorHAnsi" w:cstheme="majorHAnsi"/>
        </w:rPr>
        <w:t>még jobban teret nyerjenek az intézményeken belüli, illetve intézmények közötti szakmai együttműködési formák a mindennapokban, valamint a pedagógusok támogatást kapjanak mentális egészségi állapotuk megőrzéséhez.</w:t>
      </w:r>
    </w:p>
    <w:p w14:paraId="40AE34A6" w14:textId="77777777" w:rsidR="008B46EE" w:rsidRDefault="008D5A3A" w:rsidP="00B86FE8">
      <w:pPr>
        <w:spacing w:line="276" w:lineRule="auto"/>
        <w:rPr>
          <w:rFonts w:asciiTheme="majorHAnsi" w:hAnsiTheme="majorHAnsi" w:cstheme="majorHAnsi"/>
        </w:rPr>
      </w:pPr>
      <w:r>
        <w:rPr>
          <w:rFonts w:asciiTheme="majorHAnsi" w:hAnsiTheme="majorHAnsi" w:cstheme="majorHAnsi"/>
        </w:rPr>
        <w:t>A pedagóguspálya társadalmi presztízs</w:t>
      </w:r>
      <w:r w:rsidR="00801503">
        <w:rPr>
          <w:rFonts w:asciiTheme="majorHAnsi" w:hAnsiTheme="majorHAnsi" w:cstheme="majorHAnsi"/>
        </w:rPr>
        <w:t>ének megtartásához nagyban hozzájárul az is</w:t>
      </w:r>
      <w:r>
        <w:rPr>
          <w:rFonts w:asciiTheme="majorHAnsi" w:hAnsiTheme="majorHAnsi" w:cstheme="majorHAnsi"/>
        </w:rPr>
        <w:t xml:space="preserve">, hogy a </w:t>
      </w:r>
      <w:r w:rsidRPr="003878C9">
        <w:rPr>
          <w:rFonts w:asciiTheme="majorHAnsi" w:hAnsiTheme="majorHAnsi" w:cstheme="majorHAnsi"/>
        </w:rPr>
        <w:t>pedagógusok zavartalan munkakörülménye</w:t>
      </w:r>
      <w:r>
        <w:rPr>
          <w:rFonts w:asciiTheme="majorHAnsi" w:hAnsiTheme="majorHAnsi" w:cstheme="majorHAnsi"/>
        </w:rPr>
        <w:t>k között, biztonságban tudják ellátni feladataikat</w:t>
      </w:r>
      <w:r w:rsidR="00801503">
        <w:rPr>
          <w:rFonts w:asciiTheme="majorHAnsi" w:hAnsiTheme="majorHAnsi" w:cstheme="majorHAnsi"/>
        </w:rPr>
        <w:t>.</w:t>
      </w:r>
      <w:r w:rsidR="00A86D3B">
        <w:rPr>
          <w:rFonts w:asciiTheme="majorHAnsi" w:hAnsiTheme="majorHAnsi" w:cstheme="majorHAnsi"/>
        </w:rPr>
        <w:t xml:space="preserve"> </w:t>
      </w:r>
      <w:r>
        <w:rPr>
          <w:rFonts w:asciiTheme="majorHAnsi" w:hAnsiTheme="majorHAnsi" w:cstheme="majorHAnsi"/>
        </w:rPr>
        <w:t>Ezért fontos célunk a pedagógusok elleni verbális és fizikai erőszak megszüntetése, amely komplex, több megközelítést tartalmazó és</w:t>
      </w:r>
      <w:r w:rsidR="00A86D3B">
        <w:rPr>
          <w:rFonts w:asciiTheme="majorHAnsi" w:hAnsiTheme="majorHAnsi" w:cstheme="majorHAnsi"/>
        </w:rPr>
        <w:t xml:space="preserve"> </w:t>
      </w:r>
      <w:r w:rsidRPr="002C7F27">
        <w:rPr>
          <w:rFonts w:asciiTheme="majorHAnsi" w:hAnsiTheme="majorHAnsi" w:cstheme="majorHAnsi"/>
        </w:rPr>
        <w:t>rendszerszintű</w:t>
      </w:r>
      <w:r>
        <w:rPr>
          <w:rFonts w:asciiTheme="majorHAnsi" w:hAnsiTheme="majorHAnsi" w:cstheme="majorHAnsi"/>
        </w:rPr>
        <w:t xml:space="preserve"> intézkedéseket tesz szükségessé</w:t>
      </w:r>
      <w:r w:rsidR="004814EC">
        <w:rPr>
          <w:rFonts w:asciiTheme="majorHAnsi" w:hAnsiTheme="majorHAnsi" w:cstheme="majorHAnsi"/>
        </w:rPr>
        <w:t>.</w:t>
      </w:r>
    </w:p>
    <w:p w14:paraId="76269752" w14:textId="77777777" w:rsidR="00AA5B17" w:rsidRDefault="00AA5B17" w:rsidP="00B86FE8">
      <w:pPr>
        <w:spacing w:line="276" w:lineRule="auto"/>
        <w:rPr>
          <w:rFonts w:asciiTheme="majorHAnsi" w:hAnsiTheme="majorHAnsi" w:cstheme="majorHAnsi"/>
        </w:rPr>
      </w:pPr>
      <w:r>
        <w:rPr>
          <w:rFonts w:asciiTheme="majorHAnsi" w:hAnsiTheme="majorHAnsi" w:cstheme="majorHAnsi"/>
        </w:rPr>
        <w:t xml:space="preserve">A pedagógus-utánpótlás megfelelő biztosítása </w:t>
      </w:r>
      <w:r w:rsidRPr="00AA5B17">
        <w:rPr>
          <w:rFonts w:asciiTheme="majorHAnsi" w:hAnsiTheme="majorHAnsi" w:cstheme="majorHAnsi"/>
        </w:rPr>
        <w:t xml:space="preserve">jelentős kihívást jelent az egész ágazat számára. A magyar felsőoktatás képzési kapacitása a </w:t>
      </w:r>
      <w:r>
        <w:rPr>
          <w:rFonts w:asciiTheme="majorHAnsi" w:hAnsiTheme="majorHAnsi" w:cstheme="majorHAnsi"/>
        </w:rPr>
        <w:t>jelenlegi</w:t>
      </w:r>
      <w:r w:rsidRPr="00AA5B17">
        <w:rPr>
          <w:rFonts w:asciiTheme="majorHAnsi" w:hAnsiTheme="majorHAnsi" w:cstheme="majorHAnsi"/>
        </w:rPr>
        <w:t xml:space="preserve"> felvételi és kibocsátási számokkal elvileg képes a kilépő pedagógusok pótlására. </w:t>
      </w:r>
      <w:r>
        <w:rPr>
          <w:rFonts w:asciiTheme="majorHAnsi" w:hAnsiTheme="majorHAnsi" w:cstheme="majorHAnsi"/>
        </w:rPr>
        <w:t>U</w:t>
      </w:r>
      <w:r w:rsidRPr="00AA5B17">
        <w:rPr>
          <w:rFonts w:asciiTheme="majorHAnsi" w:hAnsiTheme="majorHAnsi" w:cstheme="majorHAnsi"/>
        </w:rPr>
        <w:t>gyanakkor a következő években</w:t>
      </w:r>
      <w:r>
        <w:rPr>
          <w:rFonts w:asciiTheme="majorHAnsi" w:hAnsiTheme="majorHAnsi" w:cstheme="majorHAnsi"/>
        </w:rPr>
        <w:t xml:space="preserve"> – tekintettel a nyugdíjba lépő generációk létszámának </w:t>
      </w:r>
      <w:r w:rsidR="000A73D4">
        <w:rPr>
          <w:rFonts w:asciiTheme="majorHAnsi" w:hAnsiTheme="majorHAnsi" w:cstheme="majorHAnsi"/>
        </w:rPr>
        <w:t xml:space="preserve">erőteljes </w:t>
      </w:r>
      <w:r>
        <w:rPr>
          <w:rFonts w:asciiTheme="majorHAnsi" w:hAnsiTheme="majorHAnsi" w:cstheme="majorHAnsi"/>
        </w:rPr>
        <w:t xml:space="preserve">növekedésére is – </w:t>
      </w:r>
      <w:r w:rsidRPr="00AA5B17">
        <w:rPr>
          <w:rFonts w:asciiTheme="majorHAnsi" w:hAnsiTheme="majorHAnsi" w:cstheme="majorHAnsi"/>
        </w:rPr>
        <w:t>egyértelműen arra kell törekedni, hogy a fiatalok számára vonzóbbá tegyük a pedagógushivatást, és a legkiválóbbak válasszák hivatásuknak a tanítást, valamint megoldást kell találnunk arra, hogy a fiatal, rátermett pályakezdő pedagógusok a pályán maradjanak</w:t>
      </w:r>
      <w:r>
        <w:rPr>
          <w:rFonts w:asciiTheme="majorHAnsi" w:hAnsiTheme="majorHAnsi" w:cstheme="majorHAnsi"/>
        </w:rPr>
        <w:t>.</w:t>
      </w:r>
    </w:p>
    <w:p w14:paraId="41882EE2" w14:textId="77777777" w:rsidR="00BB75C7" w:rsidRPr="00BB75C7" w:rsidRDefault="00BB75C7" w:rsidP="00DB4EE6">
      <w:pPr>
        <w:pStyle w:val="Abracim"/>
      </w:pPr>
      <w:r w:rsidRPr="00BB75C7">
        <w:t xml:space="preserve">Pedagógusok </w:t>
      </w:r>
      <w:r w:rsidR="00881725">
        <w:t>átlagos életkora az európai unió országaiban</w:t>
      </w:r>
    </w:p>
    <w:p w14:paraId="207B64F4" w14:textId="77777777" w:rsidR="00BB75C7" w:rsidRDefault="00881725" w:rsidP="00DB4EE6">
      <w:pPr>
        <w:spacing w:line="276" w:lineRule="auto"/>
        <w:jc w:val="center"/>
        <w:rPr>
          <w:rFonts w:asciiTheme="majorHAnsi" w:hAnsiTheme="majorHAnsi" w:cstheme="majorHAnsi"/>
        </w:rPr>
      </w:pPr>
      <w:r>
        <w:rPr>
          <w:rFonts w:asciiTheme="majorHAnsi" w:hAnsiTheme="majorHAnsi" w:cstheme="majorHAnsi"/>
          <w:noProof/>
          <w:lang w:eastAsia="hu-HU"/>
        </w:rPr>
        <w:drawing>
          <wp:inline distT="0" distB="0" distL="0" distR="0" wp14:anchorId="143B9A1C" wp14:editId="4D93D04E">
            <wp:extent cx="5319423" cy="2115792"/>
            <wp:effectExtent l="19050" t="19050" r="14605" b="1841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3912" r="16017"/>
                    <a:stretch/>
                  </pic:blipFill>
                  <pic:spPr bwMode="auto">
                    <a:xfrm>
                      <a:off x="0" y="0"/>
                      <a:ext cx="5334616" cy="2121835"/>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8DC97BE" w14:textId="77777777" w:rsidR="00BB75C7" w:rsidRPr="00DB4EE6" w:rsidRDefault="00BB75C7" w:rsidP="00DB4EE6">
      <w:pPr>
        <w:spacing w:line="276" w:lineRule="auto"/>
        <w:jc w:val="center"/>
        <w:rPr>
          <w:rFonts w:asciiTheme="majorHAnsi" w:hAnsiTheme="majorHAnsi" w:cstheme="majorHAnsi"/>
          <w:i/>
          <w:sz w:val="20"/>
        </w:rPr>
      </w:pPr>
      <w:r w:rsidRPr="00DB4EE6">
        <w:rPr>
          <w:rFonts w:asciiTheme="majorHAnsi" w:hAnsiTheme="majorHAnsi" w:cstheme="majorHAnsi"/>
          <w:i/>
          <w:sz w:val="20"/>
        </w:rPr>
        <w:t xml:space="preserve">Forrás: </w:t>
      </w:r>
      <w:r w:rsidR="00881725">
        <w:rPr>
          <w:rFonts w:asciiTheme="majorHAnsi" w:hAnsiTheme="majorHAnsi" w:cstheme="majorHAnsi"/>
          <w:i/>
          <w:sz w:val="20"/>
        </w:rPr>
        <w:t>Oktatási Hivatal jelentése a TALIS 2018 felmérésről</w:t>
      </w:r>
    </w:p>
    <w:p w14:paraId="01B62939" w14:textId="1ED04DAA" w:rsidR="00B86FE8" w:rsidRPr="00DC6C83" w:rsidRDefault="00B86FE8" w:rsidP="00B86FE8">
      <w:pPr>
        <w:spacing w:line="276" w:lineRule="auto"/>
        <w:rPr>
          <w:rFonts w:asciiTheme="majorHAnsi" w:hAnsiTheme="majorHAnsi" w:cstheme="majorHAnsi"/>
        </w:rPr>
      </w:pPr>
      <w:r w:rsidRPr="000A7388">
        <w:rPr>
          <w:rFonts w:asciiTheme="majorHAnsi" w:hAnsiTheme="majorHAnsi" w:cstheme="majorHAnsi"/>
        </w:rPr>
        <w:t>A Magyar Nemzeti Bank (2019) versenyképességi programjában is kiemelt szerepet kap a tudásalapú társadalom fejlesztése. Elemzéseik szerint</w:t>
      </w:r>
      <w:r w:rsidRPr="00DC6C83">
        <w:rPr>
          <w:rFonts w:asciiTheme="majorHAnsi" w:hAnsiTheme="majorHAnsi" w:cstheme="majorHAnsi"/>
        </w:rPr>
        <w:t xml:space="preserve"> a</w:t>
      </w:r>
      <w:r w:rsidRPr="00DC6C83">
        <w:rPr>
          <w:rFonts w:asciiTheme="majorHAnsi" w:hAnsiTheme="majorHAnsi" w:cstheme="majorHAnsi"/>
          <w:bCs/>
        </w:rPr>
        <w:t xml:space="preserve"> tanári pálya anyagi megbecsültsége elmarad más felsőfokú végzettséget igénylő foglalkozástól</w:t>
      </w:r>
      <w:r w:rsidRPr="00DC6C83">
        <w:rPr>
          <w:rFonts w:asciiTheme="majorHAnsi" w:hAnsiTheme="majorHAnsi" w:cstheme="majorHAnsi"/>
        </w:rPr>
        <w:t>. Hazánkban a köznevelésben dolgozók átlagos bére az életpályamodell bevezetése ellenére is csupán a felsőfokú végzettséggel rendelkezők fizetésének 70–75 százaléka (2010-ben ez a mutató 55%</w:t>
      </w:r>
      <w:r w:rsidR="00057778">
        <w:rPr>
          <w:rFonts w:asciiTheme="majorHAnsi" w:hAnsiTheme="majorHAnsi" w:cstheme="majorHAnsi"/>
        </w:rPr>
        <w:t>-os</w:t>
      </w:r>
      <w:r w:rsidRPr="00DC6C83">
        <w:rPr>
          <w:rFonts w:asciiTheme="majorHAnsi" w:hAnsiTheme="majorHAnsi" w:cstheme="majorHAnsi"/>
        </w:rPr>
        <w:t xml:space="preserve"> volt). Ez az érték magasabb a többi visegrádi ország átlagánál, azonban jelentősen elmarad </w:t>
      </w:r>
      <w:r w:rsidR="00057778">
        <w:rPr>
          <w:rFonts w:asciiTheme="majorHAnsi" w:hAnsiTheme="majorHAnsi" w:cstheme="majorHAnsi"/>
        </w:rPr>
        <w:t xml:space="preserve">például </w:t>
      </w:r>
      <w:r w:rsidRPr="00DC6C83">
        <w:rPr>
          <w:rFonts w:asciiTheme="majorHAnsi" w:hAnsiTheme="majorHAnsi" w:cstheme="majorHAnsi"/>
        </w:rPr>
        <w:t xml:space="preserve">az osztrák és az </w:t>
      </w:r>
      <w:r w:rsidR="00057778">
        <w:rPr>
          <w:rFonts w:asciiTheme="majorHAnsi" w:hAnsiTheme="majorHAnsi" w:cstheme="majorHAnsi"/>
        </w:rPr>
        <w:t xml:space="preserve">OECD </w:t>
      </w:r>
      <w:r w:rsidRPr="00DC6C83">
        <w:rPr>
          <w:rFonts w:asciiTheme="majorHAnsi" w:hAnsiTheme="majorHAnsi" w:cstheme="majorHAnsi"/>
        </w:rPr>
        <w:t xml:space="preserve">átlagos színvonaltól. A tanári </w:t>
      </w:r>
      <w:proofErr w:type="spellStart"/>
      <w:r w:rsidRPr="00DC6C83">
        <w:rPr>
          <w:rFonts w:asciiTheme="majorHAnsi" w:hAnsiTheme="majorHAnsi" w:cstheme="majorHAnsi"/>
        </w:rPr>
        <w:t>karrierutat</w:t>
      </w:r>
      <w:proofErr w:type="spellEnd"/>
      <w:r w:rsidRPr="00DC6C83">
        <w:rPr>
          <w:rFonts w:asciiTheme="majorHAnsi" w:hAnsiTheme="majorHAnsi" w:cstheme="majorHAnsi"/>
        </w:rPr>
        <w:t xml:space="preserve"> választók körében az elérhető jövedelemből, a jövőképből és a presztízsből kifolyólag további intézkedések h</w:t>
      </w:r>
      <w:r w:rsidR="005C4944">
        <w:rPr>
          <w:rFonts w:asciiTheme="majorHAnsi" w:hAnsiTheme="majorHAnsi" w:cstheme="majorHAnsi"/>
        </w:rPr>
        <w:t xml:space="preserve">iányában fennáll a kockázata a </w:t>
      </w:r>
      <w:r w:rsidRPr="00DC6C83">
        <w:rPr>
          <w:rFonts w:asciiTheme="majorHAnsi" w:hAnsiTheme="majorHAnsi" w:cstheme="majorHAnsi"/>
        </w:rPr>
        <w:t>színvonal és a hatékonyság romlásának.</w:t>
      </w:r>
    </w:p>
    <w:p w14:paraId="445810FA" w14:textId="1464B345" w:rsidR="00B86FE8" w:rsidRDefault="00B86FE8" w:rsidP="00B86FE8">
      <w:pPr>
        <w:spacing w:line="276" w:lineRule="auto"/>
        <w:rPr>
          <w:rFonts w:asciiTheme="majorHAnsi" w:hAnsiTheme="majorHAnsi" w:cstheme="majorHAnsi"/>
        </w:rPr>
      </w:pPr>
      <w:r w:rsidRPr="00DC6C83">
        <w:rPr>
          <w:rFonts w:asciiTheme="majorHAnsi" w:hAnsiTheme="majorHAnsi" w:cstheme="majorHAnsi"/>
        </w:rPr>
        <w:lastRenderedPageBreak/>
        <w:t xml:space="preserve">A tanárok módszertani és a tananyaggal kapcsolatos rendszeres továbbképzése az oktatás színvonalának növelése </w:t>
      </w:r>
      <w:r w:rsidR="00817FEE">
        <w:rPr>
          <w:rFonts w:asciiTheme="majorHAnsi" w:hAnsiTheme="majorHAnsi" w:cstheme="majorHAnsi"/>
        </w:rPr>
        <w:t>érdekében,</w:t>
      </w:r>
      <w:r w:rsidRPr="00DC6C83">
        <w:rPr>
          <w:rFonts w:asciiTheme="majorHAnsi" w:hAnsiTheme="majorHAnsi" w:cstheme="majorHAnsi"/>
        </w:rPr>
        <w:t xml:space="preserve"> a </w:t>
      </w:r>
      <w:r w:rsidR="003D12D2">
        <w:rPr>
          <w:rFonts w:asciiTheme="majorHAnsi" w:hAnsiTheme="majorHAnsi" w:cstheme="majorHAnsi"/>
        </w:rPr>
        <w:t>pedagógus</w:t>
      </w:r>
      <w:r w:rsidRPr="00DC6C83">
        <w:rPr>
          <w:rFonts w:asciiTheme="majorHAnsi" w:hAnsiTheme="majorHAnsi" w:cstheme="majorHAnsi"/>
        </w:rPr>
        <w:t xml:space="preserve"> továbbképzések korszerűsítése (</w:t>
      </w:r>
      <w:r w:rsidR="00817FEE">
        <w:rPr>
          <w:rFonts w:asciiTheme="majorHAnsi" w:hAnsiTheme="majorHAnsi" w:cstheme="majorHAnsi"/>
        </w:rPr>
        <w:t>például</w:t>
      </w:r>
      <w:r w:rsidRPr="00DC6C83">
        <w:rPr>
          <w:rFonts w:asciiTheme="majorHAnsi" w:hAnsiTheme="majorHAnsi" w:cstheme="majorHAnsi"/>
        </w:rPr>
        <w:t xml:space="preserve"> digitális </w:t>
      </w:r>
      <w:r w:rsidR="00EA5F43">
        <w:rPr>
          <w:rFonts w:asciiTheme="majorHAnsi" w:hAnsiTheme="majorHAnsi" w:cstheme="majorHAnsi"/>
        </w:rPr>
        <w:t>kompetenciák, módszertanok</w:t>
      </w:r>
      <w:r w:rsidRPr="00DC6C83">
        <w:rPr>
          <w:rFonts w:asciiTheme="majorHAnsi" w:hAnsiTheme="majorHAnsi" w:cstheme="majorHAnsi"/>
        </w:rPr>
        <w:t>)</w:t>
      </w:r>
      <w:r w:rsidR="00817FEE">
        <w:rPr>
          <w:rFonts w:asciiTheme="majorHAnsi" w:hAnsiTheme="majorHAnsi" w:cstheme="majorHAnsi"/>
        </w:rPr>
        <w:t>,</w:t>
      </w:r>
      <w:r w:rsidRPr="00DC6C83">
        <w:rPr>
          <w:rFonts w:asciiTheme="majorHAnsi" w:hAnsiTheme="majorHAnsi" w:cstheme="majorHAnsi"/>
        </w:rPr>
        <w:t xml:space="preserve"> kínálatának bővítése kiemelt intézkedése lehet a következő éveknek.</w:t>
      </w:r>
      <w:r w:rsidR="00590E5D">
        <w:rPr>
          <w:rFonts w:asciiTheme="majorHAnsi" w:hAnsiTheme="majorHAnsi" w:cstheme="majorHAnsi"/>
        </w:rPr>
        <w:t xml:space="preserve"> </w:t>
      </w:r>
      <w:r w:rsidR="00152195">
        <w:rPr>
          <w:rFonts w:asciiTheme="majorHAnsi" w:hAnsiTheme="majorHAnsi" w:cstheme="majorHAnsi"/>
        </w:rPr>
        <w:t>Ez egyúttal egy tágabban értelmezett pedagógus motivációs eszközrendszer elemének is tekinthető. A</w:t>
      </w:r>
      <w:r w:rsidR="001C1AFA">
        <w:rPr>
          <w:rFonts w:asciiTheme="majorHAnsi" w:hAnsiTheme="majorHAnsi" w:cstheme="majorHAnsi"/>
        </w:rPr>
        <w:t>z</w:t>
      </w:r>
      <w:r w:rsidR="00152195">
        <w:rPr>
          <w:rFonts w:asciiTheme="majorHAnsi" w:hAnsiTheme="majorHAnsi" w:cstheme="majorHAnsi"/>
        </w:rPr>
        <w:t xml:space="preserve"> </w:t>
      </w:r>
      <w:r w:rsidR="00E117AC">
        <w:rPr>
          <w:rFonts w:asciiTheme="majorHAnsi" w:hAnsiTheme="majorHAnsi" w:cstheme="majorHAnsi"/>
        </w:rPr>
        <w:t>anyagi eszközö</w:t>
      </w:r>
      <w:r w:rsidR="00152195">
        <w:rPr>
          <w:rFonts w:asciiTheme="majorHAnsi" w:hAnsiTheme="majorHAnsi" w:cstheme="majorHAnsi"/>
        </w:rPr>
        <w:t xml:space="preserve">k mellett számos más megoldás is szóba jöhet (pl. kedvezményrendszer kialakítása, pozitív elismerések megerősítése, stb.), amelyek megvalósíthatóságát részletesen meg kell vizsgálni. </w:t>
      </w:r>
    </w:p>
    <w:p w14:paraId="7FF4A66C" w14:textId="77777777" w:rsidR="003D12D2" w:rsidRDefault="003D12D2" w:rsidP="003D12D2">
      <w:pPr>
        <w:spacing w:line="276" w:lineRule="auto"/>
        <w:rPr>
          <w:rFonts w:asciiTheme="majorHAnsi" w:hAnsiTheme="majorHAnsi" w:cstheme="majorHAnsi"/>
        </w:rPr>
      </w:pPr>
    </w:p>
    <w:p w14:paraId="301A672B" w14:textId="50552336" w:rsidR="003D12D2" w:rsidRDefault="003D12D2" w:rsidP="00B86FE8">
      <w:pPr>
        <w:spacing w:line="276" w:lineRule="auto"/>
        <w:rPr>
          <w:rFonts w:asciiTheme="majorHAnsi" w:hAnsiTheme="majorHAnsi" w:cstheme="majorHAnsi"/>
        </w:rPr>
      </w:pPr>
      <w:r>
        <w:rPr>
          <w:rFonts w:asciiTheme="majorHAnsi" w:hAnsiTheme="majorHAnsi" w:cstheme="majorHAnsi"/>
        </w:rPr>
        <w:t xml:space="preserve">Fontos utalni arra, hogy a köznevelés eredményessége, minősége szempontjából kiemelt szerepe van a pedagógusképzésnek, amely a pedagógusok egész életpályán átívelő fejlesztési folyamatának első szakasza, és szorosan összekapcsolódik a pályakezdő, gyakornoki időszak során nyújtott támogatással, valamint a későbbi továbbképzésekkel. </w:t>
      </w:r>
      <w:r w:rsidR="00C60423">
        <w:rPr>
          <w:rFonts w:asciiTheme="majorHAnsi" w:hAnsiTheme="majorHAnsi" w:cstheme="majorHAnsi"/>
        </w:rPr>
        <w:t xml:space="preserve">E tekintetben tehát komplex megközelítés szükséges, amely a felsőoktatásért felelős </w:t>
      </w:r>
      <w:r w:rsidR="0006196D">
        <w:rPr>
          <w:rFonts w:asciiTheme="majorHAnsi" w:hAnsiTheme="majorHAnsi" w:cstheme="majorHAnsi"/>
        </w:rPr>
        <w:t xml:space="preserve">szaktárcával </w:t>
      </w:r>
      <w:r w:rsidR="00C60423">
        <w:rPr>
          <w:rFonts w:asciiTheme="majorHAnsi" w:hAnsiTheme="majorHAnsi" w:cstheme="majorHAnsi"/>
        </w:rPr>
        <w:t>való folyamatos együttműködést igényel.</w:t>
      </w:r>
      <w:r w:rsidR="0098668E">
        <w:rPr>
          <w:rFonts w:asciiTheme="majorHAnsi" w:hAnsiTheme="majorHAnsi" w:cstheme="majorHAnsi"/>
        </w:rPr>
        <w:t xml:space="preserve"> Ennek keretében felmerülhet a köznevelési és a felsőoktatási intézmények együttműködésének (partneriskolai hálózat) megerősítése.</w:t>
      </w:r>
    </w:p>
    <w:p w14:paraId="0190132E" w14:textId="77777777" w:rsidR="00590E5D" w:rsidRPr="002B65B7" w:rsidRDefault="00590E5D" w:rsidP="00B86FE8">
      <w:pPr>
        <w:spacing w:line="276" w:lineRule="auto"/>
        <w:rPr>
          <w:rFonts w:asciiTheme="majorHAnsi" w:hAnsiTheme="majorHAnsi" w:cstheme="majorHAnsi"/>
          <w:u w:val="single"/>
        </w:rPr>
      </w:pPr>
      <w:r w:rsidRPr="002B65B7">
        <w:rPr>
          <w:rFonts w:asciiTheme="majorHAnsi" w:hAnsiTheme="majorHAnsi" w:cstheme="majorHAnsi"/>
          <w:u w:val="single"/>
        </w:rPr>
        <w:t>A pedagógusok felkészültségének, megbecsültségének növeléséhez kapcsolódó legfontosabb fejlesztési irányok:</w:t>
      </w:r>
    </w:p>
    <w:p w14:paraId="0F3C735A" w14:textId="77777777" w:rsidR="00590E5D" w:rsidRPr="004814EC" w:rsidRDefault="002F6CDA" w:rsidP="009C0817">
      <w:pPr>
        <w:pStyle w:val="Listaszerbekezds"/>
        <w:numPr>
          <w:ilvl w:val="0"/>
          <w:numId w:val="6"/>
        </w:numPr>
        <w:spacing w:line="276" w:lineRule="auto"/>
        <w:rPr>
          <w:rFonts w:asciiTheme="majorHAnsi" w:hAnsiTheme="majorHAnsi" w:cstheme="majorHAnsi"/>
        </w:rPr>
      </w:pPr>
      <w:r>
        <w:rPr>
          <w:rFonts w:asciiTheme="majorHAnsi" w:hAnsiTheme="majorHAnsi" w:cstheme="majorHAnsi"/>
        </w:rPr>
        <w:t xml:space="preserve">a pedagógusok juttatási rendszerének fejlesztését is magában foglaló </w:t>
      </w:r>
      <w:r w:rsidR="00590E5D" w:rsidRPr="004814EC">
        <w:rPr>
          <w:rFonts w:asciiTheme="majorHAnsi" w:hAnsiTheme="majorHAnsi" w:cstheme="majorHAnsi"/>
        </w:rPr>
        <w:t>komplex motivációs eszközrendszer kialakítása;</w:t>
      </w:r>
    </w:p>
    <w:p w14:paraId="1D21FA8C" w14:textId="5A2E501B" w:rsidR="00590E5D" w:rsidRDefault="00590E5D" w:rsidP="009C0817">
      <w:pPr>
        <w:pStyle w:val="Listaszerbekezds"/>
        <w:numPr>
          <w:ilvl w:val="0"/>
          <w:numId w:val="6"/>
        </w:numPr>
        <w:spacing w:line="276" w:lineRule="auto"/>
        <w:rPr>
          <w:rFonts w:asciiTheme="majorHAnsi" w:hAnsiTheme="majorHAnsi" w:cstheme="majorHAnsi"/>
        </w:rPr>
      </w:pPr>
      <w:r>
        <w:rPr>
          <w:rFonts w:asciiTheme="majorHAnsi" w:hAnsiTheme="majorHAnsi" w:cstheme="majorHAnsi"/>
        </w:rPr>
        <w:t>a</w:t>
      </w:r>
      <w:r w:rsidRPr="000A7388">
        <w:rPr>
          <w:rFonts w:asciiTheme="majorHAnsi" w:hAnsiTheme="majorHAnsi" w:cstheme="majorHAnsi"/>
        </w:rPr>
        <w:t xml:space="preserve"> pedagógus</w:t>
      </w:r>
      <w:r w:rsidR="003D12D2">
        <w:rPr>
          <w:rFonts w:asciiTheme="majorHAnsi" w:hAnsiTheme="majorHAnsi" w:cstheme="majorHAnsi"/>
        </w:rPr>
        <w:t xml:space="preserve">ok </w:t>
      </w:r>
      <w:r w:rsidRPr="000A7388">
        <w:rPr>
          <w:rFonts w:asciiTheme="majorHAnsi" w:hAnsiTheme="majorHAnsi" w:cstheme="majorHAnsi"/>
        </w:rPr>
        <w:t>képzés</w:t>
      </w:r>
      <w:r w:rsidR="003D12D2">
        <w:rPr>
          <w:rFonts w:asciiTheme="majorHAnsi" w:hAnsiTheme="majorHAnsi" w:cstheme="majorHAnsi"/>
        </w:rPr>
        <w:t>ének</w:t>
      </w:r>
      <w:r w:rsidRPr="000A7388">
        <w:rPr>
          <w:rFonts w:asciiTheme="majorHAnsi" w:hAnsiTheme="majorHAnsi" w:cstheme="majorHAnsi"/>
        </w:rPr>
        <w:t xml:space="preserve"> </w:t>
      </w:r>
      <w:r w:rsidR="003D12D2">
        <w:rPr>
          <w:rFonts w:asciiTheme="majorHAnsi" w:hAnsiTheme="majorHAnsi" w:cstheme="majorHAnsi"/>
        </w:rPr>
        <w:t>komplex megközelítésben történő (a felsőoktatási képzést, a pályakezdő gyakornoki szakaszt, valamint a továbbképzést egyaránt magában foglaló) fejlesztése</w:t>
      </w:r>
      <w:r w:rsidR="008D5A3A">
        <w:rPr>
          <w:rFonts w:asciiTheme="majorHAnsi" w:hAnsiTheme="majorHAnsi" w:cstheme="majorHAnsi"/>
        </w:rPr>
        <w:t xml:space="preserve">;  </w:t>
      </w:r>
    </w:p>
    <w:p w14:paraId="73577B89" w14:textId="2146F2DB" w:rsidR="0098668E" w:rsidRPr="000A7388" w:rsidRDefault="004F1797" w:rsidP="009C0817">
      <w:pPr>
        <w:pStyle w:val="Listaszerbekezds"/>
        <w:numPr>
          <w:ilvl w:val="0"/>
          <w:numId w:val="6"/>
        </w:numPr>
        <w:spacing w:line="276" w:lineRule="auto"/>
        <w:rPr>
          <w:rFonts w:asciiTheme="majorHAnsi" w:hAnsiTheme="majorHAnsi" w:cstheme="majorHAnsi"/>
        </w:rPr>
      </w:pPr>
      <w:r>
        <w:rPr>
          <w:rFonts w:asciiTheme="majorHAnsi" w:hAnsiTheme="majorHAnsi" w:cstheme="majorHAnsi"/>
        </w:rPr>
        <w:t xml:space="preserve">gyakorlóóvodák, gyakorlóiskolák, </w:t>
      </w:r>
      <w:r w:rsidR="0098668E">
        <w:rPr>
          <w:rFonts w:asciiTheme="majorHAnsi" w:hAnsiTheme="majorHAnsi" w:cstheme="majorHAnsi"/>
        </w:rPr>
        <w:t>partneriskolai együttműködések rendszerének fejlesztése;</w:t>
      </w:r>
    </w:p>
    <w:p w14:paraId="3B958A57" w14:textId="58189DBB" w:rsidR="008D5A3A" w:rsidRDefault="008D5A3A" w:rsidP="009F2AE7">
      <w:pPr>
        <w:pStyle w:val="Listaszerbekezds"/>
        <w:numPr>
          <w:ilvl w:val="0"/>
          <w:numId w:val="6"/>
        </w:numPr>
        <w:spacing w:line="276" w:lineRule="auto"/>
        <w:rPr>
          <w:rFonts w:asciiTheme="majorHAnsi" w:hAnsiTheme="majorHAnsi" w:cstheme="majorHAnsi"/>
        </w:rPr>
      </w:pPr>
      <w:r>
        <w:rPr>
          <w:rFonts w:asciiTheme="majorHAnsi" w:hAnsiTheme="majorHAnsi" w:cstheme="majorHAnsi"/>
        </w:rPr>
        <w:t xml:space="preserve">a pedagógus továbbképzés rendszerének </w:t>
      </w:r>
      <w:r w:rsidR="00060381">
        <w:rPr>
          <w:rFonts w:asciiTheme="majorHAnsi" w:hAnsiTheme="majorHAnsi" w:cstheme="majorHAnsi"/>
        </w:rPr>
        <w:t>megújítása</w:t>
      </w:r>
      <w:r>
        <w:rPr>
          <w:rFonts w:asciiTheme="majorHAnsi" w:hAnsiTheme="majorHAnsi" w:cstheme="majorHAnsi"/>
        </w:rPr>
        <w:t xml:space="preserve">, </w:t>
      </w:r>
      <w:r w:rsidRPr="000A7388">
        <w:rPr>
          <w:rFonts w:asciiTheme="majorHAnsi" w:hAnsiTheme="majorHAnsi" w:cstheme="majorHAnsi"/>
        </w:rPr>
        <w:t>ehhez kapcsolódóan a pedagógus</w:t>
      </w:r>
      <w:r w:rsidR="00862DAE">
        <w:rPr>
          <w:rFonts w:asciiTheme="majorHAnsi" w:hAnsiTheme="majorHAnsi" w:cstheme="majorHAnsi"/>
        </w:rPr>
        <w:t>képző felsőoktatási intézmények</w:t>
      </w:r>
      <w:r w:rsidR="009F2AE7">
        <w:rPr>
          <w:rFonts w:asciiTheme="majorHAnsi" w:hAnsiTheme="majorHAnsi" w:cstheme="majorHAnsi"/>
        </w:rPr>
        <w:t xml:space="preserve">kel </w:t>
      </w:r>
      <w:r w:rsidR="009F2AE7" w:rsidRPr="009F2AE7">
        <w:rPr>
          <w:rFonts w:asciiTheme="majorHAnsi" w:hAnsiTheme="majorHAnsi" w:cstheme="majorHAnsi"/>
        </w:rPr>
        <w:t>való együttműködés</w:t>
      </w:r>
      <w:r w:rsidRPr="000A7388">
        <w:rPr>
          <w:rFonts w:asciiTheme="majorHAnsi" w:hAnsiTheme="majorHAnsi" w:cstheme="majorHAnsi"/>
        </w:rPr>
        <w:t xml:space="preserve"> </w:t>
      </w:r>
      <w:r w:rsidR="00060381">
        <w:rPr>
          <w:rFonts w:asciiTheme="majorHAnsi" w:hAnsiTheme="majorHAnsi" w:cstheme="majorHAnsi"/>
        </w:rPr>
        <w:t>szakmai fejlesztése</w:t>
      </w:r>
      <w:r w:rsidR="009B09CB">
        <w:rPr>
          <w:rFonts w:asciiTheme="majorHAnsi" w:hAnsiTheme="majorHAnsi" w:cstheme="majorHAnsi"/>
        </w:rPr>
        <w:t xml:space="preserve">, </w:t>
      </w:r>
      <w:r w:rsidR="009F2AE7" w:rsidRPr="009F2AE7">
        <w:rPr>
          <w:rFonts w:asciiTheme="majorHAnsi" w:hAnsiTheme="majorHAnsi" w:cstheme="majorHAnsi"/>
        </w:rPr>
        <w:t xml:space="preserve">a továbbképzők és továbbképzésre kötelezettek </w:t>
      </w:r>
      <w:r w:rsidR="009B09CB">
        <w:rPr>
          <w:rFonts w:asciiTheme="majorHAnsi" w:hAnsiTheme="majorHAnsi" w:cstheme="majorHAnsi"/>
        </w:rPr>
        <w:t>állami finanszírozás</w:t>
      </w:r>
      <w:r w:rsidR="009F2AE7">
        <w:rPr>
          <w:rFonts w:asciiTheme="majorHAnsi" w:hAnsiTheme="majorHAnsi" w:cstheme="majorHAnsi"/>
        </w:rPr>
        <w:t>a</w:t>
      </w:r>
      <w:r w:rsidR="009B09CB">
        <w:rPr>
          <w:rFonts w:asciiTheme="majorHAnsi" w:hAnsiTheme="majorHAnsi" w:cstheme="majorHAnsi"/>
        </w:rPr>
        <w:t xml:space="preserve"> lehetőségének vizsgálata</w:t>
      </w:r>
      <w:r w:rsidRPr="000A7388">
        <w:rPr>
          <w:rFonts w:asciiTheme="majorHAnsi" w:hAnsiTheme="majorHAnsi" w:cstheme="majorHAnsi"/>
        </w:rPr>
        <w:t xml:space="preserve">; </w:t>
      </w:r>
    </w:p>
    <w:p w14:paraId="72E8F3A5" w14:textId="77777777" w:rsidR="008D5A3A" w:rsidRPr="000A7388" w:rsidRDefault="008D5A3A" w:rsidP="009C0817">
      <w:pPr>
        <w:pStyle w:val="Listaszerbekezds"/>
        <w:numPr>
          <w:ilvl w:val="0"/>
          <w:numId w:val="6"/>
        </w:numPr>
        <w:spacing w:line="276" w:lineRule="auto"/>
        <w:rPr>
          <w:rFonts w:asciiTheme="majorHAnsi" w:hAnsiTheme="majorHAnsi" w:cstheme="majorHAnsi"/>
        </w:rPr>
      </w:pPr>
      <w:r>
        <w:rPr>
          <w:rFonts w:asciiTheme="majorHAnsi" w:hAnsiTheme="majorHAnsi" w:cstheme="majorHAnsi"/>
        </w:rPr>
        <w:t xml:space="preserve">a pedagógiai mérések, </w:t>
      </w:r>
      <w:proofErr w:type="spellStart"/>
      <w:r>
        <w:rPr>
          <w:rFonts w:asciiTheme="majorHAnsi" w:hAnsiTheme="majorHAnsi" w:cstheme="majorHAnsi"/>
        </w:rPr>
        <w:t>beválásvizsgálatok</w:t>
      </w:r>
      <w:proofErr w:type="spellEnd"/>
      <w:r>
        <w:rPr>
          <w:rFonts w:asciiTheme="majorHAnsi" w:hAnsiTheme="majorHAnsi" w:cstheme="majorHAnsi"/>
        </w:rPr>
        <w:t>, elemzések számának növelése;</w:t>
      </w:r>
    </w:p>
    <w:p w14:paraId="66B4E294" w14:textId="7AC55557" w:rsidR="00347BA6" w:rsidRDefault="00347BA6" w:rsidP="00F903F4">
      <w:pPr>
        <w:pStyle w:val="Listaszerbekezds"/>
        <w:numPr>
          <w:ilvl w:val="0"/>
          <w:numId w:val="6"/>
        </w:numPr>
        <w:rPr>
          <w:rFonts w:asciiTheme="majorHAnsi" w:hAnsiTheme="majorHAnsi" w:cstheme="majorHAnsi"/>
        </w:rPr>
      </w:pPr>
      <w:r w:rsidRPr="00347BA6">
        <w:rPr>
          <w:rFonts w:asciiTheme="majorHAnsi" w:hAnsiTheme="majorHAnsi" w:cstheme="majorHAnsi"/>
        </w:rPr>
        <w:t xml:space="preserve">a pályakezdők indukciós támogatásának továbbfejlesztése, ennek érdekében hazai és nemzetközi </w:t>
      </w:r>
      <w:proofErr w:type="spellStart"/>
      <w:r w:rsidRPr="00347BA6">
        <w:rPr>
          <w:rFonts w:asciiTheme="majorHAnsi" w:hAnsiTheme="majorHAnsi" w:cstheme="majorHAnsi"/>
        </w:rPr>
        <w:t>jógyakorlatok</w:t>
      </w:r>
      <w:proofErr w:type="spellEnd"/>
      <w:r w:rsidRPr="00347BA6">
        <w:rPr>
          <w:rFonts w:asciiTheme="majorHAnsi" w:hAnsiTheme="majorHAnsi" w:cstheme="majorHAnsi"/>
        </w:rPr>
        <w:t xml:space="preserve"> vizsgálata</w:t>
      </w:r>
      <w:r>
        <w:rPr>
          <w:rFonts w:asciiTheme="majorHAnsi" w:hAnsiTheme="majorHAnsi" w:cstheme="majorHAnsi"/>
        </w:rPr>
        <w:t>;</w:t>
      </w:r>
    </w:p>
    <w:p w14:paraId="6DD806C3" w14:textId="77777777" w:rsidR="00C468EC" w:rsidRDefault="00590E5D" w:rsidP="009C0817">
      <w:pPr>
        <w:pStyle w:val="Listaszerbekezds"/>
        <w:numPr>
          <w:ilvl w:val="0"/>
          <w:numId w:val="6"/>
        </w:numPr>
        <w:spacing w:line="276" w:lineRule="auto"/>
        <w:rPr>
          <w:rFonts w:asciiTheme="majorHAnsi" w:hAnsiTheme="majorHAnsi" w:cstheme="majorHAnsi"/>
        </w:rPr>
      </w:pPr>
      <w:r>
        <w:rPr>
          <w:rFonts w:asciiTheme="majorHAnsi" w:hAnsiTheme="majorHAnsi" w:cstheme="majorHAnsi"/>
        </w:rPr>
        <w:t>szaktanácsadás</w:t>
      </w:r>
      <w:r w:rsidR="00A754A3">
        <w:rPr>
          <w:rFonts w:asciiTheme="majorHAnsi" w:hAnsiTheme="majorHAnsi" w:cstheme="majorHAnsi"/>
        </w:rPr>
        <w:t>, mentorálás</w:t>
      </w:r>
      <w:r>
        <w:rPr>
          <w:rFonts w:asciiTheme="majorHAnsi" w:hAnsiTheme="majorHAnsi" w:cstheme="majorHAnsi"/>
        </w:rPr>
        <w:t xml:space="preserve"> rendszerének fejlesztése;</w:t>
      </w:r>
    </w:p>
    <w:p w14:paraId="13885091" w14:textId="77777777" w:rsidR="00C468EC" w:rsidRDefault="00590E5D" w:rsidP="009C0817">
      <w:pPr>
        <w:pStyle w:val="Listaszerbekezds"/>
        <w:numPr>
          <w:ilvl w:val="0"/>
          <w:numId w:val="6"/>
        </w:numPr>
        <w:spacing w:line="276" w:lineRule="auto"/>
        <w:rPr>
          <w:rFonts w:asciiTheme="majorHAnsi" w:hAnsiTheme="majorHAnsi" w:cstheme="majorHAnsi"/>
        </w:rPr>
      </w:pPr>
      <w:r w:rsidRPr="00C468EC">
        <w:rPr>
          <w:rFonts w:asciiTheme="majorHAnsi" w:hAnsiTheme="majorHAnsi" w:cstheme="majorHAnsi"/>
        </w:rPr>
        <w:t>pedagógiai-szakmai ellenőrzés (tanfelügyelet) rendszerének megerősítése;</w:t>
      </w:r>
    </w:p>
    <w:p w14:paraId="6F87898A" w14:textId="77777777" w:rsidR="00C468EC" w:rsidRPr="00C468EC" w:rsidRDefault="00294E31" w:rsidP="009C0817">
      <w:pPr>
        <w:pStyle w:val="Listaszerbekezds"/>
        <w:numPr>
          <w:ilvl w:val="0"/>
          <w:numId w:val="6"/>
        </w:numPr>
        <w:spacing w:line="276" w:lineRule="auto"/>
        <w:rPr>
          <w:rFonts w:asciiTheme="majorHAnsi" w:hAnsiTheme="majorHAnsi" w:cstheme="majorHAnsi"/>
        </w:rPr>
      </w:pPr>
      <w:r>
        <w:rPr>
          <w:rFonts w:asciiTheme="majorHAnsi" w:hAnsiTheme="majorHAnsi" w:cstheme="majorHAnsi"/>
        </w:rPr>
        <w:t>közszolgálati elkötelezettség</w:t>
      </w:r>
      <w:r w:rsidR="00A754A3">
        <w:rPr>
          <w:rFonts w:asciiTheme="majorHAnsi" w:hAnsiTheme="majorHAnsi" w:cstheme="majorHAnsi"/>
        </w:rPr>
        <w:t xml:space="preserve"> megerősítése;</w:t>
      </w:r>
    </w:p>
    <w:p w14:paraId="3DB45C2F" w14:textId="77777777" w:rsidR="00A754A3" w:rsidRPr="000A7388" w:rsidRDefault="00A754A3" w:rsidP="009C0817">
      <w:pPr>
        <w:pStyle w:val="Listaszerbekezds"/>
        <w:numPr>
          <w:ilvl w:val="0"/>
          <w:numId w:val="6"/>
        </w:numPr>
        <w:spacing w:line="276" w:lineRule="auto"/>
        <w:rPr>
          <w:rFonts w:asciiTheme="majorHAnsi" w:hAnsiTheme="majorHAnsi" w:cstheme="majorHAnsi"/>
        </w:rPr>
      </w:pPr>
      <w:r>
        <w:rPr>
          <w:rFonts w:asciiTheme="majorHAnsi" w:hAnsiTheme="majorHAnsi" w:cstheme="majorHAnsi"/>
        </w:rPr>
        <w:t>a</w:t>
      </w:r>
      <w:r w:rsidRPr="000A7388">
        <w:rPr>
          <w:rFonts w:asciiTheme="majorHAnsi" w:hAnsiTheme="majorHAnsi" w:cstheme="majorHAnsi"/>
        </w:rPr>
        <w:t xml:space="preserve"> felsőoktatás és a köznevelés rendszerszintű kapcsolatának fejlesztése a két oktatási ágazat közötti kapcsolatok megerősítésével</w:t>
      </w:r>
      <w:r>
        <w:rPr>
          <w:rFonts w:asciiTheme="majorHAnsi" w:hAnsiTheme="majorHAnsi" w:cstheme="majorHAnsi"/>
        </w:rPr>
        <w:t xml:space="preserve">. </w:t>
      </w:r>
    </w:p>
    <w:p w14:paraId="4B414406" w14:textId="77777777" w:rsidR="00590E5D" w:rsidRPr="00DC6C83" w:rsidRDefault="00590E5D" w:rsidP="00FC410A">
      <w:pPr>
        <w:pStyle w:val="Listaszerbekezds"/>
        <w:spacing w:line="276" w:lineRule="auto"/>
        <w:ind w:left="360"/>
        <w:rPr>
          <w:rFonts w:asciiTheme="majorHAnsi" w:hAnsiTheme="majorHAnsi" w:cstheme="majorHAnsi"/>
        </w:rPr>
      </w:pPr>
    </w:p>
    <w:p w14:paraId="21DB88ED" w14:textId="77777777" w:rsidR="00B86FE8" w:rsidRPr="00DC6C83" w:rsidRDefault="00B86FE8" w:rsidP="00D921A9">
      <w:pPr>
        <w:pStyle w:val="Cmsor4"/>
      </w:pPr>
      <w:bookmarkStart w:id="48" w:name="_Toc35596131"/>
      <w:bookmarkStart w:id="49" w:name="_Toc46822708"/>
      <w:r w:rsidRPr="00DC6C83">
        <w:lastRenderedPageBreak/>
        <w:t xml:space="preserve">A pedagógusok </w:t>
      </w:r>
      <w:r w:rsidR="00A754A3">
        <w:t>felkészítése</w:t>
      </w:r>
      <w:r w:rsidRPr="00DC6C83">
        <w:t>, kompetenciá</w:t>
      </w:r>
      <w:r w:rsidR="00751ED7">
        <w:t>i</w:t>
      </w:r>
      <w:r w:rsidRPr="00DC6C83">
        <w:t>k erősítése</w:t>
      </w:r>
      <w:bookmarkEnd w:id="48"/>
      <w:bookmarkEnd w:id="49"/>
    </w:p>
    <w:p w14:paraId="7E20B167" w14:textId="77777777" w:rsidR="003D2139" w:rsidRPr="000A7388" w:rsidRDefault="003D2139" w:rsidP="003D2139">
      <w:pPr>
        <w:spacing w:line="276" w:lineRule="auto"/>
        <w:rPr>
          <w:rFonts w:asciiTheme="majorHAnsi" w:hAnsiTheme="majorHAnsi" w:cstheme="majorHAnsi"/>
        </w:rPr>
      </w:pPr>
      <w:r w:rsidRPr="00DC6C83">
        <w:rPr>
          <w:rFonts w:asciiTheme="majorHAnsi" w:hAnsiTheme="majorHAnsi" w:cstheme="majorHAnsi"/>
        </w:rPr>
        <w:t xml:space="preserve">A pedagógusképzés a felsőoktatás egy sajátos stratégiai ága, ahol a jövőbeni változásoknak a </w:t>
      </w:r>
      <w:r w:rsidRPr="00DC6C83">
        <w:rPr>
          <w:rFonts w:asciiTheme="majorHAnsi" w:hAnsiTheme="majorHAnsi" w:cstheme="majorHAnsi"/>
          <w:bCs/>
        </w:rPr>
        <w:t>köznevelés megújulását</w:t>
      </w:r>
      <w:r w:rsidR="00914895">
        <w:rPr>
          <w:rFonts w:asciiTheme="majorHAnsi" w:hAnsiTheme="majorHAnsi" w:cstheme="majorHAnsi"/>
          <w:bCs/>
        </w:rPr>
        <w:t xml:space="preserve"> </w:t>
      </w:r>
      <w:r w:rsidRPr="00DC6C83">
        <w:rPr>
          <w:rFonts w:asciiTheme="majorHAnsi" w:hAnsiTheme="majorHAnsi" w:cstheme="majorHAnsi"/>
        </w:rPr>
        <w:t xml:space="preserve">kell szolgálniuk. A közneveléssel, a felsőoktatással és a pedagógusszakmával kapcsolatos elvárások </w:t>
      </w:r>
      <w:r w:rsidR="00483925">
        <w:rPr>
          <w:rFonts w:asciiTheme="majorHAnsi" w:hAnsiTheme="majorHAnsi" w:cstheme="majorHAnsi"/>
        </w:rPr>
        <w:t>XXI</w:t>
      </w:r>
      <w:r w:rsidRPr="00DC6C83">
        <w:rPr>
          <w:rFonts w:asciiTheme="majorHAnsi" w:hAnsiTheme="majorHAnsi" w:cstheme="majorHAnsi"/>
        </w:rPr>
        <w:t xml:space="preserve">. századi követelményei jó részt hasonlóak a más európai országokban jelentkező </w:t>
      </w:r>
      <w:r w:rsidRPr="000A7388">
        <w:rPr>
          <w:rFonts w:asciiTheme="majorHAnsi" w:hAnsiTheme="majorHAnsi" w:cstheme="majorHAnsi"/>
        </w:rPr>
        <w:t>követelményekhez. A pedagógusképzés biztosítja a nevelés-oktatás mindenkori személyi feltételeit, amelynek mindenkori „megrendelője” a köznevelés, Magyarországon elsősorban az állam.</w:t>
      </w:r>
      <w:r w:rsidRPr="00DC6C83">
        <w:rPr>
          <w:rFonts w:asciiTheme="majorHAnsi" w:hAnsiTheme="majorHAnsi" w:cstheme="majorHAnsi"/>
        </w:rPr>
        <w:t xml:space="preserve"> A tartalmában és szerkezetében megújított – a folyamatos szakmai fejlődés kiindulópontjának tekintendő – pedagógusképzés valódi hatása azonban csak évek, évtizedek múltán lesz jelentősen érzékelhető és mérhető, ezért szükséges a pedagógus életpályával és a pedagógus továbbképzéssel együtt kezelni, a pedagógusképzés, a pályakezdés és a szakmai továbbképzés között a kapcsolatot </w:t>
      </w:r>
      <w:r w:rsidRPr="000A7388">
        <w:rPr>
          <w:rFonts w:asciiTheme="majorHAnsi" w:hAnsiTheme="majorHAnsi" w:cstheme="majorHAnsi"/>
        </w:rPr>
        <w:t>erősíteni.</w:t>
      </w:r>
    </w:p>
    <w:p w14:paraId="6664D045" w14:textId="1A0D3429" w:rsidR="00AA5B17" w:rsidRPr="00DC6C83" w:rsidRDefault="003D2139" w:rsidP="003D2139">
      <w:pPr>
        <w:spacing w:line="276" w:lineRule="auto"/>
        <w:rPr>
          <w:rFonts w:asciiTheme="majorHAnsi" w:hAnsiTheme="majorHAnsi" w:cstheme="majorHAnsi"/>
        </w:rPr>
      </w:pPr>
      <w:r w:rsidRPr="000A7388">
        <w:rPr>
          <w:rFonts w:asciiTheme="majorHAnsi" w:hAnsiTheme="majorHAnsi" w:cstheme="majorHAnsi"/>
        </w:rPr>
        <w:t>A pedagógusképzés egyre kedveltebb a hallgatók körében, amit a vizsgált időszak emelkedő hallgatói létszámadatai is tükröznek. A felsőoktatásban</w:t>
      </w:r>
      <w:r w:rsidRPr="00DC6C83">
        <w:rPr>
          <w:rFonts w:asciiTheme="majorHAnsi" w:hAnsiTheme="majorHAnsi" w:cstheme="majorHAnsi"/>
        </w:rPr>
        <w:t xml:space="preserve"> </w:t>
      </w:r>
      <w:r w:rsidR="0072473F" w:rsidRPr="0072473F">
        <w:rPr>
          <w:rFonts w:asciiTheme="majorHAnsi" w:hAnsiTheme="majorHAnsi" w:cstheme="majorHAnsi"/>
        </w:rPr>
        <w:t xml:space="preserve">alap-, mester- és osztatlan képzésben tanuló </w:t>
      </w:r>
      <w:r w:rsidRPr="00DC6C83">
        <w:rPr>
          <w:rFonts w:asciiTheme="majorHAnsi" w:hAnsiTheme="majorHAnsi" w:cstheme="majorHAnsi"/>
        </w:rPr>
        <w:t xml:space="preserve">hallgatók összlétszámához viszonyítva 2013/2014. tanév őszéről 2017/2018. tanév őszére 7,04%-ról 11,21%-ra emelkedett a pedagógusképzés részaránya. Nappali képzésben 5,43%-ról 8,87%-ra </w:t>
      </w:r>
      <w:r w:rsidR="00751ED7">
        <w:rPr>
          <w:rFonts w:asciiTheme="majorHAnsi" w:hAnsiTheme="majorHAnsi" w:cstheme="majorHAnsi"/>
        </w:rPr>
        <w:t>nőtt a képzésben résztvevők száma</w:t>
      </w:r>
      <w:r w:rsidRPr="00DC6C83">
        <w:rPr>
          <w:rFonts w:asciiTheme="majorHAnsi" w:hAnsiTheme="majorHAnsi" w:cstheme="majorHAnsi"/>
        </w:rPr>
        <w:t xml:space="preserve">. Az elmúlt évek átlagában felvett évi mintegy </w:t>
      </w:r>
      <w:r w:rsidR="00633D12">
        <w:rPr>
          <w:rFonts w:asciiTheme="majorHAnsi" w:hAnsiTheme="majorHAnsi" w:cstheme="majorHAnsi"/>
        </w:rPr>
        <w:t>10</w:t>
      </w:r>
      <w:r w:rsidR="006A1E10">
        <w:rPr>
          <w:rFonts w:asciiTheme="majorHAnsi" w:hAnsiTheme="majorHAnsi" w:cstheme="majorHAnsi"/>
        </w:rPr>
        <w:t xml:space="preserve"> </w:t>
      </w:r>
      <w:r w:rsidRPr="00DC6C83">
        <w:rPr>
          <w:rFonts w:asciiTheme="majorHAnsi" w:hAnsiTheme="majorHAnsi" w:cstheme="majorHAnsi"/>
        </w:rPr>
        <w:t xml:space="preserve">000 </w:t>
      </w:r>
      <w:proofErr w:type="gramStart"/>
      <w:r w:rsidR="00633D12">
        <w:rPr>
          <w:rFonts w:asciiTheme="majorHAnsi" w:hAnsiTheme="majorHAnsi" w:cstheme="majorHAnsi"/>
        </w:rPr>
        <w:t>pedagógus</w:t>
      </w:r>
      <w:r w:rsidRPr="00DC6C83">
        <w:rPr>
          <w:rFonts w:asciiTheme="majorHAnsi" w:hAnsiTheme="majorHAnsi" w:cstheme="majorHAnsi"/>
        </w:rPr>
        <w:t xml:space="preserve"> hallgató</w:t>
      </w:r>
      <w:proofErr w:type="gramEnd"/>
      <w:r w:rsidRPr="00DC6C83">
        <w:rPr>
          <w:rFonts w:asciiTheme="majorHAnsi" w:hAnsiTheme="majorHAnsi" w:cstheme="majorHAnsi"/>
        </w:rPr>
        <w:t xml:space="preserve"> jelentős tömeget képvisel. </w:t>
      </w:r>
    </w:p>
    <w:p w14:paraId="4496C1BB" w14:textId="77777777" w:rsidR="003D2139" w:rsidRPr="00DC6C83" w:rsidRDefault="003D2139" w:rsidP="003D2139">
      <w:pPr>
        <w:pStyle w:val="Abracim"/>
        <w:spacing w:line="276" w:lineRule="auto"/>
        <w:ind w:left="0" w:firstLine="0"/>
        <w:rPr>
          <w:rFonts w:asciiTheme="majorHAnsi" w:hAnsiTheme="majorHAnsi" w:cstheme="majorHAnsi"/>
        </w:rPr>
      </w:pPr>
      <w:r w:rsidRPr="00DC6C83">
        <w:rPr>
          <w:rFonts w:asciiTheme="majorHAnsi" w:hAnsiTheme="majorHAnsi" w:cstheme="majorHAnsi"/>
        </w:rPr>
        <w:t>Ábra:</w:t>
      </w:r>
      <w:r w:rsidR="001D45D9">
        <w:rPr>
          <w:rFonts w:asciiTheme="majorHAnsi" w:hAnsiTheme="majorHAnsi" w:cstheme="majorHAnsi"/>
        </w:rPr>
        <w:t xml:space="preserve"> </w:t>
      </w:r>
      <w:r w:rsidRPr="00DC6C83">
        <w:rPr>
          <w:rFonts w:asciiTheme="majorHAnsi" w:hAnsiTheme="majorHAnsi" w:cstheme="majorHAnsi"/>
        </w:rPr>
        <w:t xml:space="preserve">Hallgatók létszámának változása a </w:t>
      </w:r>
      <w:proofErr w:type="gramStart"/>
      <w:r w:rsidRPr="00DC6C83">
        <w:rPr>
          <w:rFonts w:asciiTheme="majorHAnsi" w:hAnsiTheme="majorHAnsi" w:cstheme="majorHAnsi"/>
        </w:rPr>
        <w:t>pedagógusképzés</w:t>
      </w:r>
      <w:r w:rsidR="00751ED7">
        <w:rPr>
          <w:rFonts w:asciiTheme="majorHAnsi" w:hAnsiTheme="majorHAnsi" w:cstheme="majorHAnsi"/>
        </w:rPr>
        <w:t>ben</w:t>
      </w:r>
      <w:r w:rsidRPr="00DC6C83">
        <w:rPr>
          <w:rFonts w:asciiTheme="majorHAnsi" w:hAnsiTheme="majorHAnsi" w:cstheme="majorHAnsi"/>
        </w:rPr>
        <w:t>(</w:t>
      </w:r>
      <w:proofErr w:type="gramEnd"/>
      <w:r w:rsidRPr="00DC6C83">
        <w:rPr>
          <w:rFonts w:asciiTheme="majorHAnsi" w:hAnsiTheme="majorHAnsi" w:cstheme="majorHAnsi"/>
        </w:rPr>
        <w:t>fő)</w:t>
      </w:r>
    </w:p>
    <w:p w14:paraId="6692F487" w14:textId="77777777" w:rsidR="003D2139" w:rsidRPr="00DC6C83" w:rsidRDefault="00E36BAB" w:rsidP="003D2139">
      <w:pPr>
        <w:keepNext/>
        <w:spacing w:after="0" w:line="276" w:lineRule="auto"/>
        <w:jc w:val="center"/>
        <w:rPr>
          <w:rFonts w:asciiTheme="majorHAnsi" w:hAnsiTheme="majorHAnsi" w:cstheme="majorHAnsi"/>
        </w:rPr>
      </w:pPr>
      <w:r>
        <w:rPr>
          <w:rFonts w:asciiTheme="majorHAnsi" w:hAnsiTheme="majorHAnsi" w:cstheme="majorHAnsi"/>
          <w:noProof/>
          <w:lang w:eastAsia="hu-HU"/>
        </w:rPr>
        <w:drawing>
          <wp:inline distT="0" distB="0" distL="0" distR="0" wp14:anchorId="3AAB19A7" wp14:editId="6E4008FE">
            <wp:extent cx="4204509" cy="2242318"/>
            <wp:effectExtent l="0" t="0" r="24765" b="24765"/>
            <wp:docPr id="5" name="Diagram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BBD7D4" w14:textId="77777777" w:rsidR="003D2139" w:rsidRDefault="003D2139" w:rsidP="004203BA">
      <w:pPr>
        <w:pStyle w:val="Forrs"/>
        <w:spacing w:after="120" w:line="276" w:lineRule="auto"/>
        <w:ind w:left="720"/>
        <w:jc w:val="center"/>
        <w:rPr>
          <w:rFonts w:asciiTheme="majorHAnsi" w:hAnsiTheme="majorHAnsi" w:cstheme="majorHAnsi"/>
        </w:rPr>
      </w:pPr>
      <w:r w:rsidRPr="00DC6C83">
        <w:rPr>
          <w:rFonts w:asciiTheme="majorHAnsi" w:hAnsiTheme="majorHAnsi" w:cstheme="majorHAnsi"/>
        </w:rPr>
        <w:t>Forrás: Oktatási Hivatal adat</w:t>
      </w:r>
      <w:r w:rsidR="004203BA">
        <w:rPr>
          <w:rFonts w:asciiTheme="majorHAnsi" w:hAnsiTheme="majorHAnsi" w:cstheme="majorHAnsi"/>
        </w:rPr>
        <w:t xml:space="preserve">ai alapján </w:t>
      </w:r>
    </w:p>
    <w:p w14:paraId="60EE6529" w14:textId="77777777" w:rsidR="003D2139" w:rsidRPr="00DC6C83" w:rsidRDefault="00152195" w:rsidP="003D2139">
      <w:pPr>
        <w:spacing w:line="276" w:lineRule="auto"/>
        <w:rPr>
          <w:rFonts w:asciiTheme="majorHAnsi" w:hAnsiTheme="majorHAnsi" w:cstheme="majorHAnsi"/>
        </w:rPr>
      </w:pPr>
      <w:r w:rsidRPr="00DC6C83">
        <w:rPr>
          <w:rFonts w:asciiTheme="majorHAnsi" w:hAnsiTheme="majorHAnsi" w:cstheme="majorHAnsi"/>
        </w:rPr>
        <w:t>A felvételi adatok javulása arra is visszavezethető, hogy a pedagógusképzés vonzóbbá tétel</w:t>
      </w:r>
      <w:r>
        <w:rPr>
          <w:rFonts w:asciiTheme="majorHAnsi" w:hAnsiTheme="majorHAnsi" w:cstheme="majorHAnsi"/>
        </w:rPr>
        <w:t xml:space="preserve">ére </w:t>
      </w:r>
      <w:r w:rsidRPr="00DC6C83">
        <w:rPr>
          <w:rFonts w:asciiTheme="majorHAnsi" w:hAnsiTheme="majorHAnsi" w:cstheme="majorHAnsi"/>
        </w:rPr>
        <w:t xml:space="preserve">a Kormány 2013-ban </w:t>
      </w:r>
      <w:r w:rsidRPr="000A7388">
        <w:rPr>
          <w:rFonts w:asciiTheme="majorHAnsi" w:hAnsiTheme="majorHAnsi" w:cstheme="majorHAnsi"/>
        </w:rPr>
        <w:t xml:space="preserve">létrehozta a </w:t>
      </w:r>
      <w:r w:rsidRPr="000A7388">
        <w:rPr>
          <w:rFonts w:asciiTheme="majorHAnsi" w:hAnsiTheme="majorHAnsi" w:cstheme="majorHAnsi"/>
          <w:bCs/>
        </w:rPr>
        <w:t>Klebelsberg Képzési Ösztöndíj</w:t>
      </w:r>
      <w:r>
        <w:rPr>
          <w:rFonts w:asciiTheme="majorHAnsi" w:hAnsiTheme="majorHAnsi" w:cstheme="majorHAnsi"/>
          <w:bCs/>
        </w:rPr>
        <w:t xml:space="preserve"> </w:t>
      </w:r>
      <w:proofErr w:type="gramStart"/>
      <w:r>
        <w:rPr>
          <w:rFonts w:asciiTheme="majorHAnsi" w:hAnsiTheme="majorHAnsi" w:cstheme="majorHAnsi"/>
          <w:bCs/>
        </w:rPr>
        <w:t>Programot</w:t>
      </w:r>
      <w:r w:rsidRPr="000A7388">
        <w:rPr>
          <w:rStyle w:val="Lbjegyzet-hivatkozs"/>
          <w:rFonts w:asciiTheme="majorHAnsi" w:hAnsiTheme="majorHAnsi" w:cstheme="majorHAnsi"/>
          <w:bCs/>
        </w:rPr>
        <w:footnoteReference w:id="15"/>
      </w:r>
      <w:r w:rsidRPr="000A7388">
        <w:rPr>
          <w:rFonts w:asciiTheme="majorHAnsi" w:hAnsiTheme="majorHAnsi" w:cstheme="majorHAnsi"/>
          <w:bCs/>
        </w:rPr>
        <w:t>,</w:t>
      </w:r>
      <w:proofErr w:type="gramEnd"/>
      <w:r w:rsidRPr="000A7388">
        <w:rPr>
          <w:rFonts w:asciiTheme="majorHAnsi" w:hAnsiTheme="majorHAnsi" w:cstheme="majorHAnsi"/>
          <w:bCs/>
        </w:rPr>
        <w:t xml:space="preserve"> </w:t>
      </w:r>
      <w:r>
        <w:rPr>
          <w:rFonts w:asciiTheme="majorHAnsi" w:hAnsiTheme="majorHAnsi" w:cstheme="majorHAnsi"/>
          <w:bCs/>
        </w:rPr>
        <w:t>a</w:t>
      </w:r>
      <w:r w:rsidRPr="000A7388">
        <w:rPr>
          <w:rFonts w:asciiTheme="majorHAnsi" w:hAnsiTheme="majorHAnsi" w:cstheme="majorHAnsi"/>
        </w:rPr>
        <w:t xml:space="preserve">melynek célja </w:t>
      </w:r>
      <w:r>
        <w:rPr>
          <w:rFonts w:asciiTheme="majorHAnsi" w:hAnsiTheme="majorHAnsi" w:cstheme="majorHAnsi"/>
        </w:rPr>
        <w:t xml:space="preserve">− </w:t>
      </w:r>
      <w:r w:rsidRPr="000A7388">
        <w:rPr>
          <w:rFonts w:asciiTheme="majorHAnsi" w:hAnsiTheme="majorHAnsi" w:cstheme="majorHAnsi"/>
        </w:rPr>
        <w:t>jelentős ösztöndíj</w:t>
      </w:r>
      <w:r>
        <w:rPr>
          <w:rFonts w:asciiTheme="majorHAnsi" w:hAnsiTheme="majorHAnsi" w:cstheme="majorHAnsi"/>
        </w:rPr>
        <w:t>jal−</w:t>
      </w:r>
      <w:r w:rsidRPr="000A7388">
        <w:rPr>
          <w:rFonts w:asciiTheme="majorHAnsi" w:hAnsiTheme="majorHAnsi" w:cstheme="majorHAnsi"/>
        </w:rPr>
        <w:t>a pedagóguspálya hiányterületeinek (</w:t>
      </w:r>
      <w:r>
        <w:rPr>
          <w:rFonts w:asciiTheme="majorHAnsi" w:hAnsiTheme="majorHAnsi" w:cstheme="majorHAnsi"/>
        </w:rPr>
        <w:t xml:space="preserve">pl. </w:t>
      </w:r>
      <w:r w:rsidRPr="000A7388">
        <w:rPr>
          <w:rFonts w:asciiTheme="majorHAnsi" w:hAnsiTheme="majorHAnsi" w:cstheme="majorHAnsi"/>
        </w:rPr>
        <w:t>természettudományi, szakmai, művészeti tantárg</w:t>
      </w:r>
      <w:r>
        <w:rPr>
          <w:rFonts w:asciiTheme="majorHAnsi" w:hAnsiTheme="majorHAnsi" w:cstheme="majorHAnsi"/>
        </w:rPr>
        <w:t xml:space="preserve">yak oktatása) vonzóbbá tétele. </w:t>
      </w:r>
    </w:p>
    <w:p w14:paraId="34ABCBE8" w14:textId="77777777" w:rsidR="003D2139" w:rsidRPr="00DC6C83" w:rsidRDefault="003D2139" w:rsidP="003D2139">
      <w:pPr>
        <w:pStyle w:val="Abracim"/>
        <w:rPr>
          <w:rFonts w:asciiTheme="majorHAnsi" w:hAnsiTheme="majorHAnsi" w:cstheme="majorHAnsi"/>
        </w:rPr>
      </w:pPr>
      <w:r w:rsidRPr="00DC6C83">
        <w:rPr>
          <w:rFonts w:asciiTheme="majorHAnsi" w:hAnsiTheme="majorHAnsi" w:cstheme="majorHAnsi"/>
        </w:rPr>
        <w:lastRenderedPageBreak/>
        <w:t>ábra: Az Óvodapedagógus szakra első helyen jelentkezők és felvettek létszám adatai</w:t>
      </w:r>
    </w:p>
    <w:p w14:paraId="3DBA6058" w14:textId="77777777" w:rsidR="003D2139" w:rsidRPr="00DC6C83" w:rsidRDefault="00E36BAB" w:rsidP="003D2139">
      <w:pPr>
        <w:jc w:val="center"/>
        <w:rPr>
          <w:rFonts w:asciiTheme="majorHAnsi" w:hAnsiTheme="majorHAnsi" w:cstheme="majorHAnsi"/>
        </w:rPr>
      </w:pPr>
      <w:r>
        <w:rPr>
          <w:rFonts w:asciiTheme="majorHAnsi" w:hAnsiTheme="majorHAnsi" w:cstheme="majorHAnsi"/>
          <w:noProof/>
          <w:lang w:eastAsia="hu-HU"/>
        </w:rPr>
        <w:drawing>
          <wp:inline distT="0" distB="0" distL="0" distR="0" wp14:anchorId="1D256DF9" wp14:editId="308F9916">
            <wp:extent cx="4835424" cy="2655837"/>
            <wp:effectExtent l="0" t="0" r="22860" b="11430"/>
            <wp:docPr id="7"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0EDA60" w14:textId="77777777" w:rsidR="003D2139" w:rsidRDefault="003D2139" w:rsidP="003D2139">
      <w:pPr>
        <w:pStyle w:val="Forrs"/>
        <w:spacing w:line="276" w:lineRule="auto"/>
        <w:jc w:val="center"/>
        <w:rPr>
          <w:rFonts w:asciiTheme="majorHAnsi" w:hAnsiTheme="majorHAnsi" w:cstheme="majorHAnsi"/>
        </w:rPr>
      </w:pPr>
      <w:r w:rsidRPr="00DC6C83">
        <w:rPr>
          <w:rFonts w:asciiTheme="majorHAnsi" w:hAnsiTheme="majorHAnsi" w:cstheme="majorHAnsi"/>
        </w:rPr>
        <w:t>Forrás:</w:t>
      </w:r>
      <w:r w:rsidR="004203BA">
        <w:rPr>
          <w:rFonts w:asciiTheme="majorHAnsi" w:hAnsiTheme="majorHAnsi" w:cstheme="majorHAnsi"/>
        </w:rPr>
        <w:t xml:space="preserve"> </w:t>
      </w:r>
      <w:proofErr w:type="spellStart"/>
      <w:r w:rsidR="004203BA">
        <w:rPr>
          <w:rFonts w:asciiTheme="majorHAnsi" w:hAnsiTheme="majorHAnsi" w:cstheme="majorHAnsi"/>
        </w:rPr>
        <w:t>Felvi</w:t>
      </w:r>
      <w:proofErr w:type="spellEnd"/>
      <w:r w:rsidR="004203BA">
        <w:rPr>
          <w:rFonts w:asciiTheme="majorHAnsi" w:hAnsiTheme="majorHAnsi" w:cstheme="majorHAnsi"/>
        </w:rPr>
        <w:t xml:space="preserve"> adatbázis alapján</w:t>
      </w:r>
    </w:p>
    <w:p w14:paraId="7EDC5682" w14:textId="77777777" w:rsidR="004203BA" w:rsidRDefault="004203BA" w:rsidP="004203BA">
      <w:pPr>
        <w:pStyle w:val="Forrs"/>
        <w:spacing w:line="276" w:lineRule="auto"/>
        <w:jc w:val="both"/>
        <w:rPr>
          <w:rFonts w:asciiTheme="majorHAnsi" w:hAnsiTheme="majorHAnsi" w:cstheme="majorHAnsi"/>
          <w:i w:val="0"/>
          <w:sz w:val="24"/>
        </w:rPr>
      </w:pPr>
      <w:r w:rsidRPr="00590E5D">
        <w:rPr>
          <w:rFonts w:asciiTheme="majorHAnsi" w:hAnsiTheme="majorHAnsi" w:cstheme="majorHAnsi"/>
          <w:i w:val="0"/>
          <w:sz w:val="24"/>
        </w:rPr>
        <w:t>A pedagógusképzés, azon belül az óvodapedagógus-képzés évek óta az egyik legnépszerűbb szakok egyike a jelentkezők körében. 2013-hoz képest 2019-ben 43%-kal többen kívántak ezen a szakon tanulni.</w:t>
      </w:r>
    </w:p>
    <w:p w14:paraId="123FC30B" w14:textId="77777777" w:rsidR="00A270FD" w:rsidRDefault="00A270FD" w:rsidP="00A270FD">
      <w:pPr>
        <w:pStyle w:val="Abracim"/>
      </w:pPr>
      <w:r w:rsidRPr="004F7942">
        <w:t xml:space="preserve">ábra: A </w:t>
      </w:r>
      <w:r>
        <w:t>Tanító</w:t>
      </w:r>
      <w:r w:rsidRPr="004F7942">
        <w:t xml:space="preserve"> szakra első helyen jelentkezők és felvettek létszám</w:t>
      </w:r>
      <w:r w:rsidRPr="00DC6C83">
        <w:t xml:space="preserve"> </w:t>
      </w:r>
      <w:r>
        <w:t>adatai</w:t>
      </w:r>
    </w:p>
    <w:p w14:paraId="332A49E0" w14:textId="77777777" w:rsidR="00A270FD" w:rsidRDefault="00A270FD" w:rsidP="00A270FD">
      <w:pPr>
        <w:pStyle w:val="Forrs"/>
        <w:spacing w:after="120" w:line="276" w:lineRule="auto"/>
        <w:ind w:left="284"/>
        <w:jc w:val="center"/>
        <w:rPr>
          <w:rFonts w:asciiTheme="majorHAnsi" w:hAnsiTheme="majorHAnsi" w:cstheme="majorHAnsi"/>
        </w:rPr>
      </w:pPr>
      <w:r>
        <w:rPr>
          <w:noProof/>
          <w:lang w:eastAsia="hu-HU"/>
        </w:rPr>
        <w:drawing>
          <wp:inline distT="0" distB="0" distL="0" distR="0" wp14:anchorId="364329D0" wp14:editId="5F00D898">
            <wp:extent cx="4724400" cy="2525486"/>
            <wp:effectExtent l="0" t="0" r="0" b="825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60D7C9" w14:textId="77777777" w:rsidR="00A270FD" w:rsidRPr="00DC6C83" w:rsidRDefault="00A270FD" w:rsidP="00A270FD">
      <w:pPr>
        <w:pStyle w:val="Forrs"/>
        <w:spacing w:after="120" w:line="276" w:lineRule="auto"/>
        <w:ind w:left="284"/>
        <w:jc w:val="center"/>
        <w:rPr>
          <w:rFonts w:asciiTheme="majorHAnsi" w:hAnsiTheme="majorHAnsi" w:cstheme="majorHAnsi"/>
        </w:rPr>
      </w:pPr>
      <w:r w:rsidRPr="00DC6C83">
        <w:rPr>
          <w:rFonts w:asciiTheme="majorHAnsi" w:hAnsiTheme="majorHAnsi" w:cstheme="majorHAnsi"/>
        </w:rPr>
        <w:t xml:space="preserve">Forrás: </w:t>
      </w:r>
      <w:proofErr w:type="spellStart"/>
      <w:r w:rsidRPr="00DC6C83">
        <w:rPr>
          <w:rFonts w:asciiTheme="majorHAnsi" w:hAnsiTheme="majorHAnsi" w:cstheme="majorHAnsi"/>
        </w:rPr>
        <w:t>Felvi</w:t>
      </w:r>
      <w:proofErr w:type="spellEnd"/>
      <w:r w:rsidRPr="00DC6C83">
        <w:rPr>
          <w:rFonts w:asciiTheme="majorHAnsi" w:hAnsiTheme="majorHAnsi" w:cstheme="majorHAnsi"/>
        </w:rPr>
        <w:t xml:space="preserve"> adatbáz</w:t>
      </w:r>
      <w:r>
        <w:rPr>
          <w:rFonts w:asciiTheme="majorHAnsi" w:hAnsiTheme="majorHAnsi" w:cstheme="majorHAnsi"/>
        </w:rPr>
        <w:t>is alapján</w:t>
      </w:r>
    </w:p>
    <w:p w14:paraId="250B7DB3" w14:textId="4D2B04EA" w:rsidR="000E3EA1" w:rsidRPr="00DC6C83" w:rsidRDefault="003D2139" w:rsidP="003D2139">
      <w:pPr>
        <w:rPr>
          <w:rFonts w:asciiTheme="majorHAnsi" w:hAnsiTheme="majorHAnsi" w:cstheme="majorHAnsi"/>
        </w:rPr>
      </w:pPr>
      <w:r w:rsidRPr="000A7388">
        <w:rPr>
          <w:rFonts w:asciiTheme="majorHAnsi" w:hAnsiTheme="majorHAnsi" w:cstheme="majorHAnsi"/>
        </w:rPr>
        <w:t>A tanító szakon a jelentkezések létszáma az utóbbi években 1800 fő körül stabilizálódott, a felvett létszám stabilan 1</w:t>
      </w:r>
      <w:r w:rsidR="002D1D02">
        <w:rPr>
          <w:rFonts w:asciiTheme="majorHAnsi" w:hAnsiTheme="majorHAnsi" w:cstheme="majorHAnsi"/>
        </w:rPr>
        <w:t xml:space="preserve"> </w:t>
      </w:r>
      <w:r w:rsidRPr="000A7388">
        <w:rPr>
          <w:rFonts w:asciiTheme="majorHAnsi" w:hAnsiTheme="majorHAnsi" w:cstheme="majorHAnsi"/>
        </w:rPr>
        <w:t>000 fő felett alakul. A gyógypedagógus képzésben ugyanakkor az elmúlt négy év legmagasabb jelentkezési létszámát tapasztaltuk, a jelentkezések</w:t>
      </w:r>
      <w:r w:rsidRPr="00DC6C83">
        <w:rPr>
          <w:rFonts w:asciiTheme="majorHAnsi" w:hAnsiTheme="majorHAnsi" w:cstheme="majorHAnsi"/>
        </w:rPr>
        <w:t xml:space="preserve"> száma évek óta folyamatosan növekszik, illetve a felvettek száma is </w:t>
      </w:r>
      <w:r w:rsidR="00D407FC">
        <w:rPr>
          <w:rFonts w:asciiTheme="majorHAnsi" w:hAnsiTheme="majorHAnsi" w:cstheme="majorHAnsi"/>
        </w:rPr>
        <w:t>2,5 szerese a</w:t>
      </w:r>
      <w:r w:rsidRPr="00DC6C83">
        <w:rPr>
          <w:rFonts w:asciiTheme="majorHAnsi" w:hAnsiTheme="majorHAnsi" w:cstheme="majorHAnsi"/>
        </w:rPr>
        <w:t xml:space="preserve"> 2014-</w:t>
      </w:r>
      <w:r w:rsidR="00751ED7">
        <w:rPr>
          <w:rFonts w:asciiTheme="majorHAnsi" w:hAnsiTheme="majorHAnsi" w:cstheme="majorHAnsi"/>
        </w:rPr>
        <w:t>ben felvettek számához</w:t>
      </w:r>
      <w:r w:rsidR="00D6471D">
        <w:rPr>
          <w:rFonts w:asciiTheme="majorHAnsi" w:hAnsiTheme="majorHAnsi" w:cstheme="majorHAnsi"/>
        </w:rPr>
        <w:t xml:space="preserve"> </w:t>
      </w:r>
      <w:r w:rsidR="00D407FC">
        <w:rPr>
          <w:rFonts w:asciiTheme="majorHAnsi" w:hAnsiTheme="majorHAnsi" w:cstheme="majorHAnsi"/>
        </w:rPr>
        <w:t>képest</w:t>
      </w:r>
      <w:r w:rsidR="00874CA7">
        <w:rPr>
          <w:rFonts w:asciiTheme="majorHAnsi" w:hAnsiTheme="majorHAnsi" w:cstheme="majorHAnsi"/>
        </w:rPr>
        <w:t xml:space="preserve"> </w:t>
      </w:r>
      <w:r w:rsidR="00D407FC" w:rsidRPr="00D407FC">
        <w:rPr>
          <w:rFonts w:asciiTheme="majorHAnsi" w:hAnsiTheme="majorHAnsi" w:cstheme="majorHAnsi"/>
        </w:rPr>
        <w:t>(felvettek száma</w:t>
      </w:r>
      <w:r w:rsidR="00D407FC">
        <w:rPr>
          <w:rFonts w:asciiTheme="majorHAnsi" w:hAnsiTheme="majorHAnsi" w:cstheme="majorHAnsi"/>
        </w:rPr>
        <w:t>:</w:t>
      </w:r>
      <w:r w:rsidR="00D407FC" w:rsidRPr="00D407FC">
        <w:rPr>
          <w:rFonts w:asciiTheme="majorHAnsi" w:hAnsiTheme="majorHAnsi" w:cstheme="majorHAnsi"/>
        </w:rPr>
        <w:t xml:space="preserve"> 2014-ben </w:t>
      </w:r>
      <w:r w:rsidR="00D407FC">
        <w:rPr>
          <w:rFonts w:asciiTheme="majorHAnsi" w:hAnsiTheme="majorHAnsi" w:cstheme="majorHAnsi"/>
        </w:rPr>
        <w:t>826 fő,</w:t>
      </w:r>
      <w:r w:rsidR="00D407FC" w:rsidRPr="00D407FC">
        <w:rPr>
          <w:rFonts w:asciiTheme="majorHAnsi" w:hAnsiTheme="majorHAnsi" w:cstheme="majorHAnsi"/>
        </w:rPr>
        <w:t xml:space="preserve"> 2019-ben 2098 fő)</w:t>
      </w:r>
      <w:r w:rsidR="00D407FC">
        <w:rPr>
          <w:rFonts w:asciiTheme="majorHAnsi" w:hAnsiTheme="majorHAnsi" w:cstheme="majorHAnsi"/>
        </w:rPr>
        <w:t>.</w:t>
      </w:r>
    </w:p>
    <w:p w14:paraId="13AC0A62" w14:textId="3ED0B298" w:rsidR="003D2139" w:rsidRPr="00DC6C83" w:rsidRDefault="003D2139" w:rsidP="003D2139">
      <w:pPr>
        <w:pStyle w:val="Abracim"/>
        <w:rPr>
          <w:rFonts w:asciiTheme="majorHAnsi" w:hAnsiTheme="majorHAnsi" w:cstheme="majorHAnsi"/>
        </w:rPr>
      </w:pPr>
      <w:r w:rsidRPr="00DC6C83">
        <w:rPr>
          <w:rFonts w:asciiTheme="majorHAnsi" w:hAnsiTheme="majorHAnsi" w:cstheme="majorHAnsi"/>
        </w:rPr>
        <w:lastRenderedPageBreak/>
        <w:t xml:space="preserve">ábra: A gyógypedagógus </w:t>
      </w:r>
      <w:r w:rsidR="00890821">
        <w:rPr>
          <w:rFonts w:asciiTheme="majorHAnsi" w:hAnsiTheme="majorHAnsi" w:cstheme="majorHAnsi"/>
        </w:rPr>
        <w:t xml:space="preserve">alapszakra </w:t>
      </w:r>
      <w:r w:rsidRPr="00DC6C83">
        <w:rPr>
          <w:rFonts w:asciiTheme="majorHAnsi" w:hAnsiTheme="majorHAnsi" w:cstheme="majorHAnsi"/>
        </w:rPr>
        <w:t>első helyen jelentkezők és felvettek létszám adatai</w:t>
      </w:r>
    </w:p>
    <w:p w14:paraId="4A17077A" w14:textId="77777777" w:rsidR="003D2139" w:rsidRPr="00DC6C83" w:rsidRDefault="00E36BAB" w:rsidP="003D2139">
      <w:pPr>
        <w:jc w:val="center"/>
        <w:rPr>
          <w:rFonts w:asciiTheme="majorHAnsi" w:hAnsiTheme="majorHAnsi" w:cstheme="majorHAnsi"/>
        </w:rPr>
      </w:pPr>
      <w:r>
        <w:rPr>
          <w:rFonts w:asciiTheme="majorHAnsi" w:hAnsiTheme="majorHAnsi" w:cstheme="majorHAnsi"/>
          <w:noProof/>
          <w:lang w:eastAsia="hu-HU"/>
        </w:rPr>
        <w:drawing>
          <wp:inline distT="0" distB="0" distL="0" distR="0" wp14:anchorId="4346E4DA" wp14:editId="4A6B7DA3">
            <wp:extent cx="5054600" cy="3092450"/>
            <wp:effectExtent l="0" t="0" r="12700" b="12700"/>
            <wp:docPr id="8"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869DCC" w14:textId="77777777" w:rsidR="003D2139" w:rsidRDefault="003D2139" w:rsidP="003D2139">
      <w:pPr>
        <w:pStyle w:val="Forrs"/>
        <w:spacing w:line="276" w:lineRule="auto"/>
        <w:jc w:val="center"/>
        <w:rPr>
          <w:rFonts w:asciiTheme="majorHAnsi" w:hAnsiTheme="majorHAnsi" w:cstheme="majorHAnsi"/>
        </w:rPr>
      </w:pPr>
      <w:r w:rsidRPr="00DC6C83">
        <w:rPr>
          <w:rFonts w:asciiTheme="majorHAnsi" w:hAnsiTheme="majorHAnsi" w:cstheme="majorHAnsi"/>
        </w:rPr>
        <w:t xml:space="preserve">Forrás: </w:t>
      </w:r>
      <w:proofErr w:type="spellStart"/>
      <w:r w:rsidRPr="00DC6C83">
        <w:rPr>
          <w:rFonts w:asciiTheme="majorHAnsi" w:hAnsiTheme="majorHAnsi" w:cstheme="majorHAnsi"/>
        </w:rPr>
        <w:t>Felvi</w:t>
      </w:r>
      <w:proofErr w:type="spellEnd"/>
      <w:r w:rsidRPr="00DC6C83">
        <w:rPr>
          <w:rFonts w:asciiTheme="majorHAnsi" w:hAnsiTheme="majorHAnsi" w:cstheme="majorHAnsi"/>
        </w:rPr>
        <w:t xml:space="preserve"> adatbáz</w:t>
      </w:r>
      <w:r w:rsidR="004203BA">
        <w:rPr>
          <w:rFonts w:asciiTheme="majorHAnsi" w:hAnsiTheme="majorHAnsi" w:cstheme="majorHAnsi"/>
        </w:rPr>
        <w:t>is alapján</w:t>
      </w:r>
    </w:p>
    <w:p w14:paraId="77608A13" w14:textId="3F4A5C7E" w:rsidR="00FC0809" w:rsidRDefault="00597508" w:rsidP="00AD6641">
      <w:pPr>
        <w:rPr>
          <w:rFonts w:asciiTheme="majorHAnsi" w:hAnsiTheme="majorHAnsi" w:cstheme="majorHAnsi"/>
        </w:rPr>
      </w:pPr>
      <w:r>
        <w:rPr>
          <w:rFonts w:asciiTheme="majorHAnsi" w:hAnsiTheme="majorHAnsi" w:cstheme="majorHAnsi"/>
        </w:rPr>
        <w:t>A Kormány 2012-ben alakította át a pedagógusképzés rendszerét. Az óvodapedagógus és a tanító szak esetén a hagyományos képzés tartalmi megújítására került sor, a tanárképzésben az osztatlan képzés</w:t>
      </w:r>
      <w:r w:rsidR="00751ED7">
        <w:rPr>
          <w:rFonts w:asciiTheme="majorHAnsi" w:hAnsiTheme="majorHAnsi" w:cstheme="majorHAnsi"/>
        </w:rPr>
        <w:t>t állították vissza</w:t>
      </w:r>
      <w:r>
        <w:rPr>
          <w:rFonts w:asciiTheme="majorHAnsi" w:hAnsiTheme="majorHAnsi" w:cstheme="majorHAnsi"/>
        </w:rPr>
        <w:t xml:space="preserve"> a bolognai rendszerű képzési forma negatív tapasztalatai alapján</w:t>
      </w:r>
      <w:r w:rsidR="00751ED7">
        <w:rPr>
          <w:rFonts w:asciiTheme="majorHAnsi" w:hAnsiTheme="majorHAnsi" w:cstheme="majorHAnsi"/>
        </w:rPr>
        <w:t>. A régi/új</w:t>
      </w:r>
      <w:r w:rsidR="006A1E10">
        <w:rPr>
          <w:rFonts w:asciiTheme="majorHAnsi" w:hAnsiTheme="majorHAnsi" w:cstheme="majorHAnsi"/>
        </w:rPr>
        <w:t xml:space="preserve"> </w:t>
      </w:r>
      <w:r w:rsidR="00751ED7">
        <w:rPr>
          <w:rFonts w:asciiTheme="majorHAnsi" w:hAnsiTheme="majorHAnsi" w:cstheme="majorHAnsi"/>
        </w:rPr>
        <w:t xml:space="preserve">rendszerből </w:t>
      </w:r>
      <w:r>
        <w:rPr>
          <w:rFonts w:asciiTheme="majorHAnsi" w:hAnsiTheme="majorHAnsi" w:cstheme="majorHAnsi"/>
        </w:rPr>
        <w:t xml:space="preserve">az első hallgatók most kerülnek ki az iskolákba, </w:t>
      </w:r>
      <w:r w:rsidR="00751ED7">
        <w:rPr>
          <w:rFonts w:asciiTheme="majorHAnsi" w:hAnsiTheme="majorHAnsi" w:cstheme="majorHAnsi"/>
        </w:rPr>
        <w:t>így</w:t>
      </w:r>
      <w:r>
        <w:rPr>
          <w:rFonts w:asciiTheme="majorHAnsi" w:hAnsiTheme="majorHAnsi" w:cstheme="majorHAnsi"/>
        </w:rPr>
        <w:t xml:space="preserve"> most kerülhet sor az új képzési rendszer eredményességének felmérésére. Az már most látszik, hogy </w:t>
      </w:r>
      <w:r w:rsidR="00B86FE8" w:rsidRPr="00DC6C83">
        <w:rPr>
          <w:rFonts w:asciiTheme="majorHAnsi" w:hAnsiTheme="majorHAnsi" w:cstheme="majorHAnsi"/>
        </w:rPr>
        <w:t xml:space="preserve">érdemes </w:t>
      </w:r>
      <w:r>
        <w:rPr>
          <w:rFonts w:asciiTheme="majorHAnsi" w:hAnsiTheme="majorHAnsi" w:cstheme="majorHAnsi"/>
        </w:rPr>
        <w:t xml:space="preserve">lehet </w:t>
      </w:r>
      <w:r w:rsidR="00B86FE8" w:rsidRPr="00DC6C83">
        <w:rPr>
          <w:rFonts w:asciiTheme="majorHAnsi" w:hAnsiTheme="majorHAnsi" w:cstheme="majorHAnsi"/>
        </w:rPr>
        <w:t xml:space="preserve">megfontolni a jelenleg </w:t>
      </w:r>
      <w:r>
        <w:rPr>
          <w:rFonts w:asciiTheme="majorHAnsi" w:hAnsiTheme="majorHAnsi" w:cstheme="majorHAnsi"/>
        </w:rPr>
        <w:t xml:space="preserve">kétféle, </w:t>
      </w:r>
      <w:r w:rsidR="00B86FE8" w:rsidRPr="00DC6C83">
        <w:rPr>
          <w:rFonts w:asciiTheme="majorHAnsi" w:hAnsiTheme="majorHAnsi" w:cstheme="majorHAnsi"/>
        </w:rPr>
        <w:t>4+1 és 5+1 éves kimenet összevonását, ezáltal egyszerűsítve a tanárképzés struktúráját</w:t>
      </w:r>
      <w:r>
        <w:rPr>
          <w:rFonts w:asciiTheme="majorHAnsi" w:hAnsiTheme="majorHAnsi" w:cstheme="majorHAnsi"/>
        </w:rPr>
        <w:t>,</w:t>
      </w:r>
      <w:r w:rsidR="000B6BB7">
        <w:rPr>
          <w:rFonts w:asciiTheme="majorHAnsi" w:hAnsiTheme="majorHAnsi" w:cstheme="majorHAnsi"/>
        </w:rPr>
        <w:t xml:space="preserve"> </w:t>
      </w:r>
      <w:r>
        <w:rPr>
          <w:rFonts w:asciiTheme="majorHAnsi" w:hAnsiTheme="majorHAnsi" w:cstheme="majorHAnsi"/>
        </w:rPr>
        <w:t>hiszen a hallgatók döntő többsége a középiskolában történő oktatásra is feljogosító formát választotta</w:t>
      </w:r>
      <w:r w:rsidR="00B86FE8" w:rsidRPr="00DC6C83">
        <w:rPr>
          <w:rFonts w:asciiTheme="majorHAnsi" w:hAnsiTheme="majorHAnsi" w:cstheme="majorHAnsi"/>
        </w:rPr>
        <w:t>.</w:t>
      </w:r>
      <w:r w:rsidR="00DE1087">
        <w:rPr>
          <w:rFonts w:asciiTheme="majorHAnsi" w:hAnsiTheme="majorHAnsi" w:cstheme="majorHAnsi"/>
        </w:rPr>
        <w:t xml:space="preserve"> A köznevelési rendszer tartalmi szabályozóinak </w:t>
      </w:r>
      <w:r w:rsidR="006347AE">
        <w:rPr>
          <w:rFonts w:asciiTheme="majorHAnsi" w:hAnsiTheme="majorHAnsi" w:cstheme="majorHAnsi"/>
        </w:rPr>
        <w:t>(</w:t>
      </w:r>
      <w:proofErr w:type="spellStart"/>
      <w:r w:rsidR="006347AE">
        <w:rPr>
          <w:rFonts w:asciiTheme="majorHAnsi" w:hAnsiTheme="majorHAnsi" w:cstheme="majorHAnsi"/>
        </w:rPr>
        <w:t>Nat</w:t>
      </w:r>
      <w:proofErr w:type="spellEnd"/>
      <w:r w:rsidR="00BA23BF">
        <w:rPr>
          <w:rFonts w:asciiTheme="majorHAnsi" w:hAnsiTheme="majorHAnsi" w:cstheme="majorHAnsi"/>
        </w:rPr>
        <w:t xml:space="preserve">, kerettantervek, érettségi követelményrendszer) </w:t>
      </w:r>
      <w:r w:rsidR="00DE1087">
        <w:rPr>
          <w:rFonts w:asciiTheme="majorHAnsi" w:hAnsiTheme="majorHAnsi" w:cstheme="majorHAnsi"/>
        </w:rPr>
        <w:t xml:space="preserve">módosításával párhuzamosan </w:t>
      </w:r>
      <w:r w:rsidR="00BA23BF">
        <w:rPr>
          <w:rFonts w:asciiTheme="majorHAnsi" w:hAnsiTheme="majorHAnsi" w:cstheme="majorHAnsi"/>
        </w:rPr>
        <w:t>felmerülhet</w:t>
      </w:r>
      <w:r w:rsidR="00DE1087">
        <w:rPr>
          <w:rFonts w:asciiTheme="majorHAnsi" w:hAnsiTheme="majorHAnsi" w:cstheme="majorHAnsi"/>
        </w:rPr>
        <w:t xml:space="preserve"> az egyes képzési és kimenet</w:t>
      </w:r>
      <w:r w:rsidR="00BA23BF">
        <w:rPr>
          <w:rFonts w:asciiTheme="majorHAnsi" w:hAnsiTheme="majorHAnsi" w:cstheme="majorHAnsi"/>
        </w:rPr>
        <w:t xml:space="preserve">i követelmények megváltoztatása, amiben a felsőoktatási </w:t>
      </w:r>
      <w:r w:rsidR="0006196D">
        <w:rPr>
          <w:rFonts w:asciiTheme="majorHAnsi" w:hAnsiTheme="majorHAnsi" w:cstheme="majorHAnsi"/>
        </w:rPr>
        <w:t xml:space="preserve">szaktárcával </w:t>
      </w:r>
      <w:r w:rsidR="00BA23BF">
        <w:rPr>
          <w:rFonts w:asciiTheme="majorHAnsi" w:hAnsiTheme="majorHAnsi" w:cstheme="majorHAnsi"/>
        </w:rPr>
        <w:t xml:space="preserve">szükséges együttműködni. </w:t>
      </w:r>
      <w:r w:rsidR="0029643A">
        <w:rPr>
          <w:rFonts w:asciiTheme="majorHAnsi" w:hAnsiTheme="majorHAnsi" w:cstheme="majorHAnsi"/>
        </w:rPr>
        <w:t xml:space="preserve">Szintén fontos lehet a </w:t>
      </w:r>
      <w:r w:rsidR="00BA23BF">
        <w:rPr>
          <w:rFonts w:asciiTheme="majorHAnsi" w:hAnsiTheme="majorHAnsi" w:cstheme="majorHAnsi"/>
        </w:rPr>
        <w:t>szakterületek közötti kooperáció a köznevelési intézményekben folyó szakmai gyakorlat tartalmának, ütemezésének kialakítása és megszervezése, valamint a pedagógus továbbképzések megvalósítása</w:t>
      </w:r>
      <w:r w:rsidR="0029643A">
        <w:rPr>
          <w:rFonts w:asciiTheme="majorHAnsi" w:hAnsiTheme="majorHAnsi" w:cstheme="majorHAnsi"/>
        </w:rPr>
        <w:t xml:space="preserve"> terén</w:t>
      </w:r>
      <w:r w:rsidR="00DE1087">
        <w:rPr>
          <w:rFonts w:asciiTheme="majorHAnsi" w:hAnsiTheme="majorHAnsi" w:cstheme="majorHAnsi"/>
        </w:rPr>
        <w:t>.</w:t>
      </w:r>
      <w:r w:rsidR="00874CA7">
        <w:rPr>
          <w:rFonts w:asciiTheme="majorHAnsi" w:hAnsiTheme="majorHAnsi" w:cstheme="majorHAnsi"/>
        </w:rPr>
        <w:t xml:space="preserve"> Összesítve a pedagógusképzéseket jelenleg </w:t>
      </w:r>
      <w:r w:rsidR="00874CA7">
        <w:t>évente kb. 5-6000 pedagógus végez a felsőoktatásban.</w:t>
      </w:r>
    </w:p>
    <w:p w14:paraId="4D9DFB8E" w14:textId="77777777" w:rsidR="00CC281F" w:rsidRPr="00DC6C83" w:rsidRDefault="00B86FE8" w:rsidP="00AD6641">
      <w:pPr>
        <w:rPr>
          <w:rFonts w:asciiTheme="majorHAnsi" w:hAnsiTheme="majorHAnsi" w:cstheme="majorHAnsi"/>
        </w:rPr>
      </w:pPr>
      <w:r w:rsidRPr="00DC6C83">
        <w:rPr>
          <w:rFonts w:asciiTheme="majorHAnsi" w:hAnsiTheme="majorHAnsi" w:cstheme="majorHAnsi"/>
        </w:rPr>
        <w:t xml:space="preserve">A pályakezdő pedagógusoknak a diploma megszerzése utáni első munkahelye különös jelentőséggel bír a </w:t>
      </w:r>
      <w:r w:rsidR="00751ED7">
        <w:rPr>
          <w:rFonts w:asciiTheme="majorHAnsi" w:hAnsiTheme="majorHAnsi" w:cstheme="majorHAnsi"/>
        </w:rPr>
        <w:t>további</w:t>
      </w:r>
      <w:r w:rsidRPr="00DC6C83">
        <w:rPr>
          <w:rFonts w:asciiTheme="majorHAnsi" w:hAnsiTheme="majorHAnsi" w:cstheme="majorHAnsi"/>
        </w:rPr>
        <w:t xml:space="preserve"> motiváció, a teljesítmény és a szakmai fejlődés szempontjából. Előfordulhat, hogy a frissen végzett pedagógusok nehezen alkalmazkodnak a valós iskolai helyzetekhez, és nehézségeik vannak az alapképzés során tanultak alkalmazásakor. Számos nemzeti és nemzetközi kutatás azt bizonyítja azonban, hogy a kezdő pedagógusokat </w:t>
      </w:r>
      <w:r w:rsidRPr="00DC6C83">
        <w:rPr>
          <w:rFonts w:asciiTheme="majorHAnsi" w:hAnsiTheme="majorHAnsi" w:cstheme="majorHAnsi"/>
        </w:rPr>
        <w:lastRenderedPageBreak/>
        <w:t xml:space="preserve">támogató strukturált programokkal visszaszorítható ez a jelenség. E programok </w:t>
      </w:r>
      <w:proofErr w:type="gramStart"/>
      <w:r w:rsidRPr="00DC6C83">
        <w:rPr>
          <w:rFonts w:asciiTheme="majorHAnsi" w:hAnsiTheme="majorHAnsi" w:cstheme="majorHAnsi"/>
        </w:rPr>
        <w:t>a pályára</w:t>
      </w:r>
      <w:proofErr w:type="gramEnd"/>
      <w:r w:rsidRPr="00DC6C83">
        <w:rPr>
          <w:rFonts w:asciiTheme="majorHAnsi" w:hAnsiTheme="majorHAnsi" w:cstheme="majorHAnsi"/>
        </w:rPr>
        <w:t xml:space="preserve"> visszatérő pedagógusok számára is előnyösek lehetnek.</w:t>
      </w:r>
    </w:p>
    <w:p w14:paraId="40C84BC8" w14:textId="77777777" w:rsidR="00FC0809"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Mivel a pedagógusokkal szembeni elvárások egyre nagyobbak, és szerepük is egyre összetettebbé válik, </w:t>
      </w:r>
      <w:r w:rsidR="00751ED7">
        <w:rPr>
          <w:rFonts w:asciiTheme="majorHAnsi" w:hAnsiTheme="majorHAnsi" w:cstheme="majorHAnsi"/>
        </w:rPr>
        <w:t xml:space="preserve">így </w:t>
      </w:r>
      <w:r w:rsidRPr="00DC6C83">
        <w:rPr>
          <w:rFonts w:asciiTheme="majorHAnsi" w:hAnsiTheme="majorHAnsi" w:cstheme="majorHAnsi"/>
        </w:rPr>
        <w:t xml:space="preserve">a teljes pályafutásuk alatt, de különösen a munkába állásuk első szakaszában </w:t>
      </w:r>
      <w:r w:rsidR="00751ED7">
        <w:rPr>
          <w:rFonts w:asciiTheme="majorHAnsi" w:hAnsiTheme="majorHAnsi" w:cstheme="majorHAnsi"/>
        </w:rPr>
        <w:t xml:space="preserve">szükséges lenne egy </w:t>
      </w:r>
      <w:r w:rsidRPr="00DC6C83">
        <w:rPr>
          <w:rFonts w:asciiTheme="majorHAnsi" w:hAnsiTheme="majorHAnsi" w:cstheme="majorHAnsi"/>
        </w:rPr>
        <w:t>hatékony személyes és szakmai támogatás</w:t>
      </w:r>
      <w:r w:rsidR="00751ED7">
        <w:rPr>
          <w:rFonts w:asciiTheme="majorHAnsi" w:hAnsiTheme="majorHAnsi" w:cstheme="majorHAnsi"/>
        </w:rPr>
        <w:t>, amelyet</w:t>
      </w:r>
      <w:r w:rsidRPr="00DC6C83">
        <w:rPr>
          <w:rFonts w:asciiTheme="majorHAnsi" w:hAnsiTheme="majorHAnsi" w:cstheme="majorHAnsi"/>
        </w:rPr>
        <w:t xml:space="preserve"> a fenntartóknak kell</w:t>
      </w:r>
      <w:r w:rsidR="00751ED7">
        <w:rPr>
          <w:rFonts w:asciiTheme="majorHAnsi" w:hAnsiTheme="majorHAnsi" w:cstheme="majorHAnsi"/>
        </w:rPr>
        <w:t xml:space="preserve"> megteremteniük</w:t>
      </w:r>
      <w:r w:rsidRPr="00DC6C83">
        <w:rPr>
          <w:rFonts w:asciiTheme="majorHAnsi" w:hAnsiTheme="majorHAnsi" w:cstheme="majorHAnsi"/>
        </w:rPr>
        <w:t>.</w:t>
      </w:r>
    </w:p>
    <w:p w14:paraId="5F0FFF49" w14:textId="77777777" w:rsidR="00FC0809" w:rsidRPr="00DC6C83" w:rsidRDefault="00FC0809" w:rsidP="00FC0809">
      <w:pPr>
        <w:rPr>
          <w:rFonts w:asciiTheme="majorHAnsi" w:hAnsiTheme="majorHAnsi" w:cstheme="majorHAnsi"/>
        </w:rPr>
      </w:pPr>
      <w:r w:rsidRPr="00DC6C83">
        <w:rPr>
          <w:rFonts w:asciiTheme="majorHAnsi" w:hAnsiTheme="majorHAnsi" w:cstheme="majorHAnsi"/>
        </w:rPr>
        <w:t>A képzések eredményességét vizsgáló kutatások</w:t>
      </w:r>
      <w:r w:rsidRPr="00DC6C83">
        <w:rPr>
          <w:rStyle w:val="Lbjegyzet-hivatkozs"/>
          <w:rFonts w:asciiTheme="majorHAnsi" w:hAnsiTheme="majorHAnsi" w:cstheme="majorHAnsi"/>
        </w:rPr>
        <w:footnoteReference w:id="16"/>
      </w:r>
      <w:r w:rsidRPr="00DC6C83">
        <w:rPr>
          <w:rFonts w:asciiTheme="majorHAnsi" w:hAnsiTheme="majorHAnsi" w:cstheme="majorHAnsi"/>
        </w:rPr>
        <w:t xml:space="preserve"> rámutattak, hogy a képzés eredményességét meghatározóan befolyásolja többek közt a széleskörű és támogatott gyakorlatok rendszere, amelyek együtt járnak olyan kurzusokkal, amelyek segítenek az elmélet és gyakorlat </w:t>
      </w:r>
      <w:r w:rsidRPr="000A7388">
        <w:rPr>
          <w:rFonts w:asciiTheme="majorHAnsi" w:hAnsiTheme="majorHAnsi" w:cstheme="majorHAnsi"/>
        </w:rPr>
        <w:t>összekapcsolásában. A gyakorlatok akkor jól tervezettek és támogatják a pálya</w:t>
      </w:r>
      <w:r w:rsidR="00B87527">
        <w:rPr>
          <w:rFonts w:asciiTheme="majorHAnsi" w:hAnsiTheme="majorHAnsi" w:cstheme="majorHAnsi"/>
        </w:rPr>
        <w:t xml:space="preserve"> előmenetelt</w:t>
      </w:r>
      <w:r w:rsidRPr="000A7388">
        <w:rPr>
          <w:rFonts w:asciiTheme="majorHAnsi" w:hAnsiTheme="majorHAnsi" w:cstheme="majorHAnsi"/>
        </w:rPr>
        <w:t xml:space="preserve"> és a pályaszocializációt, ha már a</w:t>
      </w:r>
      <w:r w:rsidRPr="00DC6C83">
        <w:rPr>
          <w:rFonts w:asciiTheme="majorHAnsi" w:hAnsiTheme="majorHAnsi" w:cstheme="majorHAnsi"/>
        </w:rPr>
        <w:t xml:space="preserve"> képzés elején orientálnak, lehetőséget teremtve a képzés egészé</w:t>
      </w:r>
      <w:r>
        <w:rPr>
          <w:rFonts w:asciiTheme="majorHAnsi" w:hAnsiTheme="majorHAnsi" w:cstheme="majorHAnsi"/>
        </w:rPr>
        <w:t>be</w:t>
      </w:r>
      <w:r w:rsidRPr="00DC6C83">
        <w:rPr>
          <w:rFonts w:asciiTheme="majorHAnsi" w:hAnsiTheme="majorHAnsi" w:cstheme="majorHAnsi"/>
        </w:rPr>
        <w:t>n a tudatos tanulásra, az első gyakorlati élmények feldolgozására, értékelésére, ezzel csökkentve a pályaelhagyást és a lemorzsolódást. A pályaszocializáció támogatás</w:t>
      </w:r>
      <w:r w:rsidR="000E5BB1">
        <w:rPr>
          <w:rFonts w:asciiTheme="majorHAnsi" w:hAnsiTheme="majorHAnsi" w:cstheme="majorHAnsi"/>
        </w:rPr>
        <w:t>ára</w:t>
      </w:r>
      <w:r w:rsidRPr="00DC6C83">
        <w:rPr>
          <w:rFonts w:asciiTheme="majorHAnsi" w:hAnsiTheme="majorHAnsi" w:cstheme="majorHAnsi"/>
        </w:rPr>
        <w:t xml:space="preserve"> összességében javasolható, hogy a </w:t>
      </w:r>
      <w:r w:rsidR="00B87527">
        <w:rPr>
          <w:rFonts w:asciiTheme="majorHAnsi" w:hAnsiTheme="majorHAnsi" w:cstheme="majorHAnsi"/>
        </w:rPr>
        <w:t>tanítási</w:t>
      </w:r>
      <w:r w:rsidRPr="00DC6C83">
        <w:rPr>
          <w:rFonts w:asciiTheme="majorHAnsi" w:hAnsiTheme="majorHAnsi" w:cstheme="majorHAnsi"/>
        </w:rPr>
        <w:t xml:space="preserve"> gyakorlatok a képzés egészébe illeszkedve épüljenek be, és a képzés teljes folyamatához kapcsolódjanak</w:t>
      </w:r>
      <w:r>
        <w:rPr>
          <w:rFonts w:asciiTheme="majorHAnsi" w:hAnsiTheme="majorHAnsi" w:cstheme="majorHAnsi"/>
        </w:rPr>
        <w:t xml:space="preserve">, továbbá meg kell erősíteni a gyakorló iskolák szakmai feladatait, felelősségét a pedagógusképzésben. </w:t>
      </w:r>
    </w:p>
    <w:p w14:paraId="03C1863D" w14:textId="64B6E2A6" w:rsidR="00FC0809" w:rsidRPr="00DC6C83" w:rsidRDefault="00FC0809" w:rsidP="00FC0809">
      <w:pPr>
        <w:rPr>
          <w:rFonts w:asciiTheme="majorHAnsi" w:hAnsiTheme="majorHAnsi" w:cstheme="majorHAnsi"/>
        </w:rPr>
      </w:pPr>
      <w:r w:rsidRPr="00DC6C83">
        <w:rPr>
          <w:rFonts w:asciiTheme="majorHAnsi" w:hAnsiTheme="majorHAnsi" w:cstheme="majorHAnsi"/>
        </w:rPr>
        <w:t>A pedagógus pálya egységként való kezelése, az alapképzés és a szakma gyakorlása között kiemelt szerepet kapó gyakornoki időszak megfogalmazása szükségessé tette a bevezető program elemeinek meghatározását is. A pályakezdés a tanárok kompetenciafejlesztésének, a pályaszocializációjának</w:t>
      </w:r>
      <w:r w:rsidR="001D45D9">
        <w:rPr>
          <w:rFonts w:asciiTheme="majorHAnsi" w:hAnsiTheme="majorHAnsi" w:cstheme="majorHAnsi"/>
        </w:rPr>
        <w:t xml:space="preserve"> </w:t>
      </w:r>
      <w:r w:rsidR="00B87527" w:rsidRPr="00DC6C83">
        <w:rPr>
          <w:rFonts w:asciiTheme="majorHAnsi" w:hAnsiTheme="majorHAnsi" w:cstheme="majorHAnsi"/>
        </w:rPr>
        <w:t>döntő szakasza</w:t>
      </w:r>
      <w:r w:rsidRPr="00DC6C83">
        <w:rPr>
          <w:rFonts w:asciiTheme="majorHAnsi" w:hAnsiTheme="majorHAnsi" w:cstheme="majorHAnsi"/>
        </w:rPr>
        <w:t xml:space="preserve">, </w:t>
      </w:r>
      <w:r w:rsidR="00B87527">
        <w:rPr>
          <w:rFonts w:asciiTheme="majorHAnsi" w:hAnsiTheme="majorHAnsi" w:cstheme="majorHAnsi"/>
        </w:rPr>
        <w:t>amely</w:t>
      </w:r>
      <w:r w:rsidRPr="00DC6C83">
        <w:rPr>
          <w:rFonts w:asciiTheme="majorHAnsi" w:hAnsiTheme="majorHAnsi" w:cstheme="majorHAnsi"/>
        </w:rPr>
        <w:t xml:space="preserve"> hatással van a szakmai személyiség további fejlődésére, a szakmai identitás alakulására, az egész életpálya alakulására. A magyarországi kutatások megerősítették, hogy a pályán maradást döntően meghatározza az első években szerzett tapasztalat. A pályakezdő pedagógusoknak alapvetően háromféle segítségre van szüksége a bevezető szakasz</w:t>
      </w:r>
      <w:r w:rsidR="000E5BB1">
        <w:rPr>
          <w:rFonts w:asciiTheme="majorHAnsi" w:hAnsiTheme="majorHAnsi" w:cstheme="majorHAnsi"/>
        </w:rPr>
        <w:t>ban</w:t>
      </w:r>
      <w:r w:rsidRPr="00DC6C83">
        <w:rPr>
          <w:rFonts w:asciiTheme="majorHAnsi" w:hAnsiTheme="majorHAnsi" w:cstheme="majorHAnsi"/>
        </w:rPr>
        <w:t xml:space="preserve">: (1) a személyes segítség; (2) a társas segítség; illetve (3) a professzionális segítség. </w:t>
      </w:r>
      <w:r>
        <w:rPr>
          <w:rFonts w:asciiTheme="majorHAnsi" w:hAnsiTheme="majorHAnsi" w:cstheme="majorHAnsi"/>
        </w:rPr>
        <w:t>A hazai segítő rendszer nemzetközi összehasonlításban is k</w:t>
      </w:r>
      <w:r w:rsidR="00817FEE">
        <w:rPr>
          <w:rFonts w:asciiTheme="majorHAnsi" w:hAnsiTheme="majorHAnsi" w:cstheme="majorHAnsi"/>
        </w:rPr>
        <w:t xml:space="preserve">iemelkedően átgondolt struktúra, ugyanakkor hasznos lehet megvizsgálni más országok </w:t>
      </w:r>
      <w:proofErr w:type="spellStart"/>
      <w:r w:rsidR="00817FEE">
        <w:rPr>
          <w:rFonts w:asciiTheme="majorHAnsi" w:hAnsiTheme="majorHAnsi" w:cstheme="majorHAnsi"/>
        </w:rPr>
        <w:t>újkeletű</w:t>
      </w:r>
      <w:proofErr w:type="spellEnd"/>
      <w:r w:rsidR="00817FEE">
        <w:rPr>
          <w:rFonts w:asciiTheme="majorHAnsi" w:hAnsiTheme="majorHAnsi" w:cstheme="majorHAnsi"/>
        </w:rPr>
        <w:t xml:space="preserve"> gyakorlatait is a pályakezdők indukciós támogatása, a jó tanárok pályán való megtartása érdekében.</w:t>
      </w:r>
    </w:p>
    <w:p w14:paraId="32478929" w14:textId="6CBD8FF4" w:rsidR="00FC0809" w:rsidRPr="00DC6C83" w:rsidRDefault="00FC0809" w:rsidP="00FC0809">
      <w:pPr>
        <w:rPr>
          <w:rFonts w:asciiTheme="majorHAnsi" w:hAnsiTheme="majorHAnsi" w:cstheme="majorHAnsi"/>
        </w:rPr>
      </w:pPr>
      <w:r w:rsidRPr="00DC6C83">
        <w:rPr>
          <w:rFonts w:asciiTheme="majorHAnsi" w:hAnsiTheme="majorHAnsi" w:cstheme="majorHAnsi"/>
        </w:rPr>
        <w:t xml:space="preserve">A pályaszocializációs rendszerben a mentornak kiemelt szerepe van az új </w:t>
      </w:r>
      <w:r w:rsidR="000E5BB1">
        <w:rPr>
          <w:rFonts w:asciiTheme="majorHAnsi" w:hAnsiTheme="majorHAnsi" w:cstheme="majorHAnsi"/>
        </w:rPr>
        <w:t xml:space="preserve">pedagógus </w:t>
      </w:r>
      <w:r w:rsidRPr="00DC6C83">
        <w:rPr>
          <w:rFonts w:asciiTheme="majorHAnsi" w:hAnsiTheme="majorHAnsi" w:cstheme="majorHAnsi"/>
        </w:rPr>
        <w:t>szakmai közösségbe való beilleszkedés</w:t>
      </w:r>
      <w:r w:rsidR="000E5BB1">
        <w:rPr>
          <w:rFonts w:asciiTheme="majorHAnsi" w:hAnsiTheme="majorHAnsi" w:cstheme="majorHAnsi"/>
        </w:rPr>
        <w:t>ének</w:t>
      </w:r>
      <w:r w:rsidRPr="00DC6C83">
        <w:rPr>
          <w:rFonts w:asciiTheme="majorHAnsi" w:hAnsiTheme="majorHAnsi" w:cstheme="majorHAnsi"/>
        </w:rPr>
        <w:t xml:space="preserve"> támogatásában</w:t>
      </w:r>
      <w:r w:rsidR="000E5BB1">
        <w:rPr>
          <w:rFonts w:asciiTheme="majorHAnsi" w:hAnsiTheme="majorHAnsi" w:cstheme="majorHAnsi"/>
        </w:rPr>
        <w:t>. Egyben</w:t>
      </w:r>
      <w:r w:rsidRPr="00DC6C83">
        <w:rPr>
          <w:rFonts w:asciiTheme="majorHAnsi" w:hAnsiTheme="majorHAnsi" w:cstheme="majorHAnsi"/>
        </w:rPr>
        <w:t xml:space="preserve"> a jelölt</w:t>
      </w:r>
      <w:r w:rsidR="000E5BB1">
        <w:rPr>
          <w:rFonts w:asciiTheme="majorHAnsi" w:hAnsiTheme="majorHAnsi" w:cstheme="majorHAnsi"/>
        </w:rPr>
        <w:t>nek példát is mutat</w:t>
      </w:r>
      <w:r w:rsidRPr="00DC6C83">
        <w:rPr>
          <w:rFonts w:asciiTheme="majorHAnsi" w:hAnsiTheme="majorHAnsi" w:cstheme="majorHAnsi"/>
        </w:rPr>
        <w:t xml:space="preserve"> a korszerű pedagógiai módszerek alkalmazása, illetve a folyamatos tanulás, fejlődés igényének kialakítása terén is. Ezért szükséges a </w:t>
      </w:r>
      <w:r w:rsidR="00EF459B">
        <w:t>mentorálás megerősítésén és megbecsülésén túl</w:t>
      </w:r>
      <w:r w:rsidR="001D45D9">
        <w:t xml:space="preserve"> </w:t>
      </w:r>
      <w:r w:rsidR="00EF459B">
        <w:rPr>
          <w:rFonts w:asciiTheme="majorHAnsi" w:hAnsiTheme="majorHAnsi" w:cstheme="majorHAnsi"/>
        </w:rPr>
        <w:t xml:space="preserve">a </w:t>
      </w:r>
      <w:r w:rsidRPr="00DC6C83">
        <w:rPr>
          <w:rFonts w:asciiTheme="majorHAnsi" w:hAnsiTheme="majorHAnsi" w:cstheme="majorHAnsi"/>
        </w:rPr>
        <w:t>mentorképzés és értékelés kritériumrendszerében hangsúlyosan megjeleníteni a pályaszocializáció</w:t>
      </w:r>
      <w:r w:rsidR="000E5BB1">
        <w:rPr>
          <w:rFonts w:asciiTheme="majorHAnsi" w:hAnsiTheme="majorHAnsi" w:cstheme="majorHAnsi"/>
        </w:rPr>
        <w:t>s</w:t>
      </w:r>
      <w:r w:rsidRPr="00DC6C83">
        <w:rPr>
          <w:rFonts w:asciiTheme="majorHAnsi" w:hAnsiTheme="majorHAnsi" w:cstheme="majorHAnsi"/>
        </w:rPr>
        <w:t xml:space="preserve"> segít</w:t>
      </w:r>
      <w:r w:rsidR="000E5BB1">
        <w:rPr>
          <w:rFonts w:asciiTheme="majorHAnsi" w:hAnsiTheme="majorHAnsi" w:cstheme="majorHAnsi"/>
        </w:rPr>
        <w:t>séget,</w:t>
      </w:r>
      <w:r w:rsidR="001C1AFA">
        <w:rPr>
          <w:rFonts w:asciiTheme="majorHAnsi" w:hAnsiTheme="majorHAnsi" w:cstheme="majorHAnsi"/>
        </w:rPr>
        <w:t xml:space="preserve"> </w:t>
      </w:r>
      <w:r w:rsidRPr="00DC6C83">
        <w:rPr>
          <w:rFonts w:asciiTheme="majorHAnsi" w:hAnsiTheme="majorHAnsi" w:cstheme="majorHAnsi"/>
        </w:rPr>
        <w:t xml:space="preserve">a pályaszocializáció támogatási formáinak </w:t>
      </w:r>
      <w:r w:rsidR="000E5BB1" w:rsidRPr="00DC6C83">
        <w:rPr>
          <w:rFonts w:asciiTheme="majorHAnsi" w:hAnsiTheme="majorHAnsi" w:cstheme="majorHAnsi"/>
        </w:rPr>
        <w:t>kialakítását</w:t>
      </w:r>
      <w:r w:rsidR="00B87527">
        <w:rPr>
          <w:rFonts w:asciiTheme="majorHAnsi" w:hAnsiTheme="majorHAnsi" w:cstheme="majorHAnsi"/>
        </w:rPr>
        <w:t>.</w:t>
      </w:r>
      <w:r w:rsidR="001D45D9">
        <w:rPr>
          <w:rFonts w:asciiTheme="majorHAnsi" w:hAnsiTheme="majorHAnsi" w:cstheme="majorHAnsi"/>
        </w:rPr>
        <w:t xml:space="preserve"> </w:t>
      </w:r>
      <w:r w:rsidR="00B87527">
        <w:rPr>
          <w:rFonts w:asciiTheme="majorHAnsi" w:hAnsiTheme="majorHAnsi" w:cstheme="majorHAnsi"/>
        </w:rPr>
        <w:t xml:space="preserve">A </w:t>
      </w:r>
      <w:r w:rsidR="0036072F">
        <w:rPr>
          <w:rFonts w:asciiTheme="majorHAnsi" w:hAnsiTheme="majorHAnsi" w:cstheme="majorHAnsi"/>
        </w:rPr>
        <w:t xml:space="preserve">kezdő időszak megkönnyítése érdekében a </w:t>
      </w:r>
      <w:r w:rsidR="00B87527">
        <w:rPr>
          <w:rFonts w:asciiTheme="majorHAnsi" w:hAnsiTheme="majorHAnsi" w:cstheme="majorHAnsi"/>
        </w:rPr>
        <w:t>szakmai gyakorlat</w:t>
      </w:r>
      <w:r w:rsidR="0036072F">
        <w:rPr>
          <w:rFonts w:asciiTheme="majorHAnsi" w:hAnsiTheme="majorHAnsi" w:cstheme="majorHAnsi"/>
        </w:rPr>
        <w:t>tal</w:t>
      </w:r>
      <w:r w:rsidR="00B87527">
        <w:rPr>
          <w:rFonts w:asciiTheme="majorHAnsi" w:hAnsiTheme="majorHAnsi" w:cstheme="majorHAnsi"/>
        </w:rPr>
        <w:t>, valamint</w:t>
      </w:r>
      <w:r w:rsidR="0036072F">
        <w:rPr>
          <w:rFonts w:asciiTheme="majorHAnsi" w:hAnsiTheme="majorHAnsi" w:cstheme="majorHAnsi"/>
        </w:rPr>
        <w:t xml:space="preserve"> a gyakornoki időszakkal</w:t>
      </w:r>
      <w:r w:rsidRPr="00DC6C83">
        <w:rPr>
          <w:rFonts w:asciiTheme="majorHAnsi" w:hAnsiTheme="majorHAnsi" w:cstheme="majorHAnsi"/>
        </w:rPr>
        <w:t xml:space="preserve"> </w:t>
      </w:r>
      <w:r w:rsidRPr="00DC6C83">
        <w:rPr>
          <w:rFonts w:asciiTheme="majorHAnsi" w:hAnsiTheme="majorHAnsi" w:cstheme="majorHAnsi"/>
        </w:rPr>
        <w:lastRenderedPageBreak/>
        <w:t xml:space="preserve">érintett </w:t>
      </w:r>
      <w:r w:rsidR="0036072F">
        <w:rPr>
          <w:rFonts w:asciiTheme="majorHAnsi" w:hAnsiTheme="majorHAnsi" w:cstheme="majorHAnsi"/>
        </w:rPr>
        <w:t>iskolák pedagógusközösségei</w:t>
      </w:r>
      <w:r w:rsidR="00D6471D">
        <w:rPr>
          <w:rFonts w:asciiTheme="majorHAnsi" w:hAnsiTheme="majorHAnsi" w:cstheme="majorHAnsi"/>
        </w:rPr>
        <w:t xml:space="preserve"> </w:t>
      </w:r>
      <w:r w:rsidR="0036072F">
        <w:rPr>
          <w:rFonts w:asciiTheme="majorHAnsi" w:hAnsiTheme="majorHAnsi" w:cstheme="majorHAnsi"/>
        </w:rPr>
        <w:t>dolgozzanak ki</w:t>
      </w:r>
      <w:r w:rsidRPr="00DC6C83">
        <w:rPr>
          <w:rFonts w:asciiTheme="majorHAnsi" w:hAnsiTheme="majorHAnsi" w:cstheme="majorHAnsi"/>
        </w:rPr>
        <w:t>támogató eljárás</w:t>
      </w:r>
      <w:r w:rsidR="0036072F">
        <w:rPr>
          <w:rFonts w:asciiTheme="majorHAnsi" w:hAnsiTheme="majorHAnsi" w:cstheme="majorHAnsi"/>
        </w:rPr>
        <w:t>t a kezdő pedagógusok segítésére</w:t>
      </w:r>
      <w:r w:rsidRPr="00DC6C83">
        <w:rPr>
          <w:rFonts w:asciiTheme="majorHAnsi" w:hAnsiTheme="majorHAnsi" w:cstheme="majorHAnsi"/>
        </w:rPr>
        <w:t>.</w:t>
      </w:r>
    </w:p>
    <w:p w14:paraId="7D65A9CE" w14:textId="77777777" w:rsidR="00FC0809" w:rsidRPr="00DC6C83" w:rsidRDefault="00FC0809" w:rsidP="00FC0809">
      <w:pPr>
        <w:rPr>
          <w:rFonts w:asciiTheme="majorHAnsi" w:hAnsiTheme="majorHAnsi" w:cstheme="majorHAnsi"/>
        </w:rPr>
      </w:pPr>
      <w:r w:rsidRPr="00DC6C83">
        <w:rPr>
          <w:rFonts w:asciiTheme="majorHAnsi" w:hAnsiTheme="majorHAnsi" w:cstheme="majorHAnsi"/>
        </w:rPr>
        <w:t xml:space="preserve">A kezdő szakasz támogatásában érdemes lenne megvizsgálni a nemzetközi gyakorlatban bizonyított csoportos mentorálási, illetve a társak által csoportban végzett támogatási formákat, </w:t>
      </w:r>
      <w:r w:rsidR="000E5BB1">
        <w:rPr>
          <w:rFonts w:asciiTheme="majorHAnsi" w:hAnsiTheme="majorHAnsi" w:cstheme="majorHAnsi"/>
        </w:rPr>
        <w:t>a</w:t>
      </w:r>
      <w:r w:rsidRPr="00DC6C83">
        <w:rPr>
          <w:rFonts w:asciiTheme="majorHAnsi" w:hAnsiTheme="majorHAnsi" w:cstheme="majorHAnsi"/>
        </w:rPr>
        <w:t xml:space="preserve">melyek koordinálásában szerepet kaphatnak a pedagógusképző intézmények. Amennyiben a Klebelsberg Képzési Ösztöndíj </w:t>
      </w:r>
      <w:r w:rsidR="006A258E">
        <w:rPr>
          <w:rFonts w:asciiTheme="majorHAnsi" w:hAnsiTheme="majorHAnsi" w:cstheme="majorHAnsi"/>
        </w:rPr>
        <w:t>Program</w:t>
      </w:r>
      <w:r w:rsidR="000E5BB1">
        <w:rPr>
          <w:rFonts w:asciiTheme="majorHAnsi" w:hAnsiTheme="majorHAnsi" w:cstheme="majorHAnsi"/>
        </w:rPr>
        <w:t>ot</w:t>
      </w:r>
      <w:r w:rsidR="00D6471D">
        <w:rPr>
          <w:rFonts w:asciiTheme="majorHAnsi" w:hAnsiTheme="majorHAnsi" w:cstheme="majorHAnsi"/>
        </w:rPr>
        <w:t xml:space="preserve"> </w:t>
      </w:r>
      <w:r w:rsidRPr="00DC6C83">
        <w:rPr>
          <w:rFonts w:asciiTheme="majorHAnsi" w:hAnsiTheme="majorHAnsi" w:cstheme="majorHAnsi"/>
        </w:rPr>
        <w:t>kiterjeszt</w:t>
      </w:r>
      <w:r w:rsidR="000E5BB1">
        <w:rPr>
          <w:rFonts w:asciiTheme="majorHAnsi" w:hAnsiTheme="majorHAnsi" w:cstheme="majorHAnsi"/>
        </w:rPr>
        <w:t>jük</w:t>
      </w:r>
      <w:r w:rsidRPr="00DC6C83">
        <w:rPr>
          <w:rFonts w:asciiTheme="majorHAnsi" w:hAnsiTheme="majorHAnsi" w:cstheme="majorHAnsi"/>
        </w:rPr>
        <w:t xml:space="preserve">, akkor hangsúlyosan annak </w:t>
      </w:r>
      <w:proofErr w:type="spellStart"/>
      <w:r w:rsidRPr="00DC6C83">
        <w:rPr>
          <w:rFonts w:asciiTheme="majorHAnsi" w:hAnsiTheme="majorHAnsi" w:cstheme="majorHAnsi"/>
        </w:rPr>
        <w:t>kedvezményezetti</w:t>
      </w:r>
      <w:proofErr w:type="spellEnd"/>
      <w:r w:rsidRPr="00DC6C83">
        <w:rPr>
          <w:rFonts w:asciiTheme="majorHAnsi" w:hAnsiTheme="majorHAnsi" w:cstheme="majorHAnsi"/>
        </w:rPr>
        <w:t xml:space="preserve"> körét, de </w:t>
      </w:r>
      <w:r w:rsidR="009D0ED0">
        <w:rPr>
          <w:rFonts w:asciiTheme="majorHAnsi" w:hAnsiTheme="majorHAnsi" w:cstheme="majorHAnsi"/>
        </w:rPr>
        <w:t>mellettük</w:t>
      </w:r>
      <w:r w:rsidRPr="00DC6C83">
        <w:rPr>
          <w:rFonts w:asciiTheme="majorHAnsi" w:hAnsiTheme="majorHAnsi" w:cstheme="majorHAnsi"/>
        </w:rPr>
        <w:t xml:space="preserve"> minél több embert be kell vonni a fenntartó és az Oktatási Hivatal által ingyenesen kínált mentorálási programba. Ennek egy nagyon speciális eleme lehet a közszolgálat, a hivatástudat erősítését célzó szakmai továbbképzési program is. </w:t>
      </w:r>
    </w:p>
    <w:p w14:paraId="403041B7" w14:textId="77777777" w:rsidR="00B86FE8" w:rsidRPr="00DC6C83" w:rsidRDefault="00B86FE8" w:rsidP="00B86FE8">
      <w:pPr>
        <w:spacing w:line="276" w:lineRule="auto"/>
        <w:rPr>
          <w:rFonts w:asciiTheme="majorHAnsi" w:hAnsiTheme="majorHAnsi" w:cstheme="majorHAnsi"/>
        </w:rPr>
      </w:pPr>
    </w:p>
    <w:p w14:paraId="1655E951" w14:textId="77777777" w:rsidR="00B86FE8" w:rsidRPr="00DC6C83" w:rsidRDefault="00B86FE8" w:rsidP="00D921A9">
      <w:pPr>
        <w:pStyle w:val="Cmsor4"/>
      </w:pPr>
      <w:bookmarkStart w:id="50" w:name="_Toc35596132"/>
      <w:bookmarkStart w:id="51" w:name="_Toc46822709"/>
      <w:r w:rsidRPr="00DC6C83">
        <w:t>A pedagógus-továbbképzési rendszer helyzete, az új pedagógus továbbképzési rendszer bevezetése</w:t>
      </w:r>
      <w:bookmarkEnd w:id="50"/>
      <w:bookmarkEnd w:id="51"/>
    </w:p>
    <w:p w14:paraId="78E4881D" w14:textId="3CBAF28A" w:rsidR="00B86FE8" w:rsidRDefault="00AC0369" w:rsidP="00B86FE8">
      <w:pPr>
        <w:spacing w:line="276" w:lineRule="auto"/>
        <w:rPr>
          <w:rFonts w:asciiTheme="majorHAnsi" w:hAnsiTheme="majorHAnsi" w:cstheme="majorHAnsi"/>
        </w:rPr>
      </w:pPr>
      <w:r>
        <w:rPr>
          <w:rFonts w:asciiTheme="majorHAnsi" w:hAnsiTheme="majorHAnsi" w:cstheme="majorHAnsi"/>
        </w:rPr>
        <w:t xml:space="preserve">Magyarországon </w:t>
      </w:r>
      <w:r w:rsidR="00854E9F" w:rsidRPr="00854E9F">
        <w:rPr>
          <w:rFonts w:asciiTheme="majorHAnsi" w:hAnsiTheme="majorHAnsi" w:cstheme="majorHAnsi"/>
        </w:rPr>
        <w:t>a pedagógus-továbbképzésről, a pedagógus-szakvizsgáról, valamint a továbbképzésben részt vevők juttatásairól és kedvezményeiről</w:t>
      </w:r>
      <w:r w:rsidR="00854E9F">
        <w:rPr>
          <w:rFonts w:asciiTheme="majorHAnsi" w:hAnsiTheme="majorHAnsi" w:cstheme="majorHAnsi"/>
        </w:rPr>
        <w:t xml:space="preserve"> szóló</w:t>
      </w:r>
      <w:r w:rsidR="004203BA">
        <w:rPr>
          <w:rFonts w:asciiTheme="majorHAnsi" w:hAnsiTheme="majorHAnsi" w:cstheme="majorHAnsi"/>
        </w:rPr>
        <w:t xml:space="preserve"> 277/1997. (XII.</w:t>
      </w:r>
      <w:r w:rsidR="00BB34BC">
        <w:rPr>
          <w:rFonts w:asciiTheme="majorHAnsi" w:hAnsiTheme="majorHAnsi" w:cstheme="majorHAnsi"/>
        </w:rPr>
        <w:t xml:space="preserve"> </w:t>
      </w:r>
      <w:r w:rsidR="00854E9F" w:rsidRPr="00854E9F">
        <w:rPr>
          <w:rFonts w:asciiTheme="majorHAnsi" w:hAnsiTheme="majorHAnsi" w:cstheme="majorHAnsi"/>
        </w:rPr>
        <w:t>22.) Korm. rendelet</w:t>
      </w:r>
      <w:r w:rsidR="003A50CA">
        <w:rPr>
          <w:rFonts w:asciiTheme="majorHAnsi" w:hAnsiTheme="majorHAnsi" w:cstheme="majorHAnsi"/>
        </w:rPr>
        <w:t xml:space="preserve"> </w:t>
      </w:r>
      <w:r w:rsidR="00AF17F9">
        <w:rPr>
          <w:rFonts w:asciiTheme="majorHAnsi" w:hAnsiTheme="majorHAnsi" w:cstheme="majorHAnsi"/>
        </w:rPr>
        <w:t>írja elő</w:t>
      </w:r>
      <w:r w:rsidR="003A50CA">
        <w:rPr>
          <w:rFonts w:asciiTheme="majorHAnsi" w:hAnsiTheme="majorHAnsi" w:cstheme="majorHAnsi"/>
        </w:rPr>
        <w:t xml:space="preserve"> </w:t>
      </w:r>
      <w:r w:rsidR="00B86FE8" w:rsidRPr="00DC6C83">
        <w:rPr>
          <w:rFonts w:asciiTheme="majorHAnsi" w:hAnsiTheme="majorHAnsi" w:cstheme="majorHAnsi"/>
        </w:rPr>
        <w:t xml:space="preserve">a pedagógusok kötelező továbbképzésére vonatkozó szabályokat. Eszerint az egyes pedagógus munkakörökben foglalkoztatott pedagógusoknak hét év alatt legalább 120 óra </w:t>
      </w:r>
      <w:r w:rsidRPr="00DC6C83">
        <w:rPr>
          <w:rFonts w:asciiTheme="majorHAnsi" w:hAnsiTheme="majorHAnsi" w:cstheme="majorHAnsi"/>
        </w:rPr>
        <w:t>továbbképzés</w:t>
      </w:r>
      <w:r>
        <w:rPr>
          <w:rFonts w:asciiTheme="majorHAnsi" w:hAnsiTheme="majorHAnsi" w:cstheme="majorHAnsi"/>
        </w:rPr>
        <w:t>en</w:t>
      </w:r>
      <w:r w:rsidR="003A50CA">
        <w:rPr>
          <w:rFonts w:asciiTheme="majorHAnsi" w:hAnsiTheme="majorHAnsi" w:cstheme="majorHAnsi"/>
        </w:rPr>
        <w:t xml:space="preserve"> </w:t>
      </w:r>
      <w:r w:rsidR="009D0ED0">
        <w:rPr>
          <w:rFonts w:asciiTheme="majorHAnsi" w:hAnsiTheme="majorHAnsi" w:cstheme="majorHAnsi"/>
        </w:rPr>
        <w:t xml:space="preserve">kell </w:t>
      </w:r>
      <w:r w:rsidR="00B86FE8" w:rsidRPr="00DC6C83">
        <w:rPr>
          <w:rFonts w:asciiTheme="majorHAnsi" w:hAnsiTheme="majorHAnsi" w:cstheme="majorHAnsi"/>
        </w:rPr>
        <w:t>kötelező</w:t>
      </w:r>
      <w:r w:rsidR="009D0ED0">
        <w:rPr>
          <w:rFonts w:asciiTheme="majorHAnsi" w:hAnsiTheme="majorHAnsi" w:cstheme="majorHAnsi"/>
        </w:rPr>
        <w:t>en</w:t>
      </w:r>
      <w:r w:rsidR="003A50CA">
        <w:rPr>
          <w:rFonts w:asciiTheme="majorHAnsi" w:hAnsiTheme="majorHAnsi" w:cstheme="majorHAnsi"/>
        </w:rPr>
        <w:t xml:space="preserve"> </w:t>
      </w:r>
      <w:r>
        <w:rPr>
          <w:rFonts w:asciiTheme="majorHAnsi" w:hAnsiTheme="majorHAnsi" w:cstheme="majorHAnsi"/>
        </w:rPr>
        <w:t>részt venni</w:t>
      </w:r>
      <w:r w:rsidR="009D0ED0">
        <w:rPr>
          <w:rFonts w:asciiTheme="majorHAnsi" w:hAnsiTheme="majorHAnsi" w:cstheme="majorHAnsi"/>
        </w:rPr>
        <w:t>ük</w:t>
      </w:r>
      <w:r w:rsidR="00B86FE8" w:rsidRPr="00DC6C83">
        <w:rPr>
          <w:rFonts w:asciiTheme="majorHAnsi" w:hAnsiTheme="majorHAnsi" w:cstheme="majorHAnsi"/>
        </w:rPr>
        <w:t xml:space="preserve">. </w:t>
      </w:r>
      <w:r w:rsidR="00AF17F9">
        <w:rPr>
          <w:rFonts w:asciiTheme="majorHAnsi" w:hAnsiTheme="majorHAnsi" w:cstheme="majorHAnsi"/>
        </w:rPr>
        <w:t>O</w:t>
      </w:r>
      <w:r w:rsidR="00B86FE8" w:rsidRPr="00DC6C83">
        <w:rPr>
          <w:rFonts w:asciiTheme="majorHAnsi" w:hAnsiTheme="majorHAnsi" w:cstheme="majorHAnsi"/>
        </w:rPr>
        <w:t xml:space="preserve">lyan továbbképzések vehetők figyelembe, amelynek programját az Oktatási Hivatal </w:t>
      </w:r>
      <w:r>
        <w:rPr>
          <w:rFonts w:asciiTheme="majorHAnsi" w:hAnsiTheme="majorHAnsi" w:cstheme="majorHAnsi"/>
        </w:rPr>
        <w:t>akkreditálta.</w:t>
      </w:r>
      <w:r w:rsidR="00B86FE8" w:rsidRPr="00DC6C83">
        <w:rPr>
          <w:rFonts w:asciiTheme="majorHAnsi" w:hAnsiTheme="majorHAnsi" w:cstheme="majorHAnsi"/>
        </w:rPr>
        <w:t xml:space="preserve"> A </w:t>
      </w:r>
      <w:r w:rsidR="009D0ED0">
        <w:rPr>
          <w:rFonts w:asciiTheme="majorHAnsi" w:hAnsiTheme="majorHAnsi" w:cstheme="majorHAnsi"/>
        </w:rPr>
        <w:t>h</w:t>
      </w:r>
      <w:r w:rsidR="00B86FE8" w:rsidRPr="00DC6C83">
        <w:rPr>
          <w:rFonts w:asciiTheme="majorHAnsi" w:hAnsiTheme="majorHAnsi" w:cstheme="majorHAnsi"/>
        </w:rPr>
        <w:t xml:space="preserve">ivatal </w:t>
      </w:r>
      <w:r w:rsidR="00AF17F9">
        <w:rPr>
          <w:rFonts w:asciiTheme="majorHAnsi" w:hAnsiTheme="majorHAnsi" w:cstheme="majorHAnsi"/>
        </w:rPr>
        <w:t xml:space="preserve">az engedélyezett </w:t>
      </w:r>
      <w:r w:rsidR="00AF17F9" w:rsidRPr="00DC6C83">
        <w:rPr>
          <w:rFonts w:asciiTheme="majorHAnsi" w:hAnsiTheme="majorHAnsi" w:cstheme="majorHAnsi"/>
        </w:rPr>
        <w:t>pedagógus-továbbképzések</w:t>
      </w:r>
      <w:r w:rsidR="00AF17F9">
        <w:rPr>
          <w:rFonts w:asciiTheme="majorHAnsi" w:hAnsiTheme="majorHAnsi" w:cstheme="majorHAnsi"/>
        </w:rPr>
        <w:t xml:space="preserve">ről </w:t>
      </w:r>
      <w:r>
        <w:rPr>
          <w:rFonts w:asciiTheme="majorHAnsi" w:hAnsiTheme="majorHAnsi" w:cstheme="majorHAnsi"/>
        </w:rPr>
        <w:t xml:space="preserve">jegyzéket </w:t>
      </w:r>
      <w:r w:rsidR="00B86FE8" w:rsidRPr="00DC6C83">
        <w:rPr>
          <w:rFonts w:asciiTheme="majorHAnsi" w:hAnsiTheme="majorHAnsi" w:cstheme="majorHAnsi"/>
        </w:rPr>
        <w:t>vezet</w:t>
      </w:r>
      <w:r w:rsidR="00AF17F9">
        <w:rPr>
          <w:rFonts w:asciiTheme="majorHAnsi" w:hAnsiTheme="majorHAnsi" w:cstheme="majorHAnsi"/>
        </w:rPr>
        <w:t>,</w:t>
      </w:r>
      <w:r w:rsidR="00B86FE8" w:rsidRPr="00DC6C83">
        <w:rPr>
          <w:rFonts w:asciiTheme="majorHAnsi" w:hAnsiTheme="majorHAnsi" w:cstheme="majorHAnsi"/>
        </w:rPr>
        <w:t xml:space="preserve"> a</w:t>
      </w:r>
      <w:r>
        <w:rPr>
          <w:rFonts w:asciiTheme="majorHAnsi" w:hAnsiTheme="majorHAnsi" w:cstheme="majorHAnsi"/>
        </w:rPr>
        <w:t>melyen</w:t>
      </w:r>
      <w:r w:rsidR="00B86FE8" w:rsidRPr="00DC6C83">
        <w:rPr>
          <w:rFonts w:asciiTheme="majorHAnsi" w:hAnsiTheme="majorHAnsi" w:cstheme="majorHAnsi"/>
        </w:rPr>
        <w:t xml:space="preserve"> jelenleg 464 pedagógus-továbbképzést szervező szervezet szerepel, akik összesen 1561 programot kínálnak a pedagógusoknak. Jelentősebb </w:t>
      </w:r>
      <w:r w:rsidR="00AF17F9">
        <w:rPr>
          <w:rFonts w:asciiTheme="majorHAnsi" w:hAnsiTheme="majorHAnsi" w:cstheme="majorHAnsi"/>
        </w:rPr>
        <w:t>számú</w:t>
      </w:r>
      <w:r w:rsidR="00B86FE8" w:rsidRPr="00DC6C83">
        <w:rPr>
          <w:rFonts w:asciiTheme="majorHAnsi" w:hAnsiTheme="majorHAnsi" w:cstheme="majorHAnsi"/>
        </w:rPr>
        <w:t>, ingyenesen hozzáférhető továbbképzést az Oktatási Hivatal mellett a különféle Európai Uniós projektek végrehajtásában szerepet vállaló vagy kormányzati támogatással rendelkező s</w:t>
      </w:r>
      <w:r w:rsidR="00606002">
        <w:rPr>
          <w:rFonts w:asciiTheme="majorHAnsi" w:hAnsiTheme="majorHAnsi" w:cstheme="majorHAnsi"/>
        </w:rPr>
        <w:t xml:space="preserve">zervezetek, </w:t>
      </w:r>
      <w:r w:rsidR="00B86FE8" w:rsidRPr="00DC6C83">
        <w:rPr>
          <w:rFonts w:asciiTheme="majorHAnsi" w:hAnsiTheme="majorHAnsi" w:cstheme="majorHAnsi"/>
        </w:rPr>
        <w:t>intézményfenntartók</w:t>
      </w:r>
      <w:r w:rsidR="003A50CA">
        <w:rPr>
          <w:rFonts w:asciiTheme="majorHAnsi" w:hAnsiTheme="majorHAnsi" w:cstheme="majorHAnsi"/>
        </w:rPr>
        <w:t xml:space="preserve"> </w:t>
      </w:r>
      <w:r w:rsidR="00CA586B">
        <w:rPr>
          <w:rFonts w:asciiTheme="majorHAnsi" w:hAnsiTheme="majorHAnsi" w:cstheme="majorHAnsi"/>
        </w:rPr>
        <w:t>(</w:t>
      </w:r>
      <w:r w:rsidR="006A258E">
        <w:rPr>
          <w:rFonts w:asciiTheme="majorHAnsi" w:hAnsiTheme="majorHAnsi" w:cstheme="majorHAnsi"/>
        </w:rPr>
        <w:t xml:space="preserve">vagy </w:t>
      </w:r>
      <w:r w:rsidR="00E11AEB">
        <w:rPr>
          <w:rFonts w:asciiTheme="majorHAnsi" w:hAnsiTheme="majorHAnsi" w:cstheme="majorHAnsi"/>
        </w:rPr>
        <w:t>például a Klebelsberg Központ</w:t>
      </w:r>
      <w:r w:rsidR="00CA586B">
        <w:rPr>
          <w:rFonts w:asciiTheme="majorHAnsi" w:hAnsiTheme="majorHAnsi" w:cstheme="majorHAnsi"/>
        </w:rPr>
        <w:t>)</w:t>
      </w:r>
      <w:r w:rsidR="00B86FE8" w:rsidRPr="00DC6C83">
        <w:rPr>
          <w:rFonts w:asciiTheme="majorHAnsi" w:hAnsiTheme="majorHAnsi" w:cstheme="majorHAnsi"/>
        </w:rPr>
        <w:t xml:space="preserve"> </w:t>
      </w:r>
      <w:r w:rsidR="009D0ED0">
        <w:rPr>
          <w:rFonts w:asciiTheme="majorHAnsi" w:hAnsiTheme="majorHAnsi" w:cstheme="majorHAnsi"/>
        </w:rPr>
        <w:t>szerveznek</w:t>
      </w:r>
      <w:r w:rsidR="003A50CA">
        <w:rPr>
          <w:rFonts w:asciiTheme="majorHAnsi" w:hAnsiTheme="majorHAnsi" w:cstheme="majorHAnsi"/>
        </w:rPr>
        <w:t xml:space="preserve"> </w:t>
      </w:r>
      <w:r w:rsidR="00B86FE8" w:rsidRPr="00DC6C83">
        <w:rPr>
          <w:rFonts w:asciiTheme="majorHAnsi" w:hAnsiTheme="majorHAnsi" w:cstheme="majorHAnsi"/>
        </w:rPr>
        <w:t>a pedagógusoknak</w:t>
      </w:r>
      <w:r w:rsidR="00AF17F9">
        <w:rPr>
          <w:rFonts w:asciiTheme="majorHAnsi" w:hAnsiTheme="majorHAnsi" w:cstheme="majorHAnsi"/>
        </w:rPr>
        <w:t>.</w:t>
      </w:r>
      <w:r w:rsidR="00B86FE8" w:rsidRPr="00DC6C83">
        <w:rPr>
          <w:rFonts w:asciiTheme="majorHAnsi" w:hAnsiTheme="majorHAnsi" w:cstheme="majorHAnsi"/>
        </w:rPr>
        <w:t xml:space="preserve"> Az </w:t>
      </w:r>
      <w:r w:rsidR="00AF17F9">
        <w:rPr>
          <w:rFonts w:asciiTheme="majorHAnsi" w:hAnsiTheme="majorHAnsi" w:cstheme="majorHAnsi"/>
        </w:rPr>
        <w:t xml:space="preserve">Oktatási </w:t>
      </w:r>
      <w:r w:rsidR="00B86FE8" w:rsidRPr="00DC6C83">
        <w:rPr>
          <w:rFonts w:asciiTheme="majorHAnsi" w:hAnsiTheme="majorHAnsi" w:cstheme="majorHAnsi"/>
        </w:rPr>
        <w:t>Hivatal</w:t>
      </w:r>
      <w:r w:rsidR="00AF17F9">
        <w:rPr>
          <w:rFonts w:asciiTheme="majorHAnsi" w:hAnsiTheme="majorHAnsi" w:cstheme="majorHAnsi"/>
        </w:rPr>
        <w:t xml:space="preserve"> szakmai szolgáltatást nyújtó szervezeti</w:t>
      </w:r>
      <w:r w:rsidR="00800086">
        <w:rPr>
          <w:rFonts w:asciiTheme="majorHAnsi" w:hAnsiTheme="majorHAnsi" w:cstheme="majorHAnsi"/>
        </w:rPr>
        <w:t xml:space="preserve"> egységei</w:t>
      </w:r>
      <w:r w:rsidR="00880042">
        <w:rPr>
          <w:rFonts w:asciiTheme="majorHAnsi" w:hAnsiTheme="majorHAnsi" w:cstheme="majorHAnsi"/>
        </w:rPr>
        <w:t>,</w:t>
      </w:r>
      <w:r w:rsidR="003C09B8">
        <w:rPr>
          <w:rFonts w:asciiTheme="majorHAnsi" w:hAnsiTheme="majorHAnsi" w:cstheme="majorHAnsi"/>
        </w:rPr>
        <w:t xml:space="preserve"> </w:t>
      </w:r>
      <w:r w:rsidR="00AF17F9">
        <w:rPr>
          <w:rFonts w:asciiTheme="majorHAnsi" w:hAnsiTheme="majorHAnsi" w:cstheme="majorHAnsi"/>
        </w:rPr>
        <w:t xml:space="preserve">a </w:t>
      </w:r>
      <w:r w:rsidR="00B86FE8" w:rsidRPr="00DC6C83">
        <w:rPr>
          <w:rFonts w:asciiTheme="majorHAnsi" w:hAnsiTheme="majorHAnsi" w:cstheme="majorHAnsi"/>
        </w:rPr>
        <w:t xml:space="preserve">Pedagógiai Oktatási </w:t>
      </w:r>
      <w:r w:rsidR="00AF17F9" w:rsidRPr="00DC6C83">
        <w:rPr>
          <w:rFonts w:asciiTheme="majorHAnsi" w:hAnsiTheme="majorHAnsi" w:cstheme="majorHAnsi"/>
        </w:rPr>
        <w:t>Központ</w:t>
      </w:r>
      <w:r w:rsidR="00AF17F9">
        <w:rPr>
          <w:rFonts w:asciiTheme="majorHAnsi" w:hAnsiTheme="majorHAnsi" w:cstheme="majorHAnsi"/>
        </w:rPr>
        <w:t>ok</w:t>
      </w:r>
      <w:r w:rsidR="003A50CA">
        <w:rPr>
          <w:rFonts w:asciiTheme="majorHAnsi" w:hAnsiTheme="majorHAnsi" w:cstheme="majorHAnsi"/>
        </w:rPr>
        <w:t xml:space="preserve"> </w:t>
      </w:r>
      <w:r w:rsidR="00B86FE8" w:rsidRPr="00DC6C83">
        <w:rPr>
          <w:rFonts w:asciiTheme="majorHAnsi" w:hAnsiTheme="majorHAnsi" w:cstheme="majorHAnsi"/>
        </w:rPr>
        <w:t>rendszeresen szerveznek akkreditált és rövidebb időtartamú, nem akkreditált pedagógus-továbbképzéseket, eze</w:t>
      </w:r>
      <w:r w:rsidR="009D0ED0">
        <w:rPr>
          <w:rFonts w:asciiTheme="majorHAnsi" w:hAnsiTheme="majorHAnsi" w:cstheme="majorHAnsi"/>
        </w:rPr>
        <w:t>ken</w:t>
      </w:r>
      <w:r w:rsidR="00B86FE8" w:rsidRPr="00DC6C83">
        <w:rPr>
          <w:rFonts w:asciiTheme="majorHAnsi" w:hAnsiTheme="majorHAnsi" w:cstheme="majorHAnsi"/>
        </w:rPr>
        <w:t xml:space="preserve"> ingyenes továbbképzéseken évente </w:t>
      </w:r>
      <w:r w:rsidR="00800086">
        <w:rPr>
          <w:rFonts w:asciiTheme="majorHAnsi" w:hAnsiTheme="majorHAnsi" w:cstheme="majorHAnsi"/>
        </w:rPr>
        <w:t>több mint</w:t>
      </w:r>
      <w:r w:rsidR="001D45D9">
        <w:rPr>
          <w:rFonts w:asciiTheme="majorHAnsi" w:hAnsiTheme="majorHAnsi" w:cstheme="majorHAnsi"/>
        </w:rPr>
        <w:t xml:space="preserve"> </w:t>
      </w:r>
      <w:r w:rsidR="00B86FE8" w:rsidRPr="00DC6C83">
        <w:rPr>
          <w:rFonts w:asciiTheme="majorHAnsi" w:hAnsiTheme="majorHAnsi" w:cstheme="majorHAnsi"/>
        </w:rPr>
        <w:t>10</w:t>
      </w:r>
      <w:r w:rsidR="006A1E10">
        <w:rPr>
          <w:rFonts w:asciiTheme="majorHAnsi" w:hAnsiTheme="majorHAnsi" w:cstheme="majorHAnsi"/>
        </w:rPr>
        <w:t xml:space="preserve"> </w:t>
      </w:r>
      <w:r w:rsidR="00B86FE8" w:rsidRPr="00DC6C83">
        <w:rPr>
          <w:rFonts w:asciiTheme="majorHAnsi" w:hAnsiTheme="majorHAnsi" w:cstheme="majorHAnsi"/>
        </w:rPr>
        <w:t xml:space="preserve">000 pedagógus vesz részt. </w:t>
      </w:r>
      <w:r w:rsidR="00A54F56">
        <w:rPr>
          <w:rFonts w:asciiTheme="majorHAnsi" w:hAnsiTheme="majorHAnsi" w:cstheme="majorHAnsi"/>
        </w:rPr>
        <w:t xml:space="preserve">Továbbra </w:t>
      </w:r>
      <w:r w:rsidR="003F5875" w:rsidRPr="003F5875">
        <w:rPr>
          <w:rFonts w:asciiTheme="majorHAnsi" w:hAnsiTheme="majorHAnsi" w:cstheme="majorHAnsi"/>
        </w:rPr>
        <w:t>sem látjuk indokoltnak a pedagógus továbbképzési rendszer elzárását a szakképzésben közreműködő, közismereti tárgyat oktatók elől</w:t>
      </w:r>
      <w:r w:rsidR="00A54F56">
        <w:rPr>
          <w:rFonts w:asciiTheme="majorHAnsi" w:hAnsiTheme="majorHAnsi" w:cstheme="majorHAnsi"/>
        </w:rPr>
        <w:t>.</w:t>
      </w:r>
    </w:p>
    <w:p w14:paraId="7246A982" w14:textId="7B3F1A06" w:rsidR="007B3A56" w:rsidRDefault="00E623A9" w:rsidP="00B86FE8">
      <w:pPr>
        <w:spacing w:line="276" w:lineRule="auto"/>
        <w:rPr>
          <w:rFonts w:asciiTheme="majorHAnsi" w:hAnsiTheme="majorHAnsi" w:cstheme="majorHAnsi"/>
        </w:rPr>
      </w:pPr>
      <w:r>
        <w:rPr>
          <w:rFonts w:asciiTheme="majorHAnsi" w:hAnsiTheme="majorHAnsi" w:cstheme="majorHAnsi"/>
        </w:rPr>
        <w:t xml:space="preserve">A továbbképzési rendszer kapcsán megállapítható, hogy több olyan rendszerszintű jelenség is azonosítható (pl. az ellenőrizetlen piaci szereplők előretörése, a képzési kínálat és kereslet összehangolásának, az előmeneteli rendszer és a kapcsolódó továbbképzések egymásra épülésének hiányosságai), ami a struktúra újragondolását igényli. </w:t>
      </w:r>
      <w:r w:rsidR="00453324">
        <w:rPr>
          <w:rFonts w:asciiTheme="majorHAnsi" w:hAnsiTheme="majorHAnsi" w:cstheme="majorHAnsi"/>
        </w:rPr>
        <w:t xml:space="preserve">A következő évek egyik feladata </w:t>
      </w:r>
      <w:r>
        <w:rPr>
          <w:rFonts w:asciiTheme="majorHAnsi" w:hAnsiTheme="majorHAnsi" w:cstheme="majorHAnsi"/>
        </w:rPr>
        <w:t xml:space="preserve">ezért </w:t>
      </w:r>
      <w:r w:rsidR="00453324">
        <w:rPr>
          <w:rFonts w:asciiTheme="majorHAnsi" w:hAnsiTheme="majorHAnsi" w:cstheme="majorHAnsi"/>
        </w:rPr>
        <w:t xml:space="preserve">a pedagógus továbbképzési rendszer megújítása, </w:t>
      </w:r>
      <w:r w:rsidR="0030031E">
        <w:rPr>
          <w:rFonts w:asciiTheme="majorHAnsi" w:hAnsiTheme="majorHAnsi" w:cstheme="majorHAnsi"/>
        </w:rPr>
        <w:t>ennek keretében – a megújuló tartalmi szabályozással is összefüggésben – elsősorban a szaktárgyi</w:t>
      </w:r>
      <w:r w:rsidR="003D7A59">
        <w:rPr>
          <w:rFonts w:asciiTheme="majorHAnsi" w:hAnsiTheme="majorHAnsi" w:cstheme="majorHAnsi"/>
        </w:rPr>
        <w:t>-</w:t>
      </w:r>
      <w:r w:rsidR="00800086">
        <w:rPr>
          <w:rFonts w:asciiTheme="majorHAnsi" w:hAnsiTheme="majorHAnsi" w:cstheme="majorHAnsi"/>
        </w:rPr>
        <w:t xml:space="preserve">szakmódszertani </w:t>
      </w:r>
      <w:r w:rsidR="00453324">
        <w:rPr>
          <w:rFonts w:asciiTheme="majorHAnsi" w:hAnsiTheme="majorHAnsi" w:cstheme="majorHAnsi"/>
        </w:rPr>
        <w:t xml:space="preserve">továbbképzési kínálat bővítése, </w:t>
      </w:r>
      <w:r w:rsidR="003D7A59">
        <w:rPr>
          <w:rFonts w:asciiTheme="majorHAnsi" w:hAnsiTheme="majorHAnsi" w:cstheme="majorHAnsi"/>
        </w:rPr>
        <w:t xml:space="preserve">a mindennapi oktató-nevelő munkában közvetlenül alkalmazható pedagógiai eszközök és megoldások átadására fókuszáló </w:t>
      </w:r>
      <w:r w:rsidR="003D7A59">
        <w:t>továbbképzések megvalósítása</w:t>
      </w:r>
      <w:r w:rsidR="009D0ED0">
        <w:t>.</w:t>
      </w:r>
      <w:r w:rsidR="003A50CA">
        <w:t xml:space="preserve"> </w:t>
      </w:r>
      <w:r w:rsidR="009D0ED0">
        <w:rPr>
          <w:rFonts w:asciiTheme="majorHAnsi" w:hAnsiTheme="majorHAnsi" w:cstheme="majorHAnsi"/>
        </w:rPr>
        <w:t>S</w:t>
      </w:r>
      <w:r w:rsidR="0030031E">
        <w:rPr>
          <w:rFonts w:asciiTheme="majorHAnsi" w:hAnsiTheme="majorHAnsi" w:cstheme="majorHAnsi"/>
        </w:rPr>
        <w:t xml:space="preserve">zervezeti szempontból pedig </w:t>
      </w:r>
      <w:r w:rsidR="009D0ED0">
        <w:rPr>
          <w:rFonts w:asciiTheme="majorHAnsi" w:hAnsiTheme="majorHAnsi" w:cstheme="majorHAnsi"/>
        </w:rPr>
        <w:t>fontos</w:t>
      </w:r>
      <w:r w:rsidR="0030031E">
        <w:rPr>
          <w:rFonts w:asciiTheme="majorHAnsi" w:hAnsiTheme="majorHAnsi" w:cstheme="majorHAnsi"/>
        </w:rPr>
        <w:t xml:space="preserve"> </w:t>
      </w:r>
      <w:r w:rsidR="00453324">
        <w:rPr>
          <w:rFonts w:asciiTheme="majorHAnsi" w:hAnsiTheme="majorHAnsi" w:cstheme="majorHAnsi"/>
        </w:rPr>
        <w:t xml:space="preserve">a területi felelősséggel </w:t>
      </w:r>
      <w:r w:rsidR="00453324">
        <w:rPr>
          <w:rFonts w:asciiTheme="majorHAnsi" w:hAnsiTheme="majorHAnsi" w:cstheme="majorHAnsi"/>
        </w:rPr>
        <w:lastRenderedPageBreak/>
        <w:t>kijelölt felsőoktatási intézmények bevonása a szaktárgyi</w:t>
      </w:r>
      <w:r w:rsidR="00800086">
        <w:rPr>
          <w:rFonts w:asciiTheme="majorHAnsi" w:hAnsiTheme="majorHAnsi" w:cstheme="majorHAnsi"/>
        </w:rPr>
        <w:t>-szakmódszertani</w:t>
      </w:r>
      <w:r w:rsidR="00453324">
        <w:rPr>
          <w:rFonts w:asciiTheme="majorHAnsi" w:hAnsiTheme="majorHAnsi" w:cstheme="majorHAnsi"/>
        </w:rPr>
        <w:t xml:space="preserve"> továbbképzések </w:t>
      </w:r>
      <w:r w:rsidR="009D0ED0">
        <w:rPr>
          <w:rFonts w:asciiTheme="majorHAnsi" w:hAnsiTheme="majorHAnsi" w:cstheme="majorHAnsi"/>
        </w:rPr>
        <w:t>szervezésébe</w:t>
      </w:r>
      <w:r w:rsidR="006A258E">
        <w:rPr>
          <w:rFonts w:asciiTheme="majorHAnsi" w:hAnsiTheme="majorHAnsi" w:cstheme="majorHAnsi"/>
        </w:rPr>
        <w:t>. Szintén fontos irány</w:t>
      </w:r>
      <w:r w:rsidR="00453324">
        <w:rPr>
          <w:rFonts w:asciiTheme="majorHAnsi" w:hAnsiTheme="majorHAnsi" w:cstheme="majorHAnsi"/>
        </w:rPr>
        <w:t xml:space="preserve"> a </w:t>
      </w:r>
      <w:r w:rsidR="00AF17F9">
        <w:rPr>
          <w:rFonts w:asciiTheme="majorHAnsi" w:hAnsiTheme="majorHAnsi" w:cstheme="majorHAnsi"/>
        </w:rPr>
        <w:t xml:space="preserve">pedagógus </w:t>
      </w:r>
      <w:r w:rsidR="00453324">
        <w:rPr>
          <w:rFonts w:asciiTheme="majorHAnsi" w:hAnsiTheme="majorHAnsi" w:cstheme="majorHAnsi"/>
        </w:rPr>
        <w:t>szakvizsga rendszerének újragondolása</w:t>
      </w:r>
      <w:r w:rsidR="0030031E">
        <w:rPr>
          <w:rFonts w:asciiTheme="majorHAnsi" w:hAnsiTheme="majorHAnsi" w:cstheme="majorHAnsi"/>
        </w:rPr>
        <w:t xml:space="preserve">, </w:t>
      </w:r>
      <w:r w:rsidR="009D0ED0">
        <w:rPr>
          <w:rFonts w:asciiTheme="majorHAnsi" w:hAnsiTheme="majorHAnsi" w:cstheme="majorHAnsi"/>
        </w:rPr>
        <w:t>ami</w:t>
      </w:r>
      <w:r w:rsidR="006A258E">
        <w:rPr>
          <w:rFonts w:asciiTheme="majorHAnsi" w:hAnsiTheme="majorHAnsi" w:cstheme="majorHAnsi"/>
        </w:rPr>
        <w:t xml:space="preserve"> egyúttal </w:t>
      </w:r>
      <w:r w:rsidR="0030031E">
        <w:rPr>
          <w:rFonts w:asciiTheme="majorHAnsi" w:hAnsiTheme="majorHAnsi" w:cstheme="majorHAnsi"/>
        </w:rPr>
        <w:t>az intézményvezetői feladatokra való felkészítés</w:t>
      </w:r>
      <w:r w:rsidR="006A258E">
        <w:rPr>
          <w:rFonts w:asciiTheme="majorHAnsi" w:hAnsiTheme="majorHAnsi" w:cstheme="majorHAnsi"/>
        </w:rPr>
        <w:t>sel is összefügg</w:t>
      </w:r>
      <w:r w:rsidR="00453324">
        <w:rPr>
          <w:rFonts w:asciiTheme="majorHAnsi" w:hAnsiTheme="majorHAnsi" w:cstheme="majorHAnsi"/>
        </w:rPr>
        <w:t xml:space="preserve">. </w:t>
      </w:r>
      <w:r w:rsidR="0030031E">
        <w:rPr>
          <w:rFonts w:asciiTheme="majorHAnsi" w:hAnsiTheme="majorHAnsi" w:cstheme="majorHAnsi"/>
        </w:rPr>
        <w:t>A</w:t>
      </w:r>
      <w:r w:rsidR="006A258E">
        <w:rPr>
          <w:rFonts w:asciiTheme="majorHAnsi" w:hAnsiTheme="majorHAnsi" w:cstheme="majorHAnsi"/>
        </w:rPr>
        <w:t xml:space="preserve"> képzések hasznosulását szolgálja, ha a</w:t>
      </w:r>
      <w:r w:rsidR="0030031E">
        <w:rPr>
          <w:rFonts w:asciiTheme="majorHAnsi" w:hAnsiTheme="majorHAnsi" w:cstheme="majorHAnsi"/>
        </w:rPr>
        <w:t xml:space="preserve">z egyes kollégák továbbképzési tervei </w:t>
      </w:r>
      <w:r w:rsidR="005F0FC6">
        <w:rPr>
          <w:rFonts w:asciiTheme="majorHAnsi" w:hAnsiTheme="majorHAnsi" w:cstheme="majorHAnsi"/>
        </w:rPr>
        <w:t>illeszkednek</w:t>
      </w:r>
      <w:r w:rsidR="002B65B7">
        <w:rPr>
          <w:rFonts w:asciiTheme="majorHAnsi" w:hAnsiTheme="majorHAnsi" w:cstheme="majorHAnsi"/>
        </w:rPr>
        <w:t xml:space="preserve"> a </w:t>
      </w:r>
      <w:r w:rsidR="00CA56A1">
        <w:rPr>
          <w:rFonts w:asciiTheme="majorHAnsi" w:hAnsiTheme="majorHAnsi" w:cstheme="majorHAnsi"/>
        </w:rPr>
        <w:t>tanfelügyelet ajánlásai</w:t>
      </w:r>
      <w:r w:rsidR="005F0FC6">
        <w:rPr>
          <w:rFonts w:asciiTheme="majorHAnsi" w:hAnsiTheme="majorHAnsi" w:cstheme="majorHAnsi"/>
        </w:rPr>
        <w:t>hoz</w:t>
      </w:r>
      <w:r w:rsidR="00CA56A1">
        <w:rPr>
          <w:rFonts w:asciiTheme="majorHAnsi" w:hAnsiTheme="majorHAnsi" w:cstheme="majorHAnsi"/>
        </w:rPr>
        <w:t xml:space="preserve">. </w:t>
      </w:r>
      <w:r w:rsidR="002B65B7">
        <w:rPr>
          <w:rFonts w:asciiTheme="majorHAnsi" w:hAnsiTheme="majorHAnsi" w:cstheme="majorHAnsi"/>
        </w:rPr>
        <w:t>Fontos szempont, hogy a pedagógusok egymástól is tudjanak – informális, non</w:t>
      </w:r>
      <w:r w:rsidR="009C11C4">
        <w:rPr>
          <w:rFonts w:asciiTheme="majorHAnsi" w:hAnsiTheme="majorHAnsi" w:cstheme="majorHAnsi"/>
        </w:rPr>
        <w:t>-</w:t>
      </w:r>
      <w:r w:rsidR="002B65B7">
        <w:rPr>
          <w:rFonts w:asciiTheme="majorHAnsi" w:hAnsiTheme="majorHAnsi" w:cstheme="majorHAnsi"/>
        </w:rPr>
        <w:t>formális keretek között – tanulni, és a kellő minőségbiztosítás beépítésével ezeket a belső tudásbővítési formákat</w:t>
      </w:r>
      <w:r w:rsidR="009D0ED0">
        <w:rPr>
          <w:rFonts w:asciiTheme="majorHAnsi" w:hAnsiTheme="majorHAnsi" w:cstheme="majorHAnsi"/>
        </w:rPr>
        <w:t>,</w:t>
      </w:r>
      <w:r w:rsidR="002B65B7">
        <w:rPr>
          <w:rFonts w:asciiTheme="majorHAnsi" w:hAnsiTheme="majorHAnsi" w:cstheme="majorHAnsi"/>
        </w:rPr>
        <w:t xml:space="preserve"> megadott mértékben</w:t>
      </w:r>
      <w:r w:rsidR="009D0ED0">
        <w:rPr>
          <w:rFonts w:asciiTheme="majorHAnsi" w:hAnsiTheme="majorHAnsi" w:cstheme="majorHAnsi"/>
        </w:rPr>
        <w:t>,</w:t>
      </w:r>
      <w:r w:rsidR="002B65B7">
        <w:rPr>
          <w:rFonts w:asciiTheme="majorHAnsi" w:hAnsiTheme="majorHAnsi" w:cstheme="majorHAnsi"/>
        </w:rPr>
        <w:t xml:space="preserve"> vegye figyelembe a továbbképzési rendszer. </w:t>
      </w:r>
      <w:r w:rsidR="006A0C7E" w:rsidRPr="00DC6C83">
        <w:rPr>
          <w:rFonts w:asciiTheme="majorHAnsi" w:hAnsiTheme="majorHAnsi" w:cstheme="majorHAnsi"/>
        </w:rPr>
        <w:t>Amennyiben a jövőbe</w:t>
      </w:r>
      <w:r w:rsidR="009D0ED0">
        <w:rPr>
          <w:rFonts w:asciiTheme="majorHAnsi" w:hAnsiTheme="majorHAnsi" w:cstheme="majorHAnsi"/>
        </w:rPr>
        <w:t>n</w:t>
      </w:r>
      <w:r w:rsidR="006A0C7E" w:rsidRPr="00DC6C83">
        <w:rPr>
          <w:rFonts w:asciiTheme="majorHAnsi" w:hAnsiTheme="majorHAnsi" w:cstheme="majorHAnsi"/>
        </w:rPr>
        <w:t xml:space="preserve"> szükséges, </w:t>
      </w:r>
      <w:r w:rsidR="009D0ED0">
        <w:rPr>
          <w:rFonts w:asciiTheme="majorHAnsi" w:hAnsiTheme="majorHAnsi" w:cstheme="majorHAnsi"/>
        </w:rPr>
        <w:t>lehetővé</w:t>
      </w:r>
      <w:r w:rsidR="006A0C7E" w:rsidRPr="00DC6C83">
        <w:rPr>
          <w:rFonts w:asciiTheme="majorHAnsi" w:hAnsiTheme="majorHAnsi" w:cstheme="majorHAnsi"/>
        </w:rPr>
        <w:t xml:space="preserve"> kell </w:t>
      </w:r>
      <w:r w:rsidR="009D0ED0">
        <w:rPr>
          <w:rFonts w:asciiTheme="majorHAnsi" w:hAnsiTheme="majorHAnsi" w:cstheme="majorHAnsi"/>
        </w:rPr>
        <w:t>tenni, hogy</w:t>
      </w:r>
      <w:r w:rsidR="006A0C7E">
        <w:rPr>
          <w:rFonts w:asciiTheme="majorHAnsi" w:hAnsiTheme="majorHAnsi" w:cstheme="majorHAnsi"/>
        </w:rPr>
        <w:t xml:space="preserve"> a már </w:t>
      </w:r>
      <w:r w:rsidR="009D0ED0">
        <w:rPr>
          <w:rFonts w:asciiTheme="majorHAnsi" w:hAnsiTheme="majorHAnsi" w:cstheme="majorHAnsi"/>
        </w:rPr>
        <w:t>dolgozó</w:t>
      </w:r>
      <w:r w:rsidR="006A0C7E">
        <w:rPr>
          <w:rFonts w:asciiTheme="majorHAnsi" w:hAnsiTheme="majorHAnsi" w:cstheme="majorHAnsi"/>
        </w:rPr>
        <w:t xml:space="preserve"> pedagógusok </w:t>
      </w:r>
      <w:r w:rsidR="009D0ED0">
        <w:rPr>
          <w:rFonts w:asciiTheme="majorHAnsi" w:hAnsiTheme="majorHAnsi" w:cstheme="majorHAnsi"/>
        </w:rPr>
        <w:t>térítésmentesen vehessenek fel</w:t>
      </w:r>
      <w:r w:rsidR="006A0C7E" w:rsidRPr="00DC6C83">
        <w:rPr>
          <w:rFonts w:asciiTheme="majorHAnsi" w:hAnsiTheme="majorHAnsi" w:cstheme="majorHAnsi"/>
        </w:rPr>
        <w:t xml:space="preserve"> újabb szakok</w:t>
      </w:r>
      <w:r w:rsidR="009D0ED0">
        <w:rPr>
          <w:rFonts w:asciiTheme="majorHAnsi" w:hAnsiTheme="majorHAnsi" w:cstheme="majorHAnsi"/>
        </w:rPr>
        <w:t>at.</w:t>
      </w:r>
    </w:p>
    <w:p w14:paraId="1F23A2A1" w14:textId="43CC631D" w:rsidR="00D10E7E" w:rsidRDefault="00D10E7E" w:rsidP="00B86FE8">
      <w:pPr>
        <w:spacing w:line="276" w:lineRule="auto"/>
        <w:rPr>
          <w:rFonts w:asciiTheme="majorHAnsi" w:hAnsiTheme="majorHAnsi" w:cstheme="majorHAnsi"/>
        </w:rPr>
      </w:pPr>
      <w:r>
        <w:rPr>
          <w:rFonts w:asciiTheme="majorHAnsi" w:hAnsiTheme="majorHAnsi" w:cstheme="majorHAnsi"/>
        </w:rPr>
        <w:t>A 2020-ban megjelent koronavírus-járvány kapcsán bevezetett tantermen kívüli, digitális munkarend tapasztalatai is megerősítették, hogy fokozott figyelmet kell fordítani a pedagógus esetében nemcsak a digitális eszközhasználati készségek fejlesztésére, hanem a digitális oktatási módszertanok, teljesítményértékelési eszközök ismeretének és alkalmazásának bővítésére, illetve az ehhez nélkülözhetetlen szemléletváltás</w:t>
      </w:r>
      <w:r w:rsidR="000E3EA1">
        <w:rPr>
          <w:rFonts w:asciiTheme="majorHAnsi" w:hAnsiTheme="majorHAnsi" w:cstheme="majorHAnsi"/>
        </w:rPr>
        <w:t>ra.</w:t>
      </w:r>
      <w:r>
        <w:rPr>
          <w:rFonts w:asciiTheme="majorHAnsi" w:hAnsiTheme="majorHAnsi" w:cstheme="majorHAnsi"/>
        </w:rPr>
        <w:t xml:space="preserve"> A 2020-ban megújult Nemzeti Alaptanterv pedagógiai megközelítése és alapelvei megfelelő kereteket biztosítanak ennek a fejlesztési iránynak, valamint a pedagógusok módszertani szabadságának.</w:t>
      </w:r>
    </w:p>
    <w:p w14:paraId="5161DEFB" w14:textId="77777777" w:rsidR="00D10E7E" w:rsidRDefault="00D10E7E" w:rsidP="00B86FE8">
      <w:pPr>
        <w:spacing w:line="276" w:lineRule="auto"/>
        <w:rPr>
          <w:rFonts w:asciiTheme="majorHAnsi" w:hAnsiTheme="majorHAnsi" w:cstheme="majorHAnsi"/>
        </w:rPr>
      </w:pPr>
    </w:p>
    <w:p w14:paraId="1BE1CC80" w14:textId="77777777" w:rsidR="00B86FE8" w:rsidRPr="00DC6C83" w:rsidRDefault="00B86FE8" w:rsidP="00D921A9">
      <w:pPr>
        <w:pStyle w:val="Cmsor4"/>
      </w:pPr>
      <w:bookmarkStart w:id="52" w:name="_Toc35596133"/>
      <w:bookmarkStart w:id="53" w:name="_Toc46822710"/>
      <w:r w:rsidRPr="00DC6C83">
        <w:t>Pedagógus minősítési rendszer</w:t>
      </w:r>
      <w:r w:rsidR="00266F24">
        <w:t xml:space="preserve"> továbbfejlesztése</w:t>
      </w:r>
      <w:bookmarkEnd w:id="52"/>
      <w:bookmarkEnd w:id="53"/>
    </w:p>
    <w:p w14:paraId="406F101C" w14:textId="77777777" w:rsidR="00B86FE8" w:rsidRPr="00DC6C83" w:rsidRDefault="00B86FE8" w:rsidP="00B86FE8">
      <w:pPr>
        <w:rPr>
          <w:rFonts w:asciiTheme="majorHAnsi" w:hAnsiTheme="majorHAnsi" w:cstheme="majorHAnsi"/>
        </w:rPr>
      </w:pPr>
      <w:r w:rsidRPr="00880042">
        <w:rPr>
          <w:rFonts w:asciiTheme="majorHAnsi" w:hAnsiTheme="majorHAnsi" w:cstheme="majorHAnsi"/>
        </w:rPr>
        <w:t>A</w:t>
      </w:r>
      <w:r w:rsidR="009E3195">
        <w:rPr>
          <w:rFonts w:asciiTheme="majorHAnsi" w:hAnsiTheme="majorHAnsi" w:cstheme="majorHAnsi"/>
        </w:rPr>
        <w:t>z</w:t>
      </w:r>
      <w:r w:rsidR="003A50CA">
        <w:rPr>
          <w:rFonts w:asciiTheme="majorHAnsi" w:hAnsiTheme="majorHAnsi" w:cstheme="majorHAnsi"/>
        </w:rPr>
        <w:t xml:space="preserve"> </w:t>
      </w:r>
      <w:proofErr w:type="spellStart"/>
      <w:r w:rsidR="009E3195">
        <w:rPr>
          <w:rFonts w:asciiTheme="majorHAnsi" w:hAnsiTheme="majorHAnsi" w:cstheme="majorHAnsi"/>
        </w:rPr>
        <w:t>Nkt</w:t>
      </w:r>
      <w:proofErr w:type="spellEnd"/>
      <w:r w:rsidR="009E3195">
        <w:rPr>
          <w:rFonts w:asciiTheme="majorHAnsi" w:hAnsiTheme="majorHAnsi" w:cstheme="majorHAnsi"/>
        </w:rPr>
        <w:t>.</w:t>
      </w:r>
      <w:r w:rsidR="003A50CA">
        <w:rPr>
          <w:rFonts w:asciiTheme="majorHAnsi" w:hAnsiTheme="majorHAnsi" w:cstheme="majorHAnsi"/>
        </w:rPr>
        <w:t xml:space="preserve"> </w:t>
      </w:r>
      <w:r w:rsidRPr="002E0B14">
        <w:rPr>
          <w:rFonts w:asciiTheme="majorHAnsi" w:hAnsiTheme="majorHAnsi" w:cstheme="majorHAnsi"/>
        </w:rPr>
        <w:t xml:space="preserve">alapján 2013. szeptember 1-jén </w:t>
      </w:r>
      <w:r w:rsidR="00C927D5">
        <w:rPr>
          <w:rFonts w:asciiTheme="majorHAnsi" w:hAnsiTheme="majorHAnsi" w:cstheme="majorHAnsi"/>
        </w:rPr>
        <w:t>vezettük be</w:t>
      </w:r>
      <w:r w:rsidRPr="002E0B14">
        <w:rPr>
          <w:rFonts w:asciiTheme="majorHAnsi" w:hAnsiTheme="majorHAnsi" w:cstheme="majorHAnsi"/>
        </w:rPr>
        <w:t xml:space="preserve"> a pedagógus előmeneteli rendszer részeként a pedagógusminősítés</w:t>
      </w:r>
      <w:r w:rsidR="00C927D5">
        <w:rPr>
          <w:rFonts w:asciiTheme="majorHAnsi" w:hAnsiTheme="majorHAnsi" w:cstheme="majorHAnsi"/>
        </w:rPr>
        <w:t>t</w:t>
      </w:r>
      <w:r w:rsidRPr="002E0B14">
        <w:rPr>
          <w:rFonts w:asciiTheme="majorHAnsi" w:hAnsiTheme="majorHAnsi" w:cstheme="majorHAnsi"/>
        </w:rPr>
        <w:t>.</w:t>
      </w:r>
      <w:r w:rsidRPr="00DC6C83">
        <w:rPr>
          <w:rFonts w:asciiTheme="majorHAnsi" w:hAnsiTheme="majorHAnsi" w:cstheme="majorHAnsi"/>
        </w:rPr>
        <w:t xml:space="preserve"> A minősítő vizsgák, minősítési eljárások adott évi</w:t>
      </w:r>
      <w:r w:rsidR="00C927D5">
        <w:rPr>
          <w:rFonts w:asciiTheme="majorHAnsi" w:hAnsiTheme="majorHAnsi" w:cstheme="majorHAnsi"/>
        </w:rPr>
        <w:t>,</w:t>
      </w:r>
      <w:r w:rsidRPr="00DC6C83">
        <w:rPr>
          <w:rFonts w:asciiTheme="majorHAnsi" w:hAnsiTheme="majorHAnsi" w:cstheme="majorHAnsi"/>
        </w:rPr>
        <w:t xml:space="preserve"> aktuális szempontrendszerét az oktatásért felelős miniszter által elfogadott útmutatók tartalmazzák. </w:t>
      </w:r>
    </w:p>
    <w:p w14:paraId="7FC9D231" w14:textId="77777777" w:rsidR="00B86FE8" w:rsidRPr="000A7388" w:rsidRDefault="00B86FE8" w:rsidP="00B86FE8">
      <w:pPr>
        <w:rPr>
          <w:rFonts w:asciiTheme="majorHAnsi" w:hAnsiTheme="majorHAnsi" w:cstheme="majorHAnsi"/>
        </w:rPr>
      </w:pPr>
      <w:r w:rsidRPr="000A7388">
        <w:rPr>
          <w:rFonts w:asciiTheme="majorHAnsi" w:hAnsiTheme="majorHAnsi" w:cstheme="majorHAnsi"/>
        </w:rPr>
        <w:t>A pedagógus életpálya hatálya – a bevezetésétől kezdődően – újabb foglalkoztatási területekkel bővült, így jelenleg az alábbi személyi körre terjed ki:</w:t>
      </w:r>
    </w:p>
    <w:p w14:paraId="7C91A1B3" w14:textId="77777777" w:rsidR="00B86FE8" w:rsidRPr="000A7388" w:rsidRDefault="00B86FE8" w:rsidP="00E6751A">
      <w:pPr>
        <w:pStyle w:val="Listaszerbekezds"/>
        <w:numPr>
          <w:ilvl w:val="0"/>
          <w:numId w:val="7"/>
        </w:numPr>
        <w:spacing w:after="160" w:line="259" w:lineRule="auto"/>
        <w:rPr>
          <w:rFonts w:asciiTheme="majorHAnsi" w:hAnsiTheme="majorHAnsi" w:cstheme="majorHAnsi"/>
        </w:rPr>
      </w:pPr>
      <w:r w:rsidRPr="000A7388">
        <w:rPr>
          <w:rFonts w:asciiTheme="majorHAnsi" w:hAnsiTheme="majorHAnsi" w:cstheme="majorHAnsi"/>
        </w:rPr>
        <w:t>a köznevelési intézményben pedagógus munkakörben foglalkoztatottakra</w:t>
      </w:r>
      <w:r w:rsidR="007920FC">
        <w:rPr>
          <w:rFonts w:asciiTheme="majorHAnsi" w:hAnsiTheme="majorHAnsi" w:cstheme="majorHAnsi"/>
        </w:rPr>
        <w:t>,</w:t>
      </w:r>
    </w:p>
    <w:p w14:paraId="79F552A0" w14:textId="77777777" w:rsidR="00B86FE8" w:rsidRPr="000A7388" w:rsidRDefault="00B86FE8" w:rsidP="00E6751A">
      <w:pPr>
        <w:pStyle w:val="Listaszerbekezds"/>
        <w:numPr>
          <w:ilvl w:val="0"/>
          <w:numId w:val="7"/>
        </w:numPr>
        <w:spacing w:after="160" w:line="259" w:lineRule="auto"/>
        <w:rPr>
          <w:rFonts w:asciiTheme="majorHAnsi" w:hAnsiTheme="majorHAnsi" w:cstheme="majorHAnsi"/>
        </w:rPr>
      </w:pPr>
      <w:r w:rsidRPr="000A7388">
        <w:rPr>
          <w:rFonts w:asciiTheme="majorHAnsi" w:hAnsiTheme="majorHAnsi" w:cstheme="majorHAnsi"/>
        </w:rPr>
        <w:t>a gyermekvédelmi intézményben pedagógus munkakörben foglalkoztatottakra</w:t>
      </w:r>
      <w:r w:rsidR="007920FC">
        <w:rPr>
          <w:rFonts w:asciiTheme="majorHAnsi" w:hAnsiTheme="majorHAnsi" w:cstheme="majorHAnsi"/>
        </w:rPr>
        <w:t>,</w:t>
      </w:r>
    </w:p>
    <w:p w14:paraId="536FB50B" w14:textId="77777777" w:rsidR="00B86FE8" w:rsidRPr="000A7388" w:rsidRDefault="00B86FE8" w:rsidP="00E6751A">
      <w:pPr>
        <w:pStyle w:val="Listaszerbekezds"/>
        <w:numPr>
          <w:ilvl w:val="0"/>
          <w:numId w:val="7"/>
        </w:numPr>
        <w:spacing w:after="160" w:line="259" w:lineRule="auto"/>
        <w:rPr>
          <w:rFonts w:asciiTheme="majorHAnsi" w:hAnsiTheme="majorHAnsi" w:cstheme="majorHAnsi"/>
        </w:rPr>
      </w:pPr>
      <w:r w:rsidRPr="000A7388">
        <w:rPr>
          <w:rFonts w:asciiTheme="majorHAnsi" w:hAnsiTheme="majorHAnsi" w:cstheme="majorHAnsi"/>
        </w:rPr>
        <w:t>pedagógus munkakörre jogosító végzettséggel és szakképzettséggel rendelkező nevelő-oktató munkát közvetlenül segítőkre</w:t>
      </w:r>
      <w:r w:rsidR="006D2127">
        <w:rPr>
          <w:rFonts w:asciiTheme="majorHAnsi" w:hAnsiTheme="majorHAnsi" w:cstheme="majorHAnsi"/>
        </w:rPr>
        <w:t xml:space="preserve"> (NOKS)</w:t>
      </w:r>
      <w:r w:rsidR="007920FC">
        <w:rPr>
          <w:rFonts w:asciiTheme="majorHAnsi" w:hAnsiTheme="majorHAnsi" w:cstheme="majorHAnsi"/>
        </w:rPr>
        <w:t>,</w:t>
      </w:r>
    </w:p>
    <w:p w14:paraId="7F8136A4" w14:textId="77777777" w:rsidR="00B86FE8" w:rsidRPr="000A7388" w:rsidRDefault="00B86FE8" w:rsidP="00E6751A">
      <w:pPr>
        <w:pStyle w:val="Listaszerbekezds"/>
        <w:numPr>
          <w:ilvl w:val="0"/>
          <w:numId w:val="7"/>
        </w:numPr>
        <w:spacing w:after="160" w:line="259" w:lineRule="auto"/>
        <w:rPr>
          <w:rFonts w:asciiTheme="majorHAnsi" w:hAnsiTheme="majorHAnsi" w:cstheme="majorHAnsi"/>
        </w:rPr>
      </w:pPr>
      <w:r w:rsidRPr="000A7388">
        <w:rPr>
          <w:rFonts w:asciiTheme="majorHAnsi" w:hAnsiTheme="majorHAnsi" w:cstheme="majorHAnsi"/>
        </w:rPr>
        <w:t>pedagógus munkakörre jogosító végzettséggel és szakképzettséggel rendelkező kisgyermeknevelőkre.</w:t>
      </w:r>
    </w:p>
    <w:p w14:paraId="1B1A3501" w14:textId="77777777" w:rsidR="00B86FE8" w:rsidRDefault="00B86FE8" w:rsidP="00B86FE8">
      <w:pPr>
        <w:rPr>
          <w:rFonts w:asciiTheme="majorHAnsi" w:hAnsiTheme="majorHAnsi" w:cstheme="majorHAnsi"/>
        </w:rPr>
      </w:pPr>
      <w:r w:rsidRPr="000A7388">
        <w:rPr>
          <w:rFonts w:asciiTheme="majorHAnsi" w:hAnsiTheme="majorHAnsi" w:cstheme="majorHAnsi"/>
        </w:rPr>
        <w:t xml:space="preserve">Az előmeneteli rendszerben </w:t>
      </w:r>
      <w:r w:rsidR="007920FC">
        <w:rPr>
          <w:rFonts w:asciiTheme="majorHAnsi" w:hAnsiTheme="majorHAnsi" w:cstheme="majorHAnsi"/>
        </w:rPr>
        <w:t xml:space="preserve">a pedagógusok által </w:t>
      </w:r>
      <w:r w:rsidRPr="000A7388">
        <w:rPr>
          <w:rFonts w:asciiTheme="majorHAnsi" w:hAnsiTheme="majorHAnsi" w:cstheme="majorHAnsi"/>
        </w:rPr>
        <w:t>elérhető fokozatok: Gyakornok, Pedagógus I., Pedagógus II., Mesterpedagógus, Kutatótanár. A pedagógusok minősítő vizsgáját és minősítési eljárását az Oktatási Hivatal szervezi. A minősítési eljárásokban részt vevők száma az utóbbi években emelkedett. A Pedagógus II., Mesterpedagógus és Kutatótanár fokozatokra történő jelentkezés feltételrendszere a bevezetés időszakában a nagyobb szakmai gyakorlattal rendelkező pedagógusok számára biztosította az eljárásban való részvétel lehetőségét. A cél az, hogy a 2021</w:t>
      </w:r>
      <w:r w:rsidR="007275B8">
        <w:rPr>
          <w:rFonts w:asciiTheme="majorHAnsi" w:hAnsiTheme="majorHAnsi" w:cstheme="majorHAnsi"/>
        </w:rPr>
        <w:t>-től a</w:t>
      </w:r>
      <w:r w:rsidRPr="000A7388">
        <w:rPr>
          <w:rFonts w:asciiTheme="majorHAnsi" w:hAnsiTheme="majorHAnsi" w:cstheme="majorHAnsi"/>
        </w:rPr>
        <w:t xml:space="preserve"> minősítési</w:t>
      </w:r>
      <w:r w:rsidR="00880042">
        <w:rPr>
          <w:rFonts w:asciiTheme="majorHAnsi" w:hAnsiTheme="majorHAnsi" w:cstheme="majorHAnsi"/>
        </w:rPr>
        <w:t xml:space="preserve"> eljárások szervezése tovább egyszerűsödjön</w:t>
      </w:r>
      <w:r w:rsidR="00CA56A1">
        <w:rPr>
          <w:rFonts w:asciiTheme="majorHAnsi" w:hAnsiTheme="majorHAnsi" w:cstheme="majorHAnsi"/>
        </w:rPr>
        <w:t>, tartalmában pedig tovább csiszolódjon</w:t>
      </w:r>
      <w:r w:rsidR="00880042">
        <w:rPr>
          <w:rFonts w:asciiTheme="majorHAnsi" w:hAnsiTheme="majorHAnsi" w:cstheme="majorHAnsi"/>
        </w:rPr>
        <w:t xml:space="preserve">. </w:t>
      </w:r>
    </w:p>
    <w:p w14:paraId="521B9D93" w14:textId="614D7F72" w:rsidR="00884182" w:rsidRPr="000A7388" w:rsidRDefault="00884182" w:rsidP="00B86FE8">
      <w:pPr>
        <w:rPr>
          <w:rFonts w:asciiTheme="majorHAnsi" w:hAnsiTheme="majorHAnsi" w:cstheme="majorHAnsi"/>
          <w:highlight w:val="yellow"/>
        </w:rPr>
      </w:pPr>
      <w:r>
        <w:rPr>
          <w:rFonts w:asciiTheme="majorHAnsi" w:hAnsiTheme="majorHAnsi" w:cstheme="majorHAnsi"/>
        </w:rPr>
        <w:lastRenderedPageBreak/>
        <w:t xml:space="preserve">Emellett </w:t>
      </w:r>
      <w:r w:rsidR="00A147F9">
        <w:rPr>
          <w:rFonts w:asciiTheme="majorHAnsi" w:hAnsiTheme="majorHAnsi" w:cstheme="majorHAnsi"/>
        </w:rPr>
        <w:t>a jogszabályi változások lehetővé tették</w:t>
      </w:r>
      <w:r w:rsidR="00A147F9">
        <w:rPr>
          <w:rStyle w:val="Lbjegyzet-hivatkozs"/>
          <w:rFonts w:asciiTheme="majorHAnsi" w:hAnsiTheme="majorHAnsi" w:cstheme="majorHAnsi"/>
        </w:rPr>
        <w:footnoteReference w:id="17"/>
      </w:r>
      <w:r w:rsidR="00A147F9">
        <w:rPr>
          <w:rFonts w:asciiTheme="majorHAnsi" w:hAnsiTheme="majorHAnsi" w:cstheme="majorHAnsi"/>
        </w:rPr>
        <w:t xml:space="preserve"> </w:t>
      </w:r>
      <w:r>
        <w:rPr>
          <w:rFonts w:asciiTheme="majorHAnsi" w:hAnsiTheme="majorHAnsi" w:cstheme="majorHAnsi"/>
        </w:rPr>
        <w:t>az egyházi szolgálati jogviszonyban lévő hitoktatók, a szakképzésben közismereti tárgyat oktatók, illetve a felsőoktatásban tanári fel</w:t>
      </w:r>
      <w:r w:rsidR="00A147F9">
        <w:rPr>
          <w:rFonts w:asciiTheme="majorHAnsi" w:hAnsiTheme="majorHAnsi" w:cstheme="majorHAnsi"/>
        </w:rPr>
        <w:t xml:space="preserve">adatot ellátók számára, hogy </w:t>
      </w:r>
      <w:r>
        <w:rPr>
          <w:rFonts w:asciiTheme="majorHAnsi" w:hAnsiTheme="majorHAnsi" w:cstheme="majorHAnsi"/>
        </w:rPr>
        <w:t>bekapcsolód</w:t>
      </w:r>
      <w:r w:rsidR="00A147F9">
        <w:rPr>
          <w:rFonts w:asciiTheme="majorHAnsi" w:hAnsiTheme="majorHAnsi" w:cstheme="majorHAnsi"/>
        </w:rPr>
        <w:t>hassanak</w:t>
      </w:r>
      <w:r>
        <w:rPr>
          <w:rFonts w:asciiTheme="majorHAnsi" w:hAnsiTheme="majorHAnsi" w:cstheme="majorHAnsi"/>
        </w:rPr>
        <w:t xml:space="preserve"> a </w:t>
      </w:r>
      <w:r w:rsidR="00A147F9" w:rsidRPr="000A7388">
        <w:rPr>
          <w:rFonts w:asciiTheme="majorHAnsi" w:hAnsiTheme="majorHAnsi" w:cstheme="majorHAnsi"/>
        </w:rPr>
        <w:t xml:space="preserve">pedagógus előmeneteli </w:t>
      </w:r>
      <w:r>
        <w:rPr>
          <w:rFonts w:asciiTheme="majorHAnsi" w:hAnsiTheme="majorHAnsi" w:cstheme="majorHAnsi"/>
        </w:rPr>
        <w:t>rendszerbe.</w:t>
      </w:r>
      <w:r w:rsidR="00A147F9">
        <w:rPr>
          <w:rFonts w:asciiTheme="majorHAnsi" w:hAnsiTheme="majorHAnsi" w:cstheme="majorHAnsi"/>
        </w:rPr>
        <w:t xml:space="preserve"> További feladatként jelentkezik a vonatkozó eljárás kidolgozása.</w:t>
      </w:r>
    </w:p>
    <w:p w14:paraId="577031EA" w14:textId="77777777" w:rsidR="00B86FE8" w:rsidRPr="00DC6C83" w:rsidRDefault="00B86FE8" w:rsidP="00B86FE8">
      <w:pPr>
        <w:rPr>
          <w:rFonts w:asciiTheme="majorHAnsi" w:hAnsiTheme="majorHAnsi" w:cstheme="majorHAnsi"/>
        </w:rPr>
      </w:pPr>
      <w:r w:rsidRPr="000A7388">
        <w:rPr>
          <w:rFonts w:asciiTheme="majorHAnsi" w:hAnsiTheme="majorHAnsi" w:cstheme="majorHAnsi"/>
        </w:rPr>
        <w:t>A pedagógus előmeneteli rendszer elfogadottsága az elmúlt évek során jelentős mértékben</w:t>
      </w:r>
      <w:r w:rsidRPr="00DC6C83">
        <w:rPr>
          <w:rFonts w:asciiTheme="majorHAnsi" w:hAnsiTheme="majorHAnsi" w:cstheme="majorHAnsi"/>
        </w:rPr>
        <w:t xml:space="preserve"> megnőtt. Az intézmények és a pedagógusok számára kialakított támogató rendszer</w:t>
      </w:r>
      <w:r w:rsidR="007275B8">
        <w:rPr>
          <w:rFonts w:asciiTheme="majorHAnsi" w:hAnsiTheme="majorHAnsi" w:cstheme="majorHAnsi"/>
        </w:rPr>
        <w:t xml:space="preserve"> −</w:t>
      </w:r>
      <w:r w:rsidRPr="00DC6C83">
        <w:rPr>
          <w:rFonts w:asciiTheme="majorHAnsi" w:hAnsiTheme="majorHAnsi" w:cstheme="majorHAnsi"/>
        </w:rPr>
        <w:t xml:space="preserve">a szakértői munka minőségének javítása, javulása </w:t>
      </w:r>
      <w:r w:rsidR="007275B8">
        <w:rPr>
          <w:rFonts w:asciiTheme="majorHAnsi" w:hAnsiTheme="majorHAnsi" w:cstheme="majorHAnsi"/>
        </w:rPr>
        <w:t>−</w:t>
      </w:r>
      <w:r w:rsidRPr="00DC6C83">
        <w:rPr>
          <w:rFonts w:asciiTheme="majorHAnsi" w:hAnsiTheme="majorHAnsi" w:cstheme="majorHAnsi"/>
        </w:rPr>
        <w:t xml:space="preserve"> hozzájárult</w:t>
      </w:r>
      <w:r w:rsidR="002E0B14">
        <w:rPr>
          <w:rFonts w:asciiTheme="majorHAnsi" w:hAnsiTheme="majorHAnsi" w:cstheme="majorHAnsi"/>
        </w:rPr>
        <w:t xml:space="preserve"> a bevezetését övező</w:t>
      </w:r>
      <w:r w:rsidRPr="00DC6C83">
        <w:rPr>
          <w:rFonts w:asciiTheme="majorHAnsi" w:hAnsiTheme="majorHAnsi" w:cstheme="majorHAnsi"/>
        </w:rPr>
        <w:t xml:space="preserve"> kezdeti félelmek eloszlatásához.</w:t>
      </w:r>
    </w:p>
    <w:p w14:paraId="0637D3F3" w14:textId="46AEEBA3" w:rsidR="00B86FE8" w:rsidRDefault="00B86FE8" w:rsidP="00B86FE8">
      <w:pPr>
        <w:rPr>
          <w:rFonts w:asciiTheme="majorHAnsi" w:hAnsiTheme="majorHAnsi" w:cstheme="majorHAnsi"/>
        </w:rPr>
      </w:pPr>
      <w:r w:rsidRPr="00DC6C83">
        <w:rPr>
          <w:rFonts w:asciiTheme="majorHAnsi" w:hAnsiTheme="majorHAnsi" w:cstheme="majorHAnsi"/>
        </w:rPr>
        <w:t>A táblázat összeállítása</w:t>
      </w:r>
      <w:r w:rsidR="007275B8">
        <w:rPr>
          <w:rFonts w:asciiTheme="majorHAnsi" w:hAnsiTheme="majorHAnsi" w:cstheme="majorHAnsi"/>
        </w:rPr>
        <w:t>kor</w:t>
      </w:r>
      <w:r w:rsidRPr="00DC6C83">
        <w:rPr>
          <w:rFonts w:asciiTheme="majorHAnsi" w:hAnsiTheme="majorHAnsi" w:cstheme="majorHAnsi"/>
        </w:rPr>
        <w:t xml:space="preserve"> az aktív és tartósan távollévő, teljes vagy részmunkaidőben foglalkoztatott pedagógusokat vettük alapul. </w:t>
      </w:r>
    </w:p>
    <w:p w14:paraId="0589D6E1" w14:textId="77777777" w:rsidR="00B86FE8" w:rsidRPr="00DC6C83" w:rsidRDefault="00B86FE8" w:rsidP="00A02981">
      <w:pPr>
        <w:pStyle w:val="Tblacm"/>
        <w:ind w:left="426"/>
        <w:jc w:val="center"/>
      </w:pPr>
      <w:r w:rsidRPr="00DC6C83">
        <w:t xml:space="preserve">táblázat: </w:t>
      </w:r>
      <w:r w:rsidR="000745BC" w:rsidRPr="000745BC">
        <w:rPr>
          <w:rFonts w:asciiTheme="majorHAnsi" w:hAnsiTheme="majorHAnsi" w:cstheme="majorHAnsi"/>
        </w:rPr>
        <w:t xml:space="preserve">Sikeres minősítések száma </w:t>
      </w:r>
      <w:r w:rsidR="001F600C">
        <w:rPr>
          <w:rFonts w:asciiTheme="majorHAnsi" w:hAnsiTheme="majorHAnsi" w:cstheme="majorHAnsi"/>
        </w:rPr>
        <w:t>(2014</w:t>
      </w:r>
      <w:r w:rsidR="007275B8">
        <w:rPr>
          <w:rFonts w:asciiTheme="majorHAnsi" w:hAnsiTheme="majorHAnsi" w:cstheme="majorHAnsi"/>
        </w:rPr>
        <w:t>−</w:t>
      </w:r>
      <w:r w:rsidR="001F600C">
        <w:rPr>
          <w:rFonts w:asciiTheme="majorHAnsi" w:hAnsiTheme="majorHAnsi" w:cstheme="majorHAnsi"/>
        </w:rPr>
        <w:t>2019)</w:t>
      </w:r>
      <w:r w:rsidR="004203BA">
        <w:rPr>
          <w:rFonts w:asciiTheme="majorHAnsi" w:hAnsiTheme="majorHAnsi" w:cstheme="majorHAnsi"/>
        </w:rPr>
        <w:t xml:space="preserve"> </w:t>
      </w:r>
      <w:r w:rsidRPr="00DC6C83">
        <w:t>(fő)</w:t>
      </w:r>
      <w:r w:rsidR="000745BC">
        <w:rPr>
          <w:rStyle w:val="Lbjegyzet-hivatkozs"/>
        </w:rPr>
        <w:footnoteReference w:id="18"/>
      </w:r>
    </w:p>
    <w:tbl>
      <w:tblPr>
        <w:tblStyle w:val="Rcsostblzat"/>
        <w:tblW w:w="8359" w:type="dxa"/>
        <w:jc w:val="center"/>
        <w:tblLook w:val="04A0" w:firstRow="1" w:lastRow="0" w:firstColumn="1" w:lastColumn="0" w:noHBand="0" w:noVBand="1"/>
      </w:tblPr>
      <w:tblGrid>
        <w:gridCol w:w="2689"/>
        <w:gridCol w:w="723"/>
        <w:gridCol w:w="723"/>
        <w:gridCol w:w="855"/>
        <w:gridCol w:w="751"/>
        <w:gridCol w:w="754"/>
        <w:gridCol w:w="751"/>
        <w:gridCol w:w="1113"/>
      </w:tblGrid>
      <w:tr w:rsidR="00B86FE8" w:rsidRPr="00DC6C83" w14:paraId="47C6C65C" w14:textId="77777777" w:rsidTr="00885B7D">
        <w:trPr>
          <w:trHeight w:val="295"/>
          <w:jc w:val="center"/>
        </w:trPr>
        <w:tc>
          <w:tcPr>
            <w:tcW w:w="2689" w:type="dxa"/>
            <w:vMerge w:val="restart"/>
            <w:noWrap/>
            <w:vAlign w:val="center"/>
            <w:hideMark/>
          </w:tcPr>
          <w:p w14:paraId="1405313C" w14:textId="77777777" w:rsidR="00B86FE8" w:rsidRPr="00DC6C83" w:rsidRDefault="00B86FE8" w:rsidP="003A38E6">
            <w:pPr>
              <w:spacing w:beforeLines="40" w:before="96" w:afterLines="40" w:after="96" w:line="240" w:lineRule="auto"/>
              <w:jc w:val="left"/>
              <w:rPr>
                <w:rFonts w:asciiTheme="majorHAnsi" w:hAnsiTheme="majorHAnsi" w:cstheme="majorHAnsi"/>
                <w:b/>
                <w:bCs/>
                <w:sz w:val="20"/>
              </w:rPr>
            </w:pPr>
            <w:r w:rsidRPr="00DC6C83">
              <w:rPr>
                <w:rFonts w:asciiTheme="majorHAnsi" w:hAnsiTheme="majorHAnsi" w:cstheme="majorHAnsi"/>
                <w:b/>
                <w:bCs/>
                <w:sz w:val="20"/>
              </w:rPr>
              <w:t>Jelenlegi fokozat</w:t>
            </w:r>
          </w:p>
        </w:tc>
        <w:tc>
          <w:tcPr>
            <w:tcW w:w="5670" w:type="dxa"/>
            <w:gridSpan w:val="7"/>
            <w:noWrap/>
            <w:vAlign w:val="center"/>
            <w:hideMark/>
          </w:tcPr>
          <w:p w14:paraId="263E86D1" w14:textId="77777777" w:rsidR="00B86FE8" w:rsidRPr="00DC6C83" w:rsidRDefault="00B86FE8" w:rsidP="003A38E6">
            <w:pPr>
              <w:spacing w:beforeLines="40" w:before="96" w:afterLines="40" w:after="96" w:line="240" w:lineRule="auto"/>
              <w:jc w:val="center"/>
              <w:rPr>
                <w:rFonts w:asciiTheme="majorHAnsi" w:hAnsiTheme="majorHAnsi" w:cstheme="majorHAnsi"/>
                <w:sz w:val="20"/>
              </w:rPr>
            </w:pPr>
            <w:r w:rsidRPr="00DC6C83">
              <w:rPr>
                <w:rFonts w:asciiTheme="majorHAnsi" w:hAnsiTheme="majorHAnsi" w:cstheme="majorHAnsi"/>
                <w:b/>
                <w:bCs/>
                <w:sz w:val="20"/>
              </w:rPr>
              <w:t>A pedagógusok besorolását meghatározó minősítési eljárás éve szerinti létszám (fő)</w:t>
            </w:r>
          </w:p>
        </w:tc>
      </w:tr>
      <w:tr w:rsidR="00781F63" w:rsidRPr="00DC6C83" w14:paraId="3EA47398" w14:textId="77777777" w:rsidTr="00885B7D">
        <w:trPr>
          <w:trHeight w:val="295"/>
          <w:jc w:val="center"/>
        </w:trPr>
        <w:tc>
          <w:tcPr>
            <w:tcW w:w="2689" w:type="dxa"/>
            <w:vMerge/>
            <w:noWrap/>
            <w:vAlign w:val="center"/>
            <w:hideMark/>
          </w:tcPr>
          <w:p w14:paraId="2FB4875F" w14:textId="77777777" w:rsidR="00781F63" w:rsidRPr="00DC6C83" w:rsidRDefault="00781F63" w:rsidP="003A38E6">
            <w:pPr>
              <w:spacing w:beforeLines="40" w:before="96" w:afterLines="40" w:after="96" w:line="240" w:lineRule="auto"/>
              <w:jc w:val="left"/>
              <w:rPr>
                <w:rFonts w:asciiTheme="majorHAnsi" w:hAnsiTheme="majorHAnsi" w:cstheme="majorHAnsi"/>
                <w:b/>
                <w:bCs/>
                <w:sz w:val="20"/>
              </w:rPr>
            </w:pPr>
          </w:p>
        </w:tc>
        <w:tc>
          <w:tcPr>
            <w:tcW w:w="723" w:type="dxa"/>
            <w:noWrap/>
            <w:vAlign w:val="center"/>
            <w:hideMark/>
          </w:tcPr>
          <w:p w14:paraId="3BBA1A15"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sidRPr="00DC6C83">
              <w:rPr>
                <w:rFonts w:asciiTheme="majorHAnsi" w:hAnsiTheme="majorHAnsi" w:cstheme="majorHAnsi"/>
                <w:b/>
                <w:bCs/>
                <w:sz w:val="20"/>
              </w:rPr>
              <w:t>2014</w:t>
            </w:r>
          </w:p>
        </w:tc>
        <w:tc>
          <w:tcPr>
            <w:tcW w:w="723" w:type="dxa"/>
            <w:noWrap/>
            <w:vAlign w:val="center"/>
            <w:hideMark/>
          </w:tcPr>
          <w:p w14:paraId="6D8777E9"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sidRPr="00DC6C83">
              <w:rPr>
                <w:rFonts w:asciiTheme="majorHAnsi" w:hAnsiTheme="majorHAnsi" w:cstheme="majorHAnsi"/>
                <w:b/>
                <w:bCs/>
                <w:sz w:val="20"/>
              </w:rPr>
              <w:t>2015</w:t>
            </w:r>
          </w:p>
        </w:tc>
        <w:tc>
          <w:tcPr>
            <w:tcW w:w="855" w:type="dxa"/>
            <w:noWrap/>
            <w:vAlign w:val="center"/>
            <w:hideMark/>
          </w:tcPr>
          <w:p w14:paraId="01100F26"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sidRPr="00DC6C83">
              <w:rPr>
                <w:rFonts w:asciiTheme="majorHAnsi" w:hAnsiTheme="majorHAnsi" w:cstheme="majorHAnsi"/>
                <w:b/>
                <w:bCs/>
                <w:sz w:val="20"/>
              </w:rPr>
              <w:t>2016</w:t>
            </w:r>
          </w:p>
        </w:tc>
        <w:tc>
          <w:tcPr>
            <w:tcW w:w="751" w:type="dxa"/>
            <w:noWrap/>
            <w:vAlign w:val="center"/>
            <w:hideMark/>
          </w:tcPr>
          <w:p w14:paraId="6021CEB0"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sidRPr="00DC6C83">
              <w:rPr>
                <w:rFonts w:asciiTheme="majorHAnsi" w:hAnsiTheme="majorHAnsi" w:cstheme="majorHAnsi"/>
                <w:b/>
                <w:bCs/>
                <w:sz w:val="20"/>
              </w:rPr>
              <w:t>2017</w:t>
            </w:r>
          </w:p>
        </w:tc>
        <w:tc>
          <w:tcPr>
            <w:tcW w:w="754" w:type="dxa"/>
            <w:noWrap/>
            <w:vAlign w:val="center"/>
            <w:hideMark/>
          </w:tcPr>
          <w:p w14:paraId="0C032463"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sidRPr="00DC6C83">
              <w:rPr>
                <w:rFonts w:asciiTheme="majorHAnsi" w:hAnsiTheme="majorHAnsi" w:cstheme="majorHAnsi"/>
                <w:b/>
                <w:bCs/>
                <w:sz w:val="20"/>
              </w:rPr>
              <w:t>2018</w:t>
            </w:r>
          </w:p>
        </w:tc>
        <w:tc>
          <w:tcPr>
            <w:tcW w:w="751" w:type="dxa"/>
            <w:noWrap/>
            <w:vAlign w:val="center"/>
            <w:hideMark/>
          </w:tcPr>
          <w:p w14:paraId="6F979EDD"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sidRPr="00DC6C83">
              <w:rPr>
                <w:rFonts w:asciiTheme="majorHAnsi" w:hAnsiTheme="majorHAnsi" w:cstheme="majorHAnsi"/>
                <w:b/>
                <w:bCs/>
                <w:sz w:val="20"/>
              </w:rPr>
              <w:t>2019</w:t>
            </w:r>
          </w:p>
        </w:tc>
        <w:tc>
          <w:tcPr>
            <w:tcW w:w="1113" w:type="dxa"/>
            <w:noWrap/>
            <w:vAlign w:val="center"/>
            <w:hideMark/>
          </w:tcPr>
          <w:p w14:paraId="26B66744"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sidRPr="00DC6C83">
              <w:rPr>
                <w:rFonts w:asciiTheme="majorHAnsi" w:hAnsiTheme="majorHAnsi" w:cstheme="majorHAnsi"/>
                <w:b/>
                <w:bCs/>
                <w:sz w:val="20"/>
              </w:rPr>
              <w:t>Összesen</w:t>
            </w:r>
          </w:p>
        </w:tc>
      </w:tr>
      <w:tr w:rsidR="00781F63" w:rsidRPr="00DC6C83" w14:paraId="5C62E713" w14:textId="77777777" w:rsidTr="00885B7D">
        <w:trPr>
          <w:trHeight w:val="295"/>
          <w:jc w:val="center"/>
        </w:trPr>
        <w:tc>
          <w:tcPr>
            <w:tcW w:w="2689" w:type="dxa"/>
            <w:noWrap/>
            <w:vAlign w:val="center"/>
          </w:tcPr>
          <w:p w14:paraId="45F36A88" w14:textId="77777777" w:rsidR="00781F63" w:rsidRPr="00DC6C83" w:rsidRDefault="00781F63" w:rsidP="003A38E6">
            <w:pPr>
              <w:spacing w:beforeLines="40" w:before="96" w:afterLines="40" w:after="96" w:line="240" w:lineRule="auto"/>
              <w:jc w:val="left"/>
              <w:rPr>
                <w:rFonts w:asciiTheme="majorHAnsi" w:hAnsiTheme="majorHAnsi" w:cstheme="majorHAnsi"/>
                <w:sz w:val="20"/>
              </w:rPr>
            </w:pPr>
            <w:r w:rsidRPr="00DC6C83">
              <w:rPr>
                <w:rFonts w:asciiTheme="majorHAnsi" w:hAnsiTheme="majorHAnsi" w:cstheme="majorHAnsi"/>
                <w:sz w:val="20"/>
              </w:rPr>
              <w:t>Pedagógus I.</w:t>
            </w:r>
          </w:p>
        </w:tc>
        <w:tc>
          <w:tcPr>
            <w:tcW w:w="723" w:type="dxa"/>
            <w:noWrap/>
            <w:vAlign w:val="center"/>
          </w:tcPr>
          <w:p w14:paraId="264AB4DB"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357</w:t>
            </w:r>
          </w:p>
        </w:tc>
        <w:tc>
          <w:tcPr>
            <w:tcW w:w="723" w:type="dxa"/>
            <w:noWrap/>
            <w:vAlign w:val="center"/>
          </w:tcPr>
          <w:p w14:paraId="1B08FA0C"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1196</w:t>
            </w:r>
          </w:p>
        </w:tc>
        <w:tc>
          <w:tcPr>
            <w:tcW w:w="855" w:type="dxa"/>
            <w:noWrap/>
            <w:vAlign w:val="center"/>
          </w:tcPr>
          <w:p w14:paraId="426D5296"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2656</w:t>
            </w:r>
          </w:p>
        </w:tc>
        <w:tc>
          <w:tcPr>
            <w:tcW w:w="751" w:type="dxa"/>
            <w:noWrap/>
            <w:vAlign w:val="center"/>
          </w:tcPr>
          <w:p w14:paraId="77060F1E"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2624</w:t>
            </w:r>
          </w:p>
        </w:tc>
        <w:tc>
          <w:tcPr>
            <w:tcW w:w="754" w:type="dxa"/>
            <w:noWrap/>
            <w:vAlign w:val="center"/>
          </w:tcPr>
          <w:p w14:paraId="3E7EEECE"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2448</w:t>
            </w:r>
          </w:p>
        </w:tc>
        <w:tc>
          <w:tcPr>
            <w:tcW w:w="751" w:type="dxa"/>
            <w:noWrap/>
            <w:vAlign w:val="center"/>
          </w:tcPr>
          <w:p w14:paraId="269C26E2"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2444</w:t>
            </w:r>
          </w:p>
        </w:tc>
        <w:tc>
          <w:tcPr>
            <w:tcW w:w="1113" w:type="dxa"/>
            <w:vMerge w:val="restart"/>
            <w:noWrap/>
            <w:vAlign w:val="center"/>
          </w:tcPr>
          <w:p w14:paraId="4F8C81F8"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p>
        </w:tc>
      </w:tr>
      <w:tr w:rsidR="00781F63" w:rsidRPr="00DC6C83" w14:paraId="10E0905D" w14:textId="77777777" w:rsidTr="00885B7D">
        <w:trPr>
          <w:trHeight w:val="295"/>
          <w:jc w:val="center"/>
        </w:trPr>
        <w:tc>
          <w:tcPr>
            <w:tcW w:w="2689" w:type="dxa"/>
            <w:noWrap/>
            <w:vAlign w:val="center"/>
          </w:tcPr>
          <w:p w14:paraId="5947B7E4" w14:textId="77777777" w:rsidR="00781F63" w:rsidRPr="00DC6C83" w:rsidRDefault="00781F63" w:rsidP="003A38E6">
            <w:pPr>
              <w:spacing w:beforeLines="40" w:before="96" w:afterLines="40" w:after="96" w:line="240" w:lineRule="auto"/>
              <w:jc w:val="left"/>
              <w:rPr>
                <w:rFonts w:asciiTheme="majorHAnsi" w:hAnsiTheme="majorHAnsi" w:cstheme="majorHAnsi"/>
                <w:sz w:val="20"/>
              </w:rPr>
            </w:pPr>
            <w:r w:rsidRPr="00DC6C83">
              <w:rPr>
                <w:rFonts w:asciiTheme="majorHAnsi" w:hAnsiTheme="majorHAnsi" w:cstheme="majorHAnsi"/>
                <w:sz w:val="20"/>
              </w:rPr>
              <w:t>Pedagógus II.</w:t>
            </w:r>
          </w:p>
        </w:tc>
        <w:tc>
          <w:tcPr>
            <w:tcW w:w="723" w:type="dxa"/>
            <w:noWrap/>
            <w:vAlign w:val="center"/>
          </w:tcPr>
          <w:p w14:paraId="2F668690"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17524</w:t>
            </w:r>
          </w:p>
        </w:tc>
        <w:tc>
          <w:tcPr>
            <w:tcW w:w="723" w:type="dxa"/>
            <w:noWrap/>
            <w:vAlign w:val="center"/>
          </w:tcPr>
          <w:p w14:paraId="0B4508E6"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9055</w:t>
            </w:r>
          </w:p>
        </w:tc>
        <w:tc>
          <w:tcPr>
            <w:tcW w:w="855" w:type="dxa"/>
            <w:noWrap/>
            <w:vAlign w:val="center"/>
          </w:tcPr>
          <w:p w14:paraId="72731713"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11718</w:t>
            </w:r>
          </w:p>
        </w:tc>
        <w:tc>
          <w:tcPr>
            <w:tcW w:w="751" w:type="dxa"/>
            <w:noWrap/>
            <w:vAlign w:val="center"/>
          </w:tcPr>
          <w:p w14:paraId="44492498"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8746</w:t>
            </w:r>
          </w:p>
        </w:tc>
        <w:tc>
          <w:tcPr>
            <w:tcW w:w="754" w:type="dxa"/>
            <w:noWrap/>
            <w:vAlign w:val="center"/>
          </w:tcPr>
          <w:p w14:paraId="450DBC40"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5618</w:t>
            </w:r>
          </w:p>
        </w:tc>
        <w:tc>
          <w:tcPr>
            <w:tcW w:w="751" w:type="dxa"/>
            <w:noWrap/>
            <w:vAlign w:val="center"/>
          </w:tcPr>
          <w:p w14:paraId="3AFBC5B5"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1</w:t>
            </w:r>
            <w:r w:rsidR="00206900">
              <w:rPr>
                <w:rFonts w:asciiTheme="majorHAnsi" w:hAnsiTheme="majorHAnsi" w:cstheme="majorHAnsi"/>
                <w:sz w:val="20"/>
              </w:rPr>
              <w:t>0</w:t>
            </w:r>
            <w:r>
              <w:rPr>
                <w:rFonts w:asciiTheme="majorHAnsi" w:hAnsiTheme="majorHAnsi" w:cstheme="majorHAnsi"/>
                <w:sz w:val="20"/>
              </w:rPr>
              <w:t>147</w:t>
            </w:r>
          </w:p>
        </w:tc>
        <w:tc>
          <w:tcPr>
            <w:tcW w:w="1113" w:type="dxa"/>
            <w:vMerge/>
            <w:noWrap/>
            <w:vAlign w:val="center"/>
          </w:tcPr>
          <w:p w14:paraId="67DC7E27"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p>
        </w:tc>
      </w:tr>
      <w:tr w:rsidR="00781F63" w:rsidRPr="00DC6C83" w14:paraId="549AB429" w14:textId="77777777" w:rsidTr="00885B7D">
        <w:trPr>
          <w:trHeight w:val="295"/>
          <w:jc w:val="center"/>
        </w:trPr>
        <w:tc>
          <w:tcPr>
            <w:tcW w:w="2689" w:type="dxa"/>
            <w:noWrap/>
            <w:vAlign w:val="center"/>
            <w:hideMark/>
          </w:tcPr>
          <w:p w14:paraId="120EEC5F" w14:textId="77777777" w:rsidR="00781F63" w:rsidRPr="00DC6C83" w:rsidRDefault="00781F63" w:rsidP="003A38E6">
            <w:pPr>
              <w:spacing w:beforeLines="40" w:before="96" w:afterLines="40" w:after="96" w:line="240" w:lineRule="auto"/>
              <w:jc w:val="left"/>
              <w:rPr>
                <w:rFonts w:asciiTheme="majorHAnsi" w:hAnsiTheme="majorHAnsi" w:cstheme="majorHAnsi"/>
                <w:sz w:val="20"/>
              </w:rPr>
            </w:pPr>
            <w:r w:rsidRPr="00DC6C83">
              <w:rPr>
                <w:rFonts w:asciiTheme="majorHAnsi" w:hAnsiTheme="majorHAnsi" w:cstheme="majorHAnsi"/>
                <w:sz w:val="20"/>
              </w:rPr>
              <w:t>Mesterpedagógus</w:t>
            </w:r>
          </w:p>
        </w:tc>
        <w:tc>
          <w:tcPr>
            <w:tcW w:w="723" w:type="dxa"/>
            <w:noWrap/>
            <w:vAlign w:val="center"/>
          </w:tcPr>
          <w:p w14:paraId="618EAEE8"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5141</w:t>
            </w:r>
          </w:p>
        </w:tc>
        <w:tc>
          <w:tcPr>
            <w:tcW w:w="723" w:type="dxa"/>
            <w:noWrap/>
            <w:vAlign w:val="center"/>
          </w:tcPr>
          <w:p w14:paraId="39D8F58A"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2360</w:t>
            </w:r>
          </w:p>
        </w:tc>
        <w:tc>
          <w:tcPr>
            <w:tcW w:w="855" w:type="dxa"/>
            <w:noWrap/>
            <w:vAlign w:val="center"/>
          </w:tcPr>
          <w:p w14:paraId="53508141"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411</w:t>
            </w:r>
          </w:p>
        </w:tc>
        <w:tc>
          <w:tcPr>
            <w:tcW w:w="751" w:type="dxa"/>
            <w:noWrap/>
            <w:vAlign w:val="center"/>
          </w:tcPr>
          <w:p w14:paraId="527B7773"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1022</w:t>
            </w:r>
          </w:p>
        </w:tc>
        <w:tc>
          <w:tcPr>
            <w:tcW w:w="754" w:type="dxa"/>
            <w:noWrap/>
            <w:vAlign w:val="center"/>
          </w:tcPr>
          <w:p w14:paraId="65A252A3"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643</w:t>
            </w:r>
          </w:p>
        </w:tc>
        <w:tc>
          <w:tcPr>
            <w:tcW w:w="751" w:type="dxa"/>
            <w:noWrap/>
            <w:vAlign w:val="center"/>
          </w:tcPr>
          <w:p w14:paraId="1F492B95"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1488</w:t>
            </w:r>
          </w:p>
        </w:tc>
        <w:tc>
          <w:tcPr>
            <w:tcW w:w="1113" w:type="dxa"/>
            <w:vMerge/>
            <w:noWrap/>
            <w:vAlign w:val="center"/>
          </w:tcPr>
          <w:p w14:paraId="5519A9FA"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p>
        </w:tc>
      </w:tr>
      <w:tr w:rsidR="00781F63" w:rsidRPr="00DC6C83" w14:paraId="3A5C66B0" w14:textId="77777777" w:rsidTr="00885B7D">
        <w:trPr>
          <w:trHeight w:val="295"/>
          <w:jc w:val="center"/>
        </w:trPr>
        <w:tc>
          <w:tcPr>
            <w:tcW w:w="2689" w:type="dxa"/>
            <w:noWrap/>
            <w:vAlign w:val="center"/>
            <w:hideMark/>
          </w:tcPr>
          <w:p w14:paraId="4DFE68A7" w14:textId="77777777" w:rsidR="00781F63" w:rsidRPr="00DC6C83" w:rsidRDefault="00781F63" w:rsidP="003A38E6">
            <w:pPr>
              <w:spacing w:beforeLines="40" w:before="96" w:afterLines="40" w:after="96" w:line="240" w:lineRule="auto"/>
              <w:jc w:val="left"/>
              <w:rPr>
                <w:rFonts w:asciiTheme="majorHAnsi" w:hAnsiTheme="majorHAnsi" w:cstheme="majorHAnsi"/>
                <w:sz w:val="20"/>
              </w:rPr>
            </w:pPr>
            <w:r w:rsidRPr="00DC6C83">
              <w:rPr>
                <w:rFonts w:asciiTheme="majorHAnsi" w:hAnsiTheme="majorHAnsi" w:cstheme="majorHAnsi"/>
                <w:sz w:val="20"/>
              </w:rPr>
              <w:t>Kutatótanár</w:t>
            </w:r>
          </w:p>
        </w:tc>
        <w:tc>
          <w:tcPr>
            <w:tcW w:w="723" w:type="dxa"/>
            <w:noWrap/>
            <w:vAlign w:val="center"/>
          </w:tcPr>
          <w:p w14:paraId="3401ADC1"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w:t>
            </w:r>
          </w:p>
        </w:tc>
        <w:tc>
          <w:tcPr>
            <w:tcW w:w="723" w:type="dxa"/>
            <w:noWrap/>
            <w:vAlign w:val="center"/>
          </w:tcPr>
          <w:p w14:paraId="3F738BD9"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125</w:t>
            </w:r>
          </w:p>
        </w:tc>
        <w:tc>
          <w:tcPr>
            <w:tcW w:w="855" w:type="dxa"/>
            <w:noWrap/>
            <w:vAlign w:val="center"/>
          </w:tcPr>
          <w:p w14:paraId="4EC8C94A"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30</w:t>
            </w:r>
          </w:p>
        </w:tc>
        <w:tc>
          <w:tcPr>
            <w:tcW w:w="751" w:type="dxa"/>
            <w:noWrap/>
            <w:vAlign w:val="center"/>
          </w:tcPr>
          <w:p w14:paraId="07DF0456"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28</w:t>
            </w:r>
          </w:p>
        </w:tc>
        <w:tc>
          <w:tcPr>
            <w:tcW w:w="754" w:type="dxa"/>
            <w:noWrap/>
            <w:vAlign w:val="center"/>
          </w:tcPr>
          <w:p w14:paraId="11B612AA"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13</w:t>
            </w:r>
          </w:p>
        </w:tc>
        <w:tc>
          <w:tcPr>
            <w:tcW w:w="751" w:type="dxa"/>
            <w:noWrap/>
            <w:vAlign w:val="center"/>
          </w:tcPr>
          <w:p w14:paraId="10F6B8CF"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19</w:t>
            </w:r>
          </w:p>
        </w:tc>
        <w:tc>
          <w:tcPr>
            <w:tcW w:w="1113" w:type="dxa"/>
            <w:vMerge/>
            <w:noWrap/>
            <w:vAlign w:val="center"/>
          </w:tcPr>
          <w:p w14:paraId="641CA7C0"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p>
        </w:tc>
      </w:tr>
      <w:tr w:rsidR="00781F63" w:rsidRPr="00DC6C83" w14:paraId="143508F7" w14:textId="77777777" w:rsidTr="00885B7D">
        <w:trPr>
          <w:trHeight w:val="295"/>
          <w:jc w:val="center"/>
        </w:trPr>
        <w:tc>
          <w:tcPr>
            <w:tcW w:w="2689" w:type="dxa"/>
            <w:noWrap/>
            <w:vAlign w:val="center"/>
          </w:tcPr>
          <w:p w14:paraId="05DC4409" w14:textId="77777777" w:rsidR="00781F63" w:rsidRPr="00DC6C83" w:rsidRDefault="00781F63" w:rsidP="003A38E6">
            <w:pPr>
              <w:spacing w:beforeLines="40" w:before="96" w:afterLines="40" w:after="96" w:line="240" w:lineRule="auto"/>
              <w:jc w:val="left"/>
              <w:rPr>
                <w:rFonts w:asciiTheme="majorHAnsi" w:hAnsiTheme="majorHAnsi" w:cstheme="majorHAnsi"/>
                <w:sz w:val="20"/>
              </w:rPr>
            </w:pPr>
            <w:r>
              <w:rPr>
                <w:rFonts w:asciiTheme="majorHAnsi" w:hAnsiTheme="majorHAnsi" w:cstheme="majorHAnsi"/>
                <w:sz w:val="20"/>
              </w:rPr>
              <w:t xml:space="preserve">NOKS Pedagógus </w:t>
            </w:r>
            <w:proofErr w:type="spellStart"/>
            <w:r>
              <w:rPr>
                <w:rFonts w:asciiTheme="majorHAnsi" w:hAnsiTheme="majorHAnsi" w:cstheme="majorHAnsi"/>
                <w:sz w:val="20"/>
              </w:rPr>
              <w:t>I.-ben</w:t>
            </w:r>
            <w:proofErr w:type="spellEnd"/>
          </w:p>
        </w:tc>
        <w:tc>
          <w:tcPr>
            <w:tcW w:w="723" w:type="dxa"/>
            <w:noWrap/>
            <w:vAlign w:val="center"/>
          </w:tcPr>
          <w:p w14:paraId="6E2AB56E" w14:textId="77777777" w:rsidR="00781F63" w:rsidRDefault="00781F63" w:rsidP="003A38E6">
            <w:pPr>
              <w:spacing w:beforeLines="40" w:before="96" w:afterLines="40" w:after="96" w:line="240" w:lineRule="auto"/>
              <w:jc w:val="center"/>
              <w:rPr>
                <w:rFonts w:asciiTheme="majorHAnsi" w:hAnsiTheme="majorHAnsi" w:cstheme="majorHAnsi"/>
                <w:sz w:val="20"/>
              </w:rPr>
            </w:pPr>
          </w:p>
        </w:tc>
        <w:tc>
          <w:tcPr>
            <w:tcW w:w="723" w:type="dxa"/>
            <w:noWrap/>
            <w:vAlign w:val="center"/>
          </w:tcPr>
          <w:p w14:paraId="777F2495" w14:textId="77777777" w:rsidR="00781F63" w:rsidRDefault="00781F63" w:rsidP="003A38E6">
            <w:pPr>
              <w:spacing w:beforeLines="40" w:before="96" w:afterLines="40" w:after="96" w:line="240" w:lineRule="auto"/>
              <w:jc w:val="center"/>
              <w:rPr>
                <w:rFonts w:asciiTheme="majorHAnsi" w:hAnsiTheme="majorHAnsi" w:cstheme="majorHAnsi"/>
                <w:sz w:val="20"/>
              </w:rPr>
            </w:pPr>
          </w:p>
        </w:tc>
        <w:tc>
          <w:tcPr>
            <w:tcW w:w="855" w:type="dxa"/>
            <w:noWrap/>
            <w:vAlign w:val="center"/>
          </w:tcPr>
          <w:p w14:paraId="63AB706C" w14:textId="77777777" w:rsidR="00781F63" w:rsidRDefault="00781F63" w:rsidP="003A38E6">
            <w:pPr>
              <w:spacing w:beforeLines="40" w:before="96" w:afterLines="40" w:after="96" w:line="240" w:lineRule="auto"/>
              <w:jc w:val="center"/>
              <w:rPr>
                <w:rFonts w:asciiTheme="majorHAnsi" w:hAnsiTheme="majorHAnsi" w:cstheme="majorHAnsi"/>
                <w:sz w:val="20"/>
              </w:rPr>
            </w:pPr>
          </w:p>
        </w:tc>
        <w:tc>
          <w:tcPr>
            <w:tcW w:w="751" w:type="dxa"/>
            <w:noWrap/>
            <w:vAlign w:val="center"/>
          </w:tcPr>
          <w:p w14:paraId="4304C8A9" w14:textId="77777777" w:rsidR="00781F6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59</w:t>
            </w:r>
          </w:p>
        </w:tc>
        <w:tc>
          <w:tcPr>
            <w:tcW w:w="754" w:type="dxa"/>
            <w:noWrap/>
            <w:vAlign w:val="center"/>
          </w:tcPr>
          <w:p w14:paraId="2992C4AD"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61</w:t>
            </w:r>
          </w:p>
        </w:tc>
        <w:tc>
          <w:tcPr>
            <w:tcW w:w="751" w:type="dxa"/>
            <w:noWrap/>
            <w:vAlign w:val="center"/>
          </w:tcPr>
          <w:p w14:paraId="7E8FED0C"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r>
              <w:rPr>
                <w:rFonts w:asciiTheme="majorHAnsi" w:hAnsiTheme="majorHAnsi" w:cstheme="majorHAnsi"/>
                <w:sz w:val="20"/>
              </w:rPr>
              <w:t>45</w:t>
            </w:r>
          </w:p>
        </w:tc>
        <w:tc>
          <w:tcPr>
            <w:tcW w:w="1113" w:type="dxa"/>
            <w:vMerge/>
            <w:noWrap/>
            <w:vAlign w:val="center"/>
          </w:tcPr>
          <w:p w14:paraId="7285DB25" w14:textId="77777777" w:rsidR="00781F63" w:rsidRPr="00DC6C83" w:rsidRDefault="00781F63" w:rsidP="003A38E6">
            <w:pPr>
              <w:spacing w:beforeLines="40" w:before="96" w:afterLines="40" w:after="96" w:line="240" w:lineRule="auto"/>
              <w:jc w:val="center"/>
              <w:rPr>
                <w:rFonts w:asciiTheme="majorHAnsi" w:hAnsiTheme="majorHAnsi" w:cstheme="majorHAnsi"/>
                <w:sz w:val="20"/>
              </w:rPr>
            </w:pPr>
          </w:p>
        </w:tc>
      </w:tr>
      <w:tr w:rsidR="00781F63" w:rsidRPr="00DC6C83" w14:paraId="7B7494C9" w14:textId="77777777" w:rsidTr="00885B7D">
        <w:trPr>
          <w:trHeight w:val="295"/>
          <w:jc w:val="center"/>
        </w:trPr>
        <w:tc>
          <w:tcPr>
            <w:tcW w:w="2689" w:type="dxa"/>
            <w:noWrap/>
            <w:vAlign w:val="center"/>
            <w:hideMark/>
          </w:tcPr>
          <w:p w14:paraId="51A59C35" w14:textId="77777777" w:rsidR="00781F63" w:rsidRPr="00DC6C83" w:rsidRDefault="00781F63" w:rsidP="003A38E6">
            <w:pPr>
              <w:spacing w:beforeLines="40" w:before="96" w:afterLines="40" w:after="96" w:line="240" w:lineRule="auto"/>
              <w:jc w:val="left"/>
              <w:rPr>
                <w:rFonts w:asciiTheme="majorHAnsi" w:hAnsiTheme="majorHAnsi" w:cstheme="majorHAnsi"/>
                <w:b/>
                <w:bCs/>
                <w:sz w:val="20"/>
              </w:rPr>
            </w:pPr>
            <w:r w:rsidRPr="00DC6C83">
              <w:rPr>
                <w:rFonts w:asciiTheme="majorHAnsi" w:hAnsiTheme="majorHAnsi" w:cstheme="majorHAnsi"/>
                <w:b/>
                <w:bCs/>
                <w:sz w:val="20"/>
              </w:rPr>
              <w:t>Összesen</w:t>
            </w:r>
          </w:p>
        </w:tc>
        <w:tc>
          <w:tcPr>
            <w:tcW w:w="723" w:type="dxa"/>
            <w:noWrap/>
            <w:vAlign w:val="center"/>
          </w:tcPr>
          <w:p w14:paraId="59668B19"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23</w:t>
            </w:r>
            <w:r w:rsidR="00206900">
              <w:rPr>
                <w:rFonts w:asciiTheme="majorHAnsi" w:hAnsiTheme="majorHAnsi" w:cstheme="majorHAnsi"/>
                <w:b/>
                <w:bCs/>
                <w:sz w:val="20"/>
              </w:rPr>
              <w:t>0</w:t>
            </w:r>
            <w:r>
              <w:rPr>
                <w:rFonts w:asciiTheme="majorHAnsi" w:hAnsiTheme="majorHAnsi" w:cstheme="majorHAnsi"/>
                <w:b/>
                <w:bCs/>
                <w:sz w:val="20"/>
              </w:rPr>
              <w:t>22</w:t>
            </w:r>
          </w:p>
        </w:tc>
        <w:tc>
          <w:tcPr>
            <w:tcW w:w="723" w:type="dxa"/>
            <w:noWrap/>
            <w:vAlign w:val="center"/>
          </w:tcPr>
          <w:p w14:paraId="4DF322DC"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12736</w:t>
            </w:r>
          </w:p>
        </w:tc>
        <w:tc>
          <w:tcPr>
            <w:tcW w:w="855" w:type="dxa"/>
            <w:noWrap/>
            <w:vAlign w:val="center"/>
          </w:tcPr>
          <w:p w14:paraId="038D3787"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14815</w:t>
            </w:r>
          </w:p>
        </w:tc>
        <w:tc>
          <w:tcPr>
            <w:tcW w:w="751" w:type="dxa"/>
            <w:noWrap/>
            <w:vAlign w:val="center"/>
          </w:tcPr>
          <w:p w14:paraId="5B97F535"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12479</w:t>
            </w:r>
          </w:p>
        </w:tc>
        <w:tc>
          <w:tcPr>
            <w:tcW w:w="754" w:type="dxa"/>
            <w:noWrap/>
            <w:vAlign w:val="center"/>
          </w:tcPr>
          <w:p w14:paraId="6FA6D0D0"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8783</w:t>
            </w:r>
          </w:p>
        </w:tc>
        <w:tc>
          <w:tcPr>
            <w:tcW w:w="751" w:type="dxa"/>
            <w:noWrap/>
            <w:vAlign w:val="center"/>
          </w:tcPr>
          <w:p w14:paraId="6DA59E3E"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14</w:t>
            </w:r>
            <w:r w:rsidR="00206900">
              <w:rPr>
                <w:rFonts w:asciiTheme="majorHAnsi" w:hAnsiTheme="majorHAnsi" w:cstheme="majorHAnsi"/>
                <w:b/>
                <w:bCs/>
                <w:sz w:val="20"/>
              </w:rPr>
              <w:t>1</w:t>
            </w:r>
            <w:r>
              <w:rPr>
                <w:rFonts w:asciiTheme="majorHAnsi" w:hAnsiTheme="majorHAnsi" w:cstheme="majorHAnsi"/>
                <w:b/>
                <w:bCs/>
                <w:sz w:val="20"/>
              </w:rPr>
              <w:t>43</w:t>
            </w:r>
          </w:p>
        </w:tc>
        <w:tc>
          <w:tcPr>
            <w:tcW w:w="1113" w:type="dxa"/>
            <w:noWrap/>
            <w:vAlign w:val="center"/>
          </w:tcPr>
          <w:p w14:paraId="05B492E8"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85978</w:t>
            </w:r>
          </w:p>
        </w:tc>
      </w:tr>
      <w:tr w:rsidR="00781F63" w:rsidRPr="00DC6C83" w14:paraId="4FB0CF56" w14:textId="77777777" w:rsidTr="00885B7D">
        <w:trPr>
          <w:trHeight w:val="295"/>
          <w:jc w:val="center"/>
        </w:trPr>
        <w:tc>
          <w:tcPr>
            <w:tcW w:w="2689" w:type="dxa"/>
            <w:noWrap/>
            <w:vAlign w:val="center"/>
          </w:tcPr>
          <w:p w14:paraId="427CE04D" w14:textId="77777777" w:rsidR="00781F63" w:rsidRPr="00DC6C83" w:rsidRDefault="00781F63" w:rsidP="003A38E6">
            <w:pPr>
              <w:spacing w:beforeLines="40" w:before="96" w:afterLines="40" w:after="96" w:line="240" w:lineRule="auto"/>
              <w:jc w:val="left"/>
              <w:rPr>
                <w:rFonts w:asciiTheme="majorHAnsi" w:hAnsiTheme="majorHAnsi" w:cstheme="majorHAnsi"/>
                <w:b/>
                <w:bCs/>
                <w:sz w:val="20"/>
              </w:rPr>
            </w:pPr>
            <w:r>
              <w:rPr>
                <w:rFonts w:asciiTheme="majorHAnsi" w:hAnsiTheme="majorHAnsi" w:cstheme="majorHAnsi"/>
                <w:b/>
                <w:bCs/>
                <w:sz w:val="20"/>
              </w:rPr>
              <w:t xml:space="preserve">Automatikusan </w:t>
            </w:r>
            <w:r w:rsidRPr="00612094">
              <w:rPr>
                <w:rFonts w:asciiTheme="majorHAnsi" w:hAnsiTheme="majorHAnsi" w:cstheme="majorHAnsi"/>
                <w:b/>
                <w:bCs/>
                <w:sz w:val="20"/>
              </w:rPr>
              <w:t>Pedagógus II. fokozatba kerültek</w:t>
            </w:r>
          </w:p>
        </w:tc>
        <w:tc>
          <w:tcPr>
            <w:tcW w:w="723" w:type="dxa"/>
            <w:noWrap/>
            <w:vAlign w:val="center"/>
          </w:tcPr>
          <w:p w14:paraId="4BB5B86C" w14:textId="77777777" w:rsidR="00781F63" w:rsidRDefault="00781F63" w:rsidP="003A38E6">
            <w:pPr>
              <w:spacing w:beforeLines="40" w:before="96" w:afterLines="40" w:after="96" w:line="240" w:lineRule="auto"/>
              <w:jc w:val="center"/>
              <w:rPr>
                <w:rFonts w:asciiTheme="majorHAnsi" w:hAnsiTheme="majorHAnsi" w:cstheme="majorHAnsi"/>
                <w:b/>
                <w:bCs/>
                <w:sz w:val="20"/>
              </w:rPr>
            </w:pPr>
          </w:p>
        </w:tc>
        <w:tc>
          <w:tcPr>
            <w:tcW w:w="723" w:type="dxa"/>
            <w:noWrap/>
            <w:vAlign w:val="center"/>
          </w:tcPr>
          <w:p w14:paraId="1570E7E5" w14:textId="77777777" w:rsidR="00781F63" w:rsidRDefault="00781F63" w:rsidP="003A38E6">
            <w:pPr>
              <w:spacing w:beforeLines="40" w:before="96" w:afterLines="40" w:after="96" w:line="240" w:lineRule="auto"/>
              <w:jc w:val="center"/>
              <w:rPr>
                <w:rFonts w:asciiTheme="majorHAnsi" w:hAnsiTheme="majorHAnsi" w:cstheme="majorHAnsi"/>
                <w:b/>
                <w:bCs/>
                <w:sz w:val="20"/>
              </w:rPr>
            </w:pPr>
          </w:p>
        </w:tc>
        <w:tc>
          <w:tcPr>
            <w:tcW w:w="855" w:type="dxa"/>
            <w:noWrap/>
            <w:vAlign w:val="center"/>
          </w:tcPr>
          <w:p w14:paraId="277CFBCF" w14:textId="77777777" w:rsidR="00781F6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25460</w:t>
            </w:r>
            <w:r>
              <w:rPr>
                <w:rStyle w:val="Lbjegyzet-hivatkozs"/>
                <w:rFonts w:asciiTheme="majorHAnsi" w:hAnsiTheme="majorHAnsi" w:cstheme="majorHAnsi"/>
                <w:b/>
                <w:bCs/>
                <w:sz w:val="20"/>
              </w:rPr>
              <w:footnoteReference w:id="19"/>
            </w:r>
          </w:p>
        </w:tc>
        <w:tc>
          <w:tcPr>
            <w:tcW w:w="751" w:type="dxa"/>
            <w:noWrap/>
            <w:vAlign w:val="center"/>
          </w:tcPr>
          <w:p w14:paraId="00D4EFD9"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p>
        </w:tc>
        <w:tc>
          <w:tcPr>
            <w:tcW w:w="754" w:type="dxa"/>
            <w:noWrap/>
            <w:vAlign w:val="center"/>
          </w:tcPr>
          <w:p w14:paraId="0401FB6D"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1530</w:t>
            </w:r>
            <w:r>
              <w:rPr>
                <w:rStyle w:val="Lbjegyzet-hivatkozs"/>
                <w:rFonts w:asciiTheme="majorHAnsi" w:hAnsiTheme="majorHAnsi" w:cstheme="majorHAnsi"/>
                <w:b/>
                <w:bCs/>
                <w:sz w:val="20"/>
              </w:rPr>
              <w:footnoteReference w:id="20"/>
            </w:r>
          </w:p>
        </w:tc>
        <w:tc>
          <w:tcPr>
            <w:tcW w:w="751" w:type="dxa"/>
            <w:noWrap/>
            <w:vAlign w:val="center"/>
          </w:tcPr>
          <w:p w14:paraId="5B1742CA"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p>
        </w:tc>
        <w:tc>
          <w:tcPr>
            <w:tcW w:w="1113" w:type="dxa"/>
            <w:noWrap/>
            <w:vAlign w:val="center"/>
          </w:tcPr>
          <w:p w14:paraId="266A1B94" w14:textId="77777777" w:rsidR="00781F63" w:rsidRPr="00DC6C83" w:rsidRDefault="00781F63" w:rsidP="003A38E6">
            <w:pPr>
              <w:spacing w:beforeLines="40" w:before="96" w:afterLines="40" w:after="96" w:line="240" w:lineRule="auto"/>
              <w:jc w:val="center"/>
              <w:rPr>
                <w:rFonts w:asciiTheme="majorHAnsi" w:hAnsiTheme="majorHAnsi" w:cstheme="majorHAnsi"/>
                <w:b/>
                <w:bCs/>
                <w:sz w:val="20"/>
              </w:rPr>
            </w:pPr>
            <w:r>
              <w:rPr>
                <w:rFonts w:asciiTheme="majorHAnsi" w:hAnsiTheme="majorHAnsi" w:cstheme="majorHAnsi"/>
                <w:b/>
                <w:bCs/>
                <w:sz w:val="20"/>
              </w:rPr>
              <w:t>112968</w:t>
            </w:r>
          </w:p>
        </w:tc>
      </w:tr>
    </w:tbl>
    <w:p w14:paraId="4D0EF686" w14:textId="77777777" w:rsidR="00B86FE8" w:rsidRPr="00DC6C83" w:rsidRDefault="00B86FE8" w:rsidP="009C4E15">
      <w:pPr>
        <w:pStyle w:val="Forrs"/>
        <w:jc w:val="center"/>
        <w:rPr>
          <w:rFonts w:asciiTheme="majorHAnsi" w:hAnsiTheme="majorHAnsi" w:cstheme="majorHAnsi"/>
        </w:rPr>
      </w:pPr>
      <w:r w:rsidRPr="00DC6C83">
        <w:rPr>
          <w:rFonts w:asciiTheme="majorHAnsi" w:hAnsiTheme="majorHAnsi" w:cstheme="majorHAnsi"/>
        </w:rPr>
        <w:t xml:space="preserve">Forrás: </w:t>
      </w:r>
      <w:r w:rsidR="000745BC">
        <w:rPr>
          <w:rFonts w:asciiTheme="majorHAnsi" w:hAnsiTheme="majorHAnsi" w:cstheme="majorHAnsi"/>
        </w:rPr>
        <w:t>Oktatási Hivatal</w:t>
      </w:r>
    </w:p>
    <w:p w14:paraId="01F57DA8" w14:textId="77777777" w:rsidR="000E3EA1" w:rsidRPr="00DC6C83" w:rsidRDefault="000E3EA1" w:rsidP="000E3EA1">
      <w:pPr>
        <w:rPr>
          <w:rFonts w:asciiTheme="majorHAnsi" w:hAnsiTheme="majorHAnsi" w:cstheme="majorHAnsi"/>
        </w:rPr>
      </w:pPr>
      <w:r w:rsidRPr="009A03F8">
        <w:rPr>
          <w:rFonts w:asciiTheme="majorHAnsi" w:hAnsiTheme="majorHAnsi" w:cstheme="majorHAnsi"/>
        </w:rPr>
        <w:t>A különféle jogszabály</w:t>
      </w:r>
      <w:r>
        <w:rPr>
          <w:rFonts w:asciiTheme="majorHAnsi" w:hAnsiTheme="majorHAnsi" w:cstheme="majorHAnsi"/>
        </w:rPr>
        <w:t>-</w:t>
      </w:r>
      <w:r w:rsidRPr="009A03F8">
        <w:rPr>
          <w:rFonts w:asciiTheme="majorHAnsi" w:hAnsiTheme="majorHAnsi" w:cstheme="majorHAnsi"/>
        </w:rPr>
        <w:t>módosítások több pedagógus csoportot – így például</w:t>
      </w:r>
      <w:r>
        <w:rPr>
          <w:rFonts w:asciiTheme="majorHAnsi" w:hAnsiTheme="majorHAnsi" w:cstheme="majorHAnsi"/>
        </w:rPr>
        <w:t xml:space="preserve"> azokat,</w:t>
      </w:r>
      <w:r w:rsidRPr="009A03F8">
        <w:rPr>
          <w:rFonts w:asciiTheme="majorHAnsi" w:hAnsiTheme="majorHAnsi" w:cstheme="majorHAnsi"/>
        </w:rPr>
        <w:t xml:space="preserve"> akik </w:t>
      </w:r>
      <w:r>
        <w:rPr>
          <w:rFonts w:asciiTheme="majorHAnsi" w:hAnsiTheme="majorHAnsi" w:cstheme="majorHAnsi"/>
        </w:rPr>
        <w:t xml:space="preserve">a </w:t>
      </w:r>
      <w:r w:rsidRPr="009A03F8">
        <w:rPr>
          <w:rFonts w:asciiTheme="majorHAnsi" w:hAnsiTheme="majorHAnsi" w:cstheme="majorHAnsi"/>
        </w:rPr>
        <w:t xml:space="preserve">2013. szeptember 1-jétől számított </w:t>
      </w:r>
      <w:proofErr w:type="spellStart"/>
      <w:r w:rsidRPr="009A03F8">
        <w:rPr>
          <w:rFonts w:asciiTheme="majorHAnsi" w:hAnsiTheme="majorHAnsi" w:cstheme="majorHAnsi"/>
        </w:rPr>
        <w:t>tizedik</w:t>
      </w:r>
      <w:proofErr w:type="spellEnd"/>
      <w:r w:rsidRPr="009A03F8">
        <w:rPr>
          <w:rFonts w:asciiTheme="majorHAnsi" w:hAnsiTheme="majorHAnsi" w:cstheme="majorHAnsi"/>
        </w:rPr>
        <w:t xml:space="preserve"> tanév végéig elérik a rájuk vonatkozó öregségi nyugdíjkorhatárt</w:t>
      </w:r>
      <w:r w:rsidRPr="00612094">
        <w:rPr>
          <w:rFonts w:asciiTheme="majorHAnsi" w:hAnsiTheme="majorHAnsi" w:cstheme="majorHAnsi"/>
        </w:rPr>
        <w:t xml:space="preserve"> – mentesítettek a minősítés alól. Az egyes fokozatokban 2019</w:t>
      </w:r>
      <w:r>
        <w:rPr>
          <w:rFonts w:asciiTheme="majorHAnsi" w:hAnsiTheme="majorHAnsi" w:cstheme="majorHAnsi"/>
        </w:rPr>
        <w:t>. decemberi adat szerint</w:t>
      </w:r>
      <w:r w:rsidRPr="00612094">
        <w:rPr>
          <w:rFonts w:asciiTheme="majorHAnsi" w:hAnsiTheme="majorHAnsi" w:cstheme="majorHAnsi"/>
        </w:rPr>
        <w:t xml:space="preserve"> minősítő vizsgán, illetve minősítési eljárásban már részt vett pedagógusok</w:t>
      </w:r>
      <w:r>
        <w:rPr>
          <w:rFonts w:asciiTheme="majorHAnsi" w:hAnsiTheme="majorHAnsi" w:cstheme="majorHAnsi"/>
        </w:rPr>
        <w:t xml:space="preserve"> számának alakulása: 11 725 fő Pedagógus I., 89 </w:t>
      </w:r>
      <w:r w:rsidRPr="00612094">
        <w:rPr>
          <w:rFonts w:asciiTheme="majorHAnsi" w:hAnsiTheme="majorHAnsi" w:cstheme="majorHAnsi"/>
        </w:rPr>
        <w:t>798 fő Pedagógus II. (automati</w:t>
      </w:r>
      <w:r>
        <w:rPr>
          <w:rFonts w:asciiTheme="majorHAnsi" w:hAnsiTheme="majorHAnsi" w:cstheme="majorHAnsi"/>
        </w:rPr>
        <w:t xml:space="preserve">kusan átsoroltakkal együtt), 11 </w:t>
      </w:r>
      <w:r w:rsidRPr="00612094">
        <w:rPr>
          <w:rFonts w:asciiTheme="majorHAnsi" w:hAnsiTheme="majorHAnsi" w:cstheme="majorHAnsi"/>
        </w:rPr>
        <w:t>065 fő Mesterpedagógus, 215 fő Kutatótanár és 165 fő N</w:t>
      </w:r>
      <w:r>
        <w:rPr>
          <w:rFonts w:asciiTheme="majorHAnsi" w:hAnsiTheme="majorHAnsi" w:cstheme="majorHAnsi"/>
        </w:rPr>
        <w:t xml:space="preserve">OKS </w:t>
      </w:r>
      <w:r>
        <w:rPr>
          <w:rFonts w:asciiTheme="majorHAnsi" w:hAnsiTheme="majorHAnsi" w:cstheme="majorHAnsi"/>
        </w:rPr>
        <w:lastRenderedPageBreak/>
        <w:t>pedagógus I. fokozatban. Össze</w:t>
      </w:r>
      <w:r w:rsidRPr="00612094">
        <w:rPr>
          <w:rFonts w:asciiTheme="majorHAnsi" w:hAnsiTheme="majorHAnsi" w:cstheme="majorHAnsi"/>
        </w:rPr>
        <w:t>s</w:t>
      </w:r>
      <w:r>
        <w:rPr>
          <w:rFonts w:asciiTheme="majorHAnsi" w:hAnsiTheme="majorHAnsi" w:cstheme="majorHAnsi"/>
        </w:rPr>
        <w:t>en</w:t>
      </w:r>
      <w:r w:rsidRPr="000745BC">
        <w:rPr>
          <w:rFonts w:asciiTheme="majorHAnsi" w:hAnsiTheme="majorHAnsi" w:cstheme="majorHAnsi"/>
        </w:rPr>
        <w:t xml:space="preserve"> 113</w:t>
      </w:r>
      <w:r>
        <w:rPr>
          <w:rFonts w:asciiTheme="majorHAnsi" w:hAnsiTheme="majorHAnsi" w:cstheme="majorHAnsi"/>
        </w:rPr>
        <w:t xml:space="preserve"> </w:t>
      </w:r>
      <w:r w:rsidRPr="000745BC">
        <w:rPr>
          <w:rFonts w:asciiTheme="majorHAnsi" w:hAnsiTheme="majorHAnsi" w:cstheme="majorHAnsi"/>
        </w:rPr>
        <w:t xml:space="preserve">000 </w:t>
      </w:r>
      <w:r w:rsidRPr="00612094">
        <w:rPr>
          <w:rFonts w:asciiTheme="majorHAnsi" w:hAnsiTheme="majorHAnsi" w:cstheme="majorHAnsi"/>
        </w:rPr>
        <w:t>minősítés</w:t>
      </w:r>
      <w:r>
        <w:rPr>
          <w:rFonts w:asciiTheme="majorHAnsi" w:hAnsiTheme="majorHAnsi" w:cstheme="majorHAnsi"/>
        </w:rPr>
        <w:t xml:space="preserve"> történt</w:t>
      </w:r>
      <w:r w:rsidRPr="00612094">
        <w:rPr>
          <w:rFonts w:asciiTheme="majorHAnsi" w:hAnsiTheme="majorHAnsi" w:cstheme="majorHAnsi"/>
        </w:rPr>
        <w:t xml:space="preserve">, ami további jelentős béremelkedéssel járt számukra. </w:t>
      </w:r>
    </w:p>
    <w:p w14:paraId="52145C2E" w14:textId="02A15A6E" w:rsidR="006D2127" w:rsidRDefault="00B86FE8" w:rsidP="00B86FE8">
      <w:pPr>
        <w:rPr>
          <w:rFonts w:asciiTheme="majorHAnsi" w:hAnsiTheme="majorHAnsi" w:cstheme="majorHAnsi"/>
        </w:rPr>
      </w:pPr>
      <w:r w:rsidRPr="00DC6C83">
        <w:rPr>
          <w:rFonts w:asciiTheme="majorHAnsi" w:hAnsiTheme="majorHAnsi" w:cstheme="majorHAnsi"/>
        </w:rPr>
        <w:t>Mivel a minősítések tömeges jellege 2022-</w:t>
      </w:r>
      <w:r w:rsidRPr="000A7388">
        <w:rPr>
          <w:rFonts w:asciiTheme="majorHAnsi" w:hAnsiTheme="majorHAnsi" w:cstheme="majorHAnsi"/>
        </w:rPr>
        <w:t xml:space="preserve">ben </w:t>
      </w:r>
      <w:r w:rsidR="007275B8">
        <w:rPr>
          <w:rFonts w:asciiTheme="majorHAnsi" w:hAnsiTheme="majorHAnsi" w:cstheme="majorHAnsi"/>
        </w:rPr>
        <w:t>várhatóan</w:t>
      </w:r>
      <w:r w:rsidR="003A50CA">
        <w:rPr>
          <w:rFonts w:asciiTheme="majorHAnsi" w:hAnsiTheme="majorHAnsi" w:cstheme="majorHAnsi"/>
        </w:rPr>
        <w:t xml:space="preserve"> </w:t>
      </w:r>
      <w:r w:rsidRPr="000A7388">
        <w:rPr>
          <w:rFonts w:asciiTheme="majorHAnsi" w:hAnsiTheme="majorHAnsi" w:cstheme="majorHAnsi"/>
        </w:rPr>
        <w:t>jelentősen vissza</w:t>
      </w:r>
      <w:r w:rsidR="003A50CA">
        <w:rPr>
          <w:rFonts w:asciiTheme="majorHAnsi" w:hAnsiTheme="majorHAnsi" w:cstheme="majorHAnsi"/>
        </w:rPr>
        <w:t>es</w:t>
      </w:r>
      <w:r w:rsidR="007275B8">
        <w:rPr>
          <w:rFonts w:asciiTheme="majorHAnsi" w:hAnsiTheme="majorHAnsi" w:cstheme="majorHAnsi"/>
        </w:rPr>
        <w:t>ik</w:t>
      </w:r>
      <w:r w:rsidRPr="000A7388">
        <w:rPr>
          <w:rFonts w:asciiTheme="majorHAnsi" w:hAnsiTheme="majorHAnsi" w:cstheme="majorHAnsi"/>
        </w:rPr>
        <w:t xml:space="preserve">, </w:t>
      </w:r>
      <w:r w:rsidR="002E0B14">
        <w:rPr>
          <w:rFonts w:asciiTheme="majorHAnsi" w:hAnsiTheme="majorHAnsi" w:cstheme="majorHAnsi"/>
        </w:rPr>
        <w:t>lesz</w:t>
      </w:r>
      <w:r w:rsidR="003A50CA">
        <w:rPr>
          <w:rFonts w:asciiTheme="majorHAnsi" w:hAnsiTheme="majorHAnsi" w:cstheme="majorHAnsi"/>
        </w:rPr>
        <w:t xml:space="preserve"> </w:t>
      </w:r>
      <w:r w:rsidRPr="000A7388">
        <w:rPr>
          <w:rFonts w:asciiTheme="majorHAnsi" w:hAnsiTheme="majorHAnsi" w:cstheme="majorHAnsi"/>
        </w:rPr>
        <w:t>mód az eljárás átgondolására</w:t>
      </w:r>
      <w:r w:rsidR="002E0B14">
        <w:rPr>
          <w:rFonts w:asciiTheme="majorHAnsi" w:hAnsiTheme="majorHAnsi" w:cstheme="majorHAnsi"/>
        </w:rPr>
        <w:t>, javítására</w:t>
      </w:r>
      <w:r w:rsidRPr="000A7388">
        <w:rPr>
          <w:rFonts w:asciiTheme="majorHAnsi" w:hAnsiTheme="majorHAnsi" w:cstheme="majorHAnsi"/>
        </w:rPr>
        <w:t xml:space="preserve">. </w:t>
      </w:r>
      <w:r w:rsidR="006D2127">
        <w:rPr>
          <w:rFonts w:asciiTheme="majorHAnsi" w:hAnsiTheme="majorHAnsi" w:cstheme="majorHAnsi"/>
        </w:rPr>
        <w:t xml:space="preserve">Ez lehetőséget ad majd arra is, hogy </w:t>
      </w:r>
      <w:r w:rsidR="00FC0809">
        <w:rPr>
          <w:rFonts w:asciiTheme="majorHAnsi" w:hAnsiTheme="majorHAnsi" w:cstheme="majorHAnsi"/>
        </w:rPr>
        <w:t xml:space="preserve">megvizsgáljuk, milyen megoldásokkal erősíthető a Mesterpedagógus besorolásban lévők aktív </w:t>
      </w:r>
      <w:proofErr w:type="spellStart"/>
      <w:r w:rsidR="00FC0809">
        <w:rPr>
          <w:rFonts w:asciiTheme="majorHAnsi" w:hAnsiTheme="majorHAnsi" w:cstheme="majorHAnsi"/>
        </w:rPr>
        <w:t>mentoráló</w:t>
      </w:r>
      <w:proofErr w:type="spellEnd"/>
      <w:r w:rsidR="00FC0809">
        <w:rPr>
          <w:rFonts w:asciiTheme="majorHAnsi" w:hAnsiTheme="majorHAnsi" w:cstheme="majorHAnsi"/>
        </w:rPr>
        <w:t xml:space="preserve"> és támogató szerepe saját köznevelési intézményükben.</w:t>
      </w:r>
    </w:p>
    <w:p w14:paraId="722120F5" w14:textId="77777777" w:rsidR="00B86FE8" w:rsidRDefault="00B86FE8" w:rsidP="00B86FE8">
      <w:pPr>
        <w:rPr>
          <w:rFonts w:asciiTheme="majorHAnsi" w:hAnsiTheme="majorHAnsi" w:cstheme="majorHAnsi"/>
        </w:rPr>
      </w:pPr>
      <w:r w:rsidRPr="000A7388">
        <w:rPr>
          <w:rFonts w:asciiTheme="majorHAnsi" w:hAnsiTheme="majorHAnsi" w:cstheme="majorHAnsi"/>
        </w:rPr>
        <w:t>Megfontolandónak tartjuk a minősítési eljárás</w:t>
      </w:r>
      <w:r w:rsidR="00D20348">
        <w:rPr>
          <w:rFonts w:asciiTheme="majorHAnsi" w:hAnsiTheme="majorHAnsi" w:cstheme="majorHAnsi"/>
        </w:rPr>
        <w:t xml:space="preserve">sal kapcsolatos folyamatok és határidők átgondolását, átütemezését. </w:t>
      </w:r>
      <w:r w:rsidR="00E35B99">
        <w:rPr>
          <w:rFonts w:asciiTheme="majorHAnsi" w:hAnsiTheme="majorHAnsi" w:cstheme="majorHAnsi"/>
        </w:rPr>
        <w:t>Az eljárást a</w:t>
      </w:r>
      <w:r w:rsidRPr="000A7388">
        <w:rPr>
          <w:rFonts w:asciiTheme="majorHAnsi" w:hAnsiTheme="majorHAnsi" w:cstheme="majorHAnsi"/>
        </w:rPr>
        <w:t xml:space="preserve"> jövőben</w:t>
      </w:r>
      <w:r w:rsidR="003A50CA">
        <w:rPr>
          <w:rFonts w:asciiTheme="majorHAnsi" w:hAnsiTheme="majorHAnsi" w:cstheme="majorHAnsi"/>
        </w:rPr>
        <w:t xml:space="preserve"> </w:t>
      </w:r>
      <w:r w:rsidRPr="00DC6C83">
        <w:rPr>
          <w:rFonts w:asciiTheme="majorHAnsi" w:hAnsiTheme="majorHAnsi" w:cstheme="majorHAnsi"/>
        </w:rPr>
        <w:t xml:space="preserve">bármikor el lehetne kezdeni, és a már kevésbé tömeges minősítések miatt </w:t>
      </w:r>
      <w:r w:rsidR="00F32CCD">
        <w:rPr>
          <w:rFonts w:asciiTheme="majorHAnsi" w:hAnsiTheme="majorHAnsi" w:cstheme="majorHAnsi"/>
        </w:rPr>
        <w:t xml:space="preserve">a rendszer egy új </w:t>
      </w:r>
      <w:r w:rsidRPr="00DC6C83">
        <w:rPr>
          <w:rFonts w:asciiTheme="majorHAnsi" w:hAnsiTheme="majorHAnsi" w:cstheme="majorHAnsi"/>
        </w:rPr>
        <w:t>feladatellátásra állhatn</w:t>
      </w:r>
      <w:r w:rsidR="00F32CCD">
        <w:rPr>
          <w:rFonts w:asciiTheme="majorHAnsi" w:hAnsiTheme="majorHAnsi" w:cstheme="majorHAnsi"/>
        </w:rPr>
        <w:t>a</w:t>
      </w:r>
      <w:r w:rsidRPr="00DC6C83">
        <w:rPr>
          <w:rFonts w:asciiTheme="majorHAnsi" w:hAnsiTheme="majorHAnsi" w:cstheme="majorHAnsi"/>
        </w:rPr>
        <w:t xml:space="preserve"> át. Célszerű lenne továbbá a szakértői tevékenység minőségének javítás</w:t>
      </w:r>
      <w:r w:rsidR="007275B8">
        <w:rPr>
          <w:rFonts w:asciiTheme="majorHAnsi" w:hAnsiTheme="majorHAnsi" w:cstheme="majorHAnsi"/>
        </w:rPr>
        <w:t>ára</w:t>
      </w:r>
      <w:r w:rsidRPr="00DC6C83">
        <w:rPr>
          <w:rFonts w:asciiTheme="majorHAnsi" w:hAnsiTheme="majorHAnsi" w:cstheme="majorHAnsi"/>
        </w:rPr>
        <w:t xml:space="preserve"> egy jól felkészült szakértő állomány foglalkoztatása</w:t>
      </w:r>
      <w:r w:rsidR="002625C0">
        <w:rPr>
          <w:rFonts w:asciiTheme="majorHAnsi" w:hAnsiTheme="majorHAnsi" w:cstheme="majorHAnsi"/>
        </w:rPr>
        <w:t>, kibővítve feladataikat</w:t>
      </w:r>
      <w:r w:rsidRPr="00DC6C83">
        <w:rPr>
          <w:rFonts w:asciiTheme="majorHAnsi" w:hAnsiTheme="majorHAnsi" w:cstheme="majorHAnsi"/>
        </w:rPr>
        <w:t xml:space="preserve"> az országos pedagógiai-szakmai ellenőrzések</w:t>
      </w:r>
      <w:r w:rsidR="002625C0">
        <w:rPr>
          <w:rFonts w:asciiTheme="majorHAnsi" w:hAnsiTheme="majorHAnsi" w:cstheme="majorHAnsi"/>
        </w:rPr>
        <w:t>kel.</w:t>
      </w:r>
      <w:r w:rsidR="001D45D9">
        <w:rPr>
          <w:rFonts w:asciiTheme="majorHAnsi" w:hAnsiTheme="majorHAnsi" w:cstheme="majorHAnsi"/>
        </w:rPr>
        <w:t xml:space="preserve"> </w:t>
      </w:r>
      <w:r w:rsidR="002625C0">
        <w:rPr>
          <w:rFonts w:asciiTheme="majorHAnsi" w:hAnsiTheme="majorHAnsi" w:cstheme="majorHAnsi"/>
        </w:rPr>
        <w:t>Ez a magas színvonalú munka megkívánja</w:t>
      </w:r>
      <w:r w:rsidRPr="00DC6C83">
        <w:rPr>
          <w:rFonts w:asciiTheme="majorHAnsi" w:hAnsiTheme="majorHAnsi" w:cstheme="majorHAnsi"/>
        </w:rPr>
        <w:t xml:space="preserve"> a szakértők folyamatos </w:t>
      </w:r>
      <w:r w:rsidR="002625C0">
        <w:rPr>
          <w:rFonts w:asciiTheme="majorHAnsi" w:hAnsiTheme="majorHAnsi" w:cstheme="majorHAnsi"/>
        </w:rPr>
        <w:t>felkészítését, tovább</w:t>
      </w:r>
      <w:r w:rsidRPr="00DC6C83">
        <w:rPr>
          <w:rFonts w:asciiTheme="majorHAnsi" w:hAnsiTheme="majorHAnsi" w:cstheme="majorHAnsi"/>
        </w:rPr>
        <w:t>képzés</w:t>
      </w:r>
      <w:r w:rsidR="002625C0">
        <w:rPr>
          <w:rFonts w:asciiTheme="majorHAnsi" w:hAnsiTheme="majorHAnsi" w:cstheme="majorHAnsi"/>
        </w:rPr>
        <w:t>ét</w:t>
      </w:r>
      <w:r w:rsidRPr="00DC6C83">
        <w:rPr>
          <w:rFonts w:asciiTheme="majorHAnsi" w:hAnsiTheme="majorHAnsi" w:cstheme="majorHAnsi"/>
        </w:rPr>
        <w:t>,</w:t>
      </w:r>
      <w:r w:rsidR="00F32CCD">
        <w:rPr>
          <w:rFonts w:asciiTheme="majorHAnsi" w:hAnsiTheme="majorHAnsi" w:cstheme="majorHAnsi"/>
        </w:rPr>
        <w:t xml:space="preserve"> illetve adott esetben </w:t>
      </w:r>
      <w:r w:rsidRPr="00DC6C83">
        <w:rPr>
          <w:rFonts w:asciiTheme="majorHAnsi" w:hAnsiTheme="majorHAnsi" w:cstheme="majorHAnsi"/>
        </w:rPr>
        <w:t>a szakértői visszasorolás</w:t>
      </w:r>
      <w:r w:rsidR="002625C0">
        <w:rPr>
          <w:rFonts w:asciiTheme="majorHAnsi" w:hAnsiTheme="majorHAnsi" w:cstheme="majorHAnsi"/>
        </w:rPr>
        <w:t>ának</w:t>
      </w:r>
      <w:r w:rsidRPr="00DC6C83">
        <w:rPr>
          <w:rFonts w:asciiTheme="majorHAnsi" w:hAnsiTheme="majorHAnsi" w:cstheme="majorHAnsi"/>
        </w:rPr>
        <w:t xml:space="preserve"> lehetőség</w:t>
      </w:r>
      <w:r w:rsidR="002625C0">
        <w:rPr>
          <w:rFonts w:asciiTheme="majorHAnsi" w:hAnsiTheme="majorHAnsi" w:cstheme="majorHAnsi"/>
        </w:rPr>
        <w:t>ét</w:t>
      </w:r>
      <w:r w:rsidRPr="00DC6C83">
        <w:rPr>
          <w:rFonts w:asciiTheme="majorHAnsi" w:hAnsiTheme="majorHAnsi" w:cstheme="majorHAnsi"/>
        </w:rPr>
        <w:t>.</w:t>
      </w:r>
    </w:p>
    <w:p w14:paraId="71193E0E" w14:textId="706E824A" w:rsidR="00884182" w:rsidRDefault="00884182" w:rsidP="00B86FE8">
      <w:pPr>
        <w:rPr>
          <w:rFonts w:asciiTheme="majorHAnsi" w:hAnsiTheme="majorHAnsi" w:cstheme="majorHAnsi"/>
        </w:rPr>
      </w:pPr>
      <w:r>
        <w:rPr>
          <w:rFonts w:asciiTheme="majorHAnsi" w:hAnsiTheme="majorHAnsi" w:cstheme="majorHAnsi"/>
        </w:rPr>
        <w:t>Megvizsgálandó továbbá a digitális kompetencia értékelési struktúrájának felülvizsgálata a módszertani megújulás és attitűdváltás irányainak fényében.</w:t>
      </w:r>
    </w:p>
    <w:p w14:paraId="7BFA4572" w14:textId="77777777" w:rsidR="00EF459B" w:rsidRDefault="00EF459B" w:rsidP="00B86FE8">
      <w:pPr>
        <w:rPr>
          <w:rFonts w:asciiTheme="majorHAnsi" w:hAnsiTheme="majorHAnsi" w:cstheme="majorHAnsi"/>
        </w:rPr>
      </w:pPr>
    </w:p>
    <w:p w14:paraId="4B471CBA" w14:textId="77777777" w:rsidR="00CB2BA3" w:rsidRPr="00DC6C83" w:rsidRDefault="00CB2BA3" w:rsidP="00D921A9">
      <w:pPr>
        <w:pStyle w:val="Cmsor4"/>
      </w:pPr>
      <w:bookmarkStart w:id="54" w:name="_Toc35596134"/>
      <w:bookmarkStart w:id="55" w:name="_Toc46822711"/>
      <w:r w:rsidRPr="00DC6C83">
        <w:t>A pedagógiai szakmai munka értékelése, tanfelügyelet, szaktanácsadás</w:t>
      </w:r>
      <w:r w:rsidR="00D921A9">
        <w:t>, mentorálás</w:t>
      </w:r>
      <w:bookmarkEnd w:id="54"/>
      <w:bookmarkEnd w:id="55"/>
    </w:p>
    <w:p w14:paraId="0225DE38" w14:textId="77777777" w:rsidR="00CB2BA3" w:rsidRDefault="00CB2BA3" w:rsidP="00CB2BA3">
      <w:pPr>
        <w:spacing w:line="276" w:lineRule="auto"/>
        <w:rPr>
          <w:rFonts w:asciiTheme="majorHAnsi" w:hAnsiTheme="majorHAnsi" w:cstheme="majorHAnsi"/>
        </w:rPr>
      </w:pPr>
      <w:r w:rsidRPr="00DC6C83">
        <w:rPr>
          <w:rFonts w:asciiTheme="majorHAnsi" w:hAnsiTheme="majorHAnsi" w:cstheme="majorHAnsi"/>
        </w:rPr>
        <w:t>A pedagógiai-szakmai szolgáltatások területeiről, az ellátás rendszeréről a</w:t>
      </w:r>
      <w:r w:rsidR="009E3195">
        <w:rPr>
          <w:rFonts w:asciiTheme="majorHAnsi" w:hAnsiTheme="majorHAnsi" w:cstheme="majorHAnsi"/>
        </w:rPr>
        <w:t>z</w:t>
      </w:r>
      <w:r w:rsidR="005A7025">
        <w:rPr>
          <w:rFonts w:asciiTheme="majorHAnsi" w:hAnsiTheme="majorHAnsi" w:cstheme="majorHAnsi"/>
        </w:rPr>
        <w:t xml:space="preserve"> </w:t>
      </w:r>
      <w:proofErr w:type="spellStart"/>
      <w:r w:rsidR="009E3195">
        <w:rPr>
          <w:rFonts w:asciiTheme="majorHAnsi" w:hAnsiTheme="majorHAnsi" w:cstheme="majorHAnsi"/>
        </w:rPr>
        <w:t>Nkt</w:t>
      </w:r>
      <w:proofErr w:type="spellEnd"/>
      <w:r w:rsidR="009E3195">
        <w:rPr>
          <w:rFonts w:asciiTheme="majorHAnsi" w:hAnsiTheme="majorHAnsi" w:cstheme="majorHAnsi"/>
        </w:rPr>
        <w:t>.</w:t>
      </w:r>
      <w:r w:rsidRPr="00DC6C83">
        <w:rPr>
          <w:rFonts w:asciiTheme="majorHAnsi" w:hAnsiTheme="majorHAnsi" w:cstheme="majorHAnsi"/>
        </w:rPr>
        <w:t xml:space="preserve"> rendelkezik. </w:t>
      </w:r>
      <w:r w:rsidRPr="000A7388">
        <w:rPr>
          <w:rFonts w:asciiTheme="majorHAnsi" w:hAnsiTheme="majorHAnsi" w:cstheme="majorHAnsi"/>
        </w:rPr>
        <w:t>Az oktatásirányítás célja, hogy a szakmai szolgáltatások egységesen, azonos minőségben valósuljanak meg az ország egész területén</w:t>
      </w:r>
      <w:r w:rsidR="009355CB">
        <w:rPr>
          <w:rFonts w:asciiTheme="majorHAnsi" w:hAnsiTheme="majorHAnsi" w:cstheme="majorHAnsi"/>
        </w:rPr>
        <w:t>.</w:t>
      </w:r>
      <w:r w:rsidR="005A7025">
        <w:rPr>
          <w:rFonts w:asciiTheme="majorHAnsi" w:hAnsiTheme="majorHAnsi" w:cstheme="majorHAnsi"/>
        </w:rPr>
        <w:t xml:space="preserve"> </w:t>
      </w:r>
      <w:r w:rsidR="009355CB">
        <w:rPr>
          <w:rFonts w:asciiTheme="majorHAnsi" w:hAnsiTheme="majorHAnsi" w:cstheme="majorHAnsi"/>
        </w:rPr>
        <w:t>A minőségi és méltányos oktatás céljából</w:t>
      </w:r>
      <w:r w:rsidRPr="000A7388">
        <w:rPr>
          <w:rFonts w:asciiTheme="majorHAnsi" w:hAnsiTheme="majorHAnsi" w:cstheme="majorHAnsi"/>
        </w:rPr>
        <w:t xml:space="preserve"> </w:t>
      </w:r>
      <w:r w:rsidRPr="00DC6C83">
        <w:rPr>
          <w:rFonts w:asciiTheme="majorHAnsi" w:hAnsiTheme="majorHAnsi" w:cstheme="majorHAnsi"/>
        </w:rPr>
        <w:t xml:space="preserve">legyenek elérhetők minden köznevelési intézmény és pedagógus számára </w:t>
      </w:r>
      <w:r>
        <w:rPr>
          <w:rFonts w:asciiTheme="majorHAnsi" w:hAnsiTheme="majorHAnsi" w:cstheme="majorHAnsi"/>
        </w:rPr>
        <w:t>minden olyan szakmai területen, amelyeken arra igény mutatkozik</w:t>
      </w:r>
      <w:r w:rsidR="009355CB">
        <w:rPr>
          <w:rFonts w:asciiTheme="majorHAnsi" w:hAnsiTheme="majorHAnsi" w:cstheme="majorHAnsi"/>
        </w:rPr>
        <w:t>.</w:t>
      </w:r>
      <w:r w:rsidR="005A7025">
        <w:rPr>
          <w:rFonts w:asciiTheme="majorHAnsi" w:hAnsiTheme="majorHAnsi" w:cstheme="majorHAnsi"/>
        </w:rPr>
        <w:t xml:space="preserve"> </w:t>
      </w:r>
      <w:r w:rsidR="009355CB">
        <w:rPr>
          <w:rFonts w:asciiTheme="majorHAnsi" w:hAnsiTheme="majorHAnsi" w:cstheme="majorHAnsi"/>
        </w:rPr>
        <w:t>Szándékunk,</w:t>
      </w:r>
      <w:r w:rsidRPr="00DC6C83">
        <w:rPr>
          <w:rFonts w:asciiTheme="majorHAnsi" w:hAnsiTheme="majorHAnsi" w:cstheme="majorHAnsi"/>
        </w:rPr>
        <w:t xml:space="preserve"> hogy a köznevelési intézmények az igényeiknek és szükségleteiknek megfelelő szakmai támogatást kapjanak nevelő-oktató munkájukhoz.</w:t>
      </w:r>
    </w:p>
    <w:p w14:paraId="01CACB3C" w14:textId="77777777" w:rsidR="00CB2BA3" w:rsidRPr="00DC6C83" w:rsidRDefault="00CB2BA3" w:rsidP="00CB2BA3">
      <w:pPr>
        <w:spacing w:line="276" w:lineRule="auto"/>
        <w:rPr>
          <w:rFonts w:asciiTheme="majorHAnsi" w:hAnsiTheme="majorHAnsi" w:cstheme="majorHAnsi"/>
        </w:rPr>
      </w:pPr>
      <w:r>
        <w:rPr>
          <w:rFonts w:asciiTheme="majorHAnsi" w:hAnsiTheme="majorHAnsi" w:cstheme="majorHAnsi"/>
        </w:rPr>
        <w:t xml:space="preserve">A pedagógiai-szakmai ellenőrzés (tanfelügyelet) </w:t>
      </w:r>
      <w:r w:rsidR="00E41AE9">
        <w:rPr>
          <w:rFonts w:asciiTheme="majorHAnsi" w:hAnsiTheme="majorHAnsi" w:cstheme="majorHAnsi"/>
        </w:rPr>
        <w:t>célja, hogy</w:t>
      </w:r>
      <w:r w:rsidR="001D45D9">
        <w:rPr>
          <w:rFonts w:asciiTheme="majorHAnsi" w:hAnsiTheme="majorHAnsi" w:cstheme="majorHAnsi"/>
        </w:rPr>
        <w:t xml:space="preserve"> </w:t>
      </w:r>
      <w:r w:rsidRPr="00CB2BA3">
        <w:rPr>
          <w:rFonts w:asciiTheme="majorHAnsi" w:hAnsiTheme="majorHAnsi" w:cstheme="majorHAnsi"/>
        </w:rPr>
        <w:t xml:space="preserve">a pedagógusok, az intézményvezetők, valamint az intézmények </w:t>
      </w:r>
      <w:r w:rsidR="00E41AE9">
        <w:rPr>
          <w:rFonts w:asciiTheme="majorHAnsi" w:hAnsiTheme="majorHAnsi" w:cstheme="majorHAnsi"/>
        </w:rPr>
        <w:t>legalább 5 éven</w:t>
      </w:r>
      <w:r w:rsidR="007275B8">
        <w:rPr>
          <w:rFonts w:asciiTheme="majorHAnsi" w:hAnsiTheme="majorHAnsi" w:cstheme="majorHAnsi"/>
        </w:rPr>
        <w:t>kénti</w:t>
      </w:r>
      <w:r w:rsidR="00E41AE9">
        <w:rPr>
          <w:rFonts w:asciiTheme="majorHAnsi" w:hAnsiTheme="majorHAnsi" w:cstheme="majorHAnsi"/>
        </w:rPr>
        <w:t xml:space="preserve"> </w:t>
      </w:r>
      <w:r w:rsidRPr="00CB2BA3">
        <w:rPr>
          <w:rFonts w:asciiTheme="majorHAnsi" w:hAnsiTheme="majorHAnsi" w:cstheme="majorHAnsi"/>
        </w:rPr>
        <w:t>értékelésén keresztül</w:t>
      </w:r>
      <w:r w:rsidR="007275B8">
        <w:rPr>
          <w:rFonts w:asciiTheme="majorHAnsi" w:hAnsiTheme="majorHAnsi" w:cstheme="majorHAnsi"/>
        </w:rPr>
        <w:t>, azok tapasztalataival és megállapításaival</w:t>
      </w:r>
      <w:r w:rsidRPr="00CB2BA3">
        <w:rPr>
          <w:rFonts w:asciiTheme="majorHAnsi" w:hAnsiTheme="majorHAnsi" w:cstheme="majorHAnsi"/>
        </w:rPr>
        <w:t xml:space="preserve"> támogassa a nevelési-oktatási intézmények szakmai fejlődését.</w:t>
      </w:r>
      <w:r w:rsidR="00E41AE9">
        <w:rPr>
          <w:rFonts w:asciiTheme="majorHAnsi" w:hAnsiTheme="majorHAnsi" w:cstheme="majorHAnsi"/>
        </w:rPr>
        <w:t xml:space="preserve"> A következő időszakban célszerű az ellenőrzés módszertani kereteinek továbbfejlesztése</w:t>
      </w:r>
      <w:r w:rsidR="009A0582">
        <w:rPr>
          <w:rFonts w:asciiTheme="majorHAnsi" w:hAnsiTheme="majorHAnsi" w:cstheme="majorHAnsi"/>
        </w:rPr>
        <w:t xml:space="preserve">, </w:t>
      </w:r>
      <w:r w:rsidR="008F1570">
        <w:rPr>
          <w:rFonts w:asciiTheme="majorHAnsi" w:hAnsiTheme="majorHAnsi" w:cstheme="majorHAnsi"/>
        </w:rPr>
        <w:t xml:space="preserve">szükség szerint intézményekre koncentrált </w:t>
      </w:r>
      <w:r w:rsidR="009A0582">
        <w:rPr>
          <w:rFonts w:asciiTheme="majorHAnsi" w:hAnsiTheme="majorHAnsi" w:cstheme="majorHAnsi"/>
        </w:rPr>
        <w:t>megerősítése</w:t>
      </w:r>
      <w:r w:rsidR="00E41AE9">
        <w:rPr>
          <w:rFonts w:asciiTheme="majorHAnsi" w:hAnsiTheme="majorHAnsi" w:cstheme="majorHAnsi"/>
        </w:rPr>
        <w:t xml:space="preserve"> annak érdekében, hogy még hatékonyabban tudja elősegíteni a minőségi feladatellátást, a pedagógusok, intézményvezetők fejlesztendő kompetenciáinak azonosítását. Ezzel elkerülhető lesz a jövőben is az, hogy a tanfelügyelet ne váljon pusztán formális eljárássá.</w:t>
      </w:r>
    </w:p>
    <w:p w14:paraId="5BE37BD0" w14:textId="77777777" w:rsidR="00CB2BA3" w:rsidRPr="000A7388" w:rsidRDefault="00CB2BA3" w:rsidP="00CB2BA3">
      <w:pPr>
        <w:spacing w:line="276" w:lineRule="auto"/>
        <w:rPr>
          <w:rFonts w:asciiTheme="majorHAnsi" w:hAnsiTheme="majorHAnsi" w:cstheme="majorHAnsi"/>
        </w:rPr>
      </w:pPr>
      <w:r w:rsidRPr="000A7388">
        <w:rPr>
          <w:rFonts w:asciiTheme="majorHAnsi" w:hAnsiTheme="majorHAnsi" w:cstheme="majorHAnsi"/>
        </w:rPr>
        <w:t>A pedagógiai-szakmai szolgáltatások</w:t>
      </w:r>
      <w:r w:rsidR="005A7025">
        <w:rPr>
          <w:rFonts w:asciiTheme="majorHAnsi" w:hAnsiTheme="majorHAnsi" w:cstheme="majorHAnsi"/>
        </w:rPr>
        <w:t xml:space="preserve"> ellátását</w:t>
      </w:r>
      <w:r w:rsidRPr="000A7388">
        <w:rPr>
          <w:rFonts w:asciiTheme="majorHAnsi" w:hAnsiTheme="majorHAnsi" w:cstheme="majorHAnsi"/>
        </w:rPr>
        <w:t xml:space="preserve"> </w:t>
      </w:r>
      <w:r w:rsidR="008735C5">
        <w:rPr>
          <w:rFonts w:asciiTheme="majorHAnsi" w:hAnsiTheme="majorHAnsi" w:cstheme="majorHAnsi"/>
        </w:rPr>
        <w:t>elsősorban</w:t>
      </w:r>
      <w:r w:rsidR="004203BA">
        <w:rPr>
          <w:rFonts w:asciiTheme="majorHAnsi" w:hAnsiTheme="majorHAnsi" w:cstheme="majorHAnsi"/>
        </w:rPr>
        <w:t xml:space="preserve"> </w:t>
      </w:r>
      <w:r w:rsidRPr="000A7388">
        <w:rPr>
          <w:rFonts w:asciiTheme="majorHAnsi" w:hAnsiTheme="majorHAnsi" w:cstheme="majorHAnsi"/>
        </w:rPr>
        <w:t xml:space="preserve">az Oktatási Hivatal </w:t>
      </w:r>
      <w:r w:rsidR="005D037D">
        <w:rPr>
          <w:rFonts w:asciiTheme="majorHAnsi" w:hAnsiTheme="majorHAnsi" w:cstheme="majorHAnsi"/>
        </w:rPr>
        <w:t>végzi</w:t>
      </w:r>
      <w:r w:rsidRPr="000A7388">
        <w:rPr>
          <w:rFonts w:asciiTheme="majorHAnsi" w:hAnsiTheme="majorHAnsi" w:cstheme="majorHAnsi"/>
        </w:rPr>
        <w:t>. A pedagógiai-szakmai szolgáltatási feladatok ellátásá</w:t>
      </w:r>
      <w:r w:rsidR="00F01045">
        <w:rPr>
          <w:rFonts w:asciiTheme="majorHAnsi" w:hAnsiTheme="majorHAnsi" w:cstheme="majorHAnsi"/>
        </w:rPr>
        <w:t>ra</w:t>
      </w:r>
      <w:r w:rsidRPr="000A7388">
        <w:rPr>
          <w:rFonts w:asciiTheme="majorHAnsi" w:hAnsiTheme="majorHAnsi" w:cstheme="majorHAnsi"/>
        </w:rPr>
        <w:t xml:space="preserve"> létre</w:t>
      </w:r>
      <w:r w:rsidR="005D037D">
        <w:rPr>
          <w:rFonts w:asciiTheme="majorHAnsi" w:hAnsiTheme="majorHAnsi" w:cstheme="majorHAnsi"/>
        </w:rPr>
        <w:t>jöttek</w:t>
      </w:r>
      <w:r w:rsidRPr="000A7388">
        <w:rPr>
          <w:rFonts w:asciiTheme="majorHAnsi" w:hAnsiTheme="majorHAnsi" w:cstheme="majorHAnsi"/>
        </w:rPr>
        <w:t xml:space="preserve"> a Pedagógiai Oktatási Központok (POK). Orsz</w:t>
      </w:r>
      <w:r w:rsidR="00716DF2">
        <w:rPr>
          <w:rFonts w:asciiTheme="majorHAnsi" w:hAnsiTheme="majorHAnsi" w:cstheme="majorHAnsi"/>
        </w:rPr>
        <w:t>ágos</w:t>
      </w:r>
      <w:r w:rsidR="001D45D9">
        <w:rPr>
          <w:rFonts w:asciiTheme="majorHAnsi" w:hAnsiTheme="majorHAnsi" w:cstheme="majorHAnsi"/>
        </w:rPr>
        <w:t xml:space="preserve">an 15 POK működik, közülük hat két-két megyében, nyolc egy-egy </w:t>
      </w:r>
      <w:r w:rsidR="001D45D9">
        <w:rPr>
          <w:rFonts w:asciiTheme="majorHAnsi" w:hAnsiTheme="majorHAnsi" w:cstheme="majorHAnsi"/>
        </w:rPr>
        <w:lastRenderedPageBreak/>
        <w:t>megyében látja</w:t>
      </w:r>
      <w:r w:rsidRPr="000A7388">
        <w:rPr>
          <w:rFonts w:asciiTheme="majorHAnsi" w:hAnsiTheme="majorHAnsi" w:cstheme="majorHAnsi"/>
        </w:rPr>
        <w:t xml:space="preserve"> el a jogszabályban előírt feladatokat, egy pedig a nemzetiségi nevelést-oktatást végző intézmények számára, országos hatáskörrel nyújtja a pedagógiai-szakmai szolgáltatásokat. </w:t>
      </w:r>
    </w:p>
    <w:p w14:paraId="4111C22F" w14:textId="77777777" w:rsidR="00CB2BA3" w:rsidRPr="000A7388" w:rsidRDefault="00CB2BA3" w:rsidP="00CB2BA3">
      <w:pPr>
        <w:spacing w:line="276" w:lineRule="auto"/>
        <w:rPr>
          <w:rFonts w:asciiTheme="majorHAnsi" w:hAnsiTheme="majorHAnsi" w:cstheme="majorHAnsi"/>
        </w:rPr>
      </w:pPr>
      <w:r w:rsidRPr="000A7388">
        <w:rPr>
          <w:rFonts w:asciiTheme="majorHAnsi" w:hAnsiTheme="majorHAnsi" w:cstheme="majorHAnsi"/>
        </w:rPr>
        <w:t xml:space="preserve">A pedagógiai-szakmai szolgáltatás szervezése és ellátásának alapelvei: azonos értékrend, egységes irányítás, elérhető szolgáltatások és horizontális tudásmegosztás a köznevelési intézmények között. A pedagógiai-szakmai szolgáltatás igénybe vevői a nevelési-oktatási intézmények, pedagógiai szakszolgálati intézmények, a köznevelési intézményekben dolgozó pedagógusok, intézményvezetők, valamint sajátos feladataik eredményes ellátásának érdekében az intézmények fenntartói is. A szolgáltatási rendszer működése illeszkedik a köznevelés rendszerének működéséhez, </w:t>
      </w:r>
      <w:proofErr w:type="spellStart"/>
      <w:r w:rsidRPr="000A7388">
        <w:rPr>
          <w:rFonts w:asciiTheme="majorHAnsi" w:hAnsiTheme="majorHAnsi" w:cstheme="majorHAnsi"/>
        </w:rPr>
        <w:t>szinergikusan</w:t>
      </w:r>
      <w:proofErr w:type="spellEnd"/>
      <w:r w:rsidRPr="000A7388">
        <w:rPr>
          <w:rFonts w:asciiTheme="majorHAnsi" w:hAnsiTheme="majorHAnsi" w:cstheme="majorHAnsi"/>
        </w:rPr>
        <w:t xml:space="preserve"> kapcsolódik a pedagógus-életpálya és a pedagógiai-szakmai ellenőrzés rendszeréhez. A pedagógiai-szakmai szolgáltatások ellátásában az állami fenntartású köznevelési intézményekben azok a mesterpedagógus besorolású szaktanácsadók műkö</w:t>
      </w:r>
      <w:r w:rsidR="001D45D9">
        <w:rPr>
          <w:rFonts w:asciiTheme="majorHAnsi" w:hAnsiTheme="majorHAnsi" w:cstheme="majorHAnsi"/>
        </w:rPr>
        <w:t>dnek közre, akik szerepelnek a s</w:t>
      </w:r>
      <w:r w:rsidRPr="000A7388">
        <w:rPr>
          <w:rFonts w:asciiTheme="majorHAnsi" w:hAnsiTheme="majorHAnsi" w:cstheme="majorHAnsi"/>
        </w:rPr>
        <w:t xml:space="preserve">zaktanácsadói névjegyzéken, és akikkel az Oktatási Hivatal megbízási szerződést köt a feladat ellátására. </w:t>
      </w:r>
    </w:p>
    <w:p w14:paraId="61535F49" w14:textId="1B06F79A" w:rsidR="00CB2BA3" w:rsidRPr="000A7388" w:rsidRDefault="00CB2BA3" w:rsidP="00CB2BA3">
      <w:pPr>
        <w:spacing w:line="276" w:lineRule="auto"/>
        <w:rPr>
          <w:rFonts w:asciiTheme="majorHAnsi" w:hAnsiTheme="majorHAnsi" w:cstheme="majorHAnsi"/>
        </w:rPr>
      </w:pPr>
      <w:r w:rsidRPr="000A7388">
        <w:rPr>
          <w:rFonts w:asciiTheme="majorHAnsi" w:hAnsiTheme="majorHAnsi" w:cstheme="majorHAnsi"/>
        </w:rPr>
        <w:t xml:space="preserve">A </w:t>
      </w:r>
      <w:proofErr w:type="gramStart"/>
      <w:r w:rsidRPr="000A7388">
        <w:rPr>
          <w:rFonts w:asciiTheme="majorHAnsi" w:hAnsiTheme="majorHAnsi" w:cstheme="majorHAnsi"/>
        </w:rPr>
        <w:t>szaktanácsadás</w:t>
      </w:r>
      <w:proofErr w:type="gramEnd"/>
      <w:r w:rsidR="00962132">
        <w:rPr>
          <w:rFonts w:asciiTheme="majorHAnsi" w:hAnsiTheme="majorHAnsi" w:cstheme="majorHAnsi"/>
        </w:rPr>
        <w:t xml:space="preserve"> mint</w:t>
      </w:r>
      <w:r w:rsidRPr="000A7388">
        <w:rPr>
          <w:rFonts w:asciiTheme="majorHAnsi" w:hAnsiTheme="majorHAnsi" w:cstheme="majorHAnsi"/>
        </w:rPr>
        <w:t xml:space="preserve"> szolgáltatási terület</w:t>
      </w:r>
      <w:r w:rsidR="00962132">
        <w:rPr>
          <w:rFonts w:asciiTheme="majorHAnsi" w:hAnsiTheme="majorHAnsi" w:cstheme="majorHAnsi"/>
        </w:rPr>
        <w:t>,</w:t>
      </w:r>
      <w:r w:rsidRPr="000A7388">
        <w:rPr>
          <w:rFonts w:asciiTheme="majorHAnsi" w:hAnsiTheme="majorHAnsi" w:cstheme="majorHAnsi"/>
        </w:rPr>
        <w:t xml:space="preserve"> általános feladata a pedagógusok munkájának fejlesztő célú támogatása, szakterületükkel, munkakörükkel összefüggő szakmódszertani segítése, valamint az intézményvezetők és az intézmények pedagógiai munkájának a támogatása. A szaktanácsadás célja a pedagógusok és a nevelési-oktatási intézmények munkájának (tantárgyi vagy sajátos pedagógiai területen igényelt) az oktatási eredményesség és a folyamatos szakmai fejlődés érdekében történő támogatása, az alkalmazott pedagógiai módszerek és pedagógiai fejlesztő tevékenység elemzésének, értékelésének segítése.</w:t>
      </w:r>
      <w:r>
        <w:rPr>
          <w:rFonts w:asciiTheme="majorHAnsi" w:hAnsiTheme="majorHAnsi" w:cstheme="majorHAnsi"/>
        </w:rPr>
        <w:t xml:space="preserve"> A továbbképzések mellett ez az a terület, amelyen keresztül a feladatát ellátó pedagógus munkáját a leginkább segíteni lehet, így </w:t>
      </w:r>
      <w:proofErr w:type="gramStart"/>
      <w:r>
        <w:rPr>
          <w:rFonts w:asciiTheme="majorHAnsi" w:hAnsiTheme="majorHAnsi" w:cstheme="majorHAnsi"/>
        </w:rPr>
        <w:t>ezen</w:t>
      </w:r>
      <w:proofErr w:type="gramEnd"/>
      <w:r>
        <w:rPr>
          <w:rFonts w:asciiTheme="majorHAnsi" w:hAnsiTheme="majorHAnsi" w:cstheme="majorHAnsi"/>
        </w:rPr>
        <w:t xml:space="preserve"> szolgáltatási terület kapacitásainak bővítése és tevékenységének fókuszálása kiemelt jelentőségű. </w:t>
      </w:r>
    </w:p>
    <w:p w14:paraId="567B6808" w14:textId="23CCAC6B" w:rsidR="001D45D9" w:rsidRPr="000A7388" w:rsidRDefault="00CB2BA3" w:rsidP="001D45D9">
      <w:pPr>
        <w:spacing w:line="276" w:lineRule="auto"/>
        <w:rPr>
          <w:rFonts w:asciiTheme="majorHAnsi" w:hAnsiTheme="majorHAnsi" w:cstheme="majorHAnsi"/>
        </w:rPr>
      </w:pPr>
      <w:r w:rsidRPr="000A7388">
        <w:rPr>
          <w:rFonts w:asciiTheme="majorHAnsi" w:hAnsiTheme="majorHAnsi" w:cstheme="majorHAnsi"/>
        </w:rPr>
        <w:t>A szaktanácsadás két nagy típusa: a tantárgygondozó és a tematikus szaktanácsadás. A tantárgygondozó szaktanácsadók feladata a pedagógusok szakmai kompetenciái kiteljesedésének segítése</w:t>
      </w:r>
      <w:r w:rsidR="00064941">
        <w:rPr>
          <w:rFonts w:asciiTheme="majorHAnsi" w:hAnsiTheme="majorHAnsi" w:cstheme="majorHAnsi"/>
        </w:rPr>
        <w:t>.</w:t>
      </w:r>
      <w:r w:rsidRPr="000A7388">
        <w:rPr>
          <w:rFonts w:asciiTheme="majorHAnsi" w:hAnsiTheme="majorHAnsi" w:cstheme="majorHAnsi"/>
        </w:rPr>
        <w:t xml:space="preserve"> Az Oktatási Hivatal minden évben országos igényfelmérést végez a köznevelési intézmények</w:t>
      </w:r>
      <w:r w:rsidR="00064941">
        <w:rPr>
          <w:rFonts w:asciiTheme="majorHAnsi" w:hAnsiTheme="majorHAnsi" w:cstheme="majorHAnsi"/>
        </w:rPr>
        <w:t>ben</w:t>
      </w:r>
      <w:r>
        <w:rPr>
          <w:rFonts w:asciiTheme="majorHAnsi" w:hAnsiTheme="majorHAnsi" w:cstheme="majorHAnsi"/>
        </w:rPr>
        <w:t xml:space="preserve"> arról, hogy milyen szakmai támogatásra tartanak igényt.</w:t>
      </w:r>
      <w:r w:rsidRPr="000A7388">
        <w:rPr>
          <w:rFonts w:asciiTheme="majorHAnsi" w:hAnsiTheme="majorHAnsi" w:cstheme="majorHAnsi"/>
        </w:rPr>
        <w:t xml:space="preserve"> A beérkező igények alapján meg</w:t>
      </w:r>
      <w:r>
        <w:rPr>
          <w:rFonts w:asciiTheme="majorHAnsi" w:hAnsiTheme="majorHAnsi" w:cstheme="majorHAnsi"/>
        </w:rPr>
        <w:t>állapítható</w:t>
      </w:r>
      <w:r w:rsidRPr="000A7388">
        <w:rPr>
          <w:rFonts w:asciiTheme="majorHAnsi" w:hAnsiTheme="majorHAnsi" w:cstheme="majorHAnsi"/>
        </w:rPr>
        <w:t xml:space="preserve">, hogy az intézmények körében jelentősen nőtt a komplex szakmai támogatás iránti igény, egyebek mellett a szakmai előadások, a műhelymunkák tartása, pedagógusok támogatása az esélyteremtésben, a tehetséggondozásban, ami a szaktanácsadóktól </w:t>
      </w:r>
      <w:r w:rsidR="00064941">
        <w:rPr>
          <w:rFonts w:asciiTheme="majorHAnsi" w:hAnsiTheme="majorHAnsi" w:cstheme="majorHAnsi"/>
        </w:rPr>
        <w:t>is</w:t>
      </w:r>
      <w:r w:rsidRPr="000A7388">
        <w:rPr>
          <w:rFonts w:asciiTheme="majorHAnsi" w:hAnsiTheme="majorHAnsi" w:cstheme="majorHAnsi"/>
        </w:rPr>
        <w:t xml:space="preserve"> folyamatos szakmai megújulást, önképzést igényel. </w:t>
      </w:r>
      <w:r w:rsidR="00064941">
        <w:rPr>
          <w:rFonts w:asciiTheme="majorHAnsi" w:hAnsiTheme="majorHAnsi" w:cstheme="majorHAnsi"/>
        </w:rPr>
        <w:t>Azért</w:t>
      </w:r>
      <w:r w:rsidRPr="000A7388">
        <w:rPr>
          <w:rFonts w:asciiTheme="majorHAnsi" w:hAnsiTheme="majorHAnsi" w:cstheme="majorHAnsi"/>
        </w:rPr>
        <w:t>, hogy a szaktanácsadók minél felkészültebben láthassák el a feladataikat, számos témában továbbképzések/</w:t>
      </w:r>
      <w:proofErr w:type="spellStart"/>
      <w:r w:rsidRPr="000A7388">
        <w:rPr>
          <w:rFonts w:asciiTheme="majorHAnsi" w:hAnsiTheme="majorHAnsi" w:cstheme="majorHAnsi"/>
        </w:rPr>
        <w:t>minikurzusok</w:t>
      </w:r>
      <w:proofErr w:type="spellEnd"/>
      <w:r w:rsidRPr="000A7388">
        <w:rPr>
          <w:rFonts w:asciiTheme="majorHAnsi" w:hAnsiTheme="majorHAnsi" w:cstheme="majorHAnsi"/>
        </w:rPr>
        <w:t xml:space="preserve"> kifejlesztésére és megtartására került sor a részükre</w:t>
      </w:r>
      <w:r>
        <w:rPr>
          <w:rFonts w:asciiTheme="majorHAnsi" w:hAnsiTheme="majorHAnsi" w:cstheme="majorHAnsi"/>
        </w:rPr>
        <w:t>, a szaktanácsadók felkészítés</w:t>
      </w:r>
      <w:r w:rsidR="003642EF">
        <w:rPr>
          <w:rFonts w:asciiTheme="majorHAnsi" w:hAnsiTheme="majorHAnsi" w:cstheme="majorHAnsi"/>
        </w:rPr>
        <w:t>é</w:t>
      </w:r>
      <w:r>
        <w:rPr>
          <w:rFonts w:asciiTheme="majorHAnsi" w:hAnsiTheme="majorHAnsi" w:cstheme="majorHAnsi"/>
        </w:rPr>
        <w:t>re ugyanakkor a jövőben is komoly figyelmet kell fordítani</w:t>
      </w:r>
      <w:r w:rsidRPr="000A7388">
        <w:rPr>
          <w:rFonts w:asciiTheme="majorHAnsi" w:hAnsiTheme="majorHAnsi" w:cstheme="majorHAnsi"/>
        </w:rPr>
        <w:t xml:space="preserve">. </w:t>
      </w:r>
      <w:r w:rsidR="008205A0">
        <w:rPr>
          <w:rFonts w:asciiTheme="majorHAnsi" w:hAnsiTheme="majorHAnsi" w:cstheme="majorHAnsi"/>
        </w:rPr>
        <w:t xml:space="preserve">A szaktanácsadói hálózat szakmai felkészültségének további erősítése érdekében megfontolandónak tartjuk a szaktanácsadók kötelező </w:t>
      </w:r>
      <w:r w:rsidR="003642EF">
        <w:rPr>
          <w:rFonts w:asciiTheme="majorHAnsi" w:hAnsiTheme="majorHAnsi" w:cstheme="majorHAnsi"/>
        </w:rPr>
        <w:t>tovább</w:t>
      </w:r>
      <w:r w:rsidR="008205A0">
        <w:rPr>
          <w:rFonts w:asciiTheme="majorHAnsi" w:hAnsiTheme="majorHAnsi" w:cstheme="majorHAnsi"/>
        </w:rPr>
        <w:t>képzésének bevezetését, illetve adott esetben a szaktanácsadói tevékenységtől</w:t>
      </w:r>
      <w:r w:rsidR="004203BA">
        <w:rPr>
          <w:rFonts w:asciiTheme="majorHAnsi" w:hAnsiTheme="majorHAnsi" w:cstheme="majorHAnsi"/>
        </w:rPr>
        <w:t xml:space="preserve"> való visszasorolás lehetőségét</w:t>
      </w:r>
      <w:r w:rsidR="001D45D9" w:rsidRPr="000A7388">
        <w:rPr>
          <w:rFonts w:asciiTheme="majorHAnsi" w:hAnsiTheme="majorHAnsi" w:cstheme="majorHAnsi"/>
        </w:rPr>
        <w:t xml:space="preserve">. </w:t>
      </w:r>
    </w:p>
    <w:p w14:paraId="5752E60D" w14:textId="75558F61" w:rsidR="00CB2BA3" w:rsidRPr="000A7388" w:rsidRDefault="00CB2BA3" w:rsidP="00CB2BA3">
      <w:pPr>
        <w:spacing w:line="276" w:lineRule="auto"/>
        <w:rPr>
          <w:rFonts w:asciiTheme="majorHAnsi" w:hAnsiTheme="majorHAnsi" w:cstheme="majorHAnsi"/>
        </w:rPr>
      </w:pPr>
      <w:r>
        <w:rPr>
          <w:rFonts w:asciiTheme="majorHAnsi" w:hAnsiTheme="majorHAnsi" w:cstheme="majorHAnsi"/>
        </w:rPr>
        <w:lastRenderedPageBreak/>
        <w:t xml:space="preserve">Ezt a célt szolgálja a </w:t>
      </w:r>
      <w:r w:rsidRPr="000A7388">
        <w:rPr>
          <w:rFonts w:asciiTheme="majorHAnsi" w:hAnsiTheme="majorHAnsi" w:cstheme="majorHAnsi"/>
        </w:rPr>
        <w:t>2016-tól kialakít</w:t>
      </w:r>
      <w:r>
        <w:rPr>
          <w:rFonts w:asciiTheme="majorHAnsi" w:hAnsiTheme="majorHAnsi" w:cstheme="majorHAnsi"/>
        </w:rPr>
        <w:t>ott</w:t>
      </w:r>
      <w:r w:rsidRPr="000A7388">
        <w:rPr>
          <w:rFonts w:asciiTheme="majorHAnsi" w:hAnsiTheme="majorHAnsi" w:cstheme="majorHAnsi"/>
        </w:rPr>
        <w:t xml:space="preserve"> vezető szaktanácsadói hálózat. A vezető szaktanácsadói rendszer célja az állami köznevelési közfeladat-ellátás keretei között az országos és a helyi szolgáltatási feladatellátás minőségének javítása, a szaktanácsadók szakmai fejlődésének biztosítása. Kiemelt feladatuk a</w:t>
      </w:r>
      <w:r w:rsidR="005A7025">
        <w:rPr>
          <w:rFonts w:asciiTheme="majorHAnsi" w:hAnsiTheme="majorHAnsi" w:cstheme="majorHAnsi"/>
        </w:rPr>
        <w:t xml:space="preserve"> </w:t>
      </w:r>
      <w:r w:rsidRPr="000A7388">
        <w:rPr>
          <w:rFonts w:asciiTheme="majorHAnsi" w:hAnsiTheme="majorHAnsi" w:cstheme="majorHAnsi"/>
        </w:rPr>
        <w:t xml:space="preserve">szaktanácsadók szakmai kapcsolatrendszerének kialakítása, tudásmegosztásának </w:t>
      </w:r>
      <w:r w:rsidR="009E25A2">
        <w:rPr>
          <w:rFonts w:asciiTheme="majorHAnsi" w:hAnsiTheme="majorHAnsi" w:cstheme="majorHAnsi"/>
        </w:rPr>
        <w:t>lehetővé tétele</w:t>
      </w:r>
      <w:r w:rsidRPr="000A7388">
        <w:rPr>
          <w:rFonts w:asciiTheme="majorHAnsi" w:hAnsiTheme="majorHAnsi" w:cstheme="majorHAnsi"/>
        </w:rPr>
        <w:t>. Jelenleg</w:t>
      </w:r>
      <w:r w:rsidR="009E25A2">
        <w:rPr>
          <w:rFonts w:asciiTheme="majorHAnsi" w:hAnsiTheme="majorHAnsi" w:cstheme="majorHAnsi"/>
        </w:rPr>
        <w:t>,</w:t>
      </w:r>
      <w:r w:rsidR="004203BA">
        <w:rPr>
          <w:rFonts w:asciiTheme="majorHAnsi" w:hAnsiTheme="majorHAnsi" w:cstheme="majorHAnsi"/>
        </w:rPr>
        <w:t xml:space="preserve"> </w:t>
      </w:r>
      <w:r w:rsidR="009E25A2" w:rsidRPr="000A7388">
        <w:rPr>
          <w:rFonts w:asciiTheme="majorHAnsi" w:hAnsiTheme="majorHAnsi" w:cstheme="majorHAnsi"/>
        </w:rPr>
        <w:t>országosan</w:t>
      </w:r>
      <w:r w:rsidR="004203BA">
        <w:rPr>
          <w:rFonts w:asciiTheme="majorHAnsi" w:hAnsiTheme="majorHAnsi" w:cstheme="majorHAnsi"/>
        </w:rPr>
        <w:t xml:space="preserve"> </w:t>
      </w:r>
      <w:r w:rsidRPr="000A7388">
        <w:rPr>
          <w:rFonts w:asciiTheme="majorHAnsi" w:hAnsiTheme="majorHAnsi" w:cstheme="majorHAnsi"/>
        </w:rPr>
        <w:t>125 fő vezető szaktanácsadó lát</w:t>
      </w:r>
      <w:r w:rsidR="009E25A2">
        <w:rPr>
          <w:rFonts w:asciiTheme="majorHAnsi" w:hAnsiTheme="majorHAnsi" w:cstheme="majorHAnsi"/>
        </w:rPr>
        <w:t>ja</w:t>
      </w:r>
      <w:r w:rsidRPr="000A7388">
        <w:rPr>
          <w:rFonts w:asciiTheme="majorHAnsi" w:hAnsiTheme="majorHAnsi" w:cstheme="majorHAnsi"/>
        </w:rPr>
        <w:t xml:space="preserve"> el </w:t>
      </w:r>
      <w:r w:rsidR="009E25A2">
        <w:rPr>
          <w:rFonts w:asciiTheme="majorHAnsi" w:hAnsiTheme="majorHAnsi" w:cstheme="majorHAnsi"/>
        </w:rPr>
        <w:t xml:space="preserve">a </w:t>
      </w:r>
      <w:r w:rsidRPr="000A7388">
        <w:rPr>
          <w:rFonts w:asciiTheme="majorHAnsi" w:hAnsiTheme="majorHAnsi" w:cstheme="majorHAnsi"/>
        </w:rPr>
        <w:t>feladat</w:t>
      </w:r>
      <w:r w:rsidR="009E25A2">
        <w:rPr>
          <w:rFonts w:asciiTheme="majorHAnsi" w:hAnsiTheme="majorHAnsi" w:cstheme="majorHAnsi"/>
        </w:rPr>
        <w:t>okat.</w:t>
      </w:r>
    </w:p>
    <w:p w14:paraId="22507730" w14:textId="77777777" w:rsidR="00FE6C07" w:rsidRPr="00DC6C83" w:rsidRDefault="00CB2BA3" w:rsidP="00CB2BA3">
      <w:pPr>
        <w:spacing w:line="276" w:lineRule="auto"/>
        <w:rPr>
          <w:rFonts w:asciiTheme="majorHAnsi" w:hAnsiTheme="majorHAnsi" w:cstheme="majorHAnsi"/>
        </w:rPr>
      </w:pPr>
      <w:r>
        <w:rPr>
          <w:rFonts w:asciiTheme="majorHAnsi" w:hAnsiTheme="majorHAnsi" w:cstheme="majorHAnsi"/>
        </w:rPr>
        <w:t xml:space="preserve">A szaktanácsadó hálózat munkáját </w:t>
      </w:r>
      <w:r w:rsidRPr="000A7388">
        <w:rPr>
          <w:rFonts w:asciiTheme="majorHAnsi" w:hAnsiTheme="majorHAnsi" w:cstheme="majorHAnsi"/>
        </w:rPr>
        <w:t>egy olyan informatikai felület</w:t>
      </w:r>
      <w:r>
        <w:rPr>
          <w:rFonts w:asciiTheme="majorHAnsi" w:hAnsiTheme="majorHAnsi" w:cstheme="majorHAnsi"/>
        </w:rPr>
        <w:t>nek kell támogatnia,</w:t>
      </w:r>
      <w:r w:rsidRPr="000A7388">
        <w:rPr>
          <w:rFonts w:asciiTheme="majorHAnsi" w:hAnsiTheme="majorHAnsi" w:cstheme="majorHAnsi"/>
        </w:rPr>
        <w:t xml:space="preserve"> amely </w:t>
      </w:r>
      <w:r w:rsidR="009E25A2">
        <w:rPr>
          <w:rFonts w:asciiTheme="majorHAnsi" w:hAnsiTheme="majorHAnsi" w:cstheme="majorHAnsi"/>
        </w:rPr>
        <w:t>lehetővé teszi</w:t>
      </w:r>
      <w:r w:rsidRPr="000A7388">
        <w:rPr>
          <w:rFonts w:asciiTheme="majorHAnsi" w:hAnsiTheme="majorHAnsi" w:cstheme="majorHAnsi"/>
        </w:rPr>
        <w:t xml:space="preserve"> a szaktanácsadás teljes folyamatához kapcsolódó tevékenységek rögzítését, a dokumentumok kezelését. A rendszer felhasználói naprakész, egységes információkkal </w:t>
      </w:r>
      <w:r w:rsidR="009E25A2">
        <w:rPr>
          <w:rFonts w:asciiTheme="majorHAnsi" w:hAnsiTheme="majorHAnsi" w:cstheme="majorHAnsi"/>
        </w:rPr>
        <w:t>rendelkeznek majd</w:t>
      </w:r>
      <w:r w:rsidRPr="000A7388">
        <w:rPr>
          <w:rFonts w:asciiTheme="majorHAnsi" w:hAnsiTheme="majorHAnsi" w:cstheme="majorHAnsi"/>
        </w:rPr>
        <w:t xml:space="preserve"> a</w:t>
      </w:r>
      <w:r w:rsidRPr="00DC6C83">
        <w:rPr>
          <w:rFonts w:asciiTheme="majorHAnsi" w:hAnsiTheme="majorHAnsi" w:cstheme="majorHAnsi"/>
        </w:rPr>
        <w:t xml:space="preserve"> szaktanácsadók munkájával, </w:t>
      </w:r>
      <w:r w:rsidR="00962132">
        <w:t>feladatuk mennyiségét illetően</w:t>
      </w:r>
      <w:r w:rsidRPr="00DC6C83">
        <w:rPr>
          <w:rFonts w:asciiTheme="majorHAnsi" w:hAnsiTheme="majorHAnsi" w:cstheme="majorHAnsi"/>
        </w:rPr>
        <w:t>, országos és helyi szinten egyaránt.</w:t>
      </w:r>
    </w:p>
    <w:p w14:paraId="03F92696" w14:textId="77777777" w:rsidR="00CB2BA3" w:rsidRPr="00CB2BA3" w:rsidRDefault="00CB2BA3" w:rsidP="00A02981">
      <w:pPr>
        <w:pStyle w:val="Tblacm"/>
        <w:ind w:left="426"/>
        <w:jc w:val="center"/>
      </w:pPr>
      <w:r w:rsidRPr="00CB2BA3">
        <w:t>táblázat: A 2016 – 2019 közötti időszak szaktanácsadói tevékenységei</w:t>
      </w:r>
    </w:p>
    <w:tbl>
      <w:tblPr>
        <w:tblW w:w="9040" w:type="dxa"/>
        <w:tblCellMar>
          <w:left w:w="70" w:type="dxa"/>
          <w:right w:w="70" w:type="dxa"/>
        </w:tblCellMar>
        <w:tblLook w:val="04A0" w:firstRow="1" w:lastRow="0" w:firstColumn="1" w:lastColumn="0" w:noHBand="0" w:noVBand="1"/>
      </w:tblPr>
      <w:tblGrid>
        <w:gridCol w:w="960"/>
        <w:gridCol w:w="2600"/>
        <w:gridCol w:w="3640"/>
        <w:gridCol w:w="1840"/>
      </w:tblGrid>
      <w:tr w:rsidR="00CB2BA3" w:rsidRPr="00DC6C83" w14:paraId="45079B50" w14:textId="77777777" w:rsidTr="0051699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9FA2C" w14:textId="77777777" w:rsidR="00CB2BA3" w:rsidRPr="00DC6C83" w:rsidRDefault="00CB2BA3" w:rsidP="00516997">
            <w:pPr>
              <w:spacing w:after="0" w:line="240" w:lineRule="auto"/>
              <w:rPr>
                <w:rFonts w:asciiTheme="majorHAnsi" w:hAnsiTheme="majorHAnsi" w:cstheme="majorHAnsi"/>
                <w:b/>
                <w:bCs/>
                <w:color w:val="000000"/>
                <w:sz w:val="20"/>
                <w:lang w:eastAsia="hu-HU"/>
              </w:rPr>
            </w:pPr>
            <w:r w:rsidRPr="00DC6C83">
              <w:rPr>
                <w:rFonts w:asciiTheme="majorHAnsi" w:hAnsiTheme="majorHAnsi" w:cstheme="majorHAnsi"/>
                <w:b/>
                <w:bCs/>
                <w:color w:val="000000"/>
                <w:sz w:val="20"/>
                <w:lang w:eastAsia="hu-HU"/>
              </w:rPr>
              <w:t>ÉV</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14:paraId="190F2DDF" w14:textId="77777777" w:rsidR="00CB2BA3" w:rsidRPr="00DC6C83" w:rsidRDefault="00CB2BA3" w:rsidP="00516997">
            <w:pPr>
              <w:spacing w:after="0" w:line="240" w:lineRule="auto"/>
              <w:jc w:val="center"/>
              <w:rPr>
                <w:rFonts w:asciiTheme="majorHAnsi" w:hAnsiTheme="majorHAnsi" w:cstheme="majorHAnsi"/>
                <w:b/>
                <w:bCs/>
                <w:color w:val="000000"/>
                <w:sz w:val="20"/>
                <w:lang w:eastAsia="hu-HU"/>
              </w:rPr>
            </w:pPr>
            <w:r w:rsidRPr="00DC6C83">
              <w:rPr>
                <w:rFonts w:asciiTheme="majorHAnsi" w:hAnsiTheme="majorHAnsi" w:cstheme="majorHAnsi"/>
                <w:b/>
                <w:bCs/>
                <w:color w:val="000000"/>
                <w:sz w:val="20"/>
                <w:lang w:eastAsia="hu-HU"/>
              </w:rPr>
              <w:t>Szaktanácsadók száma (fő)</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765F8D37" w14:textId="77777777" w:rsidR="00CB2BA3" w:rsidRPr="00DC6C83" w:rsidRDefault="00CB2BA3" w:rsidP="00516997">
            <w:pPr>
              <w:spacing w:after="0" w:line="240" w:lineRule="auto"/>
              <w:jc w:val="center"/>
              <w:rPr>
                <w:rFonts w:asciiTheme="majorHAnsi" w:hAnsiTheme="majorHAnsi" w:cstheme="majorHAnsi"/>
                <w:b/>
                <w:bCs/>
                <w:color w:val="000000"/>
                <w:sz w:val="20"/>
                <w:lang w:eastAsia="hu-HU"/>
              </w:rPr>
            </w:pPr>
            <w:r w:rsidRPr="00DC6C83">
              <w:rPr>
                <w:rFonts w:asciiTheme="majorHAnsi" w:hAnsiTheme="majorHAnsi" w:cstheme="majorHAnsi"/>
                <w:b/>
                <w:bCs/>
                <w:color w:val="000000"/>
                <w:sz w:val="20"/>
                <w:lang w:eastAsia="hu-HU"/>
              </w:rPr>
              <w:t>Teljesítés igazolások száma (alkalom)</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4AB96294" w14:textId="77777777" w:rsidR="00CB2BA3" w:rsidRPr="00DC6C83" w:rsidRDefault="00CB2BA3" w:rsidP="00516997">
            <w:pPr>
              <w:spacing w:after="0" w:line="240" w:lineRule="auto"/>
              <w:jc w:val="center"/>
              <w:rPr>
                <w:rFonts w:asciiTheme="majorHAnsi" w:hAnsiTheme="majorHAnsi" w:cstheme="majorHAnsi"/>
                <w:b/>
                <w:bCs/>
                <w:color w:val="000000"/>
                <w:sz w:val="20"/>
                <w:lang w:eastAsia="hu-HU"/>
              </w:rPr>
            </w:pPr>
            <w:r w:rsidRPr="00DC6C83">
              <w:rPr>
                <w:rFonts w:asciiTheme="majorHAnsi" w:hAnsiTheme="majorHAnsi" w:cstheme="majorHAnsi"/>
                <w:b/>
                <w:bCs/>
                <w:color w:val="000000"/>
                <w:sz w:val="20"/>
                <w:lang w:eastAsia="hu-HU"/>
              </w:rPr>
              <w:t>Átlag (alkalom/fő)</w:t>
            </w:r>
          </w:p>
        </w:tc>
      </w:tr>
      <w:tr w:rsidR="00CB2BA3" w:rsidRPr="00DC6C83" w14:paraId="50E6715C" w14:textId="77777777" w:rsidTr="005169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DE13D8" w14:textId="77777777" w:rsidR="00CB2BA3" w:rsidRPr="00DC6C83" w:rsidRDefault="00CB2BA3" w:rsidP="00516997">
            <w:pPr>
              <w:spacing w:after="0" w:line="240" w:lineRule="auto"/>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2016</w:t>
            </w:r>
          </w:p>
        </w:tc>
        <w:tc>
          <w:tcPr>
            <w:tcW w:w="2600" w:type="dxa"/>
            <w:tcBorders>
              <w:top w:val="nil"/>
              <w:left w:val="nil"/>
              <w:bottom w:val="single" w:sz="4" w:space="0" w:color="auto"/>
              <w:right w:val="single" w:sz="4" w:space="0" w:color="auto"/>
            </w:tcBorders>
            <w:shd w:val="clear" w:color="auto" w:fill="auto"/>
            <w:noWrap/>
            <w:vAlign w:val="center"/>
            <w:hideMark/>
          </w:tcPr>
          <w:p w14:paraId="15AC1FC3"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1</w:t>
            </w:r>
            <w:r w:rsidR="00233D73">
              <w:rPr>
                <w:rFonts w:asciiTheme="majorHAnsi" w:hAnsiTheme="majorHAnsi" w:cstheme="majorHAnsi"/>
                <w:color w:val="000000"/>
                <w:sz w:val="20"/>
                <w:lang w:eastAsia="hu-HU"/>
              </w:rPr>
              <w:t xml:space="preserve"> </w:t>
            </w:r>
            <w:r w:rsidRPr="00DC6C83">
              <w:rPr>
                <w:rFonts w:asciiTheme="majorHAnsi" w:hAnsiTheme="majorHAnsi" w:cstheme="majorHAnsi"/>
                <w:color w:val="000000"/>
                <w:sz w:val="20"/>
                <w:lang w:eastAsia="hu-HU"/>
              </w:rPr>
              <w:t>369</w:t>
            </w:r>
          </w:p>
        </w:tc>
        <w:tc>
          <w:tcPr>
            <w:tcW w:w="3640" w:type="dxa"/>
            <w:tcBorders>
              <w:top w:val="nil"/>
              <w:left w:val="nil"/>
              <w:bottom w:val="single" w:sz="4" w:space="0" w:color="auto"/>
              <w:right w:val="single" w:sz="4" w:space="0" w:color="auto"/>
            </w:tcBorders>
            <w:shd w:val="clear" w:color="auto" w:fill="auto"/>
            <w:noWrap/>
            <w:vAlign w:val="center"/>
            <w:hideMark/>
          </w:tcPr>
          <w:p w14:paraId="074B2A99"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20</w:t>
            </w:r>
            <w:r w:rsidR="00233D73">
              <w:rPr>
                <w:rFonts w:asciiTheme="majorHAnsi" w:hAnsiTheme="majorHAnsi" w:cstheme="majorHAnsi"/>
                <w:color w:val="000000"/>
                <w:sz w:val="20"/>
                <w:lang w:eastAsia="hu-HU"/>
              </w:rPr>
              <w:t xml:space="preserve"> </w:t>
            </w:r>
            <w:r w:rsidRPr="00DC6C83">
              <w:rPr>
                <w:rFonts w:asciiTheme="majorHAnsi" w:hAnsiTheme="majorHAnsi" w:cstheme="majorHAnsi"/>
                <w:color w:val="000000"/>
                <w:sz w:val="20"/>
                <w:lang w:eastAsia="hu-HU"/>
              </w:rPr>
              <w:t>200</w:t>
            </w:r>
          </w:p>
        </w:tc>
        <w:tc>
          <w:tcPr>
            <w:tcW w:w="1840" w:type="dxa"/>
            <w:tcBorders>
              <w:top w:val="nil"/>
              <w:left w:val="nil"/>
              <w:bottom w:val="single" w:sz="4" w:space="0" w:color="auto"/>
              <w:right w:val="single" w:sz="4" w:space="0" w:color="auto"/>
            </w:tcBorders>
            <w:shd w:val="clear" w:color="auto" w:fill="auto"/>
            <w:noWrap/>
            <w:vAlign w:val="center"/>
            <w:hideMark/>
          </w:tcPr>
          <w:p w14:paraId="69ADF03E"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15</w:t>
            </w:r>
          </w:p>
        </w:tc>
      </w:tr>
      <w:tr w:rsidR="00CB2BA3" w:rsidRPr="00DC6C83" w14:paraId="4F597FE5" w14:textId="77777777" w:rsidTr="005169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97B369" w14:textId="77777777" w:rsidR="00CB2BA3" w:rsidRPr="00DC6C83" w:rsidRDefault="00CB2BA3" w:rsidP="00516997">
            <w:pPr>
              <w:spacing w:after="0" w:line="240" w:lineRule="auto"/>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2017</w:t>
            </w:r>
          </w:p>
        </w:tc>
        <w:tc>
          <w:tcPr>
            <w:tcW w:w="2600" w:type="dxa"/>
            <w:tcBorders>
              <w:top w:val="nil"/>
              <w:left w:val="nil"/>
              <w:bottom w:val="single" w:sz="4" w:space="0" w:color="auto"/>
              <w:right w:val="single" w:sz="4" w:space="0" w:color="auto"/>
            </w:tcBorders>
            <w:shd w:val="clear" w:color="auto" w:fill="auto"/>
            <w:noWrap/>
            <w:vAlign w:val="center"/>
            <w:hideMark/>
          </w:tcPr>
          <w:p w14:paraId="5DCA8694"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1</w:t>
            </w:r>
            <w:r w:rsidR="00233D73">
              <w:rPr>
                <w:rFonts w:asciiTheme="majorHAnsi" w:hAnsiTheme="majorHAnsi" w:cstheme="majorHAnsi"/>
                <w:color w:val="000000"/>
                <w:sz w:val="20"/>
                <w:lang w:eastAsia="hu-HU"/>
              </w:rPr>
              <w:t xml:space="preserve"> </w:t>
            </w:r>
            <w:r w:rsidRPr="00DC6C83">
              <w:rPr>
                <w:rFonts w:asciiTheme="majorHAnsi" w:hAnsiTheme="majorHAnsi" w:cstheme="majorHAnsi"/>
                <w:color w:val="000000"/>
                <w:sz w:val="20"/>
                <w:lang w:eastAsia="hu-HU"/>
              </w:rPr>
              <w:t>330</w:t>
            </w:r>
          </w:p>
        </w:tc>
        <w:tc>
          <w:tcPr>
            <w:tcW w:w="3640" w:type="dxa"/>
            <w:tcBorders>
              <w:top w:val="nil"/>
              <w:left w:val="nil"/>
              <w:bottom w:val="single" w:sz="4" w:space="0" w:color="auto"/>
              <w:right w:val="single" w:sz="4" w:space="0" w:color="auto"/>
            </w:tcBorders>
            <w:shd w:val="clear" w:color="auto" w:fill="auto"/>
            <w:noWrap/>
            <w:vAlign w:val="center"/>
            <w:hideMark/>
          </w:tcPr>
          <w:p w14:paraId="3D99C7E3"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20</w:t>
            </w:r>
            <w:r w:rsidR="00233D73">
              <w:rPr>
                <w:rFonts w:asciiTheme="majorHAnsi" w:hAnsiTheme="majorHAnsi" w:cstheme="majorHAnsi"/>
                <w:color w:val="000000"/>
                <w:sz w:val="20"/>
                <w:lang w:eastAsia="hu-HU"/>
              </w:rPr>
              <w:t xml:space="preserve"> </w:t>
            </w:r>
            <w:r w:rsidRPr="00DC6C83">
              <w:rPr>
                <w:rFonts w:asciiTheme="majorHAnsi" w:hAnsiTheme="majorHAnsi" w:cstheme="majorHAnsi"/>
                <w:color w:val="000000"/>
                <w:sz w:val="20"/>
                <w:lang w:eastAsia="hu-HU"/>
              </w:rPr>
              <w:t>976</w:t>
            </w:r>
          </w:p>
        </w:tc>
        <w:tc>
          <w:tcPr>
            <w:tcW w:w="1840" w:type="dxa"/>
            <w:tcBorders>
              <w:top w:val="nil"/>
              <w:left w:val="nil"/>
              <w:bottom w:val="single" w:sz="4" w:space="0" w:color="auto"/>
              <w:right w:val="single" w:sz="4" w:space="0" w:color="auto"/>
            </w:tcBorders>
            <w:shd w:val="clear" w:color="auto" w:fill="auto"/>
            <w:noWrap/>
            <w:vAlign w:val="center"/>
            <w:hideMark/>
          </w:tcPr>
          <w:p w14:paraId="4F962D6D"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16</w:t>
            </w:r>
          </w:p>
        </w:tc>
      </w:tr>
      <w:tr w:rsidR="00CB2BA3" w:rsidRPr="00DC6C83" w14:paraId="0207B95D" w14:textId="77777777" w:rsidTr="005169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8C511A" w14:textId="77777777" w:rsidR="00CB2BA3" w:rsidRPr="00DC6C83" w:rsidRDefault="00CB2BA3" w:rsidP="00516997">
            <w:pPr>
              <w:spacing w:after="0" w:line="240" w:lineRule="auto"/>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2018</w:t>
            </w:r>
          </w:p>
        </w:tc>
        <w:tc>
          <w:tcPr>
            <w:tcW w:w="2600" w:type="dxa"/>
            <w:tcBorders>
              <w:top w:val="nil"/>
              <w:left w:val="nil"/>
              <w:bottom w:val="single" w:sz="4" w:space="0" w:color="auto"/>
              <w:right w:val="single" w:sz="4" w:space="0" w:color="auto"/>
            </w:tcBorders>
            <w:shd w:val="clear" w:color="auto" w:fill="auto"/>
            <w:noWrap/>
            <w:vAlign w:val="center"/>
            <w:hideMark/>
          </w:tcPr>
          <w:p w14:paraId="1D103547"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1</w:t>
            </w:r>
            <w:r w:rsidR="00233D73">
              <w:rPr>
                <w:rFonts w:asciiTheme="majorHAnsi" w:hAnsiTheme="majorHAnsi" w:cstheme="majorHAnsi"/>
                <w:color w:val="000000"/>
                <w:sz w:val="20"/>
                <w:lang w:eastAsia="hu-HU"/>
              </w:rPr>
              <w:t xml:space="preserve"> </w:t>
            </w:r>
            <w:r w:rsidRPr="00DC6C83">
              <w:rPr>
                <w:rFonts w:asciiTheme="majorHAnsi" w:hAnsiTheme="majorHAnsi" w:cstheme="majorHAnsi"/>
                <w:color w:val="000000"/>
                <w:sz w:val="20"/>
                <w:lang w:eastAsia="hu-HU"/>
              </w:rPr>
              <w:t>540</w:t>
            </w:r>
          </w:p>
        </w:tc>
        <w:tc>
          <w:tcPr>
            <w:tcW w:w="3640" w:type="dxa"/>
            <w:tcBorders>
              <w:top w:val="nil"/>
              <w:left w:val="nil"/>
              <w:bottom w:val="single" w:sz="4" w:space="0" w:color="auto"/>
              <w:right w:val="single" w:sz="4" w:space="0" w:color="auto"/>
            </w:tcBorders>
            <w:shd w:val="clear" w:color="auto" w:fill="auto"/>
            <w:noWrap/>
            <w:vAlign w:val="center"/>
            <w:hideMark/>
          </w:tcPr>
          <w:p w14:paraId="11D8AEAD"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22</w:t>
            </w:r>
            <w:r w:rsidR="00233D73">
              <w:rPr>
                <w:rFonts w:asciiTheme="majorHAnsi" w:hAnsiTheme="majorHAnsi" w:cstheme="majorHAnsi"/>
                <w:color w:val="000000"/>
                <w:sz w:val="20"/>
                <w:lang w:eastAsia="hu-HU"/>
              </w:rPr>
              <w:t xml:space="preserve"> </w:t>
            </w:r>
            <w:r w:rsidRPr="00DC6C83">
              <w:rPr>
                <w:rFonts w:asciiTheme="majorHAnsi" w:hAnsiTheme="majorHAnsi" w:cstheme="majorHAnsi"/>
                <w:color w:val="000000"/>
                <w:sz w:val="20"/>
                <w:lang w:eastAsia="hu-HU"/>
              </w:rPr>
              <w:t>901</w:t>
            </w:r>
          </w:p>
        </w:tc>
        <w:tc>
          <w:tcPr>
            <w:tcW w:w="1840" w:type="dxa"/>
            <w:tcBorders>
              <w:top w:val="nil"/>
              <w:left w:val="nil"/>
              <w:bottom w:val="single" w:sz="4" w:space="0" w:color="auto"/>
              <w:right w:val="single" w:sz="4" w:space="0" w:color="auto"/>
            </w:tcBorders>
            <w:shd w:val="clear" w:color="auto" w:fill="auto"/>
            <w:noWrap/>
            <w:vAlign w:val="center"/>
            <w:hideMark/>
          </w:tcPr>
          <w:p w14:paraId="40B1DA12"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15</w:t>
            </w:r>
          </w:p>
        </w:tc>
      </w:tr>
      <w:tr w:rsidR="00CB2BA3" w:rsidRPr="00DC6C83" w14:paraId="2F385466" w14:textId="77777777" w:rsidTr="0051699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5EC992" w14:textId="77777777" w:rsidR="00CB2BA3" w:rsidRPr="00DC6C83" w:rsidRDefault="00CB2BA3" w:rsidP="00516997">
            <w:pPr>
              <w:spacing w:after="0" w:line="240" w:lineRule="auto"/>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2019</w:t>
            </w:r>
          </w:p>
        </w:tc>
        <w:tc>
          <w:tcPr>
            <w:tcW w:w="2600" w:type="dxa"/>
            <w:tcBorders>
              <w:top w:val="nil"/>
              <w:left w:val="nil"/>
              <w:bottom w:val="single" w:sz="4" w:space="0" w:color="auto"/>
              <w:right w:val="single" w:sz="4" w:space="0" w:color="auto"/>
            </w:tcBorders>
            <w:shd w:val="clear" w:color="auto" w:fill="auto"/>
            <w:noWrap/>
            <w:vAlign w:val="center"/>
            <w:hideMark/>
          </w:tcPr>
          <w:p w14:paraId="3867ED5D"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sidRPr="00DC6C83">
              <w:rPr>
                <w:rFonts w:asciiTheme="majorHAnsi" w:hAnsiTheme="majorHAnsi" w:cstheme="majorHAnsi"/>
                <w:color w:val="000000"/>
                <w:sz w:val="20"/>
                <w:lang w:eastAsia="hu-HU"/>
              </w:rPr>
              <w:t>1</w:t>
            </w:r>
            <w:r w:rsidR="00233D73">
              <w:rPr>
                <w:rFonts w:asciiTheme="majorHAnsi" w:hAnsiTheme="majorHAnsi" w:cstheme="majorHAnsi"/>
                <w:color w:val="000000"/>
                <w:sz w:val="20"/>
                <w:lang w:eastAsia="hu-HU"/>
              </w:rPr>
              <w:t xml:space="preserve"> </w:t>
            </w:r>
            <w:r w:rsidRPr="00DC6C83">
              <w:rPr>
                <w:rFonts w:asciiTheme="majorHAnsi" w:hAnsiTheme="majorHAnsi" w:cstheme="majorHAnsi"/>
                <w:color w:val="000000"/>
                <w:sz w:val="20"/>
                <w:lang w:eastAsia="hu-HU"/>
              </w:rPr>
              <w:t>581</w:t>
            </w:r>
          </w:p>
        </w:tc>
        <w:tc>
          <w:tcPr>
            <w:tcW w:w="3640" w:type="dxa"/>
            <w:tcBorders>
              <w:top w:val="nil"/>
              <w:left w:val="nil"/>
              <w:bottom w:val="single" w:sz="4" w:space="0" w:color="auto"/>
              <w:right w:val="single" w:sz="4" w:space="0" w:color="auto"/>
            </w:tcBorders>
            <w:shd w:val="clear" w:color="auto" w:fill="auto"/>
            <w:noWrap/>
            <w:vAlign w:val="center"/>
            <w:hideMark/>
          </w:tcPr>
          <w:p w14:paraId="0609D4FE" w14:textId="77777777" w:rsidR="00CB2BA3" w:rsidRPr="00DC6C83" w:rsidRDefault="00233D73" w:rsidP="00516997">
            <w:pPr>
              <w:spacing w:after="0" w:line="240" w:lineRule="auto"/>
              <w:jc w:val="center"/>
              <w:rPr>
                <w:rFonts w:asciiTheme="majorHAnsi" w:hAnsiTheme="majorHAnsi" w:cstheme="majorHAnsi"/>
                <w:color w:val="000000"/>
                <w:sz w:val="20"/>
                <w:lang w:eastAsia="hu-HU"/>
              </w:rPr>
            </w:pPr>
            <w:r>
              <w:rPr>
                <w:rFonts w:asciiTheme="majorHAnsi" w:hAnsiTheme="majorHAnsi" w:cstheme="majorHAnsi"/>
                <w:color w:val="000000"/>
                <w:sz w:val="20"/>
                <w:lang w:eastAsia="hu-HU"/>
              </w:rPr>
              <w:t xml:space="preserve">20 </w:t>
            </w:r>
            <w:r w:rsidR="00CB2BA3">
              <w:rPr>
                <w:rFonts w:asciiTheme="majorHAnsi" w:hAnsiTheme="majorHAnsi" w:cstheme="majorHAnsi"/>
                <w:color w:val="000000"/>
                <w:sz w:val="20"/>
                <w:lang w:eastAsia="hu-HU"/>
              </w:rPr>
              <w:t>082</w:t>
            </w:r>
          </w:p>
        </w:tc>
        <w:tc>
          <w:tcPr>
            <w:tcW w:w="1840" w:type="dxa"/>
            <w:tcBorders>
              <w:top w:val="nil"/>
              <w:left w:val="nil"/>
              <w:bottom w:val="single" w:sz="4" w:space="0" w:color="auto"/>
              <w:right w:val="single" w:sz="4" w:space="0" w:color="auto"/>
            </w:tcBorders>
            <w:shd w:val="clear" w:color="auto" w:fill="auto"/>
            <w:noWrap/>
            <w:vAlign w:val="center"/>
            <w:hideMark/>
          </w:tcPr>
          <w:p w14:paraId="423CBD56" w14:textId="77777777" w:rsidR="00CB2BA3" w:rsidRPr="00DC6C83" w:rsidRDefault="00CB2BA3" w:rsidP="00516997">
            <w:pPr>
              <w:spacing w:after="0" w:line="240" w:lineRule="auto"/>
              <w:jc w:val="center"/>
              <w:rPr>
                <w:rFonts w:asciiTheme="majorHAnsi" w:hAnsiTheme="majorHAnsi" w:cstheme="majorHAnsi"/>
                <w:color w:val="000000"/>
                <w:sz w:val="20"/>
                <w:lang w:eastAsia="hu-HU"/>
              </w:rPr>
            </w:pPr>
            <w:r>
              <w:rPr>
                <w:rFonts w:asciiTheme="majorHAnsi" w:hAnsiTheme="majorHAnsi" w:cstheme="majorHAnsi"/>
                <w:color w:val="000000"/>
                <w:sz w:val="20"/>
                <w:lang w:eastAsia="hu-HU"/>
              </w:rPr>
              <w:t>13</w:t>
            </w:r>
          </w:p>
        </w:tc>
      </w:tr>
    </w:tbl>
    <w:p w14:paraId="1F0AA3D3" w14:textId="77777777" w:rsidR="00CB2BA3" w:rsidRDefault="00CB2BA3" w:rsidP="00CB2BA3">
      <w:pPr>
        <w:pStyle w:val="Forrs"/>
        <w:jc w:val="center"/>
        <w:rPr>
          <w:rFonts w:asciiTheme="majorHAnsi" w:hAnsiTheme="majorHAnsi" w:cstheme="majorHAnsi"/>
        </w:rPr>
      </w:pPr>
      <w:r w:rsidRPr="00DC6C83">
        <w:rPr>
          <w:rFonts w:asciiTheme="majorHAnsi" w:hAnsiTheme="majorHAnsi" w:cstheme="majorHAnsi"/>
        </w:rPr>
        <w:t xml:space="preserve">Forrás: </w:t>
      </w:r>
      <w:r w:rsidR="002B65B7">
        <w:rPr>
          <w:rFonts w:asciiTheme="majorHAnsi" w:hAnsiTheme="majorHAnsi" w:cstheme="majorHAnsi"/>
        </w:rPr>
        <w:t>Oktatási Hivatal</w:t>
      </w:r>
    </w:p>
    <w:p w14:paraId="763B962A" w14:textId="77777777" w:rsidR="00CB2BA3" w:rsidRDefault="00CB2BA3" w:rsidP="00CB2BA3">
      <w:pPr>
        <w:rPr>
          <w:rFonts w:asciiTheme="majorHAnsi" w:hAnsiTheme="majorHAnsi" w:cstheme="majorHAnsi"/>
        </w:rPr>
      </w:pPr>
      <w:r>
        <w:rPr>
          <w:rFonts w:asciiTheme="majorHAnsi" w:hAnsiTheme="majorHAnsi" w:cstheme="majorHAnsi"/>
        </w:rPr>
        <w:t>A következő években cél a szaktanácsadók körének bővítése, az intézmények és a tanárok számára helyben nyújtott szakmai támogatás megerősítése, az</w:t>
      </w:r>
      <w:r w:rsidR="009E25A2">
        <w:rPr>
          <w:rFonts w:asciiTheme="majorHAnsi" w:hAnsiTheme="majorHAnsi" w:cstheme="majorHAnsi"/>
        </w:rPr>
        <w:t xml:space="preserve">ért, hogy </w:t>
      </w:r>
      <w:r>
        <w:rPr>
          <w:rFonts w:asciiTheme="majorHAnsi" w:hAnsiTheme="majorHAnsi" w:cstheme="majorHAnsi"/>
        </w:rPr>
        <w:t>az egymástól való tanulás, a jó gyakorlatok megosztás</w:t>
      </w:r>
      <w:r w:rsidR="009E25A2">
        <w:rPr>
          <w:rFonts w:asciiTheme="majorHAnsi" w:hAnsiTheme="majorHAnsi" w:cstheme="majorHAnsi"/>
        </w:rPr>
        <w:t>ával támogassák</w:t>
      </w:r>
      <w:r>
        <w:rPr>
          <w:rFonts w:asciiTheme="majorHAnsi" w:hAnsiTheme="majorHAnsi" w:cstheme="majorHAnsi"/>
        </w:rPr>
        <w:t xml:space="preserve"> a pedagógusok szakmai, módszertani</w:t>
      </w:r>
      <w:r w:rsidR="009E25A2">
        <w:rPr>
          <w:rFonts w:asciiTheme="majorHAnsi" w:hAnsiTheme="majorHAnsi" w:cstheme="majorHAnsi"/>
        </w:rPr>
        <w:t xml:space="preserve"> tevékenységét</w:t>
      </w:r>
      <w:r>
        <w:rPr>
          <w:rFonts w:asciiTheme="majorHAnsi" w:hAnsiTheme="majorHAnsi" w:cstheme="majorHAnsi"/>
        </w:rPr>
        <w:t xml:space="preserve">. </w:t>
      </w:r>
    </w:p>
    <w:p w14:paraId="66FCB228" w14:textId="65E4EE2C" w:rsidR="00EF459B" w:rsidRDefault="00EF459B" w:rsidP="00CB2BA3">
      <w:pPr>
        <w:rPr>
          <w:rFonts w:asciiTheme="majorHAnsi" w:hAnsiTheme="majorHAnsi" w:cstheme="majorHAnsi"/>
        </w:rPr>
      </w:pPr>
      <w:r>
        <w:rPr>
          <w:rFonts w:asciiTheme="majorHAnsi" w:hAnsiTheme="majorHAnsi" w:cstheme="majorHAnsi"/>
        </w:rPr>
        <w:t>Fontos továbbá, hogy</w:t>
      </w:r>
      <w:r w:rsidR="005A7025">
        <w:rPr>
          <w:rFonts w:asciiTheme="majorHAnsi" w:hAnsiTheme="majorHAnsi" w:cstheme="majorHAnsi"/>
        </w:rPr>
        <w:t xml:space="preserve"> </w:t>
      </w:r>
      <w:r w:rsidR="009E25A2">
        <w:rPr>
          <w:rFonts w:asciiTheme="majorHAnsi" w:hAnsiTheme="majorHAnsi" w:cstheme="majorHAnsi"/>
        </w:rPr>
        <w:t xml:space="preserve">azokhoz az intézményekhez, ahol a szakmai munka színvonala </w:t>
      </w:r>
      <w:r w:rsidR="003642EF">
        <w:rPr>
          <w:rFonts w:asciiTheme="majorHAnsi" w:hAnsiTheme="majorHAnsi" w:cstheme="majorHAnsi"/>
        </w:rPr>
        <w:t xml:space="preserve">a mérések objektív adatai alapján </w:t>
      </w:r>
      <w:r w:rsidR="009E25A2">
        <w:rPr>
          <w:rFonts w:asciiTheme="majorHAnsi" w:hAnsiTheme="majorHAnsi" w:cstheme="majorHAnsi"/>
        </w:rPr>
        <w:t>nem megfelelő,</w:t>
      </w:r>
      <w:r>
        <w:rPr>
          <w:rFonts w:asciiTheme="majorHAnsi" w:hAnsiTheme="majorHAnsi" w:cstheme="majorHAnsi"/>
        </w:rPr>
        <w:t xml:space="preserve"> az intézményvezető és a fenntartó felelősségi körén túl, az állam kapjon lehetőséget arra, hogy szükség esetén szakértőt vagy szaktanácsadót rendeljen ki az intézményekbe, elősegítve ezzel a minél hatékonyabb és eredményesebb fejlesztési folyamatot.</w:t>
      </w:r>
      <w:r w:rsidR="003642EF">
        <w:rPr>
          <w:rFonts w:asciiTheme="majorHAnsi" w:hAnsiTheme="majorHAnsi" w:cstheme="majorHAnsi"/>
        </w:rPr>
        <w:t xml:space="preserve"> </w:t>
      </w:r>
    </w:p>
    <w:p w14:paraId="074B8DC3" w14:textId="77777777" w:rsidR="00DD4014" w:rsidRDefault="00DD4014" w:rsidP="00DD4014">
      <w:pPr>
        <w:pStyle w:val="Cmsor3"/>
      </w:pPr>
      <w:bookmarkStart w:id="56" w:name="_Toc35596135"/>
      <w:bookmarkStart w:id="57" w:name="_Toc46822712"/>
      <w:r w:rsidRPr="00DD4014">
        <w:t>Nevelő-oktató munkát közvetlenül segítők szerepének növelése</w:t>
      </w:r>
      <w:bookmarkEnd w:id="56"/>
      <w:bookmarkEnd w:id="57"/>
    </w:p>
    <w:p w14:paraId="788A3486" w14:textId="321EFC82" w:rsidR="00060381" w:rsidRDefault="00C3312E" w:rsidP="00C3312E">
      <w:pPr>
        <w:autoSpaceDE w:val="0"/>
        <w:autoSpaceDN w:val="0"/>
        <w:adjustRightInd w:val="0"/>
        <w:spacing w:after="0" w:line="240" w:lineRule="auto"/>
        <w:rPr>
          <w:rFonts w:asciiTheme="majorHAnsi" w:hAnsiTheme="majorHAnsi" w:cstheme="majorHAnsi"/>
        </w:rPr>
      </w:pPr>
      <w:r w:rsidRPr="00C3312E">
        <w:rPr>
          <w:rFonts w:asciiTheme="majorHAnsi" w:hAnsiTheme="majorHAnsi" w:cstheme="majorHAnsi"/>
        </w:rPr>
        <w:t xml:space="preserve">A pedagógusok által ellátott adminisztratív, technikai és egyéb szakmai feladatok mennyiségének csökkentése érdekében javasolt a pedagógus asszisztensek vagy egyéb szakszemélyzet bevonása. </w:t>
      </w:r>
      <w:r w:rsidR="00060381">
        <w:rPr>
          <w:rFonts w:asciiTheme="majorHAnsi" w:hAnsiTheme="majorHAnsi" w:cstheme="majorHAnsi"/>
        </w:rPr>
        <w:t>Ezért egyes esetekben a</w:t>
      </w:r>
      <w:r w:rsidR="00060381" w:rsidRPr="000A7388">
        <w:rPr>
          <w:rFonts w:asciiTheme="majorHAnsi" w:hAnsiTheme="majorHAnsi" w:cstheme="majorHAnsi"/>
        </w:rPr>
        <w:t xml:space="preserve"> pedagógusok számának növelése helyett a nevelő-oktató munkát </w:t>
      </w:r>
      <w:r w:rsidR="00060381">
        <w:rPr>
          <w:rFonts w:asciiTheme="majorHAnsi" w:hAnsiTheme="majorHAnsi" w:cstheme="majorHAnsi"/>
        </w:rPr>
        <w:t xml:space="preserve">közvetlenül </w:t>
      </w:r>
      <w:r w:rsidR="00060381" w:rsidRPr="000A7388">
        <w:rPr>
          <w:rFonts w:asciiTheme="majorHAnsi" w:hAnsiTheme="majorHAnsi" w:cstheme="majorHAnsi"/>
        </w:rPr>
        <w:t>segítők (r</w:t>
      </w:r>
      <w:r w:rsidR="00060381">
        <w:rPr>
          <w:rFonts w:asciiTheme="majorHAnsi" w:hAnsiTheme="majorHAnsi" w:cstheme="majorHAnsi"/>
        </w:rPr>
        <w:t xml:space="preserve">öviden: NOKS) arányának emelése </w:t>
      </w:r>
      <w:r w:rsidR="00060381" w:rsidRPr="000A7388">
        <w:rPr>
          <w:rFonts w:asciiTheme="majorHAnsi" w:hAnsiTheme="majorHAnsi" w:cstheme="majorHAnsi"/>
        </w:rPr>
        <w:t>indokolt, hiszen így tehe</w:t>
      </w:r>
      <w:r w:rsidR="00A07E3A">
        <w:rPr>
          <w:rFonts w:asciiTheme="majorHAnsi" w:hAnsiTheme="majorHAnsi" w:cstheme="majorHAnsi"/>
        </w:rPr>
        <w:t>rmentesíthetjük a pedagógusokat.</w:t>
      </w:r>
    </w:p>
    <w:p w14:paraId="690DEBD8" w14:textId="77777777" w:rsidR="00060381" w:rsidRDefault="00060381" w:rsidP="00060381">
      <w:pPr>
        <w:spacing w:line="276" w:lineRule="auto"/>
        <w:rPr>
          <w:rFonts w:asciiTheme="majorHAnsi" w:hAnsiTheme="majorHAnsi" w:cstheme="majorHAnsi"/>
        </w:rPr>
      </w:pPr>
      <w:proofErr w:type="gramStart"/>
      <w:r>
        <w:t>A nevelés-oktatás feladatait ellátó pedagógus munkájának támogatását (</w:t>
      </w:r>
      <w:r w:rsidRPr="0093108E">
        <w:t xml:space="preserve">például </w:t>
      </w:r>
      <w:r w:rsidRPr="0093108E">
        <w:rPr>
          <w:rFonts w:asciiTheme="majorHAnsi" w:hAnsiTheme="majorHAnsi" w:cstheme="majorHAnsi"/>
        </w:rPr>
        <w:t xml:space="preserve">a tanulókkal kapcsolatos adatszolgáltatások, étkezés szervezése és lebonyolítása, hiányzásokkal kapcsolatos adminisztráció, mérések, vizsgák szervezése, lebonyolítása, továbbtanulás adminisztrációja, gyermekek kísérése, </w:t>
      </w:r>
      <w:r w:rsidRPr="0093108E">
        <w:t>orvosi vizsgálatok szervezése és lebonyolítása</w:t>
      </w:r>
      <w:r w:rsidRPr="0093108E">
        <w:rPr>
          <w:rFonts w:asciiTheme="majorHAnsi" w:hAnsiTheme="majorHAnsi" w:cstheme="majorHAnsi"/>
        </w:rPr>
        <w:t xml:space="preserve"> és </w:t>
      </w:r>
      <w:r w:rsidRPr="0093108E">
        <w:t xml:space="preserve">az </w:t>
      </w:r>
      <w:r w:rsidRPr="0093108E">
        <w:lastRenderedPageBreak/>
        <w:t>óramenedzsment kapcsán</w:t>
      </w:r>
      <w:r w:rsidR="006C750D">
        <w:t xml:space="preserve"> </w:t>
      </w:r>
      <w:r>
        <w:t>a digitális feladatok előkészítése) el tudják látni nem feltétlenül mester szintű végzettséggel rendelkező, a pedagógiai folyamatot átlátó, az innovációban jártas szakemberek, ami jelentős segítséget jelenthet a pedagógus</w:t>
      </w:r>
      <w:r w:rsidR="009E25A2">
        <w:t>oknak</w:t>
      </w:r>
      <w:r>
        <w:t>.</w:t>
      </w:r>
      <w:proofErr w:type="gramEnd"/>
      <w:r>
        <w:rPr>
          <w:rFonts w:asciiTheme="majorHAnsi" w:hAnsiTheme="majorHAnsi" w:cstheme="majorHAnsi"/>
        </w:rPr>
        <w:t xml:space="preserve"> Egyúttal – a bevált nemzetközi példák tapasztalatait szem előtt tartva – megfontolandó a középiskolákban a felsőbb évfolyamon tanulók technikai asszisztensi feladatokba (pl. IKT eszközhasználat előkészítése, támogatása) történő bevonása is.</w:t>
      </w:r>
    </w:p>
    <w:p w14:paraId="561D9E5A" w14:textId="77777777" w:rsidR="00060381" w:rsidRPr="000A7388" w:rsidRDefault="00060381" w:rsidP="00060381">
      <w:pPr>
        <w:spacing w:line="276" w:lineRule="auto"/>
        <w:rPr>
          <w:rFonts w:asciiTheme="majorHAnsi" w:hAnsiTheme="majorHAnsi" w:cstheme="majorHAnsi"/>
        </w:rPr>
      </w:pPr>
      <w:r w:rsidRPr="007B3DA1">
        <w:rPr>
          <w:rFonts w:asciiTheme="majorHAnsi" w:hAnsiTheme="majorHAnsi" w:cstheme="majorHAnsi"/>
        </w:rPr>
        <w:t xml:space="preserve">A </w:t>
      </w:r>
      <w:r>
        <w:rPr>
          <w:rFonts w:asciiTheme="majorHAnsi" w:hAnsiTheme="majorHAnsi" w:cstheme="majorHAnsi"/>
        </w:rPr>
        <w:t xml:space="preserve">NOKS </w:t>
      </w:r>
      <w:r w:rsidRPr="007B3DA1">
        <w:rPr>
          <w:rFonts w:asciiTheme="majorHAnsi" w:hAnsiTheme="majorHAnsi" w:cstheme="majorHAnsi"/>
        </w:rPr>
        <w:t>munkakör</w:t>
      </w:r>
      <w:r>
        <w:rPr>
          <w:rFonts w:asciiTheme="majorHAnsi" w:hAnsiTheme="majorHAnsi" w:cstheme="majorHAnsi"/>
        </w:rPr>
        <w:t>ök</w:t>
      </w:r>
      <w:r w:rsidRPr="007B3DA1">
        <w:rPr>
          <w:rFonts w:asciiTheme="majorHAnsi" w:hAnsiTheme="majorHAnsi" w:cstheme="majorHAnsi"/>
        </w:rPr>
        <w:t>ben foglalkoztatottak finanszírozott létszámát megvizsgálva azt állapítjuk meg, hogy</w:t>
      </w:r>
      <w:r>
        <w:rPr>
          <w:rFonts w:asciiTheme="majorHAnsi" w:hAnsiTheme="majorHAnsi" w:cstheme="majorHAnsi"/>
        </w:rPr>
        <w:t xml:space="preserve"> a munkakörhöz kapcsolódó</w:t>
      </w:r>
      <w:r w:rsidR="006C750D">
        <w:rPr>
          <w:rFonts w:asciiTheme="majorHAnsi" w:hAnsiTheme="majorHAnsi" w:cstheme="majorHAnsi"/>
        </w:rPr>
        <w:t xml:space="preserve"> </w:t>
      </w:r>
      <w:r>
        <w:rPr>
          <w:rFonts w:asciiTheme="majorHAnsi" w:hAnsiTheme="majorHAnsi" w:cstheme="majorHAnsi"/>
        </w:rPr>
        <w:t xml:space="preserve">feladatokat </w:t>
      </w:r>
      <w:r w:rsidRPr="007B3DA1">
        <w:rPr>
          <w:rFonts w:asciiTheme="majorHAnsi" w:hAnsiTheme="majorHAnsi" w:cstheme="majorHAnsi"/>
        </w:rPr>
        <w:t xml:space="preserve">az intézmények gyakorlati működéséhez </w:t>
      </w:r>
      <w:r>
        <w:rPr>
          <w:rFonts w:asciiTheme="majorHAnsi" w:hAnsiTheme="majorHAnsi" w:cstheme="majorHAnsi"/>
        </w:rPr>
        <w:t>szükséges igazítani.</w:t>
      </w:r>
      <w:r w:rsidR="006C750D">
        <w:rPr>
          <w:rFonts w:asciiTheme="majorHAnsi" w:hAnsiTheme="majorHAnsi" w:cstheme="majorHAnsi"/>
        </w:rPr>
        <w:t xml:space="preserve"> </w:t>
      </w:r>
      <w:r w:rsidR="00152195">
        <w:rPr>
          <w:rFonts w:asciiTheme="majorHAnsi" w:hAnsiTheme="majorHAnsi" w:cstheme="majorHAnsi"/>
        </w:rPr>
        <w:t xml:space="preserve">A köznevelésben a </w:t>
      </w:r>
      <w:r w:rsidR="00152195" w:rsidRPr="007B3DA1">
        <w:rPr>
          <w:rFonts w:asciiTheme="majorHAnsi" w:hAnsiTheme="majorHAnsi" w:cstheme="majorHAnsi"/>
        </w:rPr>
        <w:t>megnövekedett feladatokra tekintettel javasolt a NOKS munkakörökön belül a feladatok meghatározását rugalmassá tenni, a helyi sajátosságok</w:t>
      </w:r>
      <w:r w:rsidR="00152195">
        <w:rPr>
          <w:rFonts w:asciiTheme="majorHAnsi" w:hAnsiTheme="majorHAnsi" w:cstheme="majorHAnsi"/>
        </w:rPr>
        <w:t>at</w:t>
      </w:r>
      <w:r w:rsidR="00152195" w:rsidRPr="007B3DA1">
        <w:rPr>
          <w:rFonts w:asciiTheme="majorHAnsi" w:hAnsiTheme="majorHAnsi" w:cstheme="majorHAnsi"/>
        </w:rPr>
        <w:t xml:space="preserve"> figyelembe</w:t>
      </w:r>
      <w:r w:rsidR="00152195">
        <w:rPr>
          <w:rFonts w:asciiTheme="majorHAnsi" w:hAnsiTheme="majorHAnsi" w:cstheme="majorHAnsi"/>
        </w:rPr>
        <w:t xml:space="preserve"> venni és a dolgozók </w:t>
      </w:r>
      <w:r w:rsidR="00152195" w:rsidRPr="007B3DA1">
        <w:rPr>
          <w:rFonts w:asciiTheme="majorHAnsi" w:hAnsiTheme="majorHAnsi" w:cstheme="majorHAnsi"/>
        </w:rPr>
        <w:t>megadott létszámkeret</w:t>
      </w:r>
      <w:r w:rsidR="00152195">
        <w:rPr>
          <w:rFonts w:asciiTheme="majorHAnsi" w:hAnsiTheme="majorHAnsi" w:cstheme="majorHAnsi"/>
        </w:rPr>
        <w:t>ét megtartva</w:t>
      </w:r>
      <w:r w:rsidR="00152195" w:rsidRPr="007B3DA1">
        <w:rPr>
          <w:rFonts w:asciiTheme="majorHAnsi" w:hAnsiTheme="majorHAnsi" w:cstheme="majorHAnsi"/>
        </w:rPr>
        <w:t xml:space="preserve"> az adott lehetőségekhez </w:t>
      </w:r>
      <w:r w:rsidR="00152195">
        <w:rPr>
          <w:rFonts w:asciiTheme="majorHAnsi" w:hAnsiTheme="majorHAnsi" w:cstheme="majorHAnsi"/>
        </w:rPr>
        <w:t>igazodva ellátni a feladatokat</w:t>
      </w:r>
      <w:r w:rsidR="00152195" w:rsidRPr="007B3DA1">
        <w:rPr>
          <w:rFonts w:asciiTheme="majorHAnsi" w:hAnsiTheme="majorHAnsi" w:cstheme="majorHAnsi"/>
        </w:rPr>
        <w:t>.</w:t>
      </w:r>
    </w:p>
    <w:p w14:paraId="4950B737" w14:textId="77777777" w:rsidR="00060381" w:rsidRPr="00590E5D" w:rsidRDefault="00060381" w:rsidP="00060381">
      <w:pPr>
        <w:spacing w:line="276" w:lineRule="auto"/>
        <w:rPr>
          <w:rFonts w:asciiTheme="majorHAnsi" w:hAnsiTheme="majorHAnsi" w:cstheme="majorHAnsi"/>
          <w:u w:val="single"/>
        </w:rPr>
      </w:pPr>
      <w:r w:rsidRPr="00590E5D">
        <w:rPr>
          <w:rFonts w:asciiTheme="majorHAnsi" w:hAnsiTheme="majorHAnsi" w:cstheme="majorHAnsi"/>
          <w:u w:val="single"/>
        </w:rPr>
        <w:t xml:space="preserve">A </w:t>
      </w:r>
      <w:r>
        <w:rPr>
          <w:rFonts w:asciiTheme="majorHAnsi" w:hAnsiTheme="majorHAnsi" w:cstheme="majorHAnsi"/>
          <w:u w:val="single"/>
        </w:rPr>
        <w:t>n</w:t>
      </w:r>
      <w:r w:rsidRPr="00060381">
        <w:rPr>
          <w:rFonts w:asciiTheme="majorHAnsi" w:hAnsiTheme="majorHAnsi" w:cstheme="majorHAnsi"/>
          <w:u w:val="single"/>
        </w:rPr>
        <w:t>evelő-oktató munkát közvetl</w:t>
      </w:r>
      <w:r>
        <w:rPr>
          <w:rFonts w:asciiTheme="majorHAnsi" w:hAnsiTheme="majorHAnsi" w:cstheme="majorHAnsi"/>
          <w:u w:val="single"/>
        </w:rPr>
        <w:t xml:space="preserve">enül segítők szerepének növeléséhez </w:t>
      </w:r>
      <w:r w:rsidRPr="00590E5D">
        <w:rPr>
          <w:rFonts w:asciiTheme="majorHAnsi" w:hAnsiTheme="majorHAnsi" w:cstheme="majorHAnsi"/>
          <w:u w:val="single"/>
        </w:rPr>
        <w:t>kapcsolódó legfontosabb fejlesztési irányok:</w:t>
      </w:r>
    </w:p>
    <w:p w14:paraId="38918EA0" w14:textId="77777777" w:rsidR="00060381" w:rsidRDefault="00806170" w:rsidP="00E6751A">
      <w:pPr>
        <w:pStyle w:val="Listaszerbekezds"/>
        <w:numPr>
          <w:ilvl w:val="0"/>
          <w:numId w:val="6"/>
        </w:numPr>
        <w:spacing w:line="276" w:lineRule="auto"/>
        <w:rPr>
          <w:rFonts w:asciiTheme="majorHAnsi" w:hAnsiTheme="majorHAnsi" w:cstheme="majorHAnsi"/>
        </w:rPr>
      </w:pPr>
      <w:r>
        <w:rPr>
          <w:rFonts w:asciiTheme="majorHAnsi" w:hAnsiTheme="majorHAnsi" w:cstheme="majorHAnsi"/>
        </w:rPr>
        <w:t xml:space="preserve">nevelő-oktató munkát közvetlenül segítők </w:t>
      </w:r>
      <w:r w:rsidR="0022714C">
        <w:rPr>
          <w:rFonts w:asciiTheme="majorHAnsi" w:hAnsiTheme="majorHAnsi" w:cstheme="majorHAnsi"/>
        </w:rPr>
        <w:t>létszámának</w:t>
      </w:r>
      <w:r>
        <w:rPr>
          <w:rFonts w:asciiTheme="majorHAnsi" w:hAnsiTheme="majorHAnsi" w:cstheme="majorHAnsi"/>
        </w:rPr>
        <w:t xml:space="preserve"> bővítése,</w:t>
      </w:r>
    </w:p>
    <w:p w14:paraId="43195B34" w14:textId="77777777" w:rsidR="00806170" w:rsidRDefault="00806170" w:rsidP="00E6751A">
      <w:pPr>
        <w:pStyle w:val="Listaszerbekezds"/>
        <w:numPr>
          <w:ilvl w:val="0"/>
          <w:numId w:val="6"/>
        </w:numPr>
        <w:spacing w:line="276" w:lineRule="auto"/>
        <w:rPr>
          <w:rFonts w:asciiTheme="majorHAnsi" w:hAnsiTheme="majorHAnsi" w:cstheme="majorHAnsi"/>
        </w:rPr>
      </w:pPr>
      <w:r>
        <w:rPr>
          <w:rFonts w:asciiTheme="majorHAnsi" w:hAnsiTheme="majorHAnsi" w:cstheme="majorHAnsi"/>
        </w:rPr>
        <w:t xml:space="preserve">a nevelő-oktató munkát közvetlenül segítőkre vonatkozó szabályozás felülvizsgálata az egyedi intézményi sajátosságok fokozottabb érvényesíthetőségének céljából.  </w:t>
      </w:r>
    </w:p>
    <w:p w14:paraId="4B513D5F" w14:textId="77777777" w:rsidR="00D10D45" w:rsidRPr="00D10D45" w:rsidRDefault="00D10D45" w:rsidP="00D10D45">
      <w:pPr>
        <w:spacing w:line="276" w:lineRule="auto"/>
        <w:rPr>
          <w:rFonts w:asciiTheme="majorHAnsi" w:hAnsiTheme="majorHAnsi" w:cstheme="majorHAnsi"/>
        </w:rPr>
      </w:pPr>
    </w:p>
    <w:p w14:paraId="3ECCB3E1" w14:textId="77777777" w:rsidR="00FC410A" w:rsidRDefault="00FC0809" w:rsidP="00FC410A">
      <w:pPr>
        <w:pStyle w:val="Cmsor3"/>
      </w:pPr>
      <w:bookmarkStart w:id="58" w:name="_Toc35596136"/>
      <w:bookmarkStart w:id="59" w:name="_Toc46822713"/>
      <w:r>
        <w:t>I</w:t>
      </w:r>
      <w:r w:rsidR="00670695">
        <w:t>ntézményvezető</w:t>
      </w:r>
      <w:r w:rsidR="00E52857">
        <w:t>i munka hatékonyságának és mérhetőségének fejlesztése</w:t>
      </w:r>
      <w:bookmarkEnd w:id="58"/>
      <w:bookmarkEnd w:id="59"/>
    </w:p>
    <w:p w14:paraId="4E1D9E59" w14:textId="77777777" w:rsidR="00FC410A" w:rsidRDefault="00FC410A" w:rsidP="00FC410A">
      <w:r>
        <w:t>Az intézményvezetők kulcsszerepet játszanak a köznevelési feladatellátás hatékony</w:t>
      </w:r>
      <w:r w:rsidR="00907CBA">
        <w:t xml:space="preserve"> és</w:t>
      </w:r>
      <w:r>
        <w:t xml:space="preserve"> eredményes</w:t>
      </w:r>
      <w:r w:rsidR="00907CBA">
        <w:t xml:space="preserve"> ellátásában</w:t>
      </w:r>
      <w:r>
        <w:t>, a pedagógusok felkészültségének és elkötelezettségének megerősítésében, a motiváló tanulási környezet megteremtésében. Ezért kiemelten fontos, hogy az intézményvezetők</w:t>
      </w:r>
      <w:r w:rsidR="003B33E9">
        <w:t xml:space="preserve"> feladatellátásának</w:t>
      </w:r>
      <w:r>
        <w:t xml:space="preserve"> szakmai támogatása és minőségbiztosítása megerősödjön.</w:t>
      </w:r>
    </w:p>
    <w:p w14:paraId="61508D7A" w14:textId="77777777" w:rsidR="00FC410A" w:rsidRPr="00FC410A" w:rsidRDefault="00FC410A" w:rsidP="00FC410A">
      <w:pPr>
        <w:rPr>
          <w:u w:val="single"/>
        </w:rPr>
      </w:pPr>
      <w:r w:rsidRPr="00FC410A">
        <w:rPr>
          <w:u w:val="single"/>
        </w:rPr>
        <w:t>Az intézményvezetői feladatellátáshoz kapcsolódó legfontosabb fejlesztési irányok:</w:t>
      </w:r>
    </w:p>
    <w:p w14:paraId="6A5076A8" w14:textId="77777777" w:rsidR="003B33E9" w:rsidRPr="003B33E9" w:rsidRDefault="00C24A11" w:rsidP="00E6751A">
      <w:pPr>
        <w:pStyle w:val="Listaszerbekezds"/>
        <w:numPr>
          <w:ilvl w:val="0"/>
          <w:numId w:val="7"/>
        </w:numPr>
      </w:pPr>
      <w:r>
        <w:rPr>
          <w:rFonts w:asciiTheme="majorHAnsi" w:hAnsiTheme="majorHAnsi" w:cstheme="majorHAnsi"/>
        </w:rPr>
        <w:t xml:space="preserve">intézményvezetők szakmai munkájának </w:t>
      </w:r>
      <w:r w:rsidR="003B33E9">
        <w:rPr>
          <w:rFonts w:asciiTheme="majorHAnsi" w:hAnsiTheme="majorHAnsi" w:cstheme="majorHAnsi"/>
        </w:rPr>
        <w:t xml:space="preserve">támogatása, vezetői felkészítés </w:t>
      </w:r>
      <w:r w:rsidR="00A9511A">
        <w:rPr>
          <w:rFonts w:asciiTheme="majorHAnsi" w:hAnsiTheme="majorHAnsi" w:cstheme="majorHAnsi"/>
        </w:rPr>
        <w:t>fejlesztése;</w:t>
      </w:r>
    </w:p>
    <w:p w14:paraId="2BE4F61B" w14:textId="77777777" w:rsidR="00FC410A" w:rsidRPr="00A9511A" w:rsidRDefault="00A9511A" w:rsidP="00E6751A">
      <w:pPr>
        <w:pStyle w:val="Listaszerbekezds"/>
        <w:numPr>
          <w:ilvl w:val="0"/>
          <w:numId w:val="7"/>
        </w:numPr>
      </w:pPr>
      <w:r>
        <w:rPr>
          <w:rFonts w:asciiTheme="majorHAnsi" w:hAnsiTheme="majorHAnsi" w:cstheme="majorHAnsi"/>
        </w:rPr>
        <w:t>intézményvezetői tevékenység mérésének, értékelésének megerősítése.</w:t>
      </w:r>
    </w:p>
    <w:p w14:paraId="09C232F1" w14:textId="77777777" w:rsidR="00A9511A" w:rsidRPr="00FC410A" w:rsidRDefault="00A9511A" w:rsidP="00A9511A">
      <w:pPr>
        <w:pStyle w:val="Listaszerbekezds"/>
      </w:pPr>
    </w:p>
    <w:p w14:paraId="7A2905D0" w14:textId="77777777" w:rsidR="00B86FE8" w:rsidRPr="00DC6C83" w:rsidRDefault="00B86FE8" w:rsidP="00D921A9">
      <w:pPr>
        <w:pStyle w:val="Cmsor4"/>
      </w:pPr>
      <w:bookmarkStart w:id="60" w:name="_Toc29900319"/>
      <w:bookmarkStart w:id="61" w:name="_Toc29900320"/>
      <w:bookmarkStart w:id="62" w:name="_Toc29900321"/>
      <w:bookmarkStart w:id="63" w:name="_Toc29900322"/>
      <w:bookmarkStart w:id="64" w:name="_Toc35596137"/>
      <w:bookmarkStart w:id="65" w:name="_Toc46822714"/>
      <w:bookmarkEnd w:id="60"/>
      <w:bookmarkEnd w:id="61"/>
      <w:bookmarkEnd w:id="62"/>
      <w:bookmarkEnd w:id="63"/>
      <w:r w:rsidRPr="00DC6C83">
        <w:t>Az intézményvezető</w:t>
      </w:r>
      <w:r w:rsidR="00F8615E">
        <w:t>i munka</w:t>
      </w:r>
      <w:r w:rsidRPr="00DC6C83">
        <w:t xml:space="preserve"> hatékonyságának növelése</w:t>
      </w:r>
      <w:bookmarkEnd w:id="64"/>
      <w:bookmarkEnd w:id="65"/>
    </w:p>
    <w:p w14:paraId="12D0FA98" w14:textId="77777777"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Az elmúlt évtizedek szakmapolitikai beavatkozásait vizsgálva látható, hogy az intézményvezetői munka hatékonysága a szakpolitikák jelentős részében központi elemként jelent meg. </w:t>
      </w:r>
      <w:r w:rsidRPr="000A7388">
        <w:rPr>
          <w:rFonts w:asciiTheme="majorHAnsi" w:hAnsiTheme="majorHAnsi" w:cstheme="majorHAnsi"/>
        </w:rPr>
        <w:t xml:space="preserve">Ennek oka az a felismerés, hogy a hatékony vezetésnek kulcsszerepe van a motiváló tanulási környezet és intézményi </w:t>
      </w:r>
      <w:r w:rsidR="00907CBA">
        <w:rPr>
          <w:rFonts w:asciiTheme="majorHAnsi" w:hAnsiTheme="majorHAnsi" w:cstheme="majorHAnsi"/>
        </w:rPr>
        <w:t>légkör</w:t>
      </w:r>
      <w:r w:rsidRPr="000A7388">
        <w:rPr>
          <w:rFonts w:asciiTheme="majorHAnsi" w:hAnsiTheme="majorHAnsi" w:cstheme="majorHAnsi"/>
        </w:rPr>
        <w:t xml:space="preserve">, valamint a pedagógusok fejlődését elősegítő szervezet kialakításában, </w:t>
      </w:r>
      <w:r w:rsidR="00907CBA">
        <w:rPr>
          <w:rFonts w:asciiTheme="majorHAnsi" w:hAnsiTheme="majorHAnsi" w:cstheme="majorHAnsi"/>
        </w:rPr>
        <w:t>amely</w:t>
      </w:r>
      <w:r w:rsidRPr="000A7388">
        <w:rPr>
          <w:rFonts w:asciiTheme="majorHAnsi" w:hAnsiTheme="majorHAnsi" w:cstheme="majorHAnsi"/>
        </w:rPr>
        <w:t xml:space="preserve"> </w:t>
      </w:r>
      <w:r w:rsidR="00152195" w:rsidRPr="000A7388">
        <w:rPr>
          <w:rFonts w:asciiTheme="majorHAnsi" w:hAnsiTheme="majorHAnsi" w:cstheme="majorHAnsi"/>
        </w:rPr>
        <w:t>ez által</w:t>
      </w:r>
      <w:r w:rsidRPr="000A7388">
        <w:rPr>
          <w:rFonts w:asciiTheme="majorHAnsi" w:hAnsiTheme="majorHAnsi" w:cstheme="majorHAnsi"/>
        </w:rPr>
        <w:t xml:space="preserve"> pedig jelentős hatást gyakorol a tanulói teljesítményekre is. A fejlesztési t</w:t>
      </w:r>
      <w:r w:rsidRPr="00DC6C83">
        <w:rPr>
          <w:rFonts w:asciiTheme="majorHAnsi" w:hAnsiTheme="majorHAnsi" w:cstheme="majorHAnsi"/>
        </w:rPr>
        <w:t xml:space="preserve">örekvésekkel párhuzamosan egyre hangsúlyosabb az </w:t>
      </w:r>
      <w:r w:rsidRPr="00DC6C83">
        <w:rPr>
          <w:rFonts w:asciiTheme="majorHAnsi" w:hAnsiTheme="majorHAnsi" w:cstheme="majorHAnsi"/>
        </w:rPr>
        <w:lastRenderedPageBreak/>
        <w:t xml:space="preserve">intézményvezetők munkájának értékelése, vagyis megjelenik egy, az elszámoltathatóságot előtérbe helyező törekvés, ez pedig szükségessé teszi az intézményvezetői munka hatékonyságának mérését is. </w:t>
      </w:r>
    </w:p>
    <w:p w14:paraId="3DA437D9" w14:textId="77777777" w:rsidR="008A538B" w:rsidRPr="008A538B" w:rsidRDefault="00B86FE8" w:rsidP="008A538B">
      <w:pPr>
        <w:rPr>
          <w:rFonts w:asciiTheme="majorHAnsi" w:hAnsiTheme="majorHAnsi" w:cstheme="majorHAnsi"/>
        </w:rPr>
      </w:pPr>
      <w:r w:rsidRPr="00DC6C83">
        <w:rPr>
          <w:rFonts w:asciiTheme="majorHAnsi" w:hAnsiTheme="majorHAnsi" w:cstheme="majorHAnsi"/>
        </w:rPr>
        <w:t xml:space="preserve">A hatékonyságnövelés első lépése azoknak a területeknek az azonosítása, </w:t>
      </w:r>
      <w:r w:rsidR="00907CBA">
        <w:rPr>
          <w:rFonts w:asciiTheme="majorHAnsi" w:hAnsiTheme="majorHAnsi" w:cstheme="majorHAnsi"/>
        </w:rPr>
        <w:t>a</w:t>
      </w:r>
      <w:r w:rsidRPr="00DC6C83">
        <w:rPr>
          <w:rFonts w:asciiTheme="majorHAnsi" w:hAnsiTheme="majorHAnsi" w:cstheme="majorHAnsi"/>
        </w:rPr>
        <w:t>melyek az intézményvezetők felelősségi köréhez tartoznak. A vonatkozó kutatások megerősítik, hogy ezt a komplex feladat</w:t>
      </w:r>
      <w:r w:rsidR="00907CBA">
        <w:rPr>
          <w:rFonts w:asciiTheme="majorHAnsi" w:hAnsiTheme="majorHAnsi" w:cstheme="majorHAnsi"/>
        </w:rPr>
        <w:t>ot</w:t>
      </w:r>
      <w:r w:rsidRPr="00DC6C83">
        <w:rPr>
          <w:rFonts w:asciiTheme="majorHAnsi" w:hAnsiTheme="majorHAnsi" w:cstheme="majorHAnsi"/>
        </w:rPr>
        <w:t xml:space="preserve"> kizárólag </w:t>
      </w:r>
      <w:r w:rsidR="00885B7D">
        <w:rPr>
          <w:rFonts w:asciiTheme="majorHAnsi" w:hAnsiTheme="majorHAnsi" w:cstheme="majorHAnsi"/>
        </w:rPr>
        <w:t>kellő felelősséggel</w:t>
      </w:r>
      <w:r w:rsidRPr="00DC6C83">
        <w:rPr>
          <w:rFonts w:asciiTheme="majorHAnsi" w:hAnsiTheme="majorHAnsi" w:cstheme="majorHAnsi"/>
        </w:rPr>
        <w:t xml:space="preserve"> lehet hatékonyan elvégezni. Ugyanakkor az is kiderült, hogy önmagában az autonómia nem elégséges a hatékonyság növeléséhez, szükséges egy állandóan jelen levő támogató</w:t>
      </w:r>
      <w:r w:rsidR="001D2570">
        <w:rPr>
          <w:rFonts w:asciiTheme="majorHAnsi" w:hAnsiTheme="majorHAnsi" w:cstheme="majorHAnsi"/>
        </w:rPr>
        <w:t xml:space="preserve"> és ellenőrzési</w:t>
      </w:r>
      <w:r w:rsidRPr="00DC6C83">
        <w:rPr>
          <w:rFonts w:asciiTheme="majorHAnsi" w:hAnsiTheme="majorHAnsi" w:cstheme="majorHAnsi"/>
        </w:rPr>
        <w:t xml:space="preserve"> rendszer, </w:t>
      </w:r>
      <w:r w:rsidR="00907CBA">
        <w:rPr>
          <w:rFonts w:asciiTheme="majorHAnsi" w:hAnsiTheme="majorHAnsi" w:cstheme="majorHAnsi"/>
        </w:rPr>
        <w:t>a</w:t>
      </w:r>
      <w:r w:rsidRPr="00DC6C83">
        <w:rPr>
          <w:rFonts w:asciiTheme="majorHAnsi" w:hAnsiTheme="majorHAnsi" w:cstheme="majorHAnsi"/>
        </w:rPr>
        <w:t xml:space="preserve">mely segíti a vezetőket feladatai </w:t>
      </w:r>
      <w:r w:rsidR="00F8615E">
        <w:rPr>
          <w:rFonts w:asciiTheme="majorHAnsi" w:hAnsiTheme="majorHAnsi" w:cstheme="majorHAnsi"/>
        </w:rPr>
        <w:t xml:space="preserve">és lehetőségei </w:t>
      </w:r>
      <w:r w:rsidRPr="00DC6C83">
        <w:rPr>
          <w:rFonts w:asciiTheme="majorHAnsi" w:hAnsiTheme="majorHAnsi" w:cstheme="majorHAnsi"/>
        </w:rPr>
        <w:t>pontos</w:t>
      </w:r>
      <w:r w:rsidR="00EF7631">
        <w:rPr>
          <w:rFonts w:asciiTheme="majorHAnsi" w:hAnsiTheme="majorHAnsi" w:cstheme="majorHAnsi"/>
        </w:rPr>
        <w:t xml:space="preserve"> </w:t>
      </w:r>
      <w:r w:rsidR="00F8615E">
        <w:rPr>
          <w:rFonts w:asciiTheme="majorHAnsi" w:hAnsiTheme="majorHAnsi" w:cstheme="majorHAnsi"/>
        </w:rPr>
        <w:t>felismerésében és annak megvalósításában</w:t>
      </w:r>
      <w:r w:rsidRPr="00DC6C83">
        <w:rPr>
          <w:rFonts w:asciiTheme="majorHAnsi" w:hAnsiTheme="majorHAnsi" w:cstheme="majorHAnsi"/>
        </w:rPr>
        <w:t xml:space="preserve">. </w:t>
      </w:r>
    </w:p>
    <w:p w14:paraId="762A60C6" w14:textId="69C9DDD7" w:rsidR="00B86FE8" w:rsidRPr="00DC6C83" w:rsidRDefault="008A538B" w:rsidP="008A538B">
      <w:pPr>
        <w:rPr>
          <w:rFonts w:asciiTheme="majorHAnsi" w:hAnsiTheme="majorHAnsi" w:cstheme="majorHAnsi"/>
        </w:rPr>
      </w:pPr>
      <w:r w:rsidRPr="008A538B">
        <w:rPr>
          <w:rFonts w:asciiTheme="majorHAnsi" w:hAnsiTheme="majorHAnsi" w:cstheme="majorHAnsi"/>
        </w:rPr>
        <w:t>Fontos tudatosítani az</w:t>
      </w:r>
      <w:r>
        <w:rPr>
          <w:rFonts w:asciiTheme="majorHAnsi" w:hAnsiTheme="majorHAnsi" w:cstheme="majorHAnsi"/>
        </w:rPr>
        <w:t xml:space="preserve"> </w:t>
      </w:r>
      <w:r w:rsidRPr="008A538B">
        <w:rPr>
          <w:rFonts w:asciiTheme="majorHAnsi" w:hAnsiTheme="majorHAnsi" w:cstheme="majorHAnsi"/>
        </w:rPr>
        <w:t>intézményvezetők szerepének jelentőségét</w:t>
      </w:r>
      <w:r w:rsidR="00152195" w:rsidRPr="00DC6C83">
        <w:rPr>
          <w:rFonts w:asciiTheme="majorHAnsi" w:hAnsiTheme="majorHAnsi" w:cstheme="majorHAnsi"/>
        </w:rPr>
        <w:t xml:space="preserve"> a</w:t>
      </w:r>
      <w:r w:rsidR="004203BA">
        <w:rPr>
          <w:rFonts w:asciiTheme="majorHAnsi" w:hAnsiTheme="majorHAnsi" w:cstheme="majorHAnsi"/>
        </w:rPr>
        <w:t>z iskolai teljesítmény javítása</w:t>
      </w:r>
      <w:r w:rsidR="00152195" w:rsidRPr="00DC6C83">
        <w:rPr>
          <w:rFonts w:asciiTheme="majorHAnsi" w:hAnsiTheme="majorHAnsi" w:cstheme="majorHAnsi"/>
        </w:rPr>
        <w:t xml:space="preserve"> tekintetében, fő feladatukat az iskola működtetésé</w:t>
      </w:r>
      <w:r w:rsidR="00152195">
        <w:rPr>
          <w:rFonts w:asciiTheme="majorHAnsi" w:hAnsiTheme="majorHAnsi" w:cstheme="majorHAnsi"/>
        </w:rPr>
        <w:t xml:space="preserve">vel összefüggésben </w:t>
      </w:r>
      <w:r w:rsidR="00152195" w:rsidRPr="00DC6C83">
        <w:rPr>
          <w:rFonts w:asciiTheme="majorHAnsi" w:hAnsiTheme="majorHAnsi" w:cstheme="majorHAnsi"/>
        </w:rPr>
        <w:t xml:space="preserve">alapvetően az eszközrendszer </w:t>
      </w:r>
      <w:r w:rsidR="00152195">
        <w:rPr>
          <w:rFonts w:asciiTheme="majorHAnsi" w:hAnsiTheme="majorHAnsi" w:cstheme="majorHAnsi"/>
        </w:rPr>
        <w:t xml:space="preserve">megteremtésében </w:t>
      </w:r>
      <w:r w:rsidR="00152195" w:rsidRPr="00DC6C83">
        <w:rPr>
          <w:rFonts w:asciiTheme="majorHAnsi" w:hAnsiTheme="majorHAnsi" w:cstheme="majorHAnsi"/>
        </w:rPr>
        <w:t xml:space="preserve">látják, holott </w:t>
      </w:r>
      <w:r w:rsidR="00152195">
        <w:rPr>
          <w:rFonts w:asciiTheme="majorHAnsi" w:hAnsiTheme="majorHAnsi" w:cstheme="majorHAnsi"/>
        </w:rPr>
        <w:t xml:space="preserve">elsősorban </w:t>
      </w:r>
      <w:r w:rsidR="00152195" w:rsidRPr="00DC6C83">
        <w:rPr>
          <w:rFonts w:asciiTheme="majorHAnsi" w:hAnsiTheme="majorHAnsi" w:cstheme="majorHAnsi"/>
        </w:rPr>
        <w:t>nem erről van szó</w:t>
      </w:r>
      <w:r w:rsidR="00152195">
        <w:rPr>
          <w:rFonts w:asciiTheme="majorHAnsi" w:hAnsiTheme="majorHAnsi" w:cstheme="majorHAnsi"/>
        </w:rPr>
        <w:t xml:space="preserve">, hanem például a mérési eredmények visszacsatolása, a tantestület orientálása a továbbképzések választékában, az innovációt támogató intézményi légkör kialakítása, a módszertani megoldások gazdagítása terén </w:t>
      </w:r>
      <w:r w:rsidR="00521E2C">
        <w:rPr>
          <w:rFonts w:asciiTheme="majorHAnsi" w:hAnsiTheme="majorHAnsi" w:cstheme="majorHAnsi"/>
        </w:rPr>
        <w:t xml:space="preserve">is </w:t>
      </w:r>
      <w:r w:rsidR="00152195">
        <w:rPr>
          <w:rFonts w:asciiTheme="majorHAnsi" w:hAnsiTheme="majorHAnsi" w:cstheme="majorHAnsi"/>
        </w:rPr>
        <w:t>lenne kiemelt feladatuk</w:t>
      </w:r>
      <w:r w:rsidR="00152195" w:rsidRPr="00DC6C83">
        <w:rPr>
          <w:rFonts w:asciiTheme="majorHAnsi" w:hAnsiTheme="majorHAnsi" w:cstheme="majorHAnsi"/>
        </w:rPr>
        <w:t xml:space="preserve">. </w:t>
      </w:r>
    </w:p>
    <w:p w14:paraId="52CF77AD" w14:textId="77777777" w:rsidR="00B86FE8" w:rsidRPr="00DC6C83" w:rsidRDefault="000362FD" w:rsidP="00B86FE8">
      <w:pPr>
        <w:rPr>
          <w:rFonts w:asciiTheme="majorHAnsi" w:hAnsiTheme="majorHAnsi" w:cstheme="majorHAnsi"/>
        </w:rPr>
      </w:pPr>
      <w:r>
        <w:rPr>
          <w:rFonts w:asciiTheme="majorHAnsi" w:hAnsiTheme="majorHAnsi" w:cstheme="majorHAnsi"/>
        </w:rPr>
        <w:t xml:space="preserve">A vezetőket munkájukban </w:t>
      </w:r>
      <w:r w:rsidR="00C64DB8" w:rsidRPr="00DC6C83">
        <w:rPr>
          <w:rFonts w:asciiTheme="majorHAnsi" w:hAnsiTheme="majorHAnsi" w:cstheme="majorHAnsi"/>
        </w:rPr>
        <w:t>a vezetői tanfelügyelet, illetve a szakvizsg</w:t>
      </w:r>
      <w:r w:rsidR="00C64DB8">
        <w:rPr>
          <w:rFonts w:asciiTheme="majorHAnsi" w:hAnsiTheme="majorHAnsi" w:cstheme="majorHAnsi"/>
        </w:rPr>
        <w:t>a</w:t>
      </w:r>
      <w:r w:rsidR="00C64DB8" w:rsidRPr="00DC6C83">
        <w:rPr>
          <w:rFonts w:asciiTheme="majorHAnsi" w:hAnsiTheme="majorHAnsi" w:cstheme="majorHAnsi"/>
        </w:rPr>
        <w:t xml:space="preserve"> rendszere</w:t>
      </w:r>
      <w:r>
        <w:rPr>
          <w:rFonts w:asciiTheme="majorHAnsi" w:hAnsiTheme="majorHAnsi" w:cstheme="majorHAnsi"/>
        </w:rPr>
        <w:t xml:space="preserve"> támogatja</w:t>
      </w:r>
      <w:r w:rsidR="00C64DB8" w:rsidRPr="00DC6C83">
        <w:rPr>
          <w:rFonts w:asciiTheme="majorHAnsi" w:hAnsiTheme="majorHAnsi" w:cstheme="majorHAnsi"/>
        </w:rPr>
        <w:t xml:space="preserve">, </w:t>
      </w:r>
      <w:r w:rsidR="00907CBA">
        <w:rPr>
          <w:rFonts w:asciiTheme="majorHAnsi" w:hAnsiTheme="majorHAnsi" w:cstheme="majorHAnsi"/>
        </w:rPr>
        <w:t>a</w:t>
      </w:r>
      <w:r w:rsidR="00C64DB8" w:rsidRPr="00DC6C83">
        <w:rPr>
          <w:rFonts w:asciiTheme="majorHAnsi" w:hAnsiTheme="majorHAnsi" w:cstheme="majorHAnsi"/>
        </w:rPr>
        <w:t>mely célzottan</w:t>
      </w:r>
      <w:r w:rsidR="00907CBA">
        <w:rPr>
          <w:rFonts w:asciiTheme="majorHAnsi" w:hAnsiTheme="majorHAnsi" w:cstheme="majorHAnsi"/>
        </w:rPr>
        <w:t>,</w:t>
      </w:r>
      <w:r w:rsidR="00C64DB8" w:rsidRPr="00DC6C83">
        <w:rPr>
          <w:rFonts w:asciiTheme="majorHAnsi" w:hAnsiTheme="majorHAnsi" w:cstheme="majorHAnsi"/>
        </w:rPr>
        <w:t xml:space="preserve"> a vezetőkre szabottan működik, segítve őket hatékonyságuk növelésében. </w:t>
      </w:r>
      <w:r w:rsidR="00B86FE8" w:rsidRPr="00DC6C83">
        <w:rPr>
          <w:rFonts w:asciiTheme="majorHAnsi" w:hAnsiTheme="majorHAnsi" w:cstheme="majorHAnsi"/>
        </w:rPr>
        <w:t xml:space="preserve"> A vezetőképzés esetében szükségesnek tűnik a vezető</w:t>
      </w:r>
      <w:r w:rsidR="003B33E9">
        <w:rPr>
          <w:rFonts w:asciiTheme="majorHAnsi" w:hAnsiTheme="majorHAnsi" w:cstheme="majorHAnsi"/>
        </w:rPr>
        <w:t>k és leendő vezetők</w:t>
      </w:r>
      <w:r w:rsidR="00B86FE8" w:rsidRPr="00DC6C83">
        <w:rPr>
          <w:rFonts w:asciiTheme="majorHAnsi" w:hAnsiTheme="majorHAnsi" w:cstheme="majorHAnsi"/>
        </w:rPr>
        <w:t xml:space="preserve"> tanulási folyamat</w:t>
      </w:r>
      <w:r w:rsidR="0022714C">
        <w:rPr>
          <w:rFonts w:asciiTheme="majorHAnsi" w:hAnsiTheme="majorHAnsi" w:cstheme="majorHAnsi"/>
        </w:rPr>
        <w:t>uk</w:t>
      </w:r>
      <w:r w:rsidR="00B86FE8" w:rsidRPr="00DC6C83">
        <w:rPr>
          <w:rFonts w:asciiTheme="majorHAnsi" w:hAnsiTheme="majorHAnsi" w:cstheme="majorHAnsi"/>
        </w:rPr>
        <w:t xml:space="preserve">ba történő intenzívebb bevonása, a későbbiekben önszabályozott fejlesztésre ösztönzése. </w:t>
      </w:r>
      <w:r w:rsidR="00F8615E">
        <w:rPr>
          <w:rFonts w:asciiTheme="majorHAnsi" w:hAnsiTheme="majorHAnsi" w:cstheme="majorHAnsi"/>
        </w:rPr>
        <w:t xml:space="preserve">A vezetői felkészítésnek, a munkavégzés során </w:t>
      </w:r>
      <w:r w:rsidR="00907CBA">
        <w:rPr>
          <w:rFonts w:asciiTheme="majorHAnsi" w:hAnsiTheme="majorHAnsi" w:cstheme="majorHAnsi"/>
        </w:rPr>
        <w:t>nyújtott</w:t>
      </w:r>
      <w:r w:rsidR="00F8615E">
        <w:rPr>
          <w:rFonts w:asciiTheme="majorHAnsi" w:hAnsiTheme="majorHAnsi" w:cstheme="majorHAnsi"/>
        </w:rPr>
        <w:t xml:space="preserve"> szakmai támogatásnak és az intézményi eredményesség mérésének egy rendszerben kell összeérnie. </w:t>
      </w:r>
    </w:p>
    <w:p w14:paraId="7C2F097A" w14:textId="77777777" w:rsidR="00B86FE8" w:rsidRPr="00DC6C83" w:rsidRDefault="00B86FE8" w:rsidP="00B86FE8">
      <w:pPr>
        <w:rPr>
          <w:rFonts w:asciiTheme="majorHAnsi" w:hAnsiTheme="majorHAnsi" w:cstheme="majorHAnsi"/>
        </w:rPr>
      </w:pPr>
      <w:r w:rsidRPr="00DC6C83">
        <w:rPr>
          <w:rFonts w:asciiTheme="majorHAnsi" w:hAnsiTheme="majorHAnsi" w:cstheme="majorHAnsi"/>
        </w:rPr>
        <w:t>A vezetői feladatkör összetettsége és az azzal járó egyre nagyobb felelősség indokolta a Kormány azon döntését, hogy az intézmények tanulólétszámára tekintettel</w:t>
      </w:r>
      <w:r w:rsidR="00863444">
        <w:rPr>
          <w:rFonts w:asciiTheme="majorHAnsi" w:hAnsiTheme="majorHAnsi" w:cstheme="majorHAnsi"/>
        </w:rPr>
        <w:t>,</w:t>
      </w:r>
      <w:r w:rsidRPr="00DC6C83">
        <w:rPr>
          <w:rFonts w:asciiTheme="majorHAnsi" w:hAnsiTheme="majorHAnsi" w:cstheme="majorHAnsi"/>
        </w:rPr>
        <w:t xml:space="preserve"> érdemben emeljen az inté</w:t>
      </w:r>
      <w:r w:rsidR="00C24A11">
        <w:rPr>
          <w:rFonts w:asciiTheme="majorHAnsi" w:hAnsiTheme="majorHAnsi" w:cstheme="majorHAnsi"/>
        </w:rPr>
        <w:t xml:space="preserve">zményvezetői pótlékon, illetve </w:t>
      </w:r>
      <w:r w:rsidRPr="00DC6C83">
        <w:rPr>
          <w:rFonts w:asciiTheme="majorHAnsi" w:hAnsiTheme="majorHAnsi" w:cstheme="majorHAnsi"/>
        </w:rPr>
        <w:t>a helyettesek, tagintézmény</w:t>
      </w:r>
      <w:r w:rsidR="00C24A11">
        <w:rPr>
          <w:rFonts w:asciiTheme="majorHAnsi" w:hAnsiTheme="majorHAnsi" w:cstheme="majorHAnsi"/>
        </w:rPr>
        <w:t>-</w:t>
      </w:r>
      <w:r w:rsidRPr="00DC6C83">
        <w:rPr>
          <w:rFonts w:asciiTheme="majorHAnsi" w:hAnsiTheme="majorHAnsi" w:cstheme="majorHAnsi"/>
        </w:rPr>
        <w:t>vezetők illetményén. Az intézményvezetés teljesítményét a rendszerszinten bevezetett ösztönzési kereset</w:t>
      </w:r>
      <w:r w:rsidR="00C24A11">
        <w:rPr>
          <w:rFonts w:asciiTheme="majorHAnsi" w:hAnsiTheme="majorHAnsi" w:cstheme="majorHAnsi"/>
        </w:rPr>
        <w:t>-</w:t>
      </w:r>
      <w:r w:rsidRPr="00DC6C83">
        <w:rPr>
          <w:rFonts w:asciiTheme="majorHAnsi" w:hAnsiTheme="majorHAnsi" w:cstheme="majorHAnsi"/>
        </w:rPr>
        <w:t>kiegészítés hivatott jutalmazni</w:t>
      </w:r>
      <w:r w:rsidR="005F0FC6">
        <w:rPr>
          <w:rFonts w:asciiTheme="majorHAnsi" w:hAnsiTheme="majorHAnsi" w:cstheme="majorHAnsi"/>
        </w:rPr>
        <w:t>, az adott oktatási-nevelési intézmény helyzetének, eredményességének figyelembevételével.</w:t>
      </w:r>
    </w:p>
    <w:p w14:paraId="338B8129" w14:textId="77777777" w:rsidR="00B86FE8" w:rsidRPr="00DC6C83" w:rsidRDefault="00B86FE8" w:rsidP="00D921A9">
      <w:pPr>
        <w:pStyle w:val="Cmsor4"/>
      </w:pPr>
      <w:bookmarkStart w:id="66" w:name="_Toc35596138"/>
      <w:bookmarkStart w:id="67" w:name="_Toc46822715"/>
      <w:r w:rsidRPr="00DC6C83">
        <w:t>Intézményvezetők mérése, ellenőrzése (monitoring rendszer)</w:t>
      </w:r>
      <w:bookmarkEnd w:id="66"/>
      <w:bookmarkEnd w:id="67"/>
    </w:p>
    <w:p w14:paraId="09E6D4D8" w14:textId="77777777" w:rsidR="00B86FE8" w:rsidRPr="00DC6C83" w:rsidRDefault="00CA56A1" w:rsidP="00B86FE8">
      <w:pPr>
        <w:rPr>
          <w:rFonts w:asciiTheme="majorHAnsi" w:hAnsiTheme="majorHAnsi" w:cstheme="majorHAnsi"/>
        </w:rPr>
      </w:pPr>
      <w:r>
        <w:rPr>
          <w:rFonts w:asciiTheme="majorHAnsi" w:hAnsiTheme="majorHAnsi" w:cstheme="majorHAnsi"/>
        </w:rPr>
        <w:t xml:space="preserve">A világ minden oktatási rendszerében kiemelt fontosságú az intézményvezetők körének kiválasztása és felkészítése. </w:t>
      </w:r>
      <w:r w:rsidR="00B86FE8" w:rsidRPr="00DC6C83">
        <w:rPr>
          <w:rFonts w:asciiTheme="majorHAnsi" w:hAnsiTheme="majorHAnsi" w:cstheme="majorHAnsi"/>
        </w:rPr>
        <w:t>Magyarországon az intézményvezetők a kinevezésükkor már több éves tapasztalattal rendelkeznek. Szakmai feladatukat, a teljesítendő kihívásokat azonban elsősorban a fenntartó határozza meg, legyen szó állami, egyházi</w:t>
      </w:r>
      <w:r w:rsidR="0066447A">
        <w:rPr>
          <w:rFonts w:asciiTheme="majorHAnsi" w:hAnsiTheme="majorHAnsi" w:cstheme="majorHAnsi"/>
        </w:rPr>
        <w:t>, nemzetiségi</w:t>
      </w:r>
      <w:r w:rsidR="00B86FE8" w:rsidRPr="00DC6C83">
        <w:rPr>
          <w:rFonts w:asciiTheme="majorHAnsi" w:hAnsiTheme="majorHAnsi" w:cstheme="majorHAnsi"/>
        </w:rPr>
        <w:t xml:space="preserve"> vagy magánintézményről. Erre csak részben a már említett ösztönzési kereset</w:t>
      </w:r>
      <w:r w:rsidR="00C24A11">
        <w:rPr>
          <w:rFonts w:asciiTheme="majorHAnsi" w:hAnsiTheme="majorHAnsi" w:cstheme="majorHAnsi"/>
        </w:rPr>
        <w:t>-</w:t>
      </w:r>
      <w:r w:rsidR="00B86FE8" w:rsidRPr="00DC6C83">
        <w:rPr>
          <w:rFonts w:asciiTheme="majorHAnsi" w:hAnsiTheme="majorHAnsi" w:cstheme="majorHAnsi"/>
        </w:rPr>
        <w:t xml:space="preserve">kiegészítés okán van szükség, ellenkezőleg: </w:t>
      </w:r>
      <w:r w:rsidR="000A7388">
        <w:rPr>
          <w:rFonts w:asciiTheme="majorHAnsi" w:hAnsiTheme="majorHAnsi" w:cstheme="majorHAnsi"/>
        </w:rPr>
        <w:t xml:space="preserve">stratégiai </w:t>
      </w:r>
      <w:r w:rsidR="00B86FE8" w:rsidRPr="00DC6C83">
        <w:rPr>
          <w:rFonts w:asciiTheme="majorHAnsi" w:hAnsiTheme="majorHAnsi" w:cstheme="majorHAnsi"/>
        </w:rPr>
        <w:t xml:space="preserve">célok nélkül egy intézmény nem működhet. </w:t>
      </w:r>
    </w:p>
    <w:p w14:paraId="778018DD" w14:textId="77777777" w:rsidR="000A7388" w:rsidRDefault="00B86FE8" w:rsidP="00B86FE8">
      <w:pPr>
        <w:rPr>
          <w:rFonts w:asciiTheme="majorHAnsi" w:hAnsiTheme="majorHAnsi" w:cstheme="majorHAnsi"/>
        </w:rPr>
      </w:pPr>
      <w:r w:rsidRPr="00DC6C83">
        <w:rPr>
          <w:rFonts w:asciiTheme="majorHAnsi" w:hAnsiTheme="majorHAnsi" w:cstheme="majorHAnsi"/>
        </w:rPr>
        <w:t xml:space="preserve">Természetesen minden fenntartó kialakítja a saját maga által meghatározott célértékek, feladatok elérésének </w:t>
      </w:r>
      <w:proofErr w:type="spellStart"/>
      <w:r w:rsidRPr="00DC6C83">
        <w:rPr>
          <w:rFonts w:asciiTheme="majorHAnsi" w:hAnsiTheme="majorHAnsi" w:cstheme="majorHAnsi"/>
        </w:rPr>
        <w:t>monitoringját</w:t>
      </w:r>
      <w:proofErr w:type="spellEnd"/>
      <w:r w:rsidRPr="00DC6C83">
        <w:rPr>
          <w:rFonts w:asciiTheme="majorHAnsi" w:hAnsiTheme="majorHAnsi" w:cstheme="majorHAnsi"/>
        </w:rPr>
        <w:t xml:space="preserve">, legyen </w:t>
      </w:r>
      <w:proofErr w:type="gramStart"/>
      <w:r w:rsidRPr="00DC6C83">
        <w:rPr>
          <w:rFonts w:asciiTheme="majorHAnsi" w:hAnsiTheme="majorHAnsi" w:cstheme="majorHAnsi"/>
        </w:rPr>
        <w:t>szó mérési</w:t>
      </w:r>
      <w:proofErr w:type="gramEnd"/>
      <w:r w:rsidRPr="00DC6C83">
        <w:rPr>
          <w:rFonts w:asciiTheme="majorHAnsi" w:hAnsiTheme="majorHAnsi" w:cstheme="majorHAnsi"/>
        </w:rPr>
        <w:t xml:space="preserve"> eredményről, érettségi átlagról, a </w:t>
      </w:r>
      <w:r w:rsidRPr="00DC6C83">
        <w:rPr>
          <w:rFonts w:asciiTheme="majorHAnsi" w:hAnsiTheme="majorHAnsi" w:cstheme="majorHAnsi"/>
        </w:rPr>
        <w:lastRenderedPageBreak/>
        <w:t xml:space="preserve">lemorzsolódási mutatókról, stb. Az állam azonban rendszerszinten is ellenőrzi az intézményvezetők </w:t>
      </w:r>
      <w:r w:rsidRPr="000A7388">
        <w:rPr>
          <w:rFonts w:asciiTheme="majorHAnsi" w:hAnsiTheme="majorHAnsi" w:cstheme="majorHAnsi"/>
        </w:rPr>
        <w:t xml:space="preserve">munkáját az intézményvezetői tanfelügyelet kapcsán. </w:t>
      </w:r>
    </w:p>
    <w:p w14:paraId="0846D18C" w14:textId="77777777" w:rsidR="00DA54E4" w:rsidRDefault="00DA54E4" w:rsidP="00B86FE8">
      <w:pPr>
        <w:rPr>
          <w:rFonts w:asciiTheme="majorHAnsi" w:hAnsiTheme="majorHAnsi" w:cstheme="majorHAnsi"/>
        </w:rPr>
      </w:pPr>
    </w:p>
    <w:p w14:paraId="1FE193B2" w14:textId="77777777" w:rsidR="000A7388" w:rsidRPr="000A7388" w:rsidRDefault="000A7388" w:rsidP="00D10D45">
      <w:pPr>
        <w:pStyle w:val="Tblacm"/>
        <w:ind w:left="426"/>
        <w:jc w:val="center"/>
      </w:pPr>
      <w:r w:rsidRPr="000A7388">
        <w:t xml:space="preserve">táblázat: Az elmúlt években </w:t>
      </w:r>
      <w:r w:rsidR="0008208B">
        <w:t xml:space="preserve">az intézményvezetőket érintő, </w:t>
      </w:r>
      <w:r w:rsidRPr="000A7388">
        <w:t>megvalósult és a jövőben tervezett tanfelügyeleti, önértékelési eljárások száma</w:t>
      </w:r>
    </w:p>
    <w:tbl>
      <w:tblPr>
        <w:tblStyle w:val="Tblzatrcsos1vilgos2jellszn1"/>
        <w:tblW w:w="7513" w:type="dxa"/>
        <w:jc w:val="center"/>
        <w:tblLook w:val="04A0" w:firstRow="1" w:lastRow="0" w:firstColumn="1" w:lastColumn="0" w:noHBand="0" w:noVBand="1"/>
      </w:tblPr>
      <w:tblGrid>
        <w:gridCol w:w="1985"/>
        <w:gridCol w:w="2835"/>
        <w:gridCol w:w="2693"/>
      </w:tblGrid>
      <w:tr w:rsidR="000A7388" w:rsidRPr="00DC6C83" w14:paraId="6EADEA45" w14:textId="77777777" w:rsidTr="00532721">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2BEBD11B" w14:textId="77777777" w:rsidR="000A7388" w:rsidRPr="00DC6C83" w:rsidRDefault="000A7388" w:rsidP="00532721">
            <w:pPr>
              <w:spacing w:after="0" w:line="240" w:lineRule="auto"/>
              <w:jc w:val="center"/>
              <w:rPr>
                <w:rFonts w:asciiTheme="majorHAnsi" w:hAnsiTheme="majorHAnsi" w:cstheme="majorHAnsi"/>
                <w:sz w:val="20"/>
                <w:szCs w:val="20"/>
                <w:lang w:eastAsia="hu-HU"/>
              </w:rPr>
            </w:pPr>
            <w:r w:rsidRPr="00DC6C83">
              <w:rPr>
                <w:rFonts w:asciiTheme="majorHAnsi" w:hAnsiTheme="majorHAnsi" w:cstheme="majorHAnsi"/>
                <w:sz w:val="20"/>
                <w:szCs w:val="20"/>
                <w:lang w:eastAsia="hu-HU"/>
              </w:rPr>
              <w:t>ÉV</w:t>
            </w:r>
          </w:p>
        </w:tc>
        <w:tc>
          <w:tcPr>
            <w:tcW w:w="2835" w:type="dxa"/>
            <w:noWrap/>
            <w:vAlign w:val="center"/>
            <w:hideMark/>
          </w:tcPr>
          <w:p w14:paraId="10C1D08E" w14:textId="77777777" w:rsidR="000A7388" w:rsidRPr="00DC6C83" w:rsidRDefault="000A7388" w:rsidP="0053272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Tanfelügyelet</w:t>
            </w:r>
          </w:p>
        </w:tc>
        <w:tc>
          <w:tcPr>
            <w:tcW w:w="2693" w:type="dxa"/>
            <w:noWrap/>
            <w:vAlign w:val="center"/>
            <w:hideMark/>
          </w:tcPr>
          <w:p w14:paraId="766A7F98" w14:textId="77777777" w:rsidR="000A7388" w:rsidRPr="00DC6C83" w:rsidRDefault="000A7388" w:rsidP="0053272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Önértékelés</w:t>
            </w:r>
          </w:p>
        </w:tc>
      </w:tr>
      <w:tr w:rsidR="000A7388" w:rsidRPr="00DC6C83" w14:paraId="7D733039" w14:textId="77777777" w:rsidTr="00532721">
        <w:trPr>
          <w:trHeight w:val="397"/>
          <w:jc w:val="center"/>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2101433E" w14:textId="77777777" w:rsidR="000A7388" w:rsidRPr="00DC6C83" w:rsidRDefault="000A7388" w:rsidP="00532721">
            <w:pPr>
              <w:spacing w:after="0" w:line="240" w:lineRule="auto"/>
              <w:jc w:val="center"/>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2015</w:t>
            </w:r>
          </w:p>
        </w:tc>
        <w:tc>
          <w:tcPr>
            <w:tcW w:w="2835" w:type="dxa"/>
            <w:noWrap/>
            <w:vAlign w:val="center"/>
            <w:hideMark/>
          </w:tcPr>
          <w:p w14:paraId="487D63D6" w14:textId="77777777" w:rsidR="000A7388" w:rsidRPr="00DC6C83" w:rsidRDefault="000A7388"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27</w:t>
            </w:r>
          </w:p>
        </w:tc>
        <w:tc>
          <w:tcPr>
            <w:tcW w:w="2693" w:type="dxa"/>
            <w:noWrap/>
            <w:vAlign w:val="center"/>
            <w:hideMark/>
          </w:tcPr>
          <w:p w14:paraId="0D6BD912" w14:textId="77777777" w:rsidR="000A7388" w:rsidRPr="00DC6C83" w:rsidRDefault="000A7388"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38</w:t>
            </w:r>
          </w:p>
        </w:tc>
      </w:tr>
      <w:tr w:rsidR="000A7388" w:rsidRPr="00DC6C83" w14:paraId="4CB9C7C2" w14:textId="77777777" w:rsidTr="00532721">
        <w:trPr>
          <w:trHeight w:val="397"/>
          <w:jc w:val="center"/>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470DECBF" w14:textId="77777777" w:rsidR="000A7388" w:rsidRPr="00DC6C83" w:rsidRDefault="000A7388" w:rsidP="00532721">
            <w:pPr>
              <w:spacing w:after="0" w:line="240" w:lineRule="auto"/>
              <w:jc w:val="center"/>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2016</w:t>
            </w:r>
          </w:p>
        </w:tc>
        <w:tc>
          <w:tcPr>
            <w:tcW w:w="2835" w:type="dxa"/>
            <w:noWrap/>
            <w:vAlign w:val="center"/>
            <w:hideMark/>
          </w:tcPr>
          <w:p w14:paraId="7C4046E8" w14:textId="77777777" w:rsidR="000A7388" w:rsidRPr="00DC6C83" w:rsidRDefault="00B02DB5"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 xml:space="preserve">1 </w:t>
            </w:r>
            <w:r w:rsidR="000A7388" w:rsidRPr="00DC6C83">
              <w:rPr>
                <w:rFonts w:asciiTheme="majorHAnsi" w:hAnsiTheme="majorHAnsi" w:cstheme="majorHAnsi"/>
                <w:color w:val="000000"/>
                <w:sz w:val="22"/>
                <w:szCs w:val="22"/>
                <w:lang w:eastAsia="hu-HU"/>
              </w:rPr>
              <w:t>201</w:t>
            </w:r>
          </w:p>
        </w:tc>
        <w:tc>
          <w:tcPr>
            <w:tcW w:w="2693" w:type="dxa"/>
            <w:noWrap/>
            <w:vAlign w:val="center"/>
            <w:hideMark/>
          </w:tcPr>
          <w:p w14:paraId="48ED2539" w14:textId="77777777" w:rsidR="000A7388" w:rsidRPr="00DC6C83" w:rsidRDefault="000A7388"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764</w:t>
            </w:r>
          </w:p>
        </w:tc>
      </w:tr>
      <w:tr w:rsidR="000A7388" w:rsidRPr="00DC6C83" w14:paraId="5CDC2E19" w14:textId="77777777" w:rsidTr="00532721">
        <w:trPr>
          <w:trHeight w:val="397"/>
          <w:jc w:val="center"/>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0E314555" w14:textId="77777777" w:rsidR="000A7388" w:rsidRPr="00DC6C83" w:rsidRDefault="000A7388" w:rsidP="00532721">
            <w:pPr>
              <w:spacing w:after="0" w:line="240" w:lineRule="auto"/>
              <w:jc w:val="center"/>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2017</w:t>
            </w:r>
          </w:p>
        </w:tc>
        <w:tc>
          <w:tcPr>
            <w:tcW w:w="2835" w:type="dxa"/>
            <w:noWrap/>
            <w:vAlign w:val="center"/>
            <w:hideMark/>
          </w:tcPr>
          <w:p w14:paraId="133D77EB" w14:textId="77777777" w:rsidR="000A7388" w:rsidRPr="00DC6C83" w:rsidRDefault="00B02DB5"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 xml:space="preserve">2 </w:t>
            </w:r>
            <w:r w:rsidR="000A7388" w:rsidRPr="00DC6C83">
              <w:rPr>
                <w:rFonts w:asciiTheme="majorHAnsi" w:hAnsiTheme="majorHAnsi" w:cstheme="majorHAnsi"/>
                <w:color w:val="000000"/>
                <w:sz w:val="22"/>
                <w:szCs w:val="22"/>
                <w:lang w:eastAsia="hu-HU"/>
              </w:rPr>
              <w:t>257</w:t>
            </w:r>
          </w:p>
        </w:tc>
        <w:tc>
          <w:tcPr>
            <w:tcW w:w="2693" w:type="dxa"/>
            <w:noWrap/>
            <w:vAlign w:val="center"/>
            <w:hideMark/>
          </w:tcPr>
          <w:p w14:paraId="382E2207" w14:textId="77777777" w:rsidR="000A7388" w:rsidRPr="00DC6C83" w:rsidRDefault="00B02DB5"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 xml:space="preserve">2 </w:t>
            </w:r>
            <w:r w:rsidR="000A7388" w:rsidRPr="00DC6C83">
              <w:rPr>
                <w:rFonts w:asciiTheme="majorHAnsi" w:hAnsiTheme="majorHAnsi" w:cstheme="majorHAnsi"/>
                <w:color w:val="000000"/>
                <w:sz w:val="22"/>
                <w:szCs w:val="22"/>
                <w:lang w:eastAsia="hu-HU"/>
              </w:rPr>
              <w:t>030</w:t>
            </w:r>
          </w:p>
        </w:tc>
      </w:tr>
      <w:tr w:rsidR="000A7388" w:rsidRPr="00DC6C83" w14:paraId="29FF06AC" w14:textId="77777777" w:rsidTr="00532721">
        <w:trPr>
          <w:trHeight w:val="397"/>
          <w:jc w:val="center"/>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05E160D5" w14:textId="77777777" w:rsidR="000A7388" w:rsidRPr="00DC6C83" w:rsidRDefault="000A7388" w:rsidP="00532721">
            <w:pPr>
              <w:spacing w:after="0" w:line="240" w:lineRule="auto"/>
              <w:jc w:val="center"/>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2018</w:t>
            </w:r>
          </w:p>
        </w:tc>
        <w:tc>
          <w:tcPr>
            <w:tcW w:w="2835" w:type="dxa"/>
            <w:noWrap/>
            <w:vAlign w:val="center"/>
            <w:hideMark/>
          </w:tcPr>
          <w:p w14:paraId="324C8680" w14:textId="77777777" w:rsidR="000A7388" w:rsidRPr="00DC6C83" w:rsidRDefault="000A7388" w:rsidP="00B02DB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2</w:t>
            </w:r>
            <w:r w:rsidR="00B02DB5">
              <w:rPr>
                <w:rFonts w:asciiTheme="majorHAnsi" w:hAnsiTheme="majorHAnsi" w:cstheme="majorHAnsi"/>
                <w:color w:val="000000"/>
                <w:sz w:val="22"/>
                <w:szCs w:val="22"/>
                <w:lang w:eastAsia="hu-HU"/>
              </w:rPr>
              <w:t xml:space="preserve"> </w:t>
            </w:r>
            <w:r w:rsidRPr="00DC6C83">
              <w:rPr>
                <w:rFonts w:asciiTheme="majorHAnsi" w:hAnsiTheme="majorHAnsi" w:cstheme="majorHAnsi"/>
                <w:color w:val="000000"/>
                <w:sz w:val="22"/>
                <w:szCs w:val="22"/>
                <w:lang w:eastAsia="hu-HU"/>
              </w:rPr>
              <w:t>162</w:t>
            </w:r>
          </w:p>
        </w:tc>
        <w:tc>
          <w:tcPr>
            <w:tcW w:w="2693" w:type="dxa"/>
            <w:noWrap/>
            <w:vAlign w:val="center"/>
            <w:hideMark/>
          </w:tcPr>
          <w:p w14:paraId="3CD09C0A" w14:textId="77777777" w:rsidR="000A7388" w:rsidRPr="00DC6C83" w:rsidRDefault="00B02DB5"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 xml:space="preserve">1 </w:t>
            </w:r>
            <w:r w:rsidR="000A7388" w:rsidRPr="00DC6C83">
              <w:rPr>
                <w:rFonts w:asciiTheme="majorHAnsi" w:hAnsiTheme="majorHAnsi" w:cstheme="majorHAnsi"/>
                <w:color w:val="000000"/>
                <w:sz w:val="22"/>
                <w:szCs w:val="22"/>
                <w:lang w:eastAsia="hu-HU"/>
              </w:rPr>
              <w:t>5</w:t>
            </w:r>
            <w:r w:rsidR="0008208B">
              <w:rPr>
                <w:rFonts w:asciiTheme="majorHAnsi" w:hAnsiTheme="majorHAnsi" w:cstheme="majorHAnsi"/>
                <w:color w:val="000000"/>
                <w:sz w:val="22"/>
                <w:szCs w:val="22"/>
                <w:lang w:eastAsia="hu-HU"/>
              </w:rPr>
              <w:t>47</w:t>
            </w:r>
          </w:p>
        </w:tc>
      </w:tr>
      <w:tr w:rsidR="000A7388" w:rsidRPr="00DC6C83" w14:paraId="3268EB63" w14:textId="77777777" w:rsidTr="00532721">
        <w:trPr>
          <w:trHeight w:val="397"/>
          <w:jc w:val="center"/>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37AFC28F" w14:textId="77777777" w:rsidR="000A7388" w:rsidRPr="00DC6C83" w:rsidRDefault="000A7388" w:rsidP="00532721">
            <w:pPr>
              <w:spacing w:after="0" w:line="240" w:lineRule="auto"/>
              <w:jc w:val="center"/>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 xml:space="preserve">2019 </w:t>
            </w:r>
          </w:p>
        </w:tc>
        <w:tc>
          <w:tcPr>
            <w:tcW w:w="2835" w:type="dxa"/>
            <w:noWrap/>
            <w:vAlign w:val="center"/>
            <w:hideMark/>
          </w:tcPr>
          <w:p w14:paraId="6CC7CC20" w14:textId="77777777" w:rsidR="000A7388" w:rsidRPr="00DC6C83" w:rsidRDefault="00B02DB5"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 xml:space="preserve">1 </w:t>
            </w:r>
            <w:r w:rsidR="0008208B">
              <w:rPr>
                <w:rFonts w:asciiTheme="majorHAnsi" w:hAnsiTheme="majorHAnsi" w:cstheme="majorHAnsi"/>
                <w:color w:val="000000"/>
                <w:sz w:val="22"/>
                <w:szCs w:val="22"/>
                <w:lang w:eastAsia="hu-HU"/>
              </w:rPr>
              <w:t>608</w:t>
            </w:r>
          </w:p>
        </w:tc>
        <w:tc>
          <w:tcPr>
            <w:tcW w:w="2693" w:type="dxa"/>
            <w:vAlign w:val="center"/>
          </w:tcPr>
          <w:p w14:paraId="47EEE235" w14:textId="77777777" w:rsidR="000A7388" w:rsidRPr="00DC6C83" w:rsidRDefault="0008208B"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960</w:t>
            </w:r>
          </w:p>
        </w:tc>
      </w:tr>
      <w:tr w:rsidR="000A7388" w:rsidRPr="00DC6C83" w14:paraId="17ED8A3C" w14:textId="77777777" w:rsidTr="00532721">
        <w:trPr>
          <w:trHeight w:val="397"/>
          <w:jc w:val="center"/>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7E1B1086" w14:textId="77777777" w:rsidR="000A7388" w:rsidRPr="00DC6C83" w:rsidRDefault="000A7388" w:rsidP="00532721">
            <w:pPr>
              <w:spacing w:after="0" w:line="240" w:lineRule="auto"/>
              <w:jc w:val="center"/>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2020 (tervezett)</w:t>
            </w:r>
          </w:p>
        </w:tc>
        <w:tc>
          <w:tcPr>
            <w:tcW w:w="2835" w:type="dxa"/>
            <w:noWrap/>
            <w:vAlign w:val="center"/>
            <w:hideMark/>
          </w:tcPr>
          <w:p w14:paraId="6F55E388" w14:textId="77777777" w:rsidR="000A7388" w:rsidRPr="00DC6C83" w:rsidRDefault="00B02DB5"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 xml:space="preserve">1 </w:t>
            </w:r>
            <w:r w:rsidR="0008208B">
              <w:rPr>
                <w:rFonts w:asciiTheme="majorHAnsi" w:hAnsiTheme="majorHAnsi" w:cstheme="majorHAnsi"/>
                <w:color w:val="000000"/>
                <w:sz w:val="22"/>
                <w:szCs w:val="22"/>
                <w:lang w:eastAsia="hu-HU"/>
              </w:rPr>
              <w:t>156</w:t>
            </w:r>
          </w:p>
        </w:tc>
        <w:tc>
          <w:tcPr>
            <w:tcW w:w="2693" w:type="dxa"/>
            <w:vAlign w:val="center"/>
          </w:tcPr>
          <w:p w14:paraId="4D06C62D" w14:textId="77777777" w:rsidR="000A7388" w:rsidRPr="00DC6C83" w:rsidRDefault="00B02DB5"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 xml:space="preserve">1 </w:t>
            </w:r>
            <w:r w:rsidR="0008208B">
              <w:rPr>
                <w:rFonts w:asciiTheme="majorHAnsi" w:hAnsiTheme="majorHAnsi" w:cstheme="majorHAnsi"/>
                <w:color w:val="000000"/>
                <w:sz w:val="22"/>
                <w:szCs w:val="22"/>
                <w:lang w:eastAsia="hu-HU"/>
              </w:rPr>
              <w:t>000</w:t>
            </w:r>
          </w:p>
        </w:tc>
      </w:tr>
      <w:tr w:rsidR="000A7388" w:rsidRPr="00DC6C83" w14:paraId="7E2999CF" w14:textId="77777777" w:rsidTr="00532721">
        <w:trPr>
          <w:trHeight w:val="397"/>
          <w:jc w:val="center"/>
        </w:trPr>
        <w:tc>
          <w:tcPr>
            <w:cnfStyle w:val="001000000000" w:firstRow="0" w:lastRow="0" w:firstColumn="1" w:lastColumn="0" w:oddVBand="0" w:evenVBand="0" w:oddHBand="0" w:evenHBand="0" w:firstRowFirstColumn="0" w:firstRowLastColumn="0" w:lastRowFirstColumn="0" w:lastRowLastColumn="0"/>
            <w:tcW w:w="1985" w:type="dxa"/>
            <w:noWrap/>
            <w:vAlign w:val="center"/>
            <w:hideMark/>
          </w:tcPr>
          <w:p w14:paraId="0EDCEA21" w14:textId="77777777" w:rsidR="000A7388" w:rsidRPr="00DC6C83" w:rsidRDefault="000A7388" w:rsidP="00532721">
            <w:pPr>
              <w:spacing w:after="0" w:line="240" w:lineRule="auto"/>
              <w:jc w:val="center"/>
              <w:rPr>
                <w:rFonts w:asciiTheme="majorHAnsi" w:hAnsiTheme="majorHAnsi" w:cstheme="majorHAnsi"/>
                <w:color w:val="000000"/>
                <w:sz w:val="22"/>
                <w:szCs w:val="22"/>
                <w:lang w:eastAsia="hu-HU"/>
              </w:rPr>
            </w:pPr>
            <w:r w:rsidRPr="00DC6C83">
              <w:rPr>
                <w:rFonts w:asciiTheme="majorHAnsi" w:hAnsiTheme="majorHAnsi" w:cstheme="majorHAnsi"/>
                <w:color w:val="000000"/>
                <w:sz w:val="22"/>
                <w:szCs w:val="22"/>
                <w:lang w:eastAsia="hu-HU"/>
              </w:rPr>
              <w:t>Összesen:</w:t>
            </w:r>
          </w:p>
        </w:tc>
        <w:tc>
          <w:tcPr>
            <w:tcW w:w="2835" w:type="dxa"/>
            <w:noWrap/>
            <w:vAlign w:val="center"/>
            <w:hideMark/>
          </w:tcPr>
          <w:p w14:paraId="4C0EAEA8" w14:textId="77777777" w:rsidR="000A7388" w:rsidRPr="00DC6C83" w:rsidRDefault="00B02DB5"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 xml:space="preserve">8 </w:t>
            </w:r>
            <w:r w:rsidR="0008208B">
              <w:rPr>
                <w:rFonts w:asciiTheme="majorHAnsi" w:hAnsiTheme="majorHAnsi" w:cstheme="majorHAnsi"/>
                <w:color w:val="000000"/>
                <w:sz w:val="22"/>
                <w:szCs w:val="22"/>
                <w:lang w:eastAsia="hu-HU"/>
              </w:rPr>
              <w:t>411</w:t>
            </w:r>
          </w:p>
        </w:tc>
        <w:tc>
          <w:tcPr>
            <w:tcW w:w="2693" w:type="dxa"/>
            <w:noWrap/>
            <w:vAlign w:val="center"/>
            <w:hideMark/>
          </w:tcPr>
          <w:p w14:paraId="6A4F457C" w14:textId="77777777" w:rsidR="000A7388" w:rsidRPr="00DC6C83" w:rsidRDefault="0008208B" w:rsidP="000820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lang w:eastAsia="hu-HU"/>
              </w:rPr>
            </w:pPr>
            <w:r>
              <w:rPr>
                <w:rFonts w:asciiTheme="majorHAnsi" w:hAnsiTheme="majorHAnsi" w:cstheme="majorHAnsi"/>
                <w:color w:val="000000"/>
                <w:sz w:val="22"/>
                <w:szCs w:val="22"/>
                <w:lang w:eastAsia="hu-HU"/>
              </w:rPr>
              <w:t>6</w:t>
            </w:r>
            <w:r w:rsidR="00B02DB5">
              <w:rPr>
                <w:rFonts w:asciiTheme="majorHAnsi" w:hAnsiTheme="majorHAnsi" w:cstheme="majorHAnsi"/>
                <w:color w:val="000000"/>
                <w:sz w:val="22"/>
                <w:szCs w:val="22"/>
                <w:lang w:eastAsia="hu-HU"/>
              </w:rPr>
              <w:t xml:space="preserve"> </w:t>
            </w:r>
            <w:r w:rsidR="000A7388" w:rsidRPr="00DC6C83">
              <w:rPr>
                <w:rFonts w:asciiTheme="majorHAnsi" w:hAnsiTheme="majorHAnsi" w:cstheme="majorHAnsi"/>
                <w:color w:val="000000"/>
                <w:sz w:val="22"/>
                <w:szCs w:val="22"/>
                <w:lang w:eastAsia="hu-HU"/>
              </w:rPr>
              <w:t>363</w:t>
            </w:r>
          </w:p>
        </w:tc>
      </w:tr>
    </w:tbl>
    <w:p w14:paraId="1CFE8C64" w14:textId="77777777" w:rsidR="000A7388" w:rsidRDefault="000A7388" w:rsidP="000A7388">
      <w:pPr>
        <w:pStyle w:val="Forrs"/>
        <w:jc w:val="center"/>
        <w:rPr>
          <w:rFonts w:asciiTheme="majorHAnsi" w:hAnsiTheme="majorHAnsi" w:cstheme="majorHAnsi"/>
        </w:rPr>
      </w:pPr>
      <w:r w:rsidRPr="00DC6C83">
        <w:rPr>
          <w:rFonts w:asciiTheme="majorHAnsi" w:hAnsiTheme="majorHAnsi" w:cstheme="majorHAnsi"/>
        </w:rPr>
        <w:t xml:space="preserve">Forrás: </w:t>
      </w:r>
      <w:r w:rsidR="00E0654D">
        <w:rPr>
          <w:rFonts w:asciiTheme="majorHAnsi" w:hAnsiTheme="majorHAnsi" w:cstheme="majorHAnsi"/>
        </w:rPr>
        <w:t>saját</w:t>
      </w:r>
      <w:r w:rsidRPr="00DC6C83">
        <w:rPr>
          <w:rFonts w:asciiTheme="majorHAnsi" w:hAnsiTheme="majorHAnsi" w:cstheme="majorHAnsi"/>
        </w:rPr>
        <w:t xml:space="preserve"> szerkesztés</w:t>
      </w:r>
    </w:p>
    <w:p w14:paraId="6C5CAB45" w14:textId="77777777" w:rsidR="00AA5B17" w:rsidRDefault="00B86FE8" w:rsidP="00AD6641">
      <w:pPr>
        <w:spacing w:line="276" w:lineRule="auto"/>
        <w:rPr>
          <w:rFonts w:asciiTheme="majorHAnsi" w:hAnsiTheme="majorHAnsi" w:cstheme="majorHAnsi"/>
        </w:rPr>
      </w:pPr>
      <w:r w:rsidRPr="000A7388">
        <w:rPr>
          <w:rFonts w:asciiTheme="majorHAnsi" w:hAnsiTheme="majorHAnsi" w:cstheme="majorHAnsi"/>
        </w:rPr>
        <w:t>Az intézményvezetők esetében a tanfelügyelet az általános pedagógiai szempontok mellett kiegészül a vezetői munka speciális</w:t>
      </w:r>
      <w:r w:rsidRPr="00DC6C83">
        <w:rPr>
          <w:rFonts w:asciiTheme="majorHAnsi" w:hAnsiTheme="majorHAnsi" w:cstheme="majorHAnsi"/>
        </w:rPr>
        <w:t xml:space="preserve"> területeivel, valamint figyelembe veszi a vezető saját céljaihoz képest elért eredményeit is. Célja az intézményvezető pedagógiai és vezetői készségeinek fejlesztése. Az ellenőrzés során vizsgálni kell a vezető felkészültségét, vezetői alkalmasságát, a tanulás és tanítás, a változások, önmaga, mások és az intézmény stratégiai vezetését és operatív irányítását. Emellett a vizsgálat kiterjed a pedagógiai munka eredményességének, minőségének mérésére, értékelésére, fejlesztésére és a pedagógusok, a szülők, a fenntartó és a működtető közötti kapcsolatépítés sikerességére, minőségére.</w:t>
      </w:r>
      <w:r w:rsidR="00EF7631">
        <w:rPr>
          <w:rFonts w:asciiTheme="majorHAnsi" w:hAnsiTheme="majorHAnsi" w:cstheme="majorHAnsi"/>
        </w:rPr>
        <w:t xml:space="preserve"> </w:t>
      </w:r>
      <w:r w:rsidR="009A3090">
        <w:rPr>
          <w:rFonts w:asciiTheme="majorHAnsi" w:hAnsiTheme="majorHAnsi" w:cstheme="majorHAnsi"/>
        </w:rPr>
        <w:t xml:space="preserve">Az intézményvezetők szakmai munkájának mérési, ellenőrzési eredményei a fenntartók számára is hozzáférhetőek, így az adatok a vezetők értékeléséhez, jutalmazásához, sőt, adott esetben kiválasztásához is megfelelő hátteret </w:t>
      </w:r>
      <w:r w:rsidR="00863444">
        <w:rPr>
          <w:rFonts w:asciiTheme="majorHAnsi" w:hAnsiTheme="majorHAnsi" w:cstheme="majorHAnsi"/>
        </w:rPr>
        <w:t>adhatnak</w:t>
      </w:r>
      <w:r w:rsidR="009A3090">
        <w:rPr>
          <w:rFonts w:asciiTheme="majorHAnsi" w:hAnsiTheme="majorHAnsi" w:cstheme="majorHAnsi"/>
        </w:rPr>
        <w:t>.</w:t>
      </w:r>
      <w:r w:rsidR="00E11A07">
        <w:rPr>
          <w:rFonts w:asciiTheme="majorHAnsi" w:hAnsiTheme="majorHAnsi" w:cstheme="majorHAnsi"/>
        </w:rPr>
        <w:t xml:space="preserve"> Az előzőeknek megfelelően célszerű felmérni, hogy az intézményvezetői tanfelügyeleten belül a tanügyi és szakmai folyamatellenőrzés tapasztalatait hogyan lehet úgy beépíteni az eljárásba, hogy az intézményvezető</w:t>
      </w:r>
      <w:r w:rsidR="00863444">
        <w:rPr>
          <w:rFonts w:asciiTheme="majorHAnsi" w:hAnsiTheme="majorHAnsi" w:cstheme="majorHAnsi"/>
        </w:rPr>
        <w:t>nek</w:t>
      </w:r>
      <w:r w:rsidR="00E11A07">
        <w:rPr>
          <w:rFonts w:asciiTheme="majorHAnsi" w:hAnsiTheme="majorHAnsi" w:cstheme="majorHAnsi"/>
        </w:rPr>
        <w:t xml:space="preserve"> és a fenntartó</w:t>
      </w:r>
      <w:r w:rsidR="00863444">
        <w:rPr>
          <w:rFonts w:asciiTheme="majorHAnsi" w:hAnsiTheme="majorHAnsi" w:cstheme="majorHAnsi"/>
        </w:rPr>
        <w:t>nak is</w:t>
      </w:r>
      <w:r w:rsidR="00E11A07">
        <w:rPr>
          <w:rFonts w:asciiTheme="majorHAnsi" w:hAnsiTheme="majorHAnsi" w:cstheme="majorHAnsi"/>
        </w:rPr>
        <w:t xml:space="preserve"> egyaránt kellő motivációt jelentsenek.</w:t>
      </w:r>
    </w:p>
    <w:p w14:paraId="3A237931" w14:textId="77777777" w:rsidR="00AA5B17" w:rsidRDefault="00AA5B17">
      <w:pPr>
        <w:spacing w:after="0" w:line="240" w:lineRule="auto"/>
        <w:jc w:val="left"/>
        <w:rPr>
          <w:rFonts w:asciiTheme="majorHAnsi" w:hAnsiTheme="majorHAnsi" w:cstheme="majorHAnsi"/>
        </w:rPr>
      </w:pPr>
      <w:r>
        <w:rPr>
          <w:rFonts w:asciiTheme="majorHAnsi" w:hAnsiTheme="majorHAnsi" w:cstheme="majorHAnsi"/>
        </w:rPr>
        <w:br w:type="page"/>
      </w:r>
    </w:p>
    <w:p w14:paraId="7DED21D7" w14:textId="69E47402" w:rsidR="00FB4D8A" w:rsidRDefault="00BF1AA0" w:rsidP="00FB4D8A">
      <w:pPr>
        <w:pStyle w:val="Cmsor2"/>
      </w:pPr>
      <w:bookmarkStart w:id="68" w:name="_Toc27469934"/>
      <w:bookmarkStart w:id="69" w:name="_Toc27469935"/>
      <w:bookmarkStart w:id="70" w:name="_Toc27469936"/>
      <w:bookmarkStart w:id="71" w:name="_Toc35596139"/>
      <w:bookmarkStart w:id="72" w:name="_Toc46822716"/>
      <w:bookmarkEnd w:id="68"/>
      <w:bookmarkEnd w:id="69"/>
      <w:bookmarkEnd w:id="70"/>
      <w:r>
        <w:lastRenderedPageBreak/>
        <w:t>M</w:t>
      </w:r>
      <w:r w:rsidR="00FB4D8A" w:rsidRPr="00ED2C8B">
        <w:t>éltányos, egyéni sajátosságokat figyelembe vevő köznevelés</w:t>
      </w:r>
      <w:bookmarkEnd w:id="71"/>
      <w:bookmarkEnd w:id="72"/>
    </w:p>
    <w:p w14:paraId="0D383B88" w14:textId="77777777" w:rsidR="00B86FE8" w:rsidRDefault="00B86FE8" w:rsidP="00FB4D8A">
      <w:pPr>
        <w:pStyle w:val="Cmsor3"/>
      </w:pPr>
      <w:bookmarkStart w:id="73" w:name="_Toc35596140"/>
      <w:bookmarkStart w:id="74" w:name="_Toc46822717"/>
      <w:r w:rsidRPr="00DC6C83">
        <w:t>Az alulteljesítők</w:t>
      </w:r>
      <w:r w:rsidR="00FB4D8A">
        <w:t>, korai iskolaelhagyók</w:t>
      </w:r>
      <w:r w:rsidRPr="00DC6C83">
        <w:t xml:space="preserve"> arányának csökkentése</w:t>
      </w:r>
      <w:r w:rsidR="00B01557">
        <w:t xml:space="preserve"> – esélyteremtés, integráció, felzárkózás</w:t>
      </w:r>
      <w:bookmarkEnd w:id="73"/>
      <w:bookmarkEnd w:id="74"/>
    </w:p>
    <w:p w14:paraId="41507ECA" w14:textId="67E625C6" w:rsidR="00AA6CBD" w:rsidRDefault="009D7276" w:rsidP="00B86FE8">
      <w:pPr>
        <w:rPr>
          <w:rFonts w:asciiTheme="majorHAnsi" w:hAnsiTheme="majorHAnsi" w:cstheme="majorHAnsi"/>
        </w:rPr>
      </w:pPr>
      <w:r>
        <w:rPr>
          <w:rFonts w:asciiTheme="majorHAnsi" w:hAnsiTheme="majorHAnsi" w:cstheme="majorHAnsi"/>
        </w:rPr>
        <w:t xml:space="preserve">Magyarországon a köznevelési rendszer egyik fontos célkitűzése, hogy képes legyen érdemben csökkenteni a tanulók </w:t>
      </w:r>
      <w:r>
        <w:t>hátrányait, illetve</w:t>
      </w:r>
      <w:r w:rsidR="00CB0B68">
        <w:t xml:space="preserve"> az, hogy </w:t>
      </w:r>
      <w:r>
        <w:t>minden tanuló</w:t>
      </w:r>
      <w:r w:rsidR="00863444">
        <w:t xml:space="preserve"> −</w:t>
      </w:r>
      <w:r>
        <w:t xml:space="preserve"> a családi háttértől függetlenül </w:t>
      </w:r>
      <w:r w:rsidR="00863444">
        <w:t>− hozzáférhessen</w:t>
      </w:r>
      <w:r>
        <w:t xml:space="preserve"> a méltányos és színvonalas oktatáshoz</w:t>
      </w:r>
      <w:r w:rsidR="00863444">
        <w:t>.</w:t>
      </w:r>
    </w:p>
    <w:p w14:paraId="481CCF91" w14:textId="35CD4626" w:rsidR="008B2DD2" w:rsidRDefault="00B86FE8" w:rsidP="00B86FE8">
      <w:pPr>
        <w:rPr>
          <w:rFonts w:asciiTheme="majorHAnsi" w:hAnsiTheme="majorHAnsi" w:cstheme="majorHAnsi"/>
        </w:rPr>
      </w:pPr>
      <w:r w:rsidRPr="00DC6C83">
        <w:rPr>
          <w:rFonts w:asciiTheme="majorHAnsi" w:hAnsiTheme="majorHAnsi" w:cstheme="majorHAnsi"/>
        </w:rPr>
        <w:t xml:space="preserve">A </w:t>
      </w:r>
      <w:r w:rsidR="004E4DA1">
        <w:rPr>
          <w:rFonts w:asciiTheme="majorHAnsi" w:hAnsiTheme="majorHAnsi" w:cstheme="majorHAnsi"/>
        </w:rPr>
        <w:t>végzettség nélküli iskolaelhagyás</w:t>
      </w:r>
      <w:r w:rsidRPr="00DC6C83">
        <w:rPr>
          <w:rFonts w:asciiTheme="majorHAnsi" w:hAnsiTheme="majorHAnsi" w:cstheme="majorHAnsi"/>
        </w:rPr>
        <w:t xml:space="preserve"> csökkentését célzó </w:t>
      </w:r>
      <w:r w:rsidR="00AA6CBD" w:rsidRPr="00DC6C83">
        <w:rPr>
          <w:rFonts w:asciiTheme="majorHAnsi" w:hAnsiTheme="majorHAnsi" w:cstheme="majorHAnsi"/>
        </w:rPr>
        <w:t>szakpolitiká</w:t>
      </w:r>
      <w:r w:rsidR="00AA6CBD">
        <w:rPr>
          <w:rFonts w:asciiTheme="majorHAnsi" w:hAnsiTheme="majorHAnsi" w:cstheme="majorHAnsi"/>
        </w:rPr>
        <w:t>nak</w:t>
      </w:r>
      <w:r w:rsidR="00AA6CBD" w:rsidRPr="00DC6C83">
        <w:rPr>
          <w:rFonts w:asciiTheme="majorHAnsi" w:hAnsiTheme="majorHAnsi" w:cstheme="majorHAnsi"/>
        </w:rPr>
        <w:t xml:space="preserve"> azonosítani</w:t>
      </w:r>
      <w:r w:rsidR="00AA6CBD">
        <w:rPr>
          <w:rFonts w:asciiTheme="majorHAnsi" w:hAnsiTheme="majorHAnsi" w:cstheme="majorHAnsi"/>
        </w:rPr>
        <w:t>a</w:t>
      </w:r>
      <w:r w:rsidR="00EF7631">
        <w:rPr>
          <w:rFonts w:asciiTheme="majorHAnsi" w:hAnsiTheme="majorHAnsi" w:cstheme="majorHAnsi"/>
        </w:rPr>
        <w:t xml:space="preserve"> </w:t>
      </w:r>
      <w:r w:rsidRPr="00DC6C83">
        <w:rPr>
          <w:rFonts w:asciiTheme="majorHAnsi" w:hAnsiTheme="majorHAnsi" w:cstheme="majorHAnsi"/>
        </w:rPr>
        <w:t xml:space="preserve">kell a </w:t>
      </w:r>
      <w:r w:rsidR="004E4DA1">
        <w:rPr>
          <w:rFonts w:asciiTheme="majorHAnsi" w:hAnsiTheme="majorHAnsi" w:cstheme="majorHAnsi"/>
        </w:rPr>
        <w:t>végzettség nélküli iskolaelhagyás</w:t>
      </w:r>
      <w:r w:rsidRPr="00DC6C83">
        <w:rPr>
          <w:rFonts w:asciiTheme="majorHAnsi" w:hAnsiTheme="majorHAnsi" w:cstheme="majorHAnsi"/>
        </w:rPr>
        <w:t xml:space="preserve">t előidéző társadalmi és oktatási tényezőket, folyamatosan nyomon </w:t>
      </w:r>
      <w:r w:rsidR="009D7276">
        <w:rPr>
          <w:rFonts w:asciiTheme="majorHAnsi" w:hAnsiTheme="majorHAnsi" w:cstheme="majorHAnsi"/>
        </w:rPr>
        <w:t xml:space="preserve">kell </w:t>
      </w:r>
      <w:r w:rsidR="00AA6CBD" w:rsidRPr="00DC6C83">
        <w:rPr>
          <w:rFonts w:asciiTheme="majorHAnsi" w:hAnsiTheme="majorHAnsi" w:cstheme="majorHAnsi"/>
        </w:rPr>
        <w:t>követni</w:t>
      </w:r>
      <w:r w:rsidR="00AA6CBD">
        <w:rPr>
          <w:rFonts w:asciiTheme="majorHAnsi" w:hAnsiTheme="majorHAnsi" w:cstheme="majorHAnsi"/>
        </w:rPr>
        <w:t>e</w:t>
      </w:r>
      <w:r w:rsidR="00EF7631">
        <w:rPr>
          <w:rFonts w:asciiTheme="majorHAnsi" w:hAnsiTheme="majorHAnsi" w:cstheme="majorHAnsi"/>
        </w:rPr>
        <w:t xml:space="preserve"> </w:t>
      </w:r>
      <w:r w:rsidRPr="00DC6C83">
        <w:rPr>
          <w:rFonts w:asciiTheme="majorHAnsi" w:hAnsiTheme="majorHAnsi" w:cstheme="majorHAnsi"/>
        </w:rPr>
        <w:t>a leginkább veszélyeztetett célcsoportok tanulási pályáját</w:t>
      </w:r>
      <w:r w:rsidR="006C750D">
        <w:rPr>
          <w:rFonts w:asciiTheme="majorHAnsi" w:hAnsiTheme="majorHAnsi" w:cstheme="majorHAnsi"/>
        </w:rPr>
        <w:t xml:space="preserve">. Prevenciós </w:t>
      </w:r>
      <w:r w:rsidR="006C750D">
        <w:rPr>
          <w:rFonts w:asciiTheme="majorHAnsi" w:hAnsiTheme="majorHAnsi" w:cstheme="majorHAnsi"/>
        </w:rPr>
        <w:t>jelleggel</w:t>
      </w:r>
      <w:r w:rsidRPr="00DC6C83">
        <w:rPr>
          <w:rFonts w:asciiTheme="majorHAnsi" w:hAnsiTheme="majorHAnsi" w:cstheme="majorHAnsi"/>
        </w:rPr>
        <w:t xml:space="preserve"> korai jelzőrendszert szükséges </w:t>
      </w:r>
      <w:r w:rsidR="00AA6CBD" w:rsidRPr="00DC6C83">
        <w:rPr>
          <w:rFonts w:asciiTheme="majorHAnsi" w:hAnsiTheme="majorHAnsi" w:cstheme="majorHAnsi"/>
        </w:rPr>
        <w:t>működtetni</w:t>
      </w:r>
      <w:r w:rsidR="00EF7631">
        <w:rPr>
          <w:rFonts w:asciiTheme="majorHAnsi" w:hAnsiTheme="majorHAnsi" w:cstheme="majorHAnsi"/>
        </w:rPr>
        <w:t xml:space="preserve"> </w:t>
      </w:r>
      <w:r w:rsidRPr="00DC6C83">
        <w:rPr>
          <w:rFonts w:asciiTheme="majorHAnsi" w:hAnsiTheme="majorHAnsi" w:cstheme="majorHAnsi"/>
        </w:rPr>
        <w:t xml:space="preserve">a korai iskolaelhagyás </w:t>
      </w:r>
      <w:r w:rsidRPr="00DC6C83">
        <w:rPr>
          <w:rFonts w:asciiTheme="majorHAnsi" w:hAnsiTheme="majorHAnsi" w:cstheme="majorHAnsi"/>
          <w:bCs/>
        </w:rPr>
        <w:t xml:space="preserve">megelőzése </w:t>
      </w:r>
      <w:r w:rsidRPr="00DC6C83">
        <w:rPr>
          <w:rFonts w:asciiTheme="majorHAnsi" w:hAnsiTheme="majorHAnsi" w:cstheme="majorHAnsi"/>
        </w:rPr>
        <w:t xml:space="preserve">céljából, és specifikus </w:t>
      </w:r>
      <w:r w:rsidR="008B2DD2">
        <w:rPr>
          <w:rFonts w:asciiTheme="majorHAnsi" w:hAnsiTheme="majorHAnsi" w:cstheme="majorHAnsi"/>
          <w:bCs/>
        </w:rPr>
        <w:t>beavatko</w:t>
      </w:r>
      <w:r w:rsidRPr="00DC6C83">
        <w:rPr>
          <w:rFonts w:asciiTheme="majorHAnsi" w:hAnsiTheme="majorHAnsi" w:cstheme="majorHAnsi"/>
          <w:bCs/>
        </w:rPr>
        <w:t xml:space="preserve">zásokat szükséges </w:t>
      </w:r>
      <w:r w:rsidR="00AA6CBD" w:rsidRPr="00DC6C83">
        <w:rPr>
          <w:rFonts w:asciiTheme="majorHAnsi" w:hAnsiTheme="majorHAnsi" w:cstheme="majorHAnsi"/>
          <w:bCs/>
        </w:rPr>
        <w:t>kidolgozni</w:t>
      </w:r>
      <w:r w:rsidR="00EF7631">
        <w:rPr>
          <w:rFonts w:asciiTheme="majorHAnsi" w:hAnsiTheme="majorHAnsi" w:cstheme="majorHAnsi"/>
          <w:bCs/>
        </w:rPr>
        <w:t xml:space="preserve"> </w:t>
      </w:r>
      <w:r w:rsidRPr="00DC6C83">
        <w:rPr>
          <w:rFonts w:asciiTheme="majorHAnsi" w:hAnsiTheme="majorHAnsi" w:cstheme="majorHAnsi"/>
        </w:rPr>
        <w:t>azon tanulók</w:t>
      </w:r>
      <w:r w:rsidR="00863444">
        <w:rPr>
          <w:rFonts w:asciiTheme="majorHAnsi" w:hAnsiTheme="majorHAnsi" w:cstheme="majorHAnsi"/>
        </w:rPr>
        <w:t>nak</w:t>
      </w:r>
      <w:r w:rsidRPr="00DC6C83">
        <w:rPr>
          <w:rFonts w:asciiTheme="majorHAnsi" w:hAnsiTheme="majorHAnsi" w:cstheme="majorHAnsi"/>
        </w:rPr>
        <w:t>, fiatalok</w:t>
      </w:r>
      <w:r w:rsidR="00863444">
        <w:rPr>
          <w:rFonts w:asciiTheme="majorHAnsi" w:hAnsiTheme="majorHAnsi" w:cstheme="majorHAnsi"/>
        </w:rPr>
        <w:t>nak</w:t>
      </w:r>
      <w:proofErr w:type="gramStart"/>
      <w:r w:rsidR="00152195">
        <w:rPr>
          <w:rFonts w:asciiTheme="majorHAnsi" w:hAnsiTheme="majorHAnsi" w:cstheme="majorHAnsi"/>
        </w:rPr>
        <w:t>,</w:t>
      </w:r>
      <w:proofErr w:type="gramEnd"/>
      <w:r w:rsidRPr="00DC6C83">
        <w:rPr>
          <w:rFonts w:asciiTheme="majorHAnsi" w:hAnsiTheme="majorHAnsi" w:cstheme="majorHAnsi"/>
        </w:rPr>
        <w:t xml:space="preserve"> </w:t>
      </w:r>
      <w:r w:rsidR="005F35D2" w:rsidRPr="00DC6C83">
        <w:rPr>
          <w:rFonts w:asciiTheme="majorHAnsi" w:hAnsiTheme="majorHAnsi" w:cstheme="majorHAnsi"/>
        </w:rPr>
        <w:t>akik</w:t>
      </w:r>
      <w:r w:rsidRPr="00DC6C83">
        <w:rPr>
          <w:rFonts w:asciiTheme="majorHAnsi" w:hAnsiTheme="majorHAnsi" w:cstheme="majorHAnsi"/>
        </w:rPr>
        <w:t xml:space="preserve"> ezek hiányában </w:t>
      </w:r>
      <w:r w:rsidR="00EF7631">
        <w:rPr>
          <w:rFonts w:asciiTheme="majorHAnsi" w:hAnsiTheme="majorHAnsi" w:cstheme="majorHAnsi"/>
        </w:rPr>
        <w:t>kiesnének</w:t>
      </w:r>
      <w:r w:rsidR="007B20EE">
        <w:rPr>
          <w:rFonts w:asciiTheme="majorHAnsi" w:hAnsiTheme="majorHAnsi" w:cstheme="majorHAnsi"/>
        </w:rPr>
        <w:t xml:space="preserve"> (lemorzsolódnak)</w:t>
      </w:r>
      <w:r w:rsidRPr="00DC6C83">
        <w:rPr>
          <w:rFonts w:asciiTheme="majorHAnsi" w:hAnsiTheme="majorHAnsi" w:cstheme="majorHAnsi"/>
        </w:rPr>
        <w:t xml:space="preserve"> az oktatási rendszerből.</w:t>
      </w:r>
      <w:r w:rsidR="00E25410">
        <w:rPr>
          <w:rFonts w:asciiTheme="majorHAnsi" w:hAnsiTheme="majorHAnsi" w:cstheme="majorHAnsi"/>
        </w:rPr>
        <w:t xml:space="preserve"> (</w:t>
      </w:r>
      <w:r w:rsidR="008B2DD2" w:rsidRPr="008B2DD2">
        <w:rPr>
          <w:rFonts w:asciiTheme="majorHAnsi" w:hAnsiTheme="majorHAnsi" w:cstheme="majorHAnsi"/>
        </w:rPr>
        <w:t>A</w:t>
      </w:r>
      <w:r w:rsidR="008B2DD2">
        <w:rPr>
          <w:rFonts w:asciiTheme="majorHAnsi" w:hAnsiTheme="majorHAnsi" w:cstheme="majorHAnsi"/>
        </w:rPr>
        <w:t xml:space="preserve"> </w:t>
      </w:r>
      <w:r w:rsidR="00554CA4">
        <w:rPr>
          <w:rFonts w:asciiTheme="majorHAnsi" w:hAnsiTheme="majorHAnsi" w:cstheme="majorHAnsi"/>
        </w:rPr>
        <w:t>végzettség nélküli iskolaelhagyás</w:t>
      </w:r>
      <w:r w:rsidR="008B7CA0">
        <w:rPr>
          <w:rFonts w:asciiTheme="majorHAnsi" w:hAnsiTheme="majorHAnsi" w:cstheme="majorHAnsi"/>
        </w:rPr>
        <w:t xml:space="preserve"> esetében a</w:t>
      </w:r>
      <w:r w:rsidR="008B2DD2" w:rsidRPr="008B2DD2">
        <w:rPr>
          <w:rFonts w:asciiTheme="majorHAnsi" w:hAnsiTheme="majorHAnsi" w:cstheme="majorHAnsi"/>
        </w:rPr>
        <w:t xml:space="preserve"> 18-24 éves korosztályban alsó középfokú végzettséggel nem rendelkezők arány</w:t>
      </w:r>
      <w:r w:rsidR="008B7CA0">
        <w:rPr>
          <w:rFonts w:asciiTheme="majorHAnsi" w:hAnsiTheme="majorHAnsi" w:cstheme="majorHAnsi"/>
        </w:rPr>
        <w:t>át vizsgáljuk</w:t>
      </w:r>
      <w:r w:rsidR="008B2DD2" w:rsidRPr="008B2DD2">
        <w:rPr>
          <w:rFonts w:asciiTheme="majorHAnsi" w:hAnsiTheme="majorHAnsi" w:cstheme="majorHAnsi"/>
        </w:rPr>
        <w:t xml:space="preserve">, akik az adatfelvételt megelőző 4 hétben nem vettek részt képzésben. </w:t>
      </w:r>
      <w:r w:rsidR="00E25410">
        <w:rPr>
          <w:rFonts w:asciiTheme="majorHAnsi" w:hAnsiTheme="majorHAnsi" w:cstheme="majorHAnsi"/>
        </w:rPr>
        <w:t xml:space="preserve">A </w:t>
      </w:r>
      <w:r w:rsidR="007B20EE">
        <w:rPr>
          <w:rFonts w:asciiTheme="majorHAnsi" w:hAnsiTheme="majorHAnsi" w:cstheme="majorHAnsi"/>
        </w:rPr>
        <w:t>lemorzsolódás</w:t>
      </w:r>
      <w:r w:rsidR="008B7CA0">
        <w:rPr>
          <w:rFonts w:asciiTheme="majorHAnsi" w:hAnsiTheme="majorHAnsi" w:cstheme="majorHAnsi"/>
        </w:rPr>
        <w:t xml:space="preserve"> vizsgálatakor az iskolarendszerű képzésben részvevő</w:t>
      </w:r>
      <w:r w:rsidR="00D50372">
        <w:rPr>
          <w:rFonts w:asciiTheme="majorHAnsi" w:hAnsiTheme="majorHAnsi" w:cstheme="majorHAnsi"/>
        </w:rPr>
        <w:t>, 16-24 éves</w:t>
      </w:r>
      <w:r w:rsidR="008B7CA0">
        <w:rPr>
          <w:rFonts w:asciiTheme="majorHAnsi" w:hAnsiTheme="majorHAnsi" w:cstheme="majorHAnsi"/>
        </w:rPr>
        <w:t xml:space="preserve"> tanulókat vizsgáljuk, azokat, akik a</w:t>
      </w:r>
      <w:r w:rsidR="007B20EE">
        <w:rPr>
          <w:rFonts w:asciiTheme="majorHAnsi" w:hAnsiTheme="majorHAnsi" w:cstheme="majorHAnsi"/>
        </w:rPr>
        <w:t>z előző</w:t>
      </w:r>
      <w:r w:rsidR="008B7CA0">
        <w:rPr>
          <w:rFonts w:asciiTheme="majorHAnsi" w:hAnsiTheme="majorHAnsi" w:cstheme="majorHAnsi"/>
        </w:rPr>
        <w:t xml:space="preserve"> tanév el</w:t>
      </w:r>
      <w:r w:rsidR="00E25410">
        <w:rPr>
          <w:rFonts w:asciiTheme="majorHAnsi" w:hAnsiTheme="majorHAnsi" w:cstheme="majorHAnsi"/>
        </w:rPr>
        <w:t>e</w:t>
      </w:r>
      <w:r w:rsidR="008B7CA0">
        <w:rPr>
          <w:rFonts w:asciiTheme="majorHAnsi" w:hAnsiTheme="majorHAnsi" w:cstheme="majorHAnsi"/>
        </w:rPr>
        <w:t xml:space="preserve">jén még szerepeltek az iskolai létszámadatokban, de </w:t>
      </w:r>
      <w:r w:rsidR="007B20EE">
        <w:rPr>
          <w:rFonts w:asciiTheme="majorHAnsi" w:hAnsiTheme="majorHAnsi" w:cstheme="majorHAnsi"/>
        </w:rPr>
        <w:t>jelen</w:t>
      </w:r>
      <w:r w:rsidR="008B7CA0">
        <w:rPr>
          <w:rFonts w:asciiTheme="majorHAnsi" w:hAnsiTheme="majorHAnsi" w:cstheme="majorHAnsi"/>
        </w:rPr>
        <w:t xml:space="preserve"> tanév </w:t>
      </w:r>
      <w:r w:rsidR="007B20EE">
        <w:rPr>
          <w:rFonts w:asciiTheme="majorHAnsi" w:hAnsiTheme="majorHAnsi" w:cstheme="majorHAnsi"/>
        </w:rPr>
        <w:t xml:space="preserve">elején </w:t>
      </w:r>
      <w:r w:rsidR="008B7CA0">
        <w:rPr>
          <w:rFonts w:asciiTheme="majorHAnsi" w:hAnsiTheme="majorHAnsi" w:cstheme="majorHAnsi"/>
        </w:rPr>
        <w:t>már nem</w:t>
      </w:r>
      <w:r w:rsidR="00392D9C">
        <w:rPr>
          <w:rFonts w:asciiTheme="majorHAnsi" w:hAnsiTheme="majorHAnsi" w:cstheme="majorHAnsi"/>
        </w:rPr>
        <w:t xml:space="preserve"> és nem szereztek középfokú végzettséget</w:t>
      </w:r>
      <w:r w:rsidR="008B7CA0">
        <w:rPr>
          <w:rFonts w:asciiTheme="majorHAnsi" w:hAnsiTheme="majorHAnsi" w:cstheme="majorHAnsi"/>
        </w:rPr>
        <w:t>.</w:t>
      </w:r>
      <w:r w:rsidR="00E25410">
        <w:rPr>
          <w:rFonts w:asciiTheme="majorHAnsi" w:hAnsiTheme="majorHAnsi" w:cstheme="majorHAnsi"/>
        </w:rPr>
        <w:t>)</w:t>
      </w:r>
    </w:p>
    <w:p w14:paraId="1453D2C2" w14:textId="7E754AA1" w:rsidR="000D5128" w:rsidRDefault="00091F9F" w:rsidP="00B86FE8">
      <w:pPr>
        <w:rPr>
          <w:rFonts w:asciiTheme="majorHAnsi" w:hAnsiTheme="majorHAnsi" w:cstheme="majorHAnsi"/>
        </w:rPr>
      </w:pPr>
      <w:r>
        <w:rPr>
          <w:rFonts w:asciiTheme="majorHAnsi" w:hAnsiTheme="majorHAnsi" w:cstheme="majorHAnsi"/>
        </w:rPr>
        <w:t>A</w:t>
      </w:r>
      <w:r w:rsidR="00596FD8">
        <w:rPr>
          <w:rFonts w:asciiTheme="majorHAnsi" w:hAnsiTheme="majorHAnsi" w:cstheme="majorHAnsi"/>
        </w:rPr>
        <w:t xml:space="preserve"> </w:t>
      </w:r>
      <w:r w:rsidR="005B075C">
        <w:rPr>
          <w:rFonts w:asciiTheme="majorHAnsi" w:hAnsiTheme="majorHAnsi" w:cstheme="majorHAnsi"/>
        </w:rPr>
        <w:t>korai iskolaelhagyást</w:t>
      </w:r>
      <w:r w:rsidR="005B075C" w:rsidDel="005B075C">
        <w:rPr>
          <w:rFonts w:asciiTheme="majorHAnsi" w:hAnsiTheme="majorHAnsi" w:cstheme="majorHAnsi"/>
        </w:rPr>
        <w:t xml:space="preserve"> </w:t>
      </w:r>
      <w:r>
        <w:rPr>
          <w:rFonts w:asciiTheme="majorHAnsi" w:hAnsiTheme="majorHAnsi" w:cstheme="majorHAnsi"/>
        </w:rPr>
        <w:t>alapvetően négy fő tényező befolyásolja</w:t>
      </w:r>
      <w:r w:rsidR="000D5128" w:rsidRPr="000D5128">
        <w:rPr>
          <w:rFonts w:asciiTheme="majorHAnsi" w:hAnsiTheme="majorHAnsi" w:cstheme="majorHAnsi"/>
        </w:rPr>
        <w:t xml:space="preserve">: </w:t>
      </w:r>
      <w:r w:rsidR="00596FD8">
        <w:rPr>
          <w:rFonts w:asciiTheme="majorHAnsi" w:hAnsiTheme="majorHAnsi" w:cstheme="majorHAnsi"/>
        </w:rPr>
        <w:t>a gyakori,</w:t>
      </w:r>
      <w:r w:rsidR="000D5128" w:rsidRPr="000D5128">
        <w:rPr>
          <w:rFonts w:asciiTheme="majorHAnsi" w:hAnsiTheme="majorHAnsi" w:cstheme="majorHAnsi"/>
        </w:rPr>
        <w:t xml:space="preserve"> rendszeres</w:t>
      </w:r>
      <w:r w:rsidR="00596FD8">
        <w:rPr>
          <w:rFonts w:asciiTheme="majorHAnsi" w:hAnsiTheme="majorHAnsi" w:cstheme="majorHAnsi"/>
        </w:rPr>
        <w:t>en előforduló</w:t>
      </w:r>
      <w:r w:rsidR="000D5128" w:rsidRPr="000D5128">
        <w:rPr>
          <w:rFonts w:asciiTheme="majorHAnsi" w:hAnsiTheme="majorHAnsi" w:cstheme="majorHAnsi"/>
        </w:rPr>
        <w:t xml:space="preserve"> hiányzás, </w:t>
      </w:r>
      <w:r w:rsidR="00806170">
        <w:rPr>
          <w:rFonts w:asciiTheme="majorHAnsi" w:hAnsiTheme="majorHAnsi" w:cstheme="majorHAnsi"/>
        </w:rPr>
        <w:t xml:space="preserve">valamint </w:t>
      </w:r>
      <w:r w:rsidR="000D5128" w:rsidRPr="000D5128">
        <w:rPr>
          <w:rFonts w:asciiTheme="majorHAnsi" w:hAnsiTheme="majorHAnsi" w:cstheme="majorHAnsi"/>
        </w:rPr>
        <w:t>a halmozottan hátrányos</w:t>
      </w:r>
      <w:r w:rsidR="00596FD8">
        <w:rPr>
          <w:rFonts w:asciiTheme="majorHAnsi" w:hAnsiTheme="majorHAnsi" w:cstheme="majorHAnsi"/>
        </w:rPr>
        <w:t xml:space="preserve"> helyzetű</w:t>
      </w:r>
      <w:r w:rsidR="000D5128" w:rsidRPr="000D5128">
        <w:rPr>
          <w:rFonts w:asciiTheme="majorHAnsi" w:hAnsiTheme="majorHAnsi" w:cstheme="majorHAnsi"/>
        </w:rPr>
        <w:t xml:space="preserve">, a sajátos nevelési igényű, illetve </w:t>
      </w:r>
      <w:r w:rsidR="00806170">
        <w:rPr>
          <w:rFonts w:asciiTheme="majorHAnsi" w:hAnsiTheme="majorHAnsi" w:cstheme="majorHAnsi"/>
        </w:rPr>
        <w:t xml:space="preserve">a </w:t>
      </w:r>
      <w:r w:rsidR="000D5128" w:rsidRPr="000D5128">
        <w:rPr>
          <w:rFonts w:asciiTheme="majorHAnsi" w:hAnsiTheme="majorHAnsi" w:cstheme="majorHAnsi"/>
        </w:rPr>
        <w:t>beilleszkedési és m</w:t>
      </w:r>
      <w:r w:rsidR="00806170">
        <w:rPr>
          <w:rFonts w:asciiTheme="majorHAnsi" w:hAnsiTheme="majorHAnsi" w:cstheme="majorHAnsi"/>
        </w:rPr>
        <w:t>agatartási nehézséggel küzdő</w:t>
      </w:r>
      <w:r w:rsidR="000D5128" w:rsidRPr="000D5128">
        <w:rPr>
          <w:rFonts w:asciiTheme="majorHAnsi" w:hAnsiTheme="majorHAnsi" w:cstheme="majorHAnsi"/>
        </w:rPr>
        <w:t xml:space="preserve"> tanulók aránya. Minél nagyobbak ezek az arányok, annál jobban megnő annak a valószínűsége, hogy az adott feladatellátási helyen a lemorzsolódás aránya magas lesz.</w:t>
      </w:r>
    </w:p>
    <w:p w14:paraId="6EC91139" w14:textId="77777777" w:rsidR="00D33CC1" w:rsidRDefault="00D33CC1" w:rsidP="003D557E">
      <w:pPr>
        <w:pStyle w:val="Abracim"/>
        <w:rPr>
          <w:rFonts w:eastAsia="Calibri"/>
        </w:rPr>
      </w:pPr>
      <w:r w:rsidRPr="003D557E">
        <w:rPr>
          <w:rFonts w:eastAsia="Calibri"/>
        </w:rPr>
        <w:lastRenderedPageBreak/>
        <w:t xml:space="preserve">Az iskolai lemorzsolódás </w:t>
      </w:r>
      <w:r w:rsidR="002B65B7">
        <w:rPr>
          <w:rFonts w:eastAsia="Calibri"/>
        </w:rPr>
        <w:t>mértéke</w:t>
      </w:r>
      <w:r w:rsidR="00AE707E">
        <w:rPr>
          <w:rFonts w:eastAsia="Calibri"/>
        </w:rPr>
        <w:t xml:space="preserve"> országosan</w:t>
      </w:r>
    </w:p>
    <w:p w14:paraId="32A6B31D" w14:textId="77777777" w:rsidR="00D33CC1" w:rsidRDefault="00AA6E1A" w:rsidP="004203BA">
      <w:pPr>
        <w:jc w:val="center"/>
        <w:rPr>
          <w:rFonts w:asciiTheme="majorHAnsi" w:hAnsiTheme="majorHAnsi" w:cstheme="majorHAnsi"/>
        </w:rPr>
      </w:pPr>
      <w:r>
        <w:rPr>
          <w:noProof/>
          <w:lang w:eastAsia="hu-HU"/>
        </w:rPr>
        <w:drawing>
          <wp:inline distT="0" distB="0" distL="0" distR="0" wp14:anchorId="039CE590" wp14:editId="351F7BA3">
            <wp:extent cx="5972810" cy="2986405"/>
            <wp:effectExtent l="0" t="0" r="8890" b="444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72810" cy="2986405"/>
                    </a:xfrm>
                    <a:prstGeom prst="rect">
                      <a:avLst/>
                    </a:prstGeom>
                  </pic:spPr>
                </pic:pic>
              </a:graphicData>
            </a:graphic>
          </wp:inline>
        </w:drawing>
      </w:r>
    </w:p>
    <w:p w14:paraId="40323FAB" w14:textId="77777777" w:rsidR="00D33CC1" w:rsidRPr="00D33CC1" w:rsidRDefault="00D33CC1" w:rsidP="00E25410">
      <w:pPr>
        <w:ind w:left="426" w:right="567"/>
        <w:jc w:val="center"/>
        <w:rPr>
          <w:rFonts w:asciiTheme="majorHAnsi" w:hAnsiTheme="majorHAnsi" w:cstheme="majorHAnsi"/>
          <w:sz w:val="20"/>
          <w:szCs w:val="20"/>
        </w:rPr>
      </w:pPr>
      <w:r w:rsidRPr="00D33CC1">
        <w:rPr>
          <w:rFonts w:asciiTheme="majorHAnsi" w:hAnsiTheme="majorHAnsi" w:cstheme="majorHAnsi"/>
          <w:sz w:val="20"/>
          <w:szCs w:val="20"/>
        </w:rPr>
        <w:t xml:space="preserve">Forrás: </w:t>
      </w:r>
      <w:r w:rsidR="00AA6E1A">
        <w:rPr>
          <w:rFonts w:asciiTheme="majorHAnsi" w:hAnsiTheme="majorHAnsi" w:cstheme="majorHAnsi"/>
          <w:sz w:val="20"/>
          <w:szCs w:val="20"/>
        </w:rPr>
        <w:t>Oktatási Hivatal</w:t>
      </w:r>
    </w:p>
    <w:p w14:paraId="62C15EAF" w14:textId="77777777" w:rsidR="00E25410" w:rsidRDefault="00E25410" w:rsidP="00B86FE8">
      <w:pPr>
        <w:rPr>
          <w:rFonts w:asciiTheme="majorHAnsi" w:hAnsiTheme="majorHAnsi" w:cstheme="majorHAnsi"/>
          <w:lang w:eastAsia="hu-HU"/>
        </w:rPr>
      </w:pPr>
    </w:p>
    <w:p w14:paraId="2F5A3811" w14:textId="67C0FF93" w:rsidR="005F35D2" w:rsidRDefault="00B86FE8" w:rsidP="00B86FE8">
      <w:pPr>
        <w:rPr>
          <w:rFonts w:asciiTheme="majorHAnsi" w:hAnsiTheme="majorHAnsi" w:cstheme="majorHAnsi"/>
          <w:lang w:eastAsia="hu-HU"/>
        </w:rPr>
      </w:pPr>
      <w:r w:rsidRPr="00DC6C83">
        <w:rPr>
          <w:rFonts w:asciiTheme="majorHAnsi" w:hAnsiTheme="majorHAnsi" w:cstheme="majorHAnsi"/>
          <w:lang w:eastAsia="hu-HU"/>
        </w:rPr>
        <w:t>Az alacsony iskolai teljesítménnyel, hátrányos társadalmi-gazdasági háttérrel jellemezhető</w:t>
      </w:r>
      <w:r w:rsidR="008C075E">
        <w:rPr>
          <w:rFonts w:asciiTheme="majorHAnsi" w:hAnsiTheme="majorHAnsi" w:cstheme="majorHAnsi"/>
          <w:lang w:eastAsia="hu-HU"/>
        </w:rPr>
        <w:t>, esetenként halmozottan hátrányos helyzetű</w:t>
      </w:r>
      <w:r w:rsidRPr="00DC6C83">
        <w:rPr>
          <w:rFonts w:asciiTheme="majorHAnsi" w:hAnsiTheme="majorHAnsi" w:cstheme="majorHAnsi"/>
          <w:lang w:eastAsia="hu-HU"/>
        </w:rPr>
        <w:t xml:space="preserve"> tanulók a korai iskolaelhagyás veszélyének fokozottan kitett tanulói csoporthoz tartoznak. A </w:t>
      </w:r>
      <w:r w:rsidR="004E4DA1">
        <w:rPr>
          <w:rFonts w:asciiTheme="majorHAnsi" w:hAnsiTheme="majorHAnsi" w:cstheme="majorHAnsi"/>
          <w:lang w:eastAsia="hu-HU"/>
        </w:rPr>
        <w:t>végzettség nélküli iskolaelhagyás</w:t>
      </w:r>
      <w:r w:rsidRPr="00DC6C83">
        <w:rPr>
          <w:rFonts w:asciiTheme="majorHAnsi" w:hAnsiTheme="majorHAnsi" w:cstheme="majorHAnsi"/>
          <w:lang w:eastAsia="hu-HU"/>
        </w:rPr>
        <w:t xml:space="preserve"> aránya </w:t>
      </w:r>
      <w:r w:rsidR="00863444">
        <w:rPr>
          <w:rFonts w:asciiTheme="majorHAnsi" w:hAnsiTheme="majorHAnsi" w:cstheme="majorHAnsi"/>
          <w:lang w:eastAsia="hu-HU"/>
        </w:rPr>
        <w:t xml:space="preserve">az </w:t>
      </w:r>
      <w:r w:rsidR="00863444" w:rsidRPr="00DC6C83">
        <w:rPr>
          <w:rFonts w:asciiTheme="majorHAnsi" w:hAnsiTheme="majorHAnsi" w:cstheme="majorHAnsi"/>
          <w:lang w:eastAsia="hu-HU"/>
        </w:rPr>
        <w:t xml:space="preserve">uniós átlagban </w:t>
      </w:r>
      <w:r w:rsidRPr="00DC6C83">
        <w:rPr>
          <w:rFonts w:asciiTheme="majorHAnsi" w:hAnsiTheme="majorHAnsi" w:cstheme="majorHAnsi"/>
          <w:lang w:eastAsia="hu-HU"/>
        </w:rPr>
        <w:t xml:space="preserve">javuló tendenciát mutat, azonban a tagállami eredmények részletesebb </w:t>
      </w:r>
      <w:r w:rsidRPr="000A7388">
        <w:rPr>
          <w:rFonts w:asciiTheme="majorHAnsi" w:hAnsiTheme="majorHAnsi" w:cstheme="majorHAnsi"/>
          <w:lang w:eastAsia="hu-HU"/>
        </w:rPr>
        <w:t xml:space="preserve">vizsgálata </w:t>
      </w:r>
      <w:r w:rsidR="00863444">
        <w:rPr>
          <w:rFonts w:asciiTheme="majorHAnsi" w:hAnsiTheme="majorHAnsi" w:cstheme="majorHAnsi"/>
          <w:lang w:eastAsia="hu-HU"/>
        </w:rPr>
        <w:t xml:space="preserve">azt </w:t>
      </w:r>
      <w:r w:rsidRPr="000A7388">
        <w:rPr>
          <w:rFonts w:asciiTheme="majorHAnsi" w:hAnsiTheme="majorHAnsi" w:cstheme="majorHAnsi"/>
          <w:lang w:eastAsia="hu-HU"/>
        </w:rPr>
        <w:t>mutatja, hogy egyes térségek, tanulói csoportok esetében a cél</w:t>
      </w:r>
      <w:r w:rsidR="00CB0B68">
        <w:rPr>
          <w:rFonts w:asciiTheme="majorHAnsi" w:hAnsiTheme="majorHAnsi" w:cstheme="majorHAnsi"/>
          <w:lang w:eastAsia="hu-HU"/>
        </w:rPr>
        <w:t xml:space="preserve"> </w:t>
      </w:r>
      <w:r w:rsidRPr="000A7388">
        <w:rPr>
          <w:rFonts w:asciiTheme="majorHAnsi" w:hAnsiTheme="majorHAnsi" w:cstheme="majorHAnsi"/>
          <w:lang w:eastAsia="hu-HU"/>
        </w:rPr>
        <w:t xml:space="preserve">elérése további jelentős erőfeszítést igényel. </w:t>
      </w:r>
    </w:p>
    <w:p w14:paraId="3325AB82" w14:textId="77777777" w:rsidR="00E25410" w:rsidRDefault="00E25410" w:rsidP="00B86FE8">
      <w:pPr>
        <w:rPr>
          <w:rFonts w:asciiTheme="majorHAnsi" w:hAnsiTheme="majorHAnsi" w:cstheme="majorHAnsi"/>
          <w:lang w:eastAsia="hu-HU"/>
        </w:rPr>
      </w:pPr>
    </w:p>
    <w:p w14:paraId="47317111" w14:textId="77777777" w:rsidR="00B86FE8" w:rsidRPr="00DC6C83" w:rsidRDefault="00B86FE8" w:rsidP="00D10D45">
      <w:pPr>
        <w:pStyle w:val="Tblacm"/>
        <w:ind w:left="426"/>
        <w:jc w:val="center"/>
        <w:rPr>
          <w:rFonts w:asciiTheme="majorHAnsi" w:hAnsiTheme="majorHAnsi" w:cstheme="majorHAnsi"/>
        </w:rPr>
      </w:pPr>
      <w:r w:rsidRPr="00DC6C83">
        <w:rPr>
          <w:rFonts w:asciiTheme="majorHAnsi" w:hAnsiTheme="majorHAnsi" w:cstheme="majorHAnsi"/>
        </w:rPr>
        <w:t>táblázat: A végzettség nélküli iskolaelhagyás alakulása (%)</w:t>
      </w:r>
    </w:p>
    <w:tbl>
      <w:tblPr>
        <w:tblStyle w:val="Tblzatrcsos1vilgos2jellszn1"/>
        <w:tblW w:w="6327" w:type="dxa"/>
        <w:jc w:val="center"/>
        <w:tblLook w:val="04A0" w:firstRow="1" w:lastRow="0" w:firstColumn="1" w:lastColumn="0" w:noHBand="0" w:noVBand="1"/>
      </w:tblPr>
      <w:tblGrid>
        <w:gridCol w:w="1658"/>
        <w:gridCol w:w="667"/>
        <w:gridCol w:w="667"/>
        <w:gridCol w:w="667"/>
        <w:gridCol w:w="667"/>
        <w:gridCol w:w="667"/>
        <w:gridCol w:w="667"/>
        <w:gridCol w:w="667"/>
      </w:tblGrid>
      <w:tr w:rsidR="007D2007" w:rsidRPr="00DC6C83" w14:paraId="749A6FCB" w14:textId="77777777" w:rsidTr="00E36BAB">
        <w:trPr>
          <w:cnfStyle w:val="100000000000" w:firstRow="1" w:lastRow="0"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CB8705" w14:textId="77777777" w:rsidR="007D2007" w:rsidRPr="00DC6C83" w:rsidRDefault="007D2007" w:rsidP="0037289F">
            <w:pPr>
              <w:rPr>
                <w:rFonts w:asciiTheme="majorHAnsi" w:hAnsiTheme="majorHAnsi" w:cstheme="majorHAnsi"/>
              </w:rPr>
            </w:pPr>
          </w:p>
        </w:tc>
        <w:tc>
          <w:tcPr>
            <w:tcW w:w="0" w:type="auto"/>
            <w:vAlign w:val="center"/>
          </w:tcPr>
          <w:p w14:paraId="7107AF98" w14:textId="77777777" w:rsidR="007D2007" w:rsidRPr="00DC6C83" w:rsidRDefault="007D2007" w:rsidP="003728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C6C83">
              <w:rPr>
                <w:rFonts w:asciiTheme="majorHAnsi" w:hAnsiTheme="majorHAnsi" w:cstheme="majorHAnsi"/>
                <w:sz w:val="20"/>
                <w:szCs w:val="20"/>
              </w:rPr>
              <w:t>2003</w:t>
            </w:r>
          </w:p>
        </w:tc>
        <w:tc>
          <w:tcPr>
            <w:tcW w:w="0" w:type="auto"/>
            <w:vAlign w:val="center"/>
          </w:tcPr>
          <w:p w14:paraId="4EE83FD2" w14:textId="77777777" w:rsidR="007D2007" w:rsidRPr="00DC6C83" w:rsidRDefault="007D2007" w:rsidP="003728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C6C83">
              <w:rPr>
                <w:rFonts w:asciiTheme="majorHAnsi" w:hAnsiTheme="majorHAnsi" w:cstheme="majorHAnsi"/>
                <w:sz w:val="20"/>
                <w:szCs w:val="20"/>
              </w:rPr>
              <w:t>2006</w:t>
            </w:r>
          </w:p>
        </w:tc>
        <w:tc>
          <w:tcPr>
            <w:tcW w:w="0" w:type="auto"/>
            <w:vAlign w:val="center"/>
          </w:tcPr>
          <w:p w14:paraId="3EE540D1" w14:textId="77777777" w:rsidR="007D2007" w:rsidRPr="00DC6C83" w:rsidRDefault="007D2007" w:rsidP="003728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C6C83">
              <w:rPr>
                <w:rFonts w:asciiTheme="majorHAnsi" w:hAnsiTheme="majorHAnsi" w:cstheme="majorHAnsi"/>
                <w:sz w:val="20"/>
                <w:szCs w:val="20"/>
              </w:rPr>
              <w:t>2009</w:t>
            </w:r>
          </w:p>
        </w:tc>
        <w:tc>
          <w:tcPr>
            <w:tcW w:w="0" w:type="auto"/>
            <w:vAlign w:val="center"/>
            <w:hideMark/>
          </w:tcPr>
          <w:p w14:paraId="7BF4707B" w14:textId="77777777" w:rsidR="007D2007" w:rsidRPr="00DC6C83" w:rsidRDefault="007D2007" w:rsidP="003728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DC6C83">
              <w:rPr>
                <w:rFonts w:asciiTheme="majorHAnsi" w:hAnsiTheme="majorHAnsi" w:cstheme="majorHAnsi"/>
                <w:sz w:val="20"/>
                <w:szCs w:val="20"/>
              </w:rPr>
              <w:t>2012</w:t>
            </w:r>
          </w:p>
        </w:tc>
        <w:tc>
          <w:tcPr>
            <w:tcW w:w="0" w:type="auto"/>
            <w:vAlign w:val="center"/>
            <w:hideMark/>
          </w:tcPr>
          <w:p w14:paraId="6B8C27BA" w14:textId="77777777" w:rsidR="007D2007" w:rsidRPr="00DC6C83" w:rsidRDefault="007D2007" w:rsidP="003728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DC6C83">
              <w:rPr>
                <w:rFonts w:asciiTheme="majorHAnsi" w:hAnsiTheme="majorHAnsi" w:cstheme="majorHAnsi"/>
                <w:sz w:val="20"/>
                <w:szCs w:val="20"/>
              </w:rPr>
              <w:t>2015</w:t>
            </w:r>
          </w:p>
        </w:tc>
        <w:tc>
          <w:tcPr>
            <w:tcW w:w="0" w:type="auto"/>
            <w:vAlign w:val="center"/>
          </w:tcPr>
          <w:p w14:paraId="7ADCECF3" w14:textId="77777777" w:rsidR="007D2007" w:rsidRPr="00DC6C83" w:rsidRDefault="007D2007" w:rsidP="0037289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DC6C83">
              <w:rPr>
                <w:rFonts w:asciiTheme="majorHAnsi" w:hAnsiTheme="majorHAnsi" w:cstheme="majorHAnsi"/>
                <w:sz w:val="20"/>
                <w:szCs w:val="20"/>
              </w:rPr>
              <w:t>2018</w:t>
            </w:r>
          </w:p>
        </w:tc>
        <w:tc>
          <w:tcPr>
            <w:tcW w:w="0" w:type="auto"/>
            <w:vAlign w:val="center"/>
          </w:tcPr>
          <w:p w14:paraId="087B1327" w14:textId="77777777" w:rsidR="007D2007" w:rsidRPr="00DC6C83" w:rsidRDefault="007D2007" w:rsidP="00E36BA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0"/>
                <w:szCs w:val="20"/>
              </w:rPr>
            </w:pPr>
            <w:r w:rsidRPr="00DC6C83">
              <w:rPr>
                <w:rFonts w:asciiTheme="majorHAnsi" w:hAnsiTheme="majorHAnsi" w:cstheme="majorHAnsi"/>
                <w:sz w:val="20"/>
                <w:szCs w:val="20"/>
              </w:rPr>
              <w:t>201</w:t>
            </w:r>
            <w:r>
              <w:rPr>
                <w:rFonts w:asciiTheme="majorHAnsi" w:hAnsiTheme="majorHAnsi" w:cstheme="majorHAnsi"/>
                <w:sz w:val="20"/>
                <w:szCs w:val="20"/>
              </w:rPr>
              <w:t>9</w:t>
            </w:r>
          </w:p>
        </w:tc>
      </w:tr>
      <w:tr w:rsidR="007D2007" w:rsidRPr="00DC6C83" w14:paraId="24D0ED2E" w14:textId="77777777" w:rsidTr="00E36BAB">
        <w:trPr>
          <w:trHeight w:val="246"/>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3BFBA87" w14:textId="77777777" w:rsidR="007D2007" w:rsidRPr="00DC6C83" w:rsidRDefault="007D2007" w:rsidP="0037289F">
            <w:pPr>
              <w:jc w:val="left"/>
              <w:rPr>
                <w:rFonts w:asciiTheme="majorHAnsi" w:hAnsiTheme="majorHAnsi" w:cstheme="majorHAnsi"/>
                <w:b w:val="0"/>
                <w:bCs w:val="0"/>
                <w:sz w:val="20"/>
              </w:rPr>
            </w:pPr>
            <w:r w:rsidRPr="00DC6C83">
              <w:rPr>
                <w:rFonts w:asciiTheme="majorHAnsi" w:hAnsiTheme="majorHAnsi" w:cstheme="majorHAnsi"/>
                <w:sz w:val="20"/>
              </w:rPr>
              <w:t>Magyarország</w:t>
            </w:r>
          </w:p>
        </w:tc>
        <w:tc>
          <w:tcPr>
            <w:tcW w:w="0" w:type="auto"/>
            <w:vAlign w:val="center"/>
          </w:tcPr>
          <w:p w14:paraId="4D63A994" w14:textId="50652C1A" w:rsidR="007D2007" w:rsidRPr="00DC6C83" w:rsidRDefault="007D2007" w:rsidP="00FE0D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12,</w:t>
            </w:r>
            <w:r w:rsidR="00FE0D60">
              <w:rPr>
                <w:rFonts w:asciiTheme="majorHAnsi" w:hAnsiTheme="majorHAnsi" w:cstheme="majorHAnsi"/>
                <w:b/>
                <w:bCs/>
                <w:sz w:val="20"/>
                <w:szCs w:val="20"/>
              </w:rPr>
              <w:t>0</w:t>
            </w:r>
          </w:p>
        </w:tc>
        <w:tc>
          <w:tcPr>
            <w:tcW w:w="0" w:type="auto"/>
            <w:vAlign w:val="center"/>
          </w:tcPr>
          <w:p w14:paraId="036D791F" w14:textId="77777777" w:rsidR="007D2007" w:rsidRPr="00DC6C83" w:rsidRDefault="007D2007" w:rsidP="003728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12,5</w:t>
            </w:r>
          </w:p>
        </w:tc>
        <w:tc>
          <w:tcPr>
            <w:tcW w:w="0" w:type="auto"/>
            <w:vAlign w:val="center"/>
          </w:tcPr>
          <w:p w14:paraId="19CC5263" w14:textId="77777777" w:rsidR="007D2007" w:rsidRPr="00DC6C83" w:rsidRDefault="007D2007" w:rsidP="003728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11,7</w:t>
            </w:r>
          </w:p>
        </w:tc>
        <w:tc>
          <w:tcPr>
            <w:tcW w:w="0" w:type="auto"/>
            <w:vAlign w:val="center"/>
            <w:hideMark/>
          </w:tcPr>
          <w:p w14:paraId="4E815550" w14:textId="77777777" w:rsidR="007D2007" w:rsidRPr="00DC6C83" w:rsidRDefault="007D2007" w:rsidP="003728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C6C83">
              <w:rPr>
                <w:rFonts w:asciiTheme="majorHAnsi" w:hAnsiTheme="majorHAnsi" w:cstheme="majorHAnsi"/>
                <w:b/>
                <w:bCs/>
                <w:sz w:val="20"/>
                <w:szCs w:val="20"/>
              </w:rPr>
              <w:t>11,4</w:t>
            </w:r>
          </w:p>
        </w:tc>
        <w:tc>
          <w:tcPr>
            <w:tcW w:w="0" w:type="auto"/>
            <w:vAlign w:val="center"/>
            <w:hideMark/>
          </w:tcPr>
          <w:p w14:paraId="52B2C47D" w14:textId="77777777" w:rsidR="007D2007" w:rsidRPr="00DC6C83" w:rsidRDefault="007D2007" w:rsidP="003728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11,6</w:t>
            </w:r>
          </w:p>
        </w:tc>
        <w:tc>
          <w:tcPr>
            <w:tcW w:w="0" w:type="auto"/>
            <w:vAlign w:val="center"/>
          </w:tcPr>
          <w:p w14:paraId="2F28D4DD" w14:textId="77777777" w:rsidR="007D2007" w:rsidRPr="00DC6C83" w:rsidRDefault="007D2007" w:rsidP="003728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12,5</w:t>
            </w:r>
          </w:p>
        </w:tc>
        <w:tc>
          <w:tcPr>
            <w:tcW w:w="0" w:type="auto"/>
            <w:vAlign w:val="center"/>
          </w:tcPr>
          <w:p w14:paraId="4C7AF9E0" w14:textId="687B1DF0" w:rsidR="007D2007" w:rsidRPr="00DC6C83" w:rsidRDefault="00CB0B68" w:rsidP="005B075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Pr>
                <w:rFonts w:asciiTheme="majorHAnsi" w:hAnsiTheme="majorHAnsi" w:cstheme="majorHAnsi"/>
                <w:b/>
                <w:bCs/>
                <w:sz w:val="20"/>
                <w:szCs w:val="20"/>
              </w:rPr>
              <w:t>11,8</w:t>
            </w:r>
          </w:p>
        </w:tc>
      </w:tr>
      <w:tr w:rsidR="007D2007" w:rsidRPr="00DC6C83" w14:paraId="5B21C00D" w14:textId="77777777" w:rsidTr="007D2007">
        <w:trPr>
          <w:trHeight w:val="11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27B947" w14:textId="77777777" w:rsidR="007D2007" w:rsidRPr="00DC6C83" w:rsidRDefault="007D2007" w:rsidP="0037289F">
            <w:pPr>
              <w:jc w:val="left"/>
              <w:rPr>
                <w:rFonts w:asciiTheme="majorHAnsi" w:hAnsiTheme="majorHAnsi" w:cstheme="majorHAnsi"/>
                <w:b w:val="0"/>
                <w:bCs w:val="0"/>
                <w:sz w:val="20"/>
              </w:rPr>
            </w:pPr>
            <w:r w:rsidRPr="00DC6C83">
              <w:rPr>
                <w:rFonts w:asciiTheme="majorHAnsi" w:hAnsiTheme="majorHAnsi" w:cstheme="majorHAnsi"/>
                <w:sz w:val="20"/>
              </w:rPr>
              <w:t>EU átlag (EU 28)</w:t>
            </w:r>
          </w:p>
        </w:tc>
        <w:tc>
          <w:tcPr>
            <w:tcW w:w="0" w:type="auto"/>
            <w:vAlign w:val="center"/>
          </w:tcPr>
          <w:p w14:paraId="54FBC224" w14:textId="0FC94456" w:rsidR="007D2007" w:rsidRPr="00DC6C83" w:rsidRDefault="007D2007" w:rsidP="00FE0D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w:t>
            </w:r>
            <w:r w:rsidR="00FE0D60">
              <w:rPr>
                <w:rFonts w:asciiTheme="majorHAnsi" w:hAnsiTheme="majorHAnsi" w:cstheme="majorHAnsi"/>
                <w:b/>
                <w:bCs/>
                <w:sz w:val="20"/>
                <w:szCs w:val="20"/>
              </w:rPr>
              <w:t>6,4</w:t>
            </w:r>
          </w:p>
        </w:tc>
        <w:tc>
          <w:tcPr>
            <w:tcW w:w="0" w:type="auto"/>
            <w:vAlign w:val="center"/>
          </w:tcPr>
          <w:p w14:paraId="5953C7E7" w14:textId="774B8E03" w:rsidR="007D2007" w:rsidRPr="00DC6C83" w:rsidRDefault="007D2007" w:rsidP="00FE0D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15,</w:t>
            </w:r>
            <w:r w:rsidR="00FE0D60">
              <w:rPr>
                <w:rFonts w:asciiTheme="majorHAnsi" w:hAnsiTheme="majorHAnsi" w:cstheme="majorHAnsi"/>
                <w:b/>
                <w:bCs/>
                <w:sz w:val="20"/>
                <w:szCs w:val="20"/>
              </w:rPr>
              <w:t>3</w:t>
            </w:r>
          </w:p>
        </w:tc>
        <w:tc>
          <w:tcPr>
            <w:tcW w:w="0" w:type="auto"/>
            <w:vAlign w:val="center"/>
          </w:tcPr>
          <w:p w14:paraId="7E28C72D" w14:textId="53774582" w:rsidR="007D2007" w:rsidRPr="00DC6C83" w:rsidRDefault="007D2007" w:rsidP="00FE0D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14,</w:t>
            </w:r>
            <w:r w:rsidR="00FE0D60">
              <w:rPr>
                <w:rFonts w:asciiTheme="majorHAnsi" w:hAnsiTheme="majorHAnsi" w:cstheme="majorHAnsi"/>
                <w:b/>
                <w:bCs/>
                <w:sz w:val="20"/>
                <w:szCs w:val="20"/>
              </w:rPr>
              <w:t>2</w:t>
            </w:r>
          </w:p>
        </w:tc>
        <w:tc>
          <w:tcPr>
            <w:tcW w:w="0" w:type="auto"/>
            <w:vAlign w:val="center"/>
            <w:hideMark/>
          </w:tcPr>
          <w:p w14:paraId="7D6DF684" w14:textId="3493C054" w:rsidR="007D2007" w:rsidRPr="00DC6C83" w:rsidRDefault="007D2007" w:rsidP="00FE0D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C6C83">
              <w:rPr>
                <w:rFonts w:asciiTheme="majorHAnsi" w:hAnsiTheme="majorHAnsi" w:cstheme="majorHAnsi"/>
                <w:b/>
                <w:bCs/>
                <w:sz w:val="20"/>
                <w:szCs w:val="20"/>
              </w:rPr>
              <w:t>1</w:t>
            </w:r>
            <w:r w:rsidR="00FE0D60">
              <w:rPr>
                <w:rFonts w:asciiTheme="majorHAnsi" w:hAnsiTheme="majorHAnsi" w:cstheme="majorHAnsi"/>
                <w:b/>
                <w:bCs/>
                <w:sz w:val="20"/>
                <w:szCs w:val="20"/>
              </w:rPr>
              <w:t>2,7</w:t>
            </w:r>
          </w:p>
        </w:tc>
        <w:tc>
          <w:tcPr>
            <w:tcW w:w="0" w:type="auto"/>
            <w:vAlign w:val="center"/>
            <w:hideMark/>
          </w:tcPr>
          <w:p w14:paraId="7E9718D1" w14:textId="77777777" w:rsidR="007D2007" w:rsidRPr="00DC6C83" w:rsidRDefault="007D2007" w:rsidP="003728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11,0</w:t>
            </w:r>
          </w:p>
        </w:tc>
        <w:tc>
          <w:tcPr>
            <w:tcW w:w="0" w:type="auto"/>
            <w:vAlign w:val="center"/>
          </w:tcPr>
          <w:p w14:paraId="059FF54D" w14:textId="57637D19" w:rsidR="007D2007" w:rsidRPr="00DC6C83" w:rsidRDefault="007D2007" w:rsidP="00FE0D6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DC6C83">
              <w:rPr>
                <w:rFonts w:asciiTheme="majorHAnsi" w:hAnsiTheme="majorHAnsi" w:cstheme="majorHAnsi"/>
                <w:b/>
                <w:bCs/>
                <w:sz w:val="20"/>
                <w:szCs w:val="20"/>
              </w:rPr>
              <w:t>10,</w:t>
            </w:r>
            <w:r w:rsidR="00FE0D60">
              <w:rPr>
                <w:rFonts w:asciiTheme="majorHAnsi" w:hAnsiTheme="majorHAnsi" w:cstheme="majorHAnsi"/>
                <w:b/>
                <w:bCs/>
                <w:sz w:val="20"/>
                <w:szCs w:val="20"/>
              </w:rPr>
              <w:t>5</w:t>
            </w:r>
          </w:p>
        </w:tc>
        <w:tc>
          <w:tcPr>
            <w:tcW w:w="0" w:type="auto"/>
          </w:tcPr>
          <w:p w14:paraId="649249B0" w14:textId="1A04C912" w:rsidR="007D2007" w:rsidRPr="00DC6C83" w:rsidRDefault="0035416B" w:rsidP="0037289F">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Pr>
                <w:rFonts w:asciiTheme="majorHAnsi" w:hAnsiTheme="majorHAnsi" w:cstheme="majorHAnsi"/>
                <w:b/>
                <w:bCs/>
                <w:sz w:val="20"/>
                <w:szCs w:val="20"/>
              </w:rPr>
              <w:t>10,3</w:t>
            </w:r>
          </w:p>
        </w:tc>
      </w:tr>
    </w:tbl>
    <w:p w14:paraId="38D187C4" w14:textId="5141311F" w:rsidR="00B86FE8" w:rsidRPr="00DC6C83" w:rsidRDefault="00B86FE8" w:rsidP="00C82B1D">
      <w:pPr>
        <w:jc w:val="center"/>
        <w:rPr>
          <w:rFonts w:asciiTheme="majorHAnsi" w:hAnsiTheme="majorHAnsi" w:cstheme="majorHAnsi"/>
          <w:bCs/>
          <w:sz w:val="20"/>
          <w:szCs w:val="20"/>
        </w:rPr>
      </w:pPr>
      <w:r w:rsidRPr="00DC6C83">
        <w:rPr>
          <w:rFonts w:asciiTheme="majorHAnsi" w:hAnsiTheme="majorHAnsi" w:cstheme="majorHAnsi"/>
          <w:sz w:val="20"/>
          <w:szCs w:val="20"/>
        </w:rPr>
        <w:t>Forrás: KSH Munkae</w:t>
      </w:r>
      <w:r w:rsidR="0035416B">
        <w:rPr>
          <w:rFonts w:asciiTheme="majorHAnsi" w:hAnsiTheme="majorHAnsi" w:cstheme="majorHAnsi"/>
          <w:sz w:val="20"/>
          <w:szCs w:val="20"/>
        </w:rPr>
        <w:t xml:space="preserve">rő-felmérés; </w:t>
      </w:r>
      <w:proofErr w:type="spellStart"/>
      <w:r w:rsidR="0035416B">
        <w:rPr>
          <w:rFonts w:asciiTheme="majorHAnsi" w:hAnsiTheme="majorHAnsi" w:cstheme="majorHAnsi"/>
          <w:sz w:val="20"/>
          <w:szCs w:val="20"/>
        </w:rPr>
        <w:t>Eurostat</w:t>
      </w:r>
      <w:proofErr w:type="spellEnd"/>
      <w:r w:rsidR="0035416B">
        <w:rPr>
          <w:rFonts w:asciiTheme="majorHAnsi" w:hAnsiTheme="majorHAnsi" w:cstheme="majorHAnsi"/>
          <w:sz w:val="20"/>
          <w:szCs w:val="20"/>
        </w:rPr>
        <w:t xml:space="preserve">, </w:t>
      </w:r>
      <w:r w:rsidR="00075651">
        <w:rPr>
          <w:rFonts w:asciiTheme="majorHAnsi" w:hAnsiTheme="majorHAnsi" w:cstheme="majorHAnsi"/>
          <w:sz w:val="20"/>
          <w:szCs w:val="20"/>
        </w:rPr>
        <w:t>LFS</w:t>
      </w:r>
      <w:r w:rsidR="0035416B">
        <w:rPr>
          <w:rFonts w:asciiTheme="majorHAnsi" w:hAnsiTheme="majorHAnsi" w:cstheme="majorHAnsi"/>
          <w:sz w:val="20"/>
          <w:szCs w:val="20"/>
        </w:rPr>
        <w:t>, 2020</w:t>
      </w:r>
    </w:p>
    <w:p w14:paraId="59524A43" w14:textId="285652AA" w:rsidR="00B86FE8" w:rsidRDefault="00B86FE8" w:rsidP="00B86FE8">
      <w:pPr>
        <w:pStyle w:val="Abracim"/>
        <w:rPr>
          <w:rFonts w:asciiTheme="majorHAnsi" w:eastAsia="Calibri" w:hAnsiTheme="majorHAnsi" w:cstheme="majorHAnsi"/>
        </w:rPr>
      </w:pPr>
      <w:r w:rsidRPr="00DC6C83">
        <w:rPr>
          <w:rFonts w:asciiTheme="majorHAnsi" w:eastAsia="Calibri" w:hAnsiTheme="majorHAnsi" w:cstheme="majorHAnsi"/>
        </w:rPr>
        <w:lastRenderedPageBreak/>
        <w:t xml:space="preserve">ábra: A </w:t>
      </w:r>
      <w:r w:rsidR="00442606" w:rsidRPr="00DC6C83">
        <w:rPr>
          <w:rFonts w:asciiTheme="majorHAnsi" w:hAnsiTheme="majorHAnsi" w:cstheme="majorHAnsi"/>
        </w:rPr>
        <w:t xml:space="preserve">végzettség nélküli iskolaelhagyás </w:t>
      </w:r>
      <w:r w:rsidRPr="00DC6C83">
        <w:rPr>
          <w:rFonts w:asciiTheme="majorHAnsi" w:eastAsia="Calibri" w:hAnsiTheme="majorHAnsi" w:cstheme="majorHAnsi"/>
        </w:rPr>
        <w:t>aránya Magyarországon és az Európai Unióban, 2003</w:t>
      </w:r>
      <w:r w:rsidR="00863444">
        <w:rPr>
          <w:rFonts w:asciiTheme="majorHAnsi" w:eastAsia="Calibri" w:hAnsiTheme="majorHAnsi" w:cstheme="majorHAnsi"/>
        </w:rPr>
        <w:t>−</w:t>
      </w:r>
      <w:r w:rsidR="00872E0D">
        <w:rPr>
          <w:rFonts w:asciiTheme="majorHAnsi" w:eastAsia="Calibri" w:hAnsiTheme="majorHAnsi" w:cstheme="majorHAnsi"/>
        </w:rPr>
        <w:t>2019</w:t>
      </w:r>
    </w:p>
    <w:p w14:paraId="58913CD8" w14:textId="4C90EF96" w:rsidR="00872E0D" w:rsidRPr="00DC6C83" w:rsidRDefault="00AC37B4" w:rsidP="00872E0D">
      <w:pPr>
        <w:jc w:val="center"/>
        <w:rPr>
          <w:rFonts w:eastAsia="Calibri"/>
        </w:rPr>
      </w:pPr>
      <w:r>
        <w:rPr>
          <w:noProof/>
          <w:lang w:eastAsia="hu-HU"/>
        </w:rPr>
        <w:drawing>
          <wp:inline distT="0" distB="0" distL="0" distR="0" wp14:anchorId="6F4430EC" wp14:editId="07847EE4">
            <wp:extent cx="4975860" cy="3303270"/>
            <wp:effectExtent l="0" t="0" r="15240" b="1143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B16D6F" w14:textId="6A7DF521" w:rsidR="00B86FE8" w:rsidRPr="00DC6C83" w:rsidRDefault="00DE589E" w:rsidP="00E60D8B">
      <w:pPr>
        <w:jc w:val="center"/>
        <w:rPr>
          <w:rFonts w:asciiTheme="majorHAnsi" w:eastAsia="Calibri" w:hAnsiTheme="majorHAnsi" w:cstheme="majorHAnsi"/>
          <w:i/>
          <w:sz w:val="20"/>
        </w:rPr>
      </w:pPr>
      <w:r>
        <w:rPr>
          <w:rFonts w:asciiTheme="majorHAnsi" w:eastAsia="Calibri" w:hAnsiTheme="majorHAnsi" w:cstheme="majorHAnsi"/>
          <w:i/>
          <w:sz w:val="20"/>
        </w:rPr>
        <w:t xml:space="preserve">Forrás: </w:t>
      </w:r>
      <w:proofErr w:type="spellStart"/>
      <w:r>
        <w:rPr>
          <w:rFonts w:asciiTheme="majorHAnsi" w:eastAsia="Calibri" w:hAnsiTheme="majorHAnsi" w:cstheme="majorHAnsi"/>
          <w:i/>
          <w:sz w:val="20"/>
        </w:rPr>
        <w:t>Eurostat</w:t>
      </w:r>
      <w:proofErr w:type="spellEnd"/>
      <w:r>
        <w:rPr>
          <w:rFonts w:asciiTheme="majorHAnsi" w:eastAsia="Calibri" w:hAnsiTheme="majorHAnsi" w:cstheme="majorHAnsi"/>
          <w:i/>
          <w:sz w:val="20"/>
        </w:rPr>
        <w:t>, 2020</w:t>
      </w:r>
    </w:p>
    <w:p w14:paraId="19B7ED37" w14:textId="77777777" w:rsidR="00AC37B4" w:rsidRDefault="00AC37B4" w:rsidP="00B86FE8">
      <w:pPr>
        <w:rPr>
          <w:rFonts w:asciiTheme="majorHAnsi" w:eastAsia="Calibri" w:hAnsiTheme="majorHAnsi" w:cstheme="majorHAnsi"/>
        </w:rPr>
      </w:pPr>
    </w:p>
    <w:p w14:paraId="5AE41C61" w14:textId="076B3ED6" w:rsidR="00B86FE8" w:rsidRPr="00DC6C83" w:rsidRDefault="00B86FE8" w:rsidP="00B86FE8">
      <w:pPr>
        <w:rPr>
          <w:rFonts w:asciiTheme="majorHAnsi" w:eastAsia="Calibri" w:hAnsiTheme="majorHAnsi" w:cstheme="majorHAnsi"/>
        </w:rPr>
      </w:pPr>
      <w:r w:rsidRPr="00DC6C83">
        <w:rPr>
          <w:rFonts w:asciiTheme="majorHAnsi" w:eastAsia="Calibri" w:hAnsiTheme="majorHAnsi" w:cstheme="majorHAnsi"/>
        </w:rPr>
        <w:t xml:space="preserve">A </w:t>
      </w:r>
      <w:r w:rsidR="006A793F" w:rsidRPr="00DC6C83">
        <w:rPr>
          <w:rFonts w:asciiTheme="majorHAnsi" w:eastAsia="Calibri" w:hAnsiTheme="majorHAnsi" w:cstheme="majorHAnsi"/>
        </w:rPr>
        <w:t>Végzettség nélküli iskolaelhagyás elleni középtávú stratégia</w:t>
      </w:r>
      <w:r w:rsidR="000F34B2">
        <w:rPr>
          <w:rFonts w:asciiTheme="majorHAnsi" w:eastAsia="Calibri" w:hAnsiTheme="majorHAnsi" w:cstheme="majorHAnsi"/>
        </w:rPr>
        <w:t xml:space="preserve"> (</w:t>
      </w:r>
      <w:r w:rsidR="000F34B2" w:rsidRPr="00E851A7">
        <w:rPr>
          <w:rFonts w:asciiTheme="majorHAnsi" w:eastAsia="Calibri" w:hAnsiTheme="majorHAnsi" w:cstheme="majorHAnsi"/>
        </w:rPr>
        <w:t>1603/2014. (XI. 4.) Korm. határozat</w:t>
      </w:r>
      <w:r w:rsidR="000F34B2">
        <w:rPr>
          <w:rFonts w:asciiTheme="majorHAnsi" w:eastAsia="Calibri" w:hAnsiTheme="majorHAnsi" w:cstheme="majorHAnsi"/>
        </w:rPr>
        <w:t>)</w:t>
      </w:r>
      <w:r w:rsidRPr="00DC6C83">
        <w:rPr>
          <w:rFonts w:asciiTheme="majorHAnsi" w:eastAsia="Calibri" w:hAnsiTheme="majorHAnsi" w:cstheme="majorHAnsi"/>
        </w:rPr>
        <w:t xml:space="preserve"> a következő átfogó cél</w:t>
      </w:r>
      <w:r w:rsidR="00863444">
        <w:rPr>
          <w:rFonts w:asciiTheme="majorHAnsi" w:eastAsia="Calibri" w:hAnsiTheme="majorHAnsi" w:cstheme="majorHAnsi"/>
        </w:rPr>
        <w:t>ok</w:t>
      </w:r>
      <w:r w:rsidR="00EF7631">
        <w:rPr>
          <w:rFonts w:asciiTheme="majorHAnsi" w:eastAsia="Calibri" w:hAnsiTheme="majorHAnsi" w:cstheme="majorHAnsi"/>
        </w:rPr>
        <w:t xml:space="preserve"> </w:t>
      </w:r>
      <w:r w:rsidRPr="00DC6C83">
        <w:rPr>
          <w:rFonts w:asciiTheme="majorHAnsi" w:eastAsia="Calibri" w:hAnsiTheme="majorHAnsi" w:cstheme="majorHAnsi"/>
        </w:rPr>
        <w:t>eléréséhez járult hozzá, amely</w:t>
      </w:r>
      <w:r w:rsidR="00084822">
        <w:rPr>
          <w:rFonts w:asciiTheme="majorHAnsi" w:eastAsia="Calibri" w:hAnsiTheme="majorHAnsi" w:cstheme="majorHAnsi"/>
        </w:rPr>
        <w:t>ek</w:t>
      </w:r>
      <w:r w:rsidR="00EF7631">
        <w:rPr>
          <w:rFonts w:asciiTheme="majorHAnsi" w:eastAsia="Calibri" w:hAnsiTheme="majorHAnsi" w:cstheme="majorHAnsi"/>
        </w:rPr>
        <w:t xml:space="preserve"> </w:t>
      </w:r>
      <w:r w:rsidRPr="00DC6C83">
        <w:rPr>
          <w:rFonts w:asciiTheme="majorHAnsi" w:eastAsia="Calibri" w:hAnsiTheme="majorHAnsi" w:cstheme="majorHAnsi"/>
        </w:rPr>
        <w:t>végrehajtás</w:t>
      </w:r>
      <w:r w:rsidR="00863444">
        <w:rPr>
          <w:rFonts w:asciiTheme="majorHAnsi" w:eastAsia="Calibri" w:hAnsiTheme="majorHAnsi" w:cstheme="majorHAnsi"/>
        </w:rPr>
        <w:t>ára</w:t>
      </w:r>
      <w:r w:rsidRPr="00DC6C83">
        <w:rPr>
          <w:rFonts w:asciiTheme="majorHAnsi" w:eastAsia="Calibri" w:hAnsiTheme="majorHAnsi" w:cstheme="majorHAnsi"/>
        </w:rPr>
        <w:t xml:space="preserve"> hozott intézkedésekre a jövőben is építeni szükséges</w:t>
      </w:r>
      <w:r w:rsidR="006A793F">
        <w:rPr>
          <w:rFonts w:asciiTheme="majorHAnsi" w:eastAsia="Calibri" w:hAnsiTheme="majorHAnsi" w:cstheme="majorHAnsi"/>
        </w:rPr>
        <w:t xml:space="preserve">: </w:t>
      </w:r>
    </w:p>
    <w:p w14:paraId="7C21984A" w14:textId="77777777" w:rsidR="00B86FE8" w:rsidRPr="00DC6C83" w:rsidRDefault="00B86FE8" w:rsidP="00FE07E1">
      <w:pPr>
        <w:numPr>
          <w:ilvl w:val="0"/>
          <w:numId w:val="8"/>
        </w:numPr>
        <w:pBdr>
          <w:top w:val="single" w:sz="4" w:space="1" w:color="auto"/>
          <w:left w:val="single" w:sz="4" w:space="4" w:color="auto"/>
          <w:bottom w:val="single" w:sz="4" w:space="1" w:color="auto"/>
          <w:right w:val="single" w:sz="4" w:space="4" w:color="auto"/>
        </w:pBdr>
        <w:spacing w:after="0" w:line="276" w:lineRule="auto"/>
        <w:ind w:left="426"/>
        <w:jc w:val="left"/>
        <w:rPr>
          <w:rFonts w:asciiTheme="majorHAnsi" w:eastAsia="Calibri" w:hAnsiTheme="majorHAnsi" w:cstheme="majorHAnsi"/>
        </w:rPr>
      </w:pPr>
      <w:r w:rsidRPr="00DC6C83">
        <w:rPr>
          <w:rFonts w:asciiTheme="majorHAnsi" w:eastAsia="Calibri" w:hAnsiTheme="majorHAnsi" w:cstheme="majorHAnsi"/>
        </w:rPr>
        <w:t>Felső</w:t>
      </w:r>
      <w:r w:rsidR="00EF7631">
        <w:rPr>
          <w:rFonts w:asciiTheme="majorHAnsi" w:eastAsia="Calibri" w:hAnsiTheme="majorHAnsi" w:cstheme="majorHAnsi"/>
        </w:rPr>
        <w:t xml:space="preserve"> </w:t>
      </w:r>
      <w:r w:rsidRPr="00DC6C83">
        <w:rPr>
          <w:rFonts w:asciiTheme="majorHAnsi" w:eastAsia="Calibri" w:hAnsiTheme="majorHAnsi" w:cstheme="majorHAnsi"/>
        </w:rPr>
        <w:t>középfokú végzettség megszerzésének, a képzettségi szint növelésének ösztönzése</w:t>
      </w:r>
    </w:p>
    <w:p w14:paraId="2FDC5408" w14:textId="41087AE0" w:rsidR="00B86FE8" w:rsidRPr="00DC6C83" w:rsidRDefault="00B86FE8" w:rsidP="00FE07E1">
      <w:pPr>
        <w:numPr>
          <w:ilvl w:val="0"/>
          <w:numId w:val="8"/>
        </w:numPr>
        <w:pBdr>
          <w:top w:val="single" w:sz="4" w:space="1" w:color="auto"/>
          <w:left w:val="single" w:sz="4" w:space="4" w:color="auto"/>
          <w:bottom w:val="single" w:sz="4" w:space="1" w:color="auto"/>
          <w:right w:val="single" w:sz="4" w:space="4" w:color="auto"/>
        </w:pBdr>
        <w:spacing w:after="0" w:line="276" w:lineRule="auto"/>
        <w:ind w:left="426"/>
        <w:jc w:val="left"/>
        <w:rPr>
          <w:rFonts w:asciiTheme="majorHAnsi" w:eastAsia="Calibri" w:hAnsiTheme="majorHAnsi" w:cstheme="majorHAnsi"/>
        </w:rPr>
      </w:pPr>
      <w:r w:rsidRPr="00DC6C83">
        <w:rPr>
          <w:rFonts w:asciiTheme="majorHAnsi" w:eastAsia="Calibri" w:hAnsiTheme="majorHAnsi" w:cstheme="majorHAnsi"/>
        </w:rPr>
        <w:t>Az oktatási rendszer alkalmassá tétele a képzettségi szint emelésére, a minőségi oktatáshoz való hozzáférés javítása</w:t>
      </w:r>
    </w:p>
    <w:p w14:paraId="32908834" w14:textId="77777777" w:rsidR="00B86FE8" w:rsidRPr="00DC6C83" w:rsidRDefault="00B86FE8" w:rsidP="00FE07E1">
      <w:pPr>
        <w:numPr>
          <w:ilvl w:val="0"/>
          <w:numId w:val="8"/>
        </w:numPr>
        <w:pBdr>
          <w:top w:val="single" w:sz="4" w:space="1" w:color="auto"/>
          <w:left w:val="single" w:sz="4" w:space="4" w:color="auto"/>
          <w:bottom w:val="single" w:sz="4" w:space="1" w:color="auto"/>
          <w:right w:val="single" w:sz="4" w:space="4" w:color="auto"/>
        </w:pBdr>
        <w:spacing w:after="0" w:line="276" w:lineRule="auto"/>
        <w:ind w:left="426"/>
        <w:jc w:val="left"/>
        <w:rPr>
          <w:rFonts w:asciiTheme="majorHAnsi" w:eastAsia="Calibri" w:hAnsiTheme="majorHAnsi" w:cstheme="majorHAnsi"/>
        </w:rPr>
      </w:pPr>
      <w:r w:rsidRPr="00DC6C83">
        <w:rPr>
          <w:rFonts w:asciiTheme="majorHAnsi" w:eastAsia="Calibri" w:hAnsiTheme="majorHAnsi" w:cstheme="majorHAnsi"/>
        </w:rPr>
        <w:t>Az egyéni szükségletekre reagáló intézményrendszer megerősítése</w:t>
      </w:r>
    </w:p>
    <w:p w14:paraId="6DC60FCD" w14:textId="77777777" w:rsidR="005F35D2" w:rsidRDefault="005F35D2" w:rsidP="00B86FE8">
      <w:pPr>
        <w:pStyle w:val="Listaszerbekezds"/>
        <w:widowControl w:val="0"/>
        <w:autoSpaceDE w:val="0"/>
        <w:autoSpaceDN w:val="0"/>
        <w:adjustRightInd w:val="0"/>
        <w:spacing w:after="0" w:line="240" w:lineRule="auto"/>
        <w:ind w:left="0"/>
        <w:rPr>
          <w:rFonts w:asciiTheme="majorHAnsi" w:eastAsia="Calibri" w:hAnsiTheme="majorHAnsi" w:cstheme="majorHAnsi"/>
        </w:rPr>
      </w:pPr>
    </w:p>
    <w:p w14:paraId="62590E4D" w14:textId="420E8664" w:rsidR="00B86FE8" w:rsidRPr="00DC6C83" w:rsidRDefault="006A793F" w:rsidP="009509B2">
      <w:pPr>
        <w:pStyle w:val="Listaszerbekezds"/>
        <w:widowControl w:val="0"/>
        <w:autoSpaceDE w:val="0"/>
        <w:autoSpaceDN w:val="0"/>
        <w:adjustRightInd w:val="0"/>
        <w:ind w:left="0"/>
        <w:rPr>
          <w:rFonts w:asciiTheme="majorHAnsi" w:eastAsia="Calibri" w:hAnsiTheme="majorHAnsi" w:cstheme="majorHAnsi"/>
        </w:rPr>
      </w:pPr>
      <w:r>
        <w:rPr>
          <w:rFonts w:asciiTheme="majorHAnsi" w:eastAsia="Calibri" w:hAnsiTheme="majorHAnsi" w:cstheme="majorHAnsi"/>
        </w:rPr>
        <w:t>Az alulteljesítő, lemorzsolódó tanulók arányának csökkentés</w:t>
      </w:r>
      <w:r w:rsidR="00084822">
        <w:rPr>
          <w:rFonts w:asciiTheme="majorHAnsi" w:eastAsia="Calibri" w:hAnsiTheme="majorHAnsi" w:cstheme="majorHAnsi"/>
        </w:rPr>
        <w:t>ére</w:t>
      </w:r>
      <w:r>
        <w:rPr>
          <w:rFonts w:asciiTheme="majorHAnsi" w:eastAsia="Calibri" w:hAnsiTheme="majorHAnsi" w:cstheme="majorHAnsi"/>
        </w:rPr>
        <w:t xml:space="preserve"> a Kormány </w:t>
      </w:r>
      <w:r w:rsidR="009509B2">
        <w:rPr>
          <w:rFonts w:asciiTheme="majorHAnsi" w:eastAsia="Calibri" w:hAnsiTheme="majorHAnsi" w:cstheme="majorHAnsi"/>
        </w:rPr>
        <w:t>számos intézkedés</w:t>
      </w:r>
      <w:r>
        <w:rPr>
          <w:rFonts w:asciiTheme="majorHAnsi" w:eastAsia="Calibri" w:hAnsiTheme="majorHAnsi" w:cstheme="majorHAnsi"/>
        </w:rPr>
        <w:t>t vezet</w:t>
      </w:r>
      <w:r w:rsidR="00521E2C">
        <w:rPr>
          <w:rFonts w:asciiTheme="majorHAnsi" w:eastAsia="Calibri" w:hAnsiTheme="majorHAnsi" w:cstheme="majorHAnsi"/>
        </w:rPr>
        <w:t>ett</w:t>
      </w:r>
      <w:r>
        <w:rPr>
          <w:rFonts w:asciiTheme="majorHAnsi" w:eastAsia="Calibri" w:hAnsiTheme="majorHAnsi" w:cstheme="majorHAnsi"/>
        </w:rPr>
        <w:t xml:space="preserve"> be, </w:t>
      </w:r>
      <w:r w:rsidR="00084822">
        <w:rPr>
          <w:rFonts w:asciiTheme="majorHAnsi" w:eastAsia="Calibri" w:hAnsiTheme="majorHAnsi" w:cstheme="majorHAnsi"/>
        </w:rPr>
        <w:t>a</w:t>
      </w:r>
      <w:r>
        <w:rPr>
          <w:rFonts w:asciiTheme="majorHAnsi" w:eastAsia="Calibri" w:hAnsiTheme="majorHAnsi" w:cstheme="majorHAnsi"/>
        </w:rPr>
        <w:t>melyek folytatá</w:t>
      </w:r>
      <w:r w:rsidR="009509B2">
        <w:rPr>
          <w:rFonts w:asciiTheme="majorHAnsi" w:eastAsia="Calibri" w:hAnsiTheme="majorHAnsi" w:cstheme="majorHAnsi"/>
        </w:rPr>
        <w:t>sára szükség van.</w:t>
      </w:r>
      <w:r>
        <w:rPr>
          <w:rFonts w:asciiTheme="majorHAnsi" w:eastAsia="Calibri" w:hAnsiTheme="majorHAnsi" w:cstheme="majorHAnsi"/>
        </w:rPr>
        <w:t xml:space="preserve"> </w:t>
      </w:r>
    </w:p>
    <w:p w14:paraId="0D86904B" w14:textId="4D06497A" w:rsidR="00B86FE8" w:rsidRPr="009509B2" w:rsidRDefault="00B86FE8" w:rsidP="009509B2">
      <w:pPr>
        <w:widowControl w:val="0"/>
        <w:autoSpaceDE w:val="0"/>
        <w:autoSpaceDN w:val="0"/>
        <w:adjustRightInd w:val="0"/>
        <w:rPr>
          <w:rFonts w:asciiTheme="majorHAnsi" w:eastAsia="Calibri" w:hAnsiTheme="majorHAnsi" w:cstheme="majorHAnsi"/>
        </w:rPr>
      </w:pPr>
      <w:r w:rsidRPr="009509B2">
        <w:rPr>
          <w:rFonts w:asciiTheme="majorHAnsi" w:eastAsia="Calibri" w:hAnsiTheme="majorHAnsi" w:cstheme="majorHAnsi"/>
        </w:rPr>
        <w:t>Az iskolai sikeresség megerősítés</w:t>
      </w:r>
      <w:r w:rsidR="00084822" w:rsidRPr="009509B2">
        <w:rPr>
          <w:rFonts w:asciiTheme="majorHAnsi" w:eastAsia="Calibri" w:hAnsiTheme="majorHAnsi" w:cstheme="majorHAnsi"/>
        </w:rPr>
        <w:t>ére</w:t>
      </w:r>
      <w:r w:rsidR="00995D17" w:rsidRPr="009509B2">
        <w:rPr>
          <w:rFonts w:asciiTheme="majorHAnsi" w:eastAsia="Calibri" w:hAnsiTheme="majorHAnsi" w:cstheme="majorHAnsi"/>
        </w:rPr>
        <w:t xml:space="preserve"> </w:t>
      </w:r>
      <w:r w:rsidR="00084822" w:rsidRPr="009509B2">
        <w:rPr>
          <w:rFonts w:asciiTheme="majorHAnsi" w:eastAsia="Calibri" w:hAnsiTheme="majorHAnsi" w:cstheme="majorHAnsi"/>
        </w:rPr>
        <w:t xml:space="preserve">2015 szeptemberétől </w:t>
      </w:r>
      <w:r w:rsidRPr="009509B2">
        <w:rPr>
          <w:rFonts w:asciiTheme="majorHAnsi" w:eastAsia="Calibri" w:hAnsiTheme="majorHAnsi" w:cstheme="majorHAnsi"/>
        </w:rPr>
        <w:t>bevezet</w:t>
      </w:r>
      <w:r w:rsidR="00084822" w:rsidRPr="009509B2">
        <w:rPr>
          <w:rFonts w:asciiTheme="majorHAnsi" w:eastAsia="Calibri" w:hAnsiTheme="majorHAnsi" w:cstheme="majorHAnsi"/>
        </w:rPr>
        <w:t>tük</w:t>
      </w:r>
      <w:r w:rsidR="00EF7631" w:rsidRPr="009509B2">
        <w:rPr>
          <w:rFonts w:asciiTheme="majorHAnsi" w:eastAsia="Calibri" w:hAnsiTheme="majorHAnsi" w:cstheme="majorHAnsi"/>
        </w:rPr>
        <w:t xml:space="preserve"> </w:t>
      </w:r>
      <w:r w:rsidRPr="009509B2">
        <w:rPr>
          <w:rFonts w:asciiTheme="majorHAnsi" w:eastAsia="Calibri" w:hAnsiTheme="majorHAnsi" w:cstheme="majorHAnsi"/>
        </w:rPr>
        <w:t>a gyermekek 3 éves kor</w:t>
      </w:r>
      <w:r w:rsidR="00084822" w:rsidRPr="009509B2">
        <w:rPr>
          <w:rFonts w:asciiTheme="majorHAnsi" w:eastAsia="Calibri" w:hAnsiTheme="majorHAnsi" w:cstheme="majorHAnsi"/>
        </w:rPr>
        <w:t>á</w:t>
      </w:r>
      <w:r w:rsidRPr="009509B2">
        <w:rPr>
          <w:rFonts w:asciiTheme="majorHAnsi" w:eastAsia="Calibri" w:hAnsiTheme="majorHAnsi" w:cstheme="majorHAnsi"/>
        </w:rPr>
        <w:t>tól</w:t>
      </w:r>
      <w:r w:rsidR="007D2007" w:rsidRPr="009509B2">
        <w:rPr>
          <w:rFonts w:asciiTheme="majorHAnsi" w:eastAsia="Calibri" w:hAnsiTheme="majorHAnsi" w:cstheme="majorHAnsi"/>
        </w:rPr>
        <w:t xml:space="preserve"> </w:t>
      </w:r>
      <w:r w:rsidRPr="009509B2">
        <w:rPr>
          <w:rFonts w:asciiTheme="majorHAnsi" w:eastAsia="Calibri" w:hAnsiTheme="majorHAnsi" w:cstheme="majorHAnsi"/>
        </w:rPr>
        <w:t>kötelező óvodai elhelyezés</w:t>
      </w:r>
      <w:r w:rsidR="00084822" w:rsidRPr="009509B2">
        <w:rPr>
          <w:rFonts w:asciiTheme="majorHAnsi" w:eastAsia="Calibri" w:hAnsiTheme="majorHAnsi" w:cstheme="majorHAnsi"/>
        </w:rPr>
        <w:t>t</w:t>
      </w:r>
      <w:r w:rsidRPr="009509B2">
        <w:rPr>
          <w:rFonts w:asciiTheme="majorHAnsi" w:eastAsia="Calibri" w:hAnsiTheme="majorHAnsi" w:cstheme="majorHAnsi"/>
        </w:rPr>
        <w:t xml:space="preserve">, az óvodai részvétel ezt megelőzően 5 éves kortól volt kötelező. Az eltelt időszakban valamennyi korcsoportban nőtt az óvodai részvétel, a 4-6 éves gyermekek </w:t>
      </w:r>
      <w:r w:rsidR="0017620C">
        <w:rPr>
          <w:rFonts w:asciiTheme="majorHAnsi" w:eastAsia="Calibri" w:hAnsiTheme="majorHAnsi" w:cstheme="majorHAnsi"/>
        </w:rPr>
        <w:t>5.2.3.1</w:t>
      </w:r>
      <w:r w:rsidRPr="009509B2">
        <w:rPr>
          <w:rFonts w:asciiTheme="majorHAnsi" w:eastAsia="Calibri" w:hAnsiTheme="majorHAnsi" w:cstheme="majorHAnsi"/>
        </w:rPr>
        <w:t>,6%-a vesz részt óvodai nevelésben, amely meghaladja az ET2020 stratégia célkitűzését (</w:t>
      </w:r>
      <w:r w:rsidRPr="009509B2">
        <w:rPr>
          <w:rFonts w:asciiTheme="majorHAnsi" w:eastAsia="Calibri" w:hAnsiTheme="majorHAnsi" w:cstheme="majorHAnsi"/>
        </w:rPr>
        <w:t xml:space="preserve">95%) </w:t>
      </w:r>
      <w:r w:rsidRPr="009509B2">
        <w:rPr>
          <w:rFonts w:asciiTheme="majorHAnsi" w:eastAsia="Calibri" w:hAnsiTheme="majorHAnsi" w:cstheme="majorHAnsi"/>
        </w:rPr>
        <w:t>(</w:t>
      </w:r>
      <w:proofErr w:type="spellStart"/>
      <w:r w:rsidRPr="009509B2">
        <w:rPr>
          <w:rFonts w:asciiTheme="majorHAnsi" w:eastAsia="Calibri" w:hAnsiTheme="majorHAnsi" w:cstheme="majorHAnsi"/>
        </w:rPr>
        <w:t>Eurostat</w:t>
      </w:r>
      <w:proofErr w:type="spellEnd"/>
      <w:r w:rsidRPr="009509B2">
        <w:rPr>
          <w:rFonts w:asciiTheme="majorHAnsi" w:eastAsia="Calibri" w:hAnsiTheme="majorHAnsi" w:cstheme="majorHAnsi"/>
        </w:rPr>
        <w:t>, 2019).</w:t>
      </w:r>
      <w:r w:rsidR="006A793F" w:rsidRPr="009509B2">
        <w:rPr>
          <w:rFonts w:asciiTheme="majorHAnsi" w:eastAsia="Calibri" w:hAnsiTheme="majorHAnsi" w:cstheme="majorHAnsi"/>
        </w:rPr>
        <w:t xml:space="preserve"> A teljeskörű, 3 éves óvodai felkészítés nagyban hozzájárul az eredményes iskolakezdéshez. </w:t>
      </w:r>
    </w:p>
    <w:p w14:paraId="7E5A4B6F" w14:textId="7D5EC634" w:rsidR="00B86FE8" w:rsidRPr="009509B2" w:rsidRDefault="00B86FE8" w:rsidP="009509B2">
      <w:pPr>
        <w:widowControl w:val="0"/>
        <w:autoSpaceDE w:val="0"/>
        <w:autoSpaceDN w:val="0"/>
        <w:adjustRightInd w:val="0"/>
        <w:rPr>
          <w:rFonts w:asciiTheme="majorHAnsi" w:eastAsia="Calibri" w:hAnsiTheme="majorHAnsi" w:cstheme="majorHAnsi"/>
        </w:rPr>
      </w:pPr>
      <w:r w:rsidRPr="009509B2">
        <w:rPr>
          <w:rFonts w:asciiTheme="majorHAnsi" w:eastAsia="Calibri" w:hAnsiTheme="majorHAnsi" w:cstheme="majorHAnsi"/>
        </w:rPr>
        <w:t>A lemorzsolódás megelőzését szolgáló korai jelző- és pedagógiai támogató rendszer</w:t>
      </w:r>
      <w:r w:rsidR="00084822" w:rsidRPr="009509B2">
        <w:rPr>
          <w:rFonts w:asciiTheme="majorHAnsi" w:eastAsia="Calibri" w:hAnsiTheme="majorHAnsi" w:cstheme="majorHAnsi"/>
        </w:rPr>
        <w:t>t</w:t>
      </w:r>
      <w:r w:rsidR="007D2007" w:rsidRPr="009509B2">
        <w:rPr>
          <w:rFonts w:asciiTheme="majorHAnsi" w:eastAsia="Calibri" w:hAnsiTheme="majorHAnsi" w:cstheme="majorHAnsi"/>
        </w:rPr>
        <w:t xml:space="preserve"> </w:t>
      </w:r>
      <w:r w:rsidR="00084822" w:rsidRPr="009509B2">
        <w:rPr>
          <w:rFonts w:asciiTheme="majorHAnsi" w:eastAsia="Calibri" w:hAnsiTheme="majorHAnsi" w:cstheme="majorHAnsi"/>
        </w:rPr>
        <w:t>vezettünk be</w:t>
      </w:r>
      <w:r w:rsidRPr="009509B2">
        <w:rPr>
          <w:rFonts w:asciiTheme="majorHAnsi" w:eastAsia="Calibri" w:hAnsiTheme="majorHAnsi" w:cstheme="majorHAnsi"/>
        </w:rPr>
        <w:t xml:space="preserve">, </w:t>
      </w:r>
      <w:r w:rsidR="00084822" w:rsidRPr="009509B2">
        <w:rPr>
          <w:rFonts w:asciiTheme="majorHAnsi" w:eastAsia="Calibri" w:hAnsiTheme="majorHAnsi" w:cstheme="majorHAnsi"/>
        </w:rPr>
        <w:t>a</w:t>
      </w:r>
      <w:r w:rsidRPr="009509B2">
        <w:rPr>
          <w:rFonts w:asciiTheme="majorHAnsi" w:eastAsia="Calibri" w:hAnsiTheme="majorHAnsi" w:cstheme="majorHAnsi"/>
        </w:rPr>
        <w:t xml:space="preserve">mely azonosítja és személyre szabott támogatást </w:t>
      </w:r>
      <w:r w:rsidR="00084822" w:rsidRPr="009509B2">
        <w:rPr>
          <w:rFonts w:asciiTheme="majorHAnsi" w:eastAsia="Calibri" w:hAnsiTheme="majorHAnsi" w:cstheme="majorHAnsi"/>
        </w:rPr>
        <w:t xml:space="preserve">nyújt </w:t>
      </w:r>
      <w:r w:rsidRPr="009509B2">
        <w:rPr>
          <w:rFonts w:asciiTheme="majorHAnsi" w:eastAsia="Calibri" w:hAnsiTheme="majorHAnsi" w:cstheme="majorHAnsi"/>
        </w:rPr>
        <w:t>azo</w:t>
      </w:r>
      <w:r w:rsidR="00084822" w:rsidRPr="009509B2">
        <w:rPr>
          <w:rFonts w:asciiTheme="majorHAnsi" w:eastAsia="Calibri" w:hAnsiTheme="majorHAnsi" w:cstheme="majorHAnsi"/>
        </w:rPr>
        <w:t>knak a</w:t>
      </w:r>
      <w:r w:rsidRPr="009509B2">
        <w:rPr>
          <w:rFonts w:asciiTheme="majorHAnsi" w:eastAsia="Calibri" w:hAnsiTheme="majorHAnsi" w:cstheme="majorHAnsi"/>
        </w:rPr>
        <w:t xml:space="preserve"> tanulók</w:t>
      </w:r>
      <w:r w:rsidR="00084822" w:rsidRPr="009509B2">
        <w:rPr>
          <w:rFonts w:asciiTheme="majorHAnsi" w:eastAsia="Calibri" w:hAnsiTheme="majorHAnsi" w:cstheme="majorHAnsi"/>
        </w:rPr>
        <w:t>nak</w:t>
      </w:r>
      <w:r w:rsidRPr="009509B2">
        <w:rPr>
          <w:rFonts w:asciiTheme="majorHAnsi" w:eastAsia="Calibri" w:hAnsiTheme="majorHAnsi" w:cstheme="majorHAnsi"/>
        </w:rPr>
        <w:t xml:space="preserve">, </w:t>
      </w:r>
      <w:r w:rsidRPr="009509B2">
        <w:rPr>
          <w:rFonts w:asciiTheme="majorHAnsi" w:eastAsia="Calibri" w:hAnsiTheme="majorHAnsi" w:cstheme="majorHAnsi"/>
        </w:rPr>
        <w:lastRenderedPageBreak/>
        <w:t>akik lemorzsolódással veszélyeztetettek és azo</w:t>
      </w:r>
      <w:r w:rsidR="00084822" w:rsidRPr="009509B2">
        <w:rPr>
          <w:rFonts w:asciiTheme="majorHAnsi" w:eastAsia="Calibri" w:hAnsiTheme="majorHAnsi" w:cstheme="majorHAnsi"/>
        </w:rPr>
        <w:t xml:space="preserve">knak az </w:t>
      </w:r>
      <w:r w:rsidRPr="009509B2">
        <w:rPr>
          <w:rFonts w:asciiTheme="majorHAnsi" w:eastAsia="Calibri" w:hAnsiTheme="majorHAnsi" w:cstheme="majorHAnsi"/>
        </w:rPr>
        <w:t>iskolák</w:t>
      </w:r>
      <w:r w:rsidR="00084822" w:rsidRPr="009509B2">
        <w:rPr>
          <w:rFonts w:asciiTheme="majorHAnsi" w:eastAsia="Calibri" w:hAnsiTheme="majorHAnsi" w:cstheme="majorHAnsi"/>
        </w:rPr>
        <w:t>nak</w:t>
      </w:r>
      <w:r w:rsidRPr="009509B2">
        <w:rPr>
          <w:rFonts w:asciiTheme="majorHAnsi" w:eastAsia="Calibri" w:hAnsiTheme="majorHAnsi" w:cstheme="majorHAnsi"/>
        </w:rPr>
        <w:t>, amelyek</w:t>
      </w:r>
      <w:r w:rsidR="00084822" w:rsidRPr="009509B2">
        <w:rPr>
          <w:rFonts w:asciiTheme="majorHAnsi" w:eastAsia="Calibri" w:hAnsiTheme="majorHAnsi" w:cstheme="majorHAnsi"/>
        </w:rPr>
        <w:t>ben magas</w:t>
      </w:r>
      <w:r w:rsidRPr="009509B2">
        <w:rPr>
          <w:rFonts w:asciiTheme="majorHAnsi" w:eastAsia="Calibri" w:hAnsiTheme="majorHAnsi" w:cstheme="majorHAnsi"/>
        </w:rPr>
        <w:t xml:space="preserve"> a lemorzsolódással veszélyeztetett tanulók magas arány</w:t>
      </w:r>
      <w:r w:rsidR="00084822" w:rsidRPr="009509B2">
        <w:rPr>
          <w:rFonts w:asciiTheme="majorHAnsi" w:eastAsia="Calibri" w:hAnsiTheme="majorHAnsi" w:cstheme="majorHAnsi"/>
        </w:rPr>
        <w:t>a</w:t>
      </w:r>
      <w:r w:rsidRPr="009509B2">
        <w:rPr>
          <w:rFonts w:asciiTheme="majorHAnsi" w:eastAsia="Calibri" w:hAnsiTheme="majorHAnsi" w:cstheme="majorHAnsi"/>
        </w:rPr>
        <w:t>. A rendszer az eredményesség javítás</w:t>
      </w:r>
      <w:r w:rsidR="00084822" w:rsidRPr="009509B2">
        <w:rPr>
          <w:rFonts w:asciiTheme="majorHAnsi" w:eastAsia="Calibri" w:hAnsiTheme="majorHAnsi" w:cstheme="majorHAnsi"/>
        </w:rPr>
        <w:t>ára</w:t>
      </w:r>
      <w:r w:rsidRPr="009509B2">
        <w:rPr>
          <w:rFonts w:asciiTheme="majorHAnsi" w:eastAsia="Calibri" w:hAnsiTheme="majorHAnsi" w:cstheme="majorHAnsi"/>
        </w:rPr>
        <w:t xml:space="preserve"> átfogó fejlesztési terv készítésére és a tanulók szükségleteire alapozott pedagógiai módszerek alkalmazására ösztönzi az iskolákat, a</w:t>
      </w:r>
      <w:r w:rsidR="005E4713" w:rsidRPr="009509B2">
        <w:rPr>
          <w:rFonts w:asciiTheme="majorHAnsi" w:eastAsia="Calibri" w:hAnsiTheme="majorHAnsi" w:cstheme="majorHAnsi"/>
        </w:rPr>
        <w:t xml:space="preserve">melynek célja </w:t>
      </w:r>
      <w:r w:rsidRPr="009509B2">
        <w:rPr>
          <w:rFonts w:asciiTheme="majorHAnsi" w:eastAsia="Calibri" w:hAnsiTheme="majorHAnsi" w:cstheme="majorHAnsi"/>
        </w:rPr>
        <w:t>a</w:t>
      </w:r>
      <w:r w:rsidR="00BF1AA0">
        <w:rPr>
          <w:rFonts w:asciiTheme="majorHAnsi" w:eastAsia="Calibri" w:hAnsiTheme="majorHAnsi" w:cstheme="majorHAnsi"/>
        </w:rPr>
        <w:t>z egyéni sajátosságokat figyelembe vevő,</w:t>
      </w:r>
      <w:r w:rsidRPr="009509B2">
        <w:rPr>
          <w:rFonts w:asciiTheme="majorHAnsi" w:eastAsia="Calibri" w:hAnsiTheme="majorHAnsi" w:cstheme="majorHAnsi"/>
        </w:rPr>
        <w:t xml:space="preserve"> támogató iskolai környezet erősítése</w:t>
      </w:r>
      <w:r w:rsidR="005E4713" w:rsidRPr="009509B2">
        <w:rPr>
          <w:rFonts w:asciiTheme="majorHAnsi" w:eastAsia="Calibri" w:hAnsiTheme="majorHAnsi" w:cstheme="majorHAnsi"/>
        </w:rPr>
        <w:t>.</w:t>
      </w:r>
      <w:r w:rsidRPr="009509B2">
        <w:rPr>
          <w:rFonts w:asciiTheme="majorHAnsi" w:eastAsia="Calibri" w:hAnsiTheme="majorHAnsi" w:cstheme="majorHAnsi"/>
        </w:rPr>
        <w:t xml:space="preserve"> Az eddigi adatok, tapasztalatok alapján a jelzőrendszer bevezetésével az intézményekben a korábbinál nagyobb figyelmet kap a lemorzsolódással veszélyeztetett tanulók támogatása, az intézmények maguk is keresik azokat a támogatási formákat, amelyekkel eredményesebbek lehetnek. A rendszer működésének eddigi adatai alapján a lemorzsolódással veszélyeztetett tanulók aránya 2017-ben 10,85%, 2018-ban 8,86%, 2019 júniusában 7,46% volt</w:t>
      </w:r>
      <w:r w:rsidR="00DE0F84" w:rsidRPr="009509B2">
        <w:rPr>
          <w:rFonts w:asciiTheme="majorHAnsi" w:eastAsia="Calibri" w:hAnsiTheme="majorHAnsi" w:cstheme="majorHAnsi"/>
        </w:rPr>
        <w:t>. A</w:t>
      </w:r>
      <w:r w:rsidR="006A793F" w:rsidRPr="009509B2">
        <w:rPr>
          <w:rFonts w:asciiTheme="majorHAnsi" w:eastAsia="Calibri" w:hAnsiTheme="majorHAnsi" w:cstheme="majorHAnsi"/>
        </w:rPr>
        <w:t xml:space="preserve"> jelzőrendszer és az arra épülő támogató rendszer működtetésének pozitív hatása egyértelmű</w:t>
      </w:r>
      <w:r w:rsidR="00D934AD" w:rsidRPr="009509B2">
        <w:rPr>
          <w:rFonts w:asciiTheme="majorHAnsi" w:eastAsia="Calibri" w:hAnsiTheme="majorHAnsi" w:cstheme="majorHAnsi"/>
        </w:rPr>
        <w:t xml:space="preserve">, </w:t>
      </w:r>
      <w:r w:rsidR="00DE0F84" w:rsidRPr="009509B2">
        <w:rPr>
          <w:rFonts w:asciiTheme="majorHAnsi" w:eastAsia="Calibri" w:hAnsiTheme="majorHAnsi" w:cstheme="majorHAnsi"/>
        </w:rPr>
        <w:t>ugyanakkor</w:t>
      </w:r>
      <w:r w:rsidR="00D934AD" w:rsidRPr="009509B2">
        <w:rPr>
          <w:rFonts w:asciiTheme="majorHAnsi" w:eastAsia="Calibri" w:hAnsiTheme="majorHAnsi" w:cstheme="majorHAnsi"/>
        </w:rPr>
        <w:t xml:space="preserve"> fontos tovább</w:t>
      </w:r>
      <w:r w:rsidR="003C09B8" w:rsidRPr="009509B2">
        <w:rPr>
          <w:rFonts w:asciiTheme="majorHAnsi" w:eastAsia="Calibri" w:hAnsiTheme="majorHAnsi" w:cstheme="majorHAnsi"/>
        </w:rPr>
        <w:t xml:space="preserve"> </w:t>
      </w:r>
      <w:r w:rsidR="00D934AD" w:rsidRPr="009509B2">
        <w:rPr>
          <w:rFonts w:asciiTheme="majorHAnsi" w:eastAsia="Calibri" w:hAnsiTheme="majorHAnsi" w:cstheme="majorHAnsi"/>
        </w:rPr>
        <w:t>vinni a fejlesztést, hogy a jelzések nyomán meginduló intézkedések hatékonysága tovább növekedjen.</w:t>
      </w:r>
    </w:p>
    <w:p w14:paraId="690CD862" w14:textId="77777777" w:rsidR="00B86FE8" w:rsidRPr="009509B2" w:rsidRDefault="005E4713" w:rsidP="009509B2">
      <w:pPr>
        <w:widowControl w:val="0"/>
        <w:autoSpaceDE w:val="0"/>
        <w:autoSpaceDN w:val="0"/>
        <w:adjustRightInd w:val="0"/>
        <w:rPr>
          <w:rFonts w:asciiTheme="majorHAnsi" w:eastAsia="Calibri" w:hAnsiTheme="majorHAnsi" w:cstheme="majorHAnsi"/>
        </w:rPr>
      </w:pPr>
      <w:r w:rsidRPr="009509B2">
        <w:rPr>
          <w:rFonts w:asciiTheme="majorHAnsi" w:eastAsia="Calibri" w:hAnsiTheme="majorHAnsi" w:cstheme="majorHAnsi"/>
        </w:rPr>
        <w:t>A</w:t>
      </w:r>
      <w:r w:rsidR="00B86FE8" w:rsidRPr="009509B2">
        <w:rPr>
          <w:rFonts w:asciiTheme="majorHAnsi" w:eastAsia="Calibri" w:hAnsiTheme="majorHAnsi" w:cstheme="majorHAnsi"/>
        </w:rPr>
        <w:t xml:space="preserve"> kompetenciamérési eredmények alapján alacsonyan teljesítő iskolák fejlesztésére az oktatás eredményességének </w:t>
      </w:r>
      <w:r w:rsidRPr="009509B2">
        <w:rPr>
          <w:rFonts w:asciiTheme="majorHAnsi" w:eastAsia="Calibri" w:hAnsiTheme="majorHAnsi" w:cstheme="majorHAnsi"/>
        </w:rPr>
        <w:t>javítására</w:t>
      </w:r>
      <w:r w:rsidR="00EF7631" w:rsidRPr="009509B2">
        <w:rPr>
          <w:rFonts w:asciiTheme="majorHAnsi" w:eastAsia="Calibri" w:hAnsiTheme="majorHAnsi" w:cstheme="majorHAnsi"/>
        </w:rPr>
        <w:t xml:space="preserve"> </w:t>
      </w:r>
      <w:r w:rsidRPr="009509B2">
        <w:rPr>
          <w:rFonts w:asciiTheme="majorHAnsi" w:eastAsia="Calibri" w:hAnsiTheme="majorHAnsi" w:cstheme="majorHAnsi"/>
        </w:rPr>
        <w:t>c</w:t>
      </w:r>
      <w:r w:rsidR="00B86FE8" w:rsidRPr="009509B2">
        <w:rPr>
          <w:rFonts w:asciiTheme="majorHAnsi" w:eastAsia="Calibri" w:hAnsiTheme="majorHAnsi" w:cstheme="majorHAnsi"/>
        </w:rPr>
        <w:t>élzott intézkedések</w:t>
      </w:r>
      <w:r w:rsidRPr="009509B2">
        <w:rPr>
          <w:rFonts w:asciiTheme="majorHAnsi" w:eastAsia="Calibri" w:hAnsiTheme="majorHAnsi" w:cstheme="majorHAnsi"/>
        </w:rPr>
        <w:t>et hajtunk végre</w:t>
      </w:r>
      <w:r w:rsidR="00B86FE8" w:rsidRPr="009509B2">
        <w:rPr>
          <w:rFonts w:asciiTheme="majorHAnsi" w:eastAsia="Calibri" w:hAnsiTheme="majorHAnsi" w:cstheme="majorHAnsi"/>
        </w:rPr>
        <w:t xml:space="preserve">. Ezen intézmények olyan célzott, intézményi és fenntartói szintű beavatkozások megtételére kötelezettek, amelyek érdemben reagálnak a feltárt problémákra és fejlesztést igénylő területekre. A beavatkozások megvalósítását a pedagógiai-szakmai szolgáltatások hálózata segíti. </w:t>
      </w:r>
      <w:r w:rsidR="00152195" w:rsidRPr="009509B2">
        <w:rPr>
          <w:rFonts w:asciiTheme="majorHAnsi" w:eastAsia="Calibri" w:hAnsiTheme="majorHAnsi" w:cstheme="majorHAnsi"/>
        </w:rPr>
        <w:t xml:space="preserve">Az érintett intézmények (feladatellátási helyek) fenntartói számára az Oktatási Hivatal pedagógiai-szakmai szolgáltatás keretében szakmai-módszertani, helybe vitt támogatást ajánl fel évente 2 alkalommal (fontos cél, hogy az intézmény és a fenntartó legyen motivált a korai jelzőrendszer jelzéseinek érdemi kezelésére). A beavatkozások az iskola egészét célozhatják, koherensen és komplex módon. </w:t>
      </w:r>
      <w:r w:rsidR="00B86FE8" w:rsidRPr="009509B2">
        <w:rPr>
          <w:rFonts w:asciiTheme="majorHAnsi" w:eastAsia="Calibri" w:hAnsiTheme="majorHAnsi" w:cstheme="majorHAnsi"/>
        </w:rPr>
        <w:t xml:space="preserve">Az intézmények célzott támogatására a pedagógiai-szakmai szolgáltatást </w:t>
      </w:r>
      <w:r w:rsidRPr="009509B2">
        <w:rPr>
          <w:rFonts w:asciiTheme="majorHAnsi" w:eastAsia="Calibri" w:hAnsiTheme="majorHAnsi" w:cstheme="majorHAnsi"/>
        </w:rPr>
        <w:t>nyújtó</w:t>
      </w:r>
      <w:r w:rsidR="002809F2" w:rsidRPr="009509B2">
        <w:rPr>
          <w:rFonts w:asciiTheme="majorHAnsi" w:eastAsia="Calibri" w:hAnsiTheme="majorHAnsi" w:cstheme="majorHAnsi"/>
        </w:rPr>
        <w:t xml:space="preserve"> </w:t>
      </w:r>
      <w:r w:rsidR="00B86FE8" w:rsidRPr="009509B2">
        <w:rPr>
          <w:rFonts w:asciiTheme="majorHAnsi" w:eastAsia="Calibri" w:hAnsiTheme="majorHAnsi" w:cstheme="majorHAnsi"/>
        </w:rPr>
        <w:t xml:space="preserve">Pedagógiai Oktatási Központok jellemzően szaktanácsadókból és szakreferensekből álló csoportokat alakítottak ki. Az Oktatási Hivatal strukturált javaslatcsomagot készített a </w:t>
      </w:r>
      <w:proofErr w:type="spellStart"/>
      <w:r w:rsidR="00B86FE8" w:rsidRPr="009509B2">
        <w:rPr>
          <w:rFonts w:asciiTheme="majorHAnsi" w:eastAsia="Calibri" w:hAnsiTheme="majorHAnsi" w:cstheme="majorHAnsi"/>
        </w:rPr>
        <w:t>POK-ok</w:t>
      </w:r>
      <w:proofErr w:type="spellEnd"/>
      <w:r w:rsidR="00B86FE8" w:rsidRPr="009509B2">
        <w:rPr>
          <w:rFonts w:asciiTheme="majorHAnsi" w:eastAsia="Calibri" w:hAnsiTheme="majorHAnsi" w:cstheme="majorHAnsi"/>
        </w:rPr>
        <w:t xml:space="preserve"> számára, amelynek alapján </w:t>
      </w:r>
      <w:r w:rsidR="00E65F4D" w:rsidRPr="009509B2">
        <w:rPr>
          <w:rFonts w:asciiTheme="majorHAnsi" w:eastAsia="Calibri" w:hAnsiTheme="majorHAnsi" w:cstheme="majorHAnsi"/>
        </w:rPr>
        <w:t xml:space="preserve">az érintett intézmények </w:t>
      </w:r>
      <w:r w:rsidR="00B86FE8" w:rsidRPr="009509B2">
        <w:rPr>
          <w:rFonts w:asciiTheme="majorHAnsi" w:eastAsia="Calibri" w:hAnsiTheme="majorHAnsi" w:cstheme="majorHAnsi"/>
        </w:rPr>
        <w:t>differenciáltan tudtak dönteni.</w:t>
      </w:r>
    </w:p>
    <w:p w14:paraId="54F0317C" w14:textId="0356E1B3" w:rsidR="005941EF" w:rsidRDefault="00B86FE8" w:rsidP="005941EF">
      <w:pPr>
        <w:widowControl w:val="0"/>
        <w:autoSpaceDE w:val="0"/>
        <w:autoSpaceDN w:val="0"/>
        <w:adjustRightInd w:val="0"/>
        <w:rPr>
          <w:rFonts w:asciiTheme="majorHAnsi" w:eastAsia="Calibri" w:hAnsiTheme="majorHAnsi" w:cstheme="majorHAnsi"/>
        </w:rPr>
      </w:pPr>
      <w:r w:rsidRPr="009509B2">
        <w:rPr>
          <w:rFonts w:asciiTheme="majorHAnsi" w:eastAsia="Calibri" w:hAnsiTheme="majorHAnsi" w:cstheme="majorHAnsi"/>
        </w:rPr>
        <w:t>Folyamatban lévő intézkedések irányulnak a</w:t>
      </w:r>
      <w:r w:rsidR="00BF1AA0">
        <w:rPr>
          <w:rFonts w:asciiTheme="majorHAnsi" w:eastAsia="Calibri" w:hAnsiTheme="majorHAnsi" w:cstheme="majorHAnsi"/>
        </w:rPr>
        <w:t>z egyéni sajátosságokat figyelembe vevő, támogató</w:t>
      </w:r>
      <w:r w:rsidRPr="009509B2">
        <w:rPr>
          <w:rFonts w:asciiTheme="majorHAnsi" w:eastAsia="Calibri" w:hAnsiTheme="majorHAnsi" w:cstheme="majorHAnsi"/>
        </w:rPr>
        <w:t xml:space="preserve"> oktatás erősítésére. A fejlesztés többek között a helyi oktatásszervezésre vonatkozó helyzetelemzés</w:t>
      </w:r>
      <w:r w:rsidR="006D1384" w:rsidRPr="009509B2">
        <w:rPr>
          <w:rFonts w:asciiTheme="majorHAnsi" w:eastAsia="Calibri" w:hAnsiTheme="majorHAnsi" w:cstheme="majorHAnsi"/>
        </w:rPr>
        <w:t>t</w:t>
      </w:r>
      <w:r w:rsidRPr="009509B2">
        <w:rPr>
          <w:rFonts w:asciiTheme="majorHAnsi" w:eastAsia="Calibri" w:hAnsiTheme="majorHAnsi" w:cstheme="majorHAnsi"/>
        </w:rPr>
        <w:t xml:space="preserve"> és a </w:t>
      </w:r>
      <w:r w:rsidR="00BF1AA0">
        <w:rPr>
          <w:rFonts w:asciiTheme="majorHAnsi" w:eastAsia="Calibri" w:hAnsiTheme="majorHAnsi" w:cstheme="majorHAnsi"/>
        </w:rPr>
        <w:t xml:space="preserve">támogató </w:t>
      </w:r>
      <w:r w:rsidRPr="009509B2">
        <w:rPr>
          <w:rFonts w:asciiTheme="majorHAnsi" w:eastAsia="Calibri" w:hAnsiTheme="majorHAnsi" w:cstheme="majorHAnsi"/>
        </w:rPr>
        <w:t xml:space="preserve">oktatást, a deszegregációt </w:t>
      </w:r>
      <w:r w:rsidR="00BF1AA0">
        <w:rPr>
          <w:rFonts w:asciiTheme="majorHAnsi" w:eastAsia="Calibri" w:hAnsiTheme="majorHAnsi" w:cstheme="majorHAnsi"/>
        </w:rPr>
        <w:t xml:space="preserve">segítő </w:t>
      </w:r>
      <w:r w:rsidRPr="009509B2">
        <w:rPr>
          <w:rFonts w:asciiTheme="majorHAnsi" w:eastAsia="Calibri" w:hAnsiTheme="majorHAnsi" w:cstheme="majorHAnsi"/>
        </w:rPr>
        <w:t>komplex intézkedési terv elkészítését foglalja magában. A deszegregációs intézkedés</w:t>
      </w:r>
      <w:r w:rsidR="005E4713" w:rsidRPr="009509B2">
        <w:rPr>
          <w:rFonts w:asciiTheme="majorHAnsi" w:eastAsia="Calibri" w:hAnsiTheme="majorHAnsi" w:cstheme="majorHAnsi"/>
        </w:rPr>
        <w:t>ek</w:t>
      </w:r>
      <w:r w:rsidRPr="009509B2">
        <w:rPr>
          <w:rFonts w:asciiTheme="majorHAnsi" w:eastAsia="Calibri" w:hAnsiTheme="majorHAnsi" w:cstheme="majorHAnsi"/>
        </w:rPr>
        <w:t xml:space="preserve"> megvalósítása során erőteljesebb hangsúly helyeződik az oktatásszervezési folyamatok átfogó tervezésére, az oktatási mutatók komplexebb elemzésére. A</w:t>
      </w:r>
      <w:r w:rsidR="00BF1AA0">
        <w:rPr>
          <w:rFonts w:asciiTheme="majorHAnsi" w:eastAsia="Calibri" w:hAnsiTheme="majorHAnsi" w:cstheme="majorHAnsi"/>
        </w:rPr>
        <w:t>z egyéni sajátosságokat figyelembe vevő, támogató</w:t>
      </w:r>
      <w:r w:rsidRPr="009509B2">
        <w:rPr>
          <w:rFonts w:asciiTheme="majorHAnsi" w:eastAsia="Calibri" w:hAnsiTheme="majorHAnsi" w:cstheme="majorHAnsi"/>
        </w:rPr>
        <w:t xml:space="preserve"> oktatás erősítésével nő a</w:t>
      </w:r>
      <w:r w:rsidR="001C67FA" w:rsidRPr="009509B2">
        <w:rPr>
          <w:rFonts w:asciiTheme="majorHAnsi" w:eastAsia="Calibri" w:hAnsiTheme="majorHAnsi" w:cstheme="majorHAnsi"/>
        </w:rPr>
        <w:t xml:space="preserve"> sérülékeny, illetve</w:t>
      </w:r>
      <w:r w:rsidRPr="009509B2">
        <w:rPr>
          <w:rFonts w:asciiTheme="majorHAnsi" w:eastAsia="Calibri" w:hAnsiTheme="majorHAnsi" w:cstheme="majorHAnsi"/>
        </w:rPr>
        <w:t xml:space="preserve"> hátrányos helyzetű, köztük roma tanulók hozzáférésének esélye a minőségi oktatáshoz, javul a tanulmányi eredményesség, csökken a lemorzsolódás.</w:t>
      </w:r>
      <w:r w:rsidR="00C133FC">
        <w:rPr>
          <w:rFonts w:asciiTheme="majorHAnsi" w:eastAsia="Calibri" w:hAnsiTheme="majorHAnsi" w:cstheme="majorHAnsi"/>
        </w:rPr>
        <w:t xml:space="preserve"> </w:t>
      </w:r>
      <w:r w:rsidR="00BF1AA0">
        <w:rPr>
          <w:rFonts w:asciiTheme="majorHAnsi" w:eastAsia="Calibri" w:hAnsiTheme="majorHAnsi" w:cstheme="majorHAnsi"/>
        </w:rPr>
        <w:t xml:space="preserve">Ennek </w:t>
      </w:r>
      <w:r w:rsidR="005941EF" w:rsidRPr="00C133FC">
        <w:rPr>
          <w:rFonts w:asciiTheme="majorHAnsi" w:eastAsia="Calibri" w:hAnsiTheme="majorHAnsi" w:cstheme="majorHAnsi"/>
        </w:rPr>
        <w:t>érdekében olyan beavatkozások megvalósítása a cél, amelyek magukban foglalják a deszegregációt és a szegregáció megelőzését szolgáló oktatásszervezési gyakorlatok alkalmazását, továbbfejlesztését és nyomon követését</w:t>
      </w:r>
      <w:r w:rsidR="005941EF">
        <w:rPr>
          <w:rFonts w:asciiTheme="majorHAnsi" w:eastAsia="Calibri" w:hAnsiTheme="majorHAnsi" w:cstheme="majorHAnsi"/>
        </w:rPr>
        <w:t>. A</w:t>
      </w:r>
      <w:r w:rsidR="005941EF" w:rsidRPr="00C133FC">
        <w:rPr>
          <w:rFonts w:asciiTheme="majorHAnsi" w:eastAsia="Calibri" w:hAnsiTheme="majorHAnsi" w:cstheme="majorHAnsi"/>
        </w:rPr>
        <w:t xml:space="preserve"> </w:t>
      </w:r>
      <w:proofErr w:type="spellStart"/>
      <w:r w:rsidR="005941EF" w:rsidRPr="00C133FC">
        <w:rPr>
          <w:rFonts w:asciiTheme="majorHAnsi" w:eastAsia="Calibri" w:hAnsiTheme="majorHAnsi" w:cstheme="majorHAnsi"/>
        </w:rPr>
        <w:lastRenderedPageBreak/>
        <w:t>szegregálódott</w:t>
      </w:r>
      <w:proofErr w:type="spellEnd"/>
      <w:r w:rsidR="005941EF" w:rsidRPr="00C133FC">
        <w:rPr>
          <w:rFonts w:asciiTheme="majorHAnsi" w:eastAsia="Calibri" w:hAnsiTheme="majorHAnsi" w:cstheme="majorHAnsi"/>
        </w:rPr>
        <w:t xml:space="preserve"> környezetből integrált környezetbe kerülő hátrányos helyzetű, köztük roma tanulók támogatás</w:t>
      </w:r>
      <w:r w:rsidR="005941EF">
        <w:rPr>
          <w:rFonts w:asciiTheme="majorHAnsi" w:eastAsia="Calibri" w:hAnsiTheme="majorHAnsi" w:cstheme="majorHAnsi"/>
        </w:rPr>
        <w:t>a</w:t>
      </w:r>
      <w:r w:rsidR="005941EF" w:rsidRPr="00C133FC">
        <w:rPr>
          <w:rFonts w:asciiTheme="majorHAnsi" w:eastAsia="Calibri" w:hAnsiTheme="majorHAnsi" w:cstheme="majorHAnsi"/>
        </w:rPr>
        <w:t>, az innovatív pedagógiai eszközök és módszerek bevezetés</w:t>
      </w:r>
      <w:r w:rsidR="005941EF">
        <w:rPr>
          <w:rFonts w:asciiTheme="majorHAnsi" w:eastAsia="Calibri" w:hAnsiTheme="majorHAnsi" w:cstheme="majorHAnsi"/>
        </w:rPr>
        <w:t>e</w:t>
      </w:r>
      <w:r w:rsidR="005941EF" w:rsidRPr="00C133FC">
        <w:rPr>
          <w:rFonts w:asciiTheme="majorHAnsi" w:eastAsia="Calibri" w:hAnsiTheme="majorHAnsi" w:cstheme="majorHAnsi"/>
        </w:rPr>
        <w:t xml:space="preserve"> </w:t>
      </w:r>
      <w:r w:rsidR="005941EF">
        <w:rPr>
          <w:rFonts w:asciiTheme="majorHAnsi" w:eastAsia="Calibri" w:hAnsiTheme="majorHAnsi" w:cstheme="majorHAnsi"/>
        </w:rPr>
        <w:t xml:space="preserve">oly módon </w:t>
      </w:r>
      <w:r w:rsidR="00D0549D">
        <w:rPr>
          <w:rFonts w:asciiTheme="majorHAnsi" w:eastAsia="Calibri" w:hAnsiTheme="majorHAnsi" w:cstheme="majorHAnsi"/>
        </w:rPr>
        <w:t>kell megtörténnie</w:t>
      </w:r>
      <w:r w:rsidR="005941EF">
        <w:rPr>
          <w:rFonts w:asciiTheme="majorHAnsi" w:eastAsia="Calibri" w:hAnsiTheme="majorHAnsi" w:cstheme="majorHAnsi"/>
        </w:rPr>
        <w:t>, hogy azok</w:t>
      </w:r>
      <w:r w:rsidR="005941EF" w:rsidRPr="00C133FC">
        <w:rPr>
          <w:rFonts w:asciiTheme="majorHAnsi" w:eastAsia="Calibri" w:hAnsiTheme="majorHAnsi" w:cstheme="majorHAnsi"/>
        </w:rPr>
        <w:t xml:space="preserve"> a tanulói igényekhez </w:t>
      </w:r>
      <w:r w:rsidR="005941EF">
        <w:rPr>
          <w:rFonts w:asciiTheme="majorHAnsi" w:eastAsia="Calibri" w:hAnsiTheme="majorHAnsi" w:cstheme="majorHAnsi"/>
        </w:rPr>
        <w:t>igazodjanak</w:t>
      </w:r>
      <w:r w:rsidR="005941EF" w:rsidRPr="00C133FC">
        <w:rPr>
          <w:rFonts w:asciiTheme="majorHAnsi" w:eastAsia="Calibri" w:hAnsiTheme="majorHAnsi" w:cstheme="majorHAnsi"/>
        </w:rPr>
        <w:t>, a tanulók motivációjának és együttműködésének növelését szolgálják</w:t>
      </w:r>
      <w:r w:rsidR="005941EF">
        <w:rPr>
          <w:rFonts w:asciiTheme="majorHAnsi" w:eastAsia="Calibri" w:hAnsiTheme="majorHAnsi" w:cstheme="majorHAnsi"/>
        </w:rPr>
        <w:t>.</w:t>
      </w:r>
      <w:r w:rsidR="005941EF" w:rsidRPr="00C133FC">
        <w:rPr>
          <w:rFonts w:asciiTheme="majorHAnsi" w:eastAsia="Calibri" w:hAnsiTheme="majorHAnsi" w:cstheme="majorHAnsi"/>
        </w:rPr>
        <w:t xml:space="preserve"> </w:t>
      </w:r>
      <w:r w:rsidR="00D0549D">
        <w:rPr>
          <w:rFonts w:asciiTheme="majorHAnsi" w:eastAsia="Calibri" w:hAnsiTheme="majorHAnsi" w:cstheme="majorHAnsi"/>
        </w:rPr>
        <w:t>Folytatódnak</w:t>
      </w:r>
      <w:r w:rsidR="005941EF">
        <w:rPr>
          <w:rFonts w:asciiTheme="majorHAnsi" w:eastAsia="Calibri" w:hAnsiTheme="majorHAnsi" w:cstheme="majorHAnsi"/>
        </w:rPr>
        <w:t xml:space="preserve"> a</w:t>
      </w:r>
      <w:r w:rsidR="005941EF" w:rsidRPr="00C133FC">
        <w:rPr>
          <w:rFonts w:asciiTheme="majorHAnsi" w:eastAsia="Calibri" w:hAnsiTheme="majorHAnsi" w:cstheme="majorHAnsi"/>
        </w:rPr>
        <w:t xml:space="preserve"> korai iskolaelhagyás</w:t>
      </w:r>
      <w:r w:rsidR="005941EF">
        <w:rPr>
          <w:rFonts w:asciiTheme="majorHAnsi" w:eastAsia="Calibri" w:hAnsiTheme="majorHAnsi" w:cstheme="majorHAnsi"/>
        </w:rPr>
        <w:t>t kiváltó oko</w:t>
      </w:r>
      <w:r w:rsidR="005941EF" w:rsidRPr="00C133FC">
        <w:rPr>
          <w:rFonts w:asciiTheme="majorHAnsi" w:eastAsia="Calibri" w:hAnsiTheme="majorHAnsi" w:cstheme="majorHAnsi"/>
        </w:rPr>
        <w:t>k kezelésére célzottan irányuló i</w:t>
      </w:r>
      <w:r w:rsidR="00D0549D">
        <w:rPr>
          <w:rFonts w:asciiTheme="majorHAnsi" w:eastAsia="Calibri" w:hAnsiTheme="majorHAnsi" w:cstheme="majorHAnsi"/>
        </w:rPr>
        <w:t>ntézkedések</w:t>
      </w:r>
      <w:r w:rsidR="005941EF" w:rsidRPr="00C133FC">
        <w:rPr>
          <w:rFonts w:asciiTheme="majorHAnsi" w:eastAsia="Calibri" w:hAnsiTheme="majorHAnsi" w:cstheme="majorHAnsi"/>
        </w:rPr>
        <w:t>, a szakemberek képzés</w:t>
      </w:r>
      <w:r w:rsidR="00D0549D">
        <w:rPr>
          <w:rFonts w:asciiTheme="majorHAnsi" w:eastAsia="Calibri" w:hAnsiTheme="majorHAnsi" w:cstheme="majorHAnsi"/>
        </w:rPr>
        <w:t>e</w:t>
      </w:r>
      <w:r w:rsidR="005941EF">
        <w:rPr>
          <w:rFonts w:asciiTheme="majorHAnsi" w:eastAsia="Calibri" w:hAnsiTheme="majorHAnsi" w:cstheme="majorHAnsi"/>
        </w:rPr>
        <w:t>.</w:t>
      </w:r>
      <w:r w:rsidR="005941EF" w:rsidRPr="00C133FC">
        <w:rPr>
          <w:rFonts w:asciiTheme="majorHAnsi" w:eastAsia="Calibri" w:hAnsiTheme="majorHAnsi" w:cstheme="majorHAnsi"/>
        </w:rPr>
        <w:t xml:space="preserve"> </w:t>
      </w:r>
      <w:r w:rsidR="005941EF">
        <w:rPr>
          <w:rFonts w:asciiTheme="majorHAnsi" w:eastAsia="Calibri" w:hAnsiTheme="majorHAnsi" w:cstheme="majorHAnsi"/>
        </w:rPr>
        <w:t>A</w:t>
      </w:r>
      <w:r w:rsidR="005941EF" w:rsidRPr="00C133FC">
        <w:rPr>
          <w:rFonts w:asciiTheme="majorHAnsi" w:eastAsia="Calibri" w:hAnsiTheme="majorHAnsi" w:cstheme="majorHAnsi"/>
        </w:rPr>
        <w:t>z</w:t>
      </w:r>
      <w:r w:rsidR="005941EF">
        <w:rPr>
          <w:rFonts w:asciiTheme="majorHAnsi" w:eastAsia="Calibri" w:hAnsiTheme="majorHAnsi" w:cstheme="majorHAnsi"/>
        </w:rPr>
        <w:t xml:space="preserve"> tervezett intézkedések az</w:t>
      </w:r>
      <w:r w:rsidR="005941EF" w:rsidRPr="00C133FC">
        <w:rPr>
          <w:rFonts w:asciiTheme="majorHAnsi" w:eastAsia="Calibri" w:hAnsiTheme="majorHAnsi" w:cstheme="majorHAnsi"/>
        </w:rPr>
        <w:t xml:space="preserve"> oktatás terén jelentkező hátrányok és a korai iskol</w:t>
      </w:r>
      <w:r w:rsidR="005941EF">
        <w:rPr>
          <w:rFonts w:asciiTheme="majorHAnsi" w:eastAsia="Calibri" w:hAnsiTheme="majorHAnsi" w:cstheme="majorHAnsi"/>
        </w:rPr>
        <w:t>aelhagyás középpontba állítását</w:t>
      </w:r>
      <w:r w:rsidR="005941EF" w:rsidRPr="00C133FC">
        <w:rPr>
          <w:rFonts w:asciiTheme="majorHAnsi" w:eastAsia="Calibri" w:hAnsiTheme="majorHAnsi" w:cstheme="majorHAnsi"/>
        </w:rPr>
        <w:t>, a minőségértékelés továbbfejlesztését, a szülők és az iskola p</w:t>
      </w:r>
      <w:r w:rsidR="005941EF">
        <w:rPr>
          <w:rFonts w:asciiTheme="majorHAnsi" w:eastAsia="Calibri" w:hAnsiTheme="majorHAnsi" w:cstheme="majorHAnsi"/>
        </w:rPr>
        <w:t>artneri együttműködését szolgálják.</w:t>
      </w:r>
    </w:p>
    <w:p w14:paraId="2C9FB415" w14:textId="46525A01" w:rsidR="00B86FE8" w:rsidRPr="009509B2" w:rsidRDefault="00152195" w:rsidP="009509B2">
      <w:pPr>
        <w:widowControl w:val="0"/>
        <w:autoSpaceDE w:val="0"/>
        <w:autoSpaceDN w:val="0"/>
        <w:adjustRightInd w:val="0"/>
        <w:rPr>
          <w:rFonts w:asciiTheme="majorHAnsi" w:eastAsia="Calibri" w:hAnsiTheme="majorHAnsi" w:cstheme="majorHAnsi"/>
        </w:rPr>
      </w:pPr>
      <w:r w:rsidRPr="009509B2">
        <w:rPr>
          <w:rFonts w:asciiTheme="majorHAnsi" w:eastAsia="Calibri" w:hAnsiTheme="majorHAnsi" w:cstheme="majorHAnsi"/>
        </w:rPr>
        <w:t>A végzettség nélküli iskolaelhagyás szempontjából veszélyeztetett tanulói csoportok számára csoportra szabott támogatást nyújtó megoldások kialakítására van szükség az oktatási intézményekben</w:t>
      </w:r>
      <w:r w:rsidR="005506C1" w:rsidRPr="009509B2">
        <w:rPr>
          <w:rFonts w:asciiTheme="majorHAnsi" w:eastAsia="Calibri" w:hAnsiTheme="majorHAnsi" w:cstheme="majorHAnsi"/>
        </w:rPr>
        <w:t>,</w:t>
      </w:r>
      <w:r w:rsidRPr="009509B2">
        <w:rPr>
          <w:rFonts w:asciiTheme="majorHAnsi" w:eastAsia="Calibri" w:hAnsiTheme="majorHAnsi" w:cstheme="majorHAnsi"/>
        </w:rPr>
        <w:t xml:space="preserve"> illetve annak szűkebb-tágabb környezetében szakmailag felkészült, több hivatás képviselőiből álló segítőkkel. A hátrányos helyzetű tanulók tanuláshoz történő hozzáférése előtt álló akadályok elhárítása, a tanulás támogatásának ösztönzése ösztöndíj- és komplex támogatást nyújtó rendszer révén, a támogatással összekapcsolt képzési lehetőségek segítségével zajlik az Arany János Programokban. </w:t>
      </w:r>
      <w:r w:rsidR="00B86FE8" w:rsidRPr="009509B2">
        <w:rPr>
          <w:rFonts w:asciiTheme="majorHAnsi" w:eastAsia="Calibri" w:hAnsiTheme="majorHAnsi" w:cstheme="majorHAnsi"/>
        </w:rPr>
        <w:t>Az Arany János Program a hátrányos és halmozottan hátrányos helyzetű, illetve sérülékeny tanulói csoportokhoz tartozók</w:t>
      </w:r>
      <w:r w:rsidR="005E4713" w:rsidRPr="009509B2">
        <w:rPr>
          <w:rFonts w:asciiTheme="majorHAnsi" w:eastAsia="Calibri" w:hAnsiTheme="majorHAnsi" w:cstheme="majorHAnsi"/>
        </w:rPr>
        <w:t>nak</w:t>
      </w:r>
      <w:r w:rsidR="00B86FE8" w:rsidRPr="009509B2">
        <w:rPr>
          <w:rFonts w:asciiTheme="majorHAnsi" w:eastAsia="Calibri" w:hAnsiTheme="majorHAnsi" w:cstheme="majorHAnsi"/>
        </w:rPr>
        <w:t xml:space="preserve"> a lemorzsolódás megelőzéséhez, az érettségi megszerzéséhez, a felsőfokú továbbtanuláshoz, illetve sikeres munkaerőpiaci beilleszkedéshez nyújtanak komplex – pedagógiai, szociális, egészségügyi, kulturális – </w:t>
      </w:r>
      <w:r w:rsidR="005E4713" w:rsidRPr="009509B2">
        <w:rPr>
          <w:rFonts w:asciiTheme="majorHAnsi" w:eastAsia="Calibri" w:hAnsiTheme="majorHAnsi" w:cstheme="majorHAnsi"/>
        </w:rPr>
        <w:t xml:space="preserve">nyújt </w:t>
      </w:r>
      <w:r w:rsidR="00B86FE8" w:rsidRPr="009509B2">
        <w:rPr>
          <w:rFonts w:asciiTheme="majorHAnsi" w:eastAsia="Calibri" w:hAnsiTheme="majorHAnsi" w:cstheme="majorHAnsi"/>
        </w:rPr>
        <w:t>támogatást</w:t>
      </w:r>
      <w:r w:rsidR="005E4713" w:rsidRPr="009509B2">
        <w:rPr>
          <w:rFonts w:asciiTheme="majorHAnsi" w:eastAsia="Calibri" w:hAnsiTheme="majorHAnsi" w:cstheme="majorHAnsi"/>
        </w:rPr>
        <w:t>.</w:t>
      </w:r>
    </w:p>
    <w:p w14:paraId="05CC4C65" w14:textId="77777777" w:rsidR="00870B46" w:rsidRDefault="00870B46" w:rsidP="009509B2">
      <w:pPr>
        <w:widowControl w:val="0"/>
        <w:autoSpaceDE w:val="0"/>
        <w:autoSpaceDN w:val="0"/>
        <w:adjustRightInd w:val="0"/>
        <w:rPr>
          <w:rFonts w:asciiTheme="majorHAnsi" w:eastAsia="Calibri" w:hAnsiTheme="majorHAnsi" w:cstheme="majorHAnsi"/>
        </w:rPr>
      </w:pPr>
      <w:r w:rsidRPr="009509B2">
        <w:rPr>
          <w:rFonts w:asciiTheme="majorHAnsi" w:eastAsia="Calibri" w:hAnsiTheme="majorHAnsi" w:cstheme="majorHAnsi"/>
        </w:rPr>
        <w:t>A halmozottan hátrányos helyzetű gyermekeket nagy sz</w:t>
      </w:r>
      <w:r w:rsidR="00FB4D8A" w:rsidRPr="009509B2">
        <w:rPr>
          <w:rFonts w:asciiTheme="majorHAnsi" w:eastAsia="Calibri" w:hAnsiTheme="majorHAnsi" w:cstheme="majorHAnsi"/>
        </w:rPr>
        <w:t>ámban oktató-nevelő intézmények pályázati rendszerben elérhető</w:t>
      </w:r>
      <w:r w:rsidRPr="009509B2">
        <w:rPr>
          <w:rFonts w:asciiTheme="majorHAnsi" w:eastAsia="Calibri" w:hAnsiTheme="majorHAnsi" w:cstheme="majorHAnsi"/>
        </w:rPr>
        <w:t xml:space="preserve"> támogatásban részesültek, amelynek keretében az óvodák, iskolák külső partnerek bevonásával valósítottak meg programokat, elősegítve ezzel a gyermekek esélyegyenlőségét, valamint anyagilag is elismerve a fejlesztéseket megvalósító pedagógusok többletteljesítményét.</w:t>
      </w:r>
    </w:p>
    <w:p w14:paraId="099B6C1A" w14:textId="77777777" w:rsidR="00B86FE8" w:rsidRPr="009509B2" w:rsidRDefault="00B86FE8" w:rsidP="009509B2">
      <w:pPr>
        <w:widowControl w:val="0"/>
        <w:autoSpaceDE w:val="0"/>
        <w:autoSpaceDN w:val="0"/>
        <w:adjustRightInd w:val="0"/>
        <w:rPr>
          <w:rFonts w:asciiTheme="majorHAnsi" w:eastAsia="Calibri" w:hAnsiTheme="majorHAnsi" w:cstheme="majorHAnsi"/>
        </w:rPr>
      </w:pPr>
      <w:r w:rsidRPr="009509B2">
        <w:rPr>
          <w:rFonts w:asciiTheme="majorHAnsi" w:eastAsia="Calibri" w:hAnsiTheme="majorHAnsi" w:cstheme="majorHAnsi"/>
        </w:rPr>
        <w:t xml:space="preserve">A 2020. január 1-jétől hatályba lépő, a szakképzésről szóló 2019. évi LXXX. törvény bevezette a végzettségszerzés kötelezettségét. Eszerint a kiskorú tanuló törvényes képviselője köteles gondoskodni arról, hogy a tankötelezettségét teljesített kiskorú gyermeke vagy a nevelése alatt álló kiskorú tanuló </w:t>
      </w:r>
      <w:r w:rsidR="00581883" w:rsidRPr="009509B2">
        <w:rPr>
          <w:rFonts w:asciiTheme="majorHAnsi" w:eastAsia="Calibri" w:hAnsiTheme="majorHAnsi" w:cstheme="majorHAnsi"/>
        </w:rPr>
        <w:t xml:space="preserve">iskolából való </w:t>
      </w:r>
      <w:r w:rsidRPr="009509B2">
        <w:rPr>
          <w:rFonts w:asciiTheme="majorHAnsi" w:eastAsia="Calibri" w:hAnsiTheme="majorHAnsi" w:cstheme="majorHAnsi"/>
        </w:rPr>
        <w:t>kimaradása esetén</w:t>
      </w:r>
      <w:r w:rsidR="00581883" w:rsidRPr="009509B2">
        <w:rPr>
          <w:rFonts w:asciiTheme="majorHAnsi" w:eastAsia="Calibri" w:hAnsiTheme="majorHAnsi" w:cstheme="majorHAnsi"/>
        </w:rPr>
        <w:t>,</w:t>
      </w:r>
      <w:r w:rsidRPr="009509B2">
        <w:rPr>
          <w:rFonts w:asciiTheme="majorHAnsi" w:eastAsia="Calibri" w:hAnsiTheme="majorHAnsi" w:cstheme="majorHAnsi"/>
        </w:rPr>
        <w:t xml:space="preserve"> 18 éves koráig, de legalább egy részszakma megszerzéséig tanulmányokat folytasson. Az intézkedés bevezetésével </w:t>
      </w:r>
      <w:r w:rsidR="00CF6DC1" w:rsidRPr="009509B2">
        <w:rPr>
          <w:rFonts w:asciiTheme="majorHAnsi" w:eastAsia="Calibri" w:hAnsiTheme="majorHAnsi" w:cstheme="majorHAnsi"/>
        </w:rPr>
        <w:t xml:space="preserve">érdemben </w:t>
      </w:r>
      <w:r w:rsidRPr="009509B2">
        <w:rPr>
          <w:rFonts w:asciiTheme="majorHAnsi" w:eastAsia="Calibri" w:hAnsiTheme="majorHAnsi" w:cstheme="majorHAnsi"/>
        </w:rPr>
        <w:t xml:space="preserve">bővül a végzettség megszerzését ösztönző </w:t>
      </w:r>
      <w:r w:rsidR="00CF6DC1" w:rsidRPr="009509B2">
        <w:rPr>
          <w:rFonts w:asciiTheme="majorHAnsi" w:eastAsia="Calibri" w:hAnsiTheme="majorHAnsi" w:cstheme="majorHAnsi"/>
        </w:rPr>
        <w:t xml:space="preserve">intézkedések </w:t>
      </w:r>
      <w:r w:rsidRPr="009509B2">
        <w:rPr>
          <w:rFonts w:asciiTheme="majorHAnsi" w:eastAsia="Calibri" w:hAnsiTheme="majorHAnsi" w:cstheme="majorHAnsi"/>
        </w:rPr>
        <w:t>köre</w:t>
      </w:r>
      <w:r w:rsidR="00CF6DC1" w:rsidRPr="009509B2">
        <w:rPr>
          <w:rFonts w:asciiTheme="majorHAnsi" w:eastAsia="Calibri" w:hAnsiTheme="majorHAnsi" w:cstheme="majorHAnsi"/>
        </w:rPr>
        <w:t xml:space="preserve">, </w:t>
      </w:r>
      <w:r w:rsidR="00581883" w:rsidRPr="009509B2">
        <w:rPr>
          <w:rFonts w:asciiTheme="majorHAnsi" w:eastAsia="Calibri" w:hAnsiTheme="majorHAnsi" w:cstheme="majorHAnsi"/>
        </w:rPr>
        <w:t>a</w:t>
      </w:r>
      <w:r w:rsidR="00CF6DC1" w:rsidRPr="009509B2">
        <w:rPr>
          <w:rFonts w:asciiTheme="majorHAnsi" w:eastAsia="Calibri" w:hAnsiTheme="majorHAnsi" w:cstheme="majorHAnsi"/>
        </w:rPr>
        <w:t>melynek rendszerszintű felépítése a következő időszak egyik szakmai kihívása lesz a szakképzésért felelős tárca számára</w:t>
      </w:r>
      <w:r w:rsidRPr="009509B2">
        <w:rPr>
          <w:rFonts w:asciiTheme="majorHAnsi" w:eastAsia="Calibri" w:hAnsiTheme="majorHAnsi" w:cstheme="majorHAnsi"/>
        </w:rPr>
        <w:t xml:space="preserve">. </w:t>
      </w:r>
    </w:p>
    <w:p w14:paraId="68DB2DE2" w14:textId="1E2F388D" w:rsidR="0007293A" w:rsidRDefault="0007293A" w:rsidP="009509B2">
      <w:pPr>
        <w:widowControl w:val="0"/>
        <w:autoSpaceDE w:val="0"/>
        <w:autoSpaceDN w:val="0"/>
        <w:adjustRightInd w:val="0"/>
      </w:pPr>
      <w:r w:rsidRPr="009509B2">
        <w:rPr>
          <w:rFonts w:asciiTheme="majorHAnsi" w:eastAsia="Calibri" w:hAnsiTheme="majorHAnsi" w:cstheme="majorHAnsi"/>
        </w:rPr>
        <w:t xml:space="preserve">Fontos megemlíteni a Tanoda programot, amely azzal a céllal jött létre, hogy segítse </w:t>
      </w:r>
      <w:r>
        <w:t>azokat a tanulókat, akik számára önmagában sem a család, sem az iskola nem tud megfelelő feltételeket biztosítani a sikeres iskolai előrehaladáshoz, tanuláshoz. Az esetükben fennálló tanulási nehézségek jelentős része megfelelő pedagógiai, szociális támogatással, a hátrányok kompenzálását célzó fejleszté</w:t>
      </w:r>
      <w:r w:rsidR="00885B7D">
        <w:t>sekkel kiküszöbölhető. A tanoda</w:t>
      </w:r>
      <w:r>
        <w:t xml:space="preserve"> hozzájárul ahhoz, hogy az alap- és középfokú köznevelési intézményekben tanuló, különböző társadalmi helyzetű, </w:t>
      </w:r>
      <w:r>
        <w:lastRenderedPageBreak/>
        <w:t xml:space="preserve">kulturális hovatartozású és egyéni adottságú tanulók tanulmányaikban sikeresen haladjanak előre az iskolában és ezen keresztül megvalósuljon társadalmi mobilitásuk. Kiemelten fontos tehát a szerepük a hátrányos helyzetű, halmozottan hátrányos helyzetű – köztük roma – vagy a gyermekvédelmi szakellátás otthont nyújtó formáiban élő tanulók esetében. A tanoda program a Magyar Nemzeti Társadalmi Felzárkózási Stratégia alapján, a </w:t>
      </w:r>
      <w:r w:rsidR="00D0146D">
        <w:t xml:space="preserve">Gyermekvédelmi törvényben szabályozott </w:t>
      </w:r>
      <w:r w:rsidR="00D0146D" w:rsidRPr="0035416B">
        <w:t>esélynövelő szolgáltatásként</w:t>
      </w:r>
      <w:r w:rsidR="00D0146D">
        <w:rPr>
          <w:rStyle w:val="Lbjegyzet-hivatkozs"/>
          <w:i/>
        </w:rPr>
        <w:footnoteReference w:id="21"/>
      </w:r>
      <w:r>
        <w:t xml:space="preserve">működik, így alapvető beavatkozási irányként jelen stratégiában nem nevesítjük, de a szinergiák megteremtése és a folyamatos szakmai együttműködés a felzárkózási területtel továbbra is </w:t>
      </w:r>
      <w:r w:rsidR="00B05F3F">
        <w:t xml:space="preserve">fontos elem </w:t>
      </w:r>
      <w:r>
        <w:t>a köznevelés komple</w:t>
      </w:r>
      <w:r w:rsidR="00B05F3F">
        <w:t>x stratégiai megközelítésében.</w:t>
      </w:r>
    </w:p>
    <w:p w14:paraId="02719623" w14:textId="7B8797BA" w:rsidR="009509B2" w:rsidRDefault="009509B2" w:rsidP="009509B2">
      <w:pPr>
        <w:widowControl w:val="0"/>
        <w:autoSpaceDE w:val="0"/>
        <w:autoSpaceDN w:val="0"/>
        <w:adjustRightInd w:val="0"/>
      </w:pPr>
      <w:r>
        <w:rPr>
          <w:rFonts w:asciiTheme="majorHAnsi" w:eastAsia="Calibri" w:hAnsiTheme="majorHAnsi" w:cstheme="majorHAnsi"/>
        </w:rPr>
        <w:t xml:space="preserve">A </w:t>
      </w:r>
      <w:r w:rsidRPr="009509B2">
        <w:rPr>
          <w:rFonts w:asciiTheme="majorHAnsi" w:eastAsia="Calibri" w:hAnsiTheme="majorHAnsi" w:cstheme="majorHAnsi"/>
        </w:rPr>
        <w:t>hátrányos és halmozot</w:t>
      </w:r>
      <w:r>
        <w:rPr>
          <w:rFonts w:asciiTheme="majorHAnsi" w:eastAsia="Calibri" w:hAnsiTheme="majorHAnsi" w:cstheme="majorHAnsi"/>
        </w:rPr>
        <w:t xml:space="preserve">tan hátrányos helyzetű, illetve nehéz szociális helyzetű </w:t>
      </w:r>
      <w:r w:rsidRPr="009509B2">
        <w:rPr>
          <w:rFonts w:asciiTheme="majorHAnsi" w:eastAsia="Calibri" w:hAnsiTheme="majorHAnsi" w:cstheme="majorHAnsi"/>
        </w:rPr>
        <w:t>tanulói csoportokhoz tartozók</w:t>
      </w:r>
      <w:r>
        <w:rPr>
          <w:rFonts w:asciiTheme="majorHAnsi" w:eastAsia="Calibri" w:hAnsiTheme="majorHAnsi" w:cstheme="majorHAnsi"/>
        </w:rPr>
        <w:t xml:space="preserve"> felzárkóztatásában pozitív hatása lehet annak, ha az </w:t>
      </w:r>
      <w:proofErr w:type="spellStart"/>
      <w:r>
        <w:rPr>
          <w:rFonts w:asciiTheme="majorHAnsi" w:eastAsia="Calibri" w:hAnsiTheme="majorHAnsi" w:cstheme="majorHAnsi"/>
        </w:rPr>
        <w:t>inklúzió</w:t>
      </w:r>
      <w:proofErr w:type="spellEnd"/>
      <w:r>
        <w:rPr>
          <w:rFonts w:asciiTheme="majorHAnsi" w:eastAsia="Calibri" w:hAnsiTheme="majorHAnsi" w:cstheme="majorHAnsi"/>
        </w:rPr>
        <w:t xml:space="preserve"> a tanulók saját helyi közösségeinek felnőtt tagjait is érinti. Az ő támogatóként történő bevonásuk – például nevelő-oktató munkát közvetlenül segítő munkatársként – elősegítheti az intézmények és a családok közötti együttműködés megerősödését.</w:t>
      </w:r>
      <w:r w:rsidR="003660D5">
        <w:rPr>
          <w:rFonts w:asciiTheme="majorHAnsi" w:eastAsia="Calibri" w:hAnsiTheme="majorHAnsi" w:cstheme="majorHAnsi"/>
        </w:rPr>
        <w:t xml:space="preserve"> </w:t>
      </w:r>
      <w:r w:rsidR="00C60863">
        <w:t>Már az</w:t>
      </w:r>
      <w:r w:rsidR="00C60863" w:rsidRPr="003660D5">
        <w:t xml:space="preserve"> iskola megkezdésétől </w:t>
      </w:r>
      <w:r w:rsidR="00C60863">
        <w:t xml:space="preserve">kezdve </w:t>
      </w:r>
      <w:r w:rsidR="00A55C1C" w:rsidRPr="003660D5">
        <w:t xml:space="preserve">koruknak megfelelően </w:t>
      </w:r>
      <w:r w:rsidR="00C60863" w:rsidRPr="003660D5">
        <w:t xml:space="preserve">motiválni </w:t>
      </w:r>
      <w:r w:rsidR="00C60863">
        <w:t>kell a tanulókat</w:t>
      </w:r>
      <w:r w:rsidR="00C60863" w:rsidRPr="003660D5">
        <w:t xml:space="preserve">, segíteni, támogatni </w:t>
      </w:r>
      <w:r w:rsidR="00C60863">
        <w:t xml:space="preserve">őket a </w:t>
      </w:r>
      <w:r w:rsidR="00C60863" w:rsidRPr="003660D5">
        <w:t>számukra elérhető jövőkép kialakításában</w:t>
      </w:r>
      <w:r w:rsidR="00C60863">
        <w:t xml:space="preserve">. Ezekben a tanulócsoportokban nagyobb létszámú segítő munkatársra van szükség. </w:t>
      </w:r>
      <w:r w:rsidR="00C60863" w:rsidRPr="003660D5">
        <w:t>Amennyiben magas a roma tanulók száma, abban az esetben célszerű roma származású asszisztensek foglalkoztatása</w:t>
      </w:r>
      <w:r w:rsidR="00C60863">
        <w:t xml:space="preserve"> is. </w:t>
      </w:r>
    </w:p>
    <w:p w14:paraId="2A8ED7C5" w14:textId="77777777" w:rsidR="006A24A1" w:rsidRDefault="006A24A1" w:rsidP="006A24A1">
      <w:pPr>
        <w:widowControl w:val="0"/>
        <w:autoSpaceDE w:val="0"/>
        <w:autoSpaceDN w:val="0"/>
        <w:adjustRightInd w:val="0"/>
        <w:spacing w:after="0" w:line="276" w:lineRule="auto"/>
        <w:rPr>
          <w:rFonts w:asciiTheme="majorHAnsi" w:eastAsia="Calibri" w:hAnsiTheme="majorHAnsi" w:cstheme="majorHAnsi"/>
        </w:rPr>
      </w:pPr>
    </w:p>
    <w:p w14:paraId="44F86E7E" w14:textId="77777777" w:rsidR="006A24A1" w:rsidRDefault="006A24A1" w:rsidP="00AF07EB">
      <w:pPr>
        <w:widowControl w:val="0"/>
        <w:autoSpaceDE w:val="0"/>
        <w:autoSpaceDN w:val="0"/>
        <w:adjustRightInd w:val="0"/>
        <w:spacing w:line="276" w:lineRule="auto"/>
        <w:rPr>
          <w:rFonts w:asciiTheme="majorHAnsi" w:hAnsiTheme="majorHAnsi" w:cstheme="majorHAnsi"/>
          <w:u w:val="single"/>
        </w:rPr>
      </w:pPr>
      <w:r w:rsidRPr="006A24A1">
        <w:rPr>
          <w:rFonts w:asciiTheme="majorHAnsi" w:hAnsiTheme="majorHAnsi" w:cstheme="majorHAnsi"/>
          <w:u w:val="single"/>
        </w:rPr>
        <w:t>Alulteljesítőkkel, korai iskolaelhagyással kapcsolatos legfontosabb fejlesztési irányok:</w:t>
      </w:r>
    </w:p>
    <w:p w14:paraId="09B3AE05" w14:textId="77777777" w:rsidR="00806170" w:rsidRPr="000B4C4C" w:rsidRDefault="00806170" w:rsidP="00E6751A">
      <w:pPr>
        <w:pStyle w:val="Listaszerbekezds"/>
        <w:widowControl w:val="0"/>
        <w:numPr>
          <w:ilvl w:val="0"/>
          <w:numId w:val="7"/>
        </w:numPr>
        <w:autoSpaceDE w:val="0"/>
        <w:autoSpaceDN w:val="0"/>
        <w:adjustRightInd w:val="0"/>
        <w:spacing w:line="276" w:lineRule="auto"/>
        <w:rPr>
          <w:rFonts w:asciiTheme="majorHAnsi" w:hAnsiTheme="majorHAnsi" w:cstheme="majorHAnsi"/>
        </w:rPr>
      </w:pPr>
      <w:r>
        <w:rPr>
          <w:rFonts w:asciiTheme="majorHAnsi" w:hAnsiTheme="majorHAnsi" w:cstheme="majorHAnsi"/>
        </w:rPr>
        <w:t>az alulteljesítők számának csökkentése;</w:t>
      </w:r>
    </w:p>
    <w:p w14:paraId="4D27ABEA" w14:textId="77777777" w:rsidR="00093565" w:rsidRPr="00093565" w:rsidRDefault="00093565" w:rsidP="00E6751A">
      <w:pPr>
        <w:pStyle w:val="Listaszerbekezds"/>
        <w:widowControl w:val="0"/>
        <w:numPr>
          <w:ilvl w:val="0"/>
          <w:numId w:val="7"/>
        </w:numPr>
        <w:autoSpaceDE w:val="0"/>
        <w:autoSpaceDN w:val="0"/>
        <w:adjustRightInd w:val="0"/>
        <w:spacing w:line="276" w:lineRule="auto"/>
        <w:rPr>
          <w:rFonts w:asciiTheme="majorHAnsi" w:hAnsiTheme="majorHAnsi" w:cstheme="majorHAnsi"/>
        </w:rPr>
      </w:pPr>
      <w:r>
        <w:rPr>
          <w:rFonts w:asciiTheme="majorHAnsi" w:eastAsia="Calibri" w:hAnsiTheme="majorHAnsi" w:cstheme="majorHAnsi"/>
        </w:rPr>
        <w:t>a</w:t>
      </w:r>
      <w:r w:rsidRPr="000A7388">
        <w:rPr>
          <w:rFonts w:asciiTheme="majorHAnsi" w:eastAsia="Calibri" w:hAnsiTheme="majorHAnsi" w:cstheme="majorHAnsi"/>
        </w:rPr>
        <w:t xml:space="preserve"> lemorzsolódás megelőzését szolgáló korai jelző- és pedagógiai támogató rendszer</w:t>
      </w:r>
      <w:r>
        <w:rPr>
          <w:rFonts w:asciiTheme="majorHAnsi" w:eastAsia="Calibri" w:hAnsiTheme="majorHAnsi" w:cstheme="majorHAnsi"/>
        </w:rPr>
        <w:t xml:space="preserve"> továbbfejlesztése, a</w:t>
      </w:r>
      <w:r w:rsidR="00024034">
        <w:rPr>
          <w:rFonts w:asciiTheme="majorHAnsi" w:eastAsia="Calibri" w:hAnsiTheme="majorHAnsi" w:cstheme="majorHAnsi"/>
        </w:rPr>
        <w:t>z</w:t>
      </w:r>
      <w:r w:rsidR="00A17DAD">
        <w:rPr>
          <w:rFonts w:asciiTheme="majorHAnsi" w:eastAsia="Calibri" w:hAnsiTheme="majorHAnsi" w:cstheme="majorHAnsi"/>
        </w:rPr>
        <w:t xml:space="preserve"> intézmények szakmai segítségnyújtásának és az</w:t>
      </w:r>
      <w:r w:rsidR="00024034">
        <w:rPr>
          <w:rFonts w:asciiTheme="majorHAnsi" w:eastAsia="Calibri" w:hAnsiTheme="majorHAnsi" w:cstheme="majorHAnsi"/>
        </w:rPr>
        <w:t xml:space="preserve"> intézkedések hatékonyságának növelése;</w:t>
      </w:r>
    </w:p>
    <w:p w14:paraId="05FB0F65" w14:textId="77777777" w:rsidR="00AF07EB" w:rsidRPr="00CD40DD" w:rsidRDefault="00024034" w:rsidP="00E6751A">
      <w:pPr>
        <w:pStyle w:val="Listaszerbekezds"/>
        <w:widowControl w:val="0"/>
        <w:numPr>
          <w:ilvl w:val="0"/>
          <w:numId w:val="7"/>
        </w:numPr>
        <w:autoSpaceDE w:val="0"/>
        <w:autoSpaceDN w:val="0"/>
        <w:adjustRightInd w:val="0"/>
        <w:spacing w:line="276" w:lineRule="auto"/>
        <w:rPr>
          <w:rFonts w:asciiTheme="majorHAnsi" w:hAnsiTheme="majorHAnsi" w:cstheme="majorHAnsi"/>
          <w:u w:val="single"/>
        </w:rPr>
      </w:pPr>
      <w:r w:rsidRPr="000A7388">
        <w:rPr>
          <w:rFonts w:asciiTheme="majorHAnsi" w:eastAsia="Calibri" w:hAnsiTheme="majorHAnsi" w:cstheme="majorHAnsi"/>
        </w:rPr>
        <w:t>alacsonyan</w:t>
      </w:r>
      <w:r>
        <w:rPr>
          <w:rFonts w:asciiTheme="majorHAnsi" w:eastAsia="Calibri" w:hAnsiTheme="majorHAnsi" w:cstheme="majorHAnsi"/>
        </w:rPr>
        <w:t xml:space="preserve"> teljesítő iskolák fejlesztése</w:t>
      </w:r>
      <w:r w:rsidRPr="000A7388">
        <w:rPr>
          <w:rFonts w:asciiTheme="majorHAnsi" w:eastAsia="Calibri" w:hAnsiTheme="majorHAnsi" w:cstheme="majorHAnsi"/>
        </w:rPr>
        <w:t xml:space="preserve"> az oktatás eredményességének javítása érdekében</w:t>
      </w:r>
      <w:r>
        <w:rPr>
          <w:rFonts w:asciiTheme="majorHAnsi" w:eastAsia="Calibri" w:hAnsiTheme="majorHAnsi" w:cstheme="majorHAnsi"/>
        </w:rPr>
        <w:t>;</w:t>
      </w:r>
    </w:p>
    <w:p w14:paraId="0B8A51F0" w14:textId="371D4527" w:rsidR="00024034" w:rsidRPr="00E6701C" w:rsidRDefault="00BF1AA0" w:rsidP="00E6751A">
      <w:pPr>
        <w:pStyle w:val="Listaszerbekezds"/>
        <w:widowControl w:val="0"/>
        <w:numPr>
          <w:ilvl w:val="0"/>
          <w:numId w:val="7"/>
        </w:numPr>
        <w:autoSpaceDE w:val="0"/>
        <w:autoSpaceDN w:val="0"/>
        <w:adjustRightInd w:val="0"/>
        <w:spacing w:line="276" w:lineRule="auto"/>
        <w:rPr>
          <w:rFonts w:asciiTheme="majorHAnsi" w:hAnsiTheme="majorHAnsi" w:cstheme="majorHAnsi"/>
          <w:u w:val="single"/>
        </w:rPr>
      </w:pPr>
      <w:r>
        <w:rPr>
          <w:rFonts w:asciiTheme="majorHAnsi" w:eastAsia="Calibri" w:hAnsiTheme="majorHAnsi" w:cstheme="majorHAnsi"/>
        </w:rPr>
        <w:t>egyéni sajátosságokat figyelembe vevő, támogató</w:t>
      </w:r>
      <w:r w:rsidDel="00BF1AA0">
        <w:rPr>
          <w:rFonts w:asciiTheme="majorHAnsi" w:eastAsia="Calibri" w:hAnsiTheme="majorHAnsi" w:cstheme="majorHAnsi"/>
        </w:rPr>
        <w:t xml:space="preserve"> </w:t>
      </w:r>
      <w:r w:rsidR="00024034">
        <w:rPr>
          <w:rFonts w:asciiTheme="majorHAnsi" w:eastAsia="Calibri" w:hAnsiTheme="majorHAnsi" w:cstheme="majorHAnsi"/>
        </w:rPr>
        <w:t>oktatás erősítése;</w:t>
      </w:r>
    </w:p>
    <w:p w14:paraId="4777AB68" w14:textId="29A50D8B" w:rsidR="008258C6" w:rsidRPr="009509B2" w:rsidRDefault="008258C6" w:rsidP="008258C6">
      <w:pPr>
        <w:pStyle w:val="Listaszerbekezds"/>
        <w:widowControl w:val="0"/>
        <w:numPr>
          <w:ilvl w:val="0"/>
          <w:numId w:val="7"/>
        </w:numPr>
        <w:autoSpaceDE w:val="0"/>
        <w:autoSpaceDN w:val="0"/>
        <w:adjustRightInd w:val="0"/>
        <w:spacing w:line="276" w:lineRule="auto"/>
        <w:rPr>
          <w:rFonts w:asciiTheme="majorHAnsi" w:hAnsiTheme="majorHAnsi" w:cstheme="majorHAnsi"/>
          <w:u w:val="single"/>
        </w:rPr>
      </w:pPr>
      <w:r w:rsidRPr="009509B2">
        <w:rPr>
          <w:rFonts w:asciiTheme="majorHAnsi" w:eastAsia="Calibri" w:hAnsiTheme="majorHAnsi" w:cstheme="majorHAnsi"/>
        </w:rPr>
        <w:t>hátrányos és halmozot</w:t>
      </w:r>
      <w:r>
        <w:rPr>
          <w:rFonts w:asciiTheme="majorHAnsi" w:eastAsia="Calibri" w:hAnsiTheme="majorHAnsi" w:cstheme="majorHAnsi"/>
        </w:rPr>
        <w:t xml:space="preserve">tan hátrányos helyzetű, illetve </w:t>
      </w:r>
      <w:r w:rsidR="000B70CC">
        <w:rPr>
          <w:rFonts w:asciiTheme="majorHAnsi" w:eastAsia="Calibri" w:hAnsiTheme="majorHAnsi" w:cstheme="majorHAnsi"/>
        </w:rPr>
        <w:t xml:space="preserve">sérülékeny </w:t>
      </w:r>
      <w:r>
        <w:rPr>
          <w:rFonts w:asciiTheme="majorHAnsi" w:eastAsia="Calibri" w:hAnsiTheme="majorHAnsi" w:cstheme="majorHAnsi"/>
        </w:rPr>
        <w:t xml:space="preserve">tanulói csoportok </w:t>
      </w:r>
      <w:r w:rsidR="000B70CC">
        <w:rPr>
          <w:rFonts w:asciiTheme="majorHAnsi" w:eastAsia="Calibri" w:hAnsiTheme="majorHAnsi" w:cstheme="majorHAnsi"/>
        </w:rPr>
        <w:t>iskolai sikerességét támogató erőforrások további fejlesztése</w:t>
      </w:r>
      <w:r>
        <w:rPr>
          <w:rFonts w:asciiTheme="majorHAnsi" w:eastAsia="Calibri" w:hAnsiTheme="majorHAnsi" w:cstheme="majorHAnsi"/>
        </w:rPr>
        <w:t>;</w:t>
      </w:r>
    </w:p>
    <w:p w14:paraId="23639B1B" w14:textId="1BD4BC93" w:rsidR="00561A71" w:rsidRPr="00561A71" w:rsidRDefault="000B70CC" w:rsidP="00E6751A">
      <w:pPr>
        <w:pStyle w:val="Listaszerbekezds"/>
        <w:widowControl w:val="0"/>
        <w:numPr>
          <w:ilvl w:val="0"/>
          <w:numId w:val="7"/>
        </w:numPr>
        <w:autoSpaceDE w:val="0"/>
        <w:autoSpaceDN w:val="0"/>
        <w:adjustRightInd w:val="0"/>
        <w:spacing w:line="276" w:lineRule="auto"/>
        <w:rPr>
          <w:rFonts w:asciiTheme="majorHAnsi" w:hAnsiTheme="majorHAnsi" w:cstheme="majorHAnsi"/>
          <w:u w:val="single"/>
        </w:rPr>
      </w:pPr>
      <w:r>
        <w:rPr>
          <w:rFonts w:asciiTheme="majorHAnsi" w:eastAsia="Calibri" w:hAnsiTheme="majorHAnsi" w:cstheme="majorHAnsi"/>
        </w:rPr>
        <w:t xml:space="preserve">a tanulói előrehaladás segítése érdekében a családok – kiemelten a </w:t>
      </w:r>
      <w:r w:rsidR="009509B2">
        <w:rPr>
          <w:rFonts w:asciiTheme="majorHAnsi" w:eastAsia="Calibri" w:hAnsiTheme="majorHAnsi" w:cstheme="majorHAnsi"/>
        </w:rPr>
        <w:t xml:space="preserve">hátrányos, halmozottan hátrányos helyzetű tanulók </w:t>
      </w:r>
      <w:r w:rsidR="0058718A">
        <w:rPr>
          <w:rFonts w:asciiTheme="majorHAnsi" w:eastAsia="Calibri" w:hAnsiTheme="majorHAnsi" w:cstheme="majorHAnsi"/>
        </w:rPr>
        <w:t>családjai</w:t>
      </w:r>
      <w:r w:rsidR="009509B2">
        <w:rPr>
          <w:rFonts w:asciiTheme="majorHAnsi" w:eastAsia="Calibri" w:hAnsiTheme="majorHAnsi" w:cstheme="majorHAnsi"/>
        </w:rPr>
        <w:t xml:space="preserve"> </w:t>
      </w:r>
      <w:r w:rsidR="0058718A">
        <w:rPr>
          <w:rFonts w:asciiTheme="majorHAnsi" w:eastAsia="Calibri" w:hAnsiTheme="majorHAnsi" w:cstheme="majorHAnsi"/>
        </w:rPr>
        <w:t>– és az intézmények közötti együttműködés további megerősítése</w:t>
      </w:r>
    </w:p>
    <w:p w14:paraId="57E21262" w14:textId="7705CA8A" w:rsidR="009509B2" w:rsidRPr="00024034" w:rsidRDefault="00561A71" w:rsidP="00E6751A">
      <w:pPr>
        <w:pStyle w:val="Listaszerbekezds"/>
        <w:widowControl w:val="0"/>
        <w:numPr>
          <w:ilvl w:val="0"/>
          <w:numId w:val="7"/>
        </w:numPr>
        <w:autoSpaceDE w:val="0"/>
        <w:autoSpaceDN w:val="0"/>
        <w:adjustRightInd w:val="0"/>
        <w:spacing w:line="276" w:lineRule="auto"/>
        <w:rPr>
          <w:rFonts w:asciiTheme="majorHAnsi" w:hAnsiTheme="majorHAnsi" w:cstheme="majorHAnsi"/>
          <w:u w:val="single"/>
        </w:rPr>
      </w:pPr>
      <w:r>
        <w:rPr>
          <w:rFonts w:asciiTheme="majorHAnsi" w:eastAsia="Calibri" w:hAnsiTheme="majorHAnsi" w:cstheme="majorHAnsi"/>
        </w:rPr>
        <w:t xml:space="preserve">a hátrányos, halmozottan hátrányos helyzetű tanulók </w:t>
      </w:r>
      <w:r w:rsidR="00361CBE">
        <w:rPr>
          <w:rFonts w:asciiTheme="majorHAnsi" w:eastAsia="Calibri" w:hAnsiTheme="majorHAnsi" w:cstheme="majorHAnsi"/>
        </w:rPr>
        <w:t xml:space="preserve">alap- és </w:t>
      </w:r>
      <w:r>
        <w:rPr>
          <w:rFonts w:asciiTheme="majorHAnsi" w:eastAsia="Calibri" w:hAnsiTheme="majorHAnsi" w:cstheme="majorHAnsi"/>
        </w:rPr>
        <w:t>digitális</w:t>
      </w:r>
      <w:r w:rsidR="008258C6">
        <w:rPr>
          <w:rFonts w:asciiTheme="majorHAnsi" w:eastAsia="Calibri" w:hAnsiTheme="majorHAnsi" w:cstheme="majorHAnsi"/>
        </w:rPr>
        <w:t>,</w:t>
      </w:r>
      <w:r>
        <w:rPr>
          <w:rFonts w:asciiTheme="majorHAnsi" w:eastAsia="Calibri" w:hAnsiTheme="majorHAnsi" w:cstheme="majorHAnsi"/>
        </w:rPr>
        <w:t xml:space="preserve"> </w:t>
      </w:r>
      <w:r w:rsidR="008258C6">
        <w:rPr>
          <w:rFonts w:asciiTheme="majorHAnsi" w:eastAsia="Calibri" w:hAnsiTheme="majorHAnsi" w:cstheme="majorHAnsi"/>
        </w:rPr>
        <w:t>idegen</w:t>
      </w:r>
      <w:r w:rsidR="00C4697D">
        <w:rPr>
          <w:rFonts w:asciiTheme="majorHAnsi" w:eastAsia="Calibri" w:hAnsiTheme="majorHAnsi" w:cstheme="majorHAnsi"/>
        </w:rPr>
        <w:t xml:space="preserve"> </w:t>
      </w:r>
      <w:r w:rsidR="008258C6">
        <w:rPr>
          <w:rFonts w:asciiTheme="majorHAnsi" w:eastAsia="Calibri" w:hAnsiTheme="majorHAnsi" w:cstheme="majorHAnsi"/>
        </w:rPr>
        <w:t xml:space="preserve">nyelvi </w:t>
      </w:r>
      <w:r>
        <w:rPr>
          <w:rFonts w:asciiTheme="majorHAnsi" w:eastAsia="Calibri" w:hAnsiTheme="majorHAnsi" w:cstheme="majorHAnsi"/>
        </w:rPr>
        <w:t>kompetenci</w:t>
      </w:r>
      <w:r w:rsidR="00361CBE">
        <w:rPr>
          <w:rFonts w:asciiTheme="majorHAnsi" w:eastAsia="Calibri" w:hAnsiTheme="majorHAnsi" w:cstheme="majorHAnsi"/>
        </w:rPr>
        <w:t>ákat</w:t>
      </w:r>
      <w:r w:rsidR="008258C6">
        <w:rPr>
          <w:rFonts w:asciiTheme="majorHAnsi" w:eastAsia="Calibri" w:hAnsiTheme="majorHAnsi" w:cstheme="majorHAnsi"/>
        </w:rPr>
        <w:t xml:space="preserve"> </w:t>
      </w:r>
      <w:r>
        <w:rPr>
          <w:rFonts w:asciiTheme="majorHAnsi" w:eastAsia="Calibri" w:hAnsiTheme="majorHAnsi" w:cstheme="majorHAnsi"/>
        </w:rPr>
        <w:t>fejlesztő</w:t>
      </w:r>
      <w:r w:rsidR="009509B2">
        <w:rPr>
          <w:rFonts w:asciiTheme="majorHAnsi" w:eastAsia="Calibri" w:hAnsiTheme="majorHAnsi" w:cstheme="majorHAnsi"/>
        </w:rPr>
        <w:t xml:space="preserve"> </w:t>
      </w:r>
      <w:r>
        <w:rPr>
          <w:rFonts w:asciiTheme="majorHAnsi" w:eastAsia="Calibri" w:hAnsiTheme="majorHAnsi" w:cstheme="majorHAnsi"/>
        </w:rPr>
        <w:t>programok megvalósítása;</w:t>
      </w:r>
    </w:p>
    <w:p w14:paraId="54761929" w14:textId="77777777" w:rsidR="006D7752" w:rsidRPr="006D7752" w:rsidRDefault="00024034" w:rsidP="00E6751A">
      <w:pPr>
        <w:pStyle w:val="Listaszerbekezds"/>
        <w:widowControl w:val="0"/>
        <w:numPr>
          <w:ilvl w:val="0"/>
          <w:numId w:val="7"/>
        </w:numPr>
        <w:autoSpaceDE w:val="0"/>
        <w:autoSpaceDN w:val="0"/>
        <w:adjustRightInd w:val="0"/>
        <w:spacing w:line="276" w:lineRule="auto"/>
        <w:rPr>
          <w:rFonts w:asciiTheme="majorHAnsi" w:hAnsiTheme="majorHAnsi" w:cstheme="majorHAnsi"/>
          <w:u w:val="single"/>
        </w:rPr>
      </w:pPr>
      <w:r>
        <w:rPr>
          <w:rFonts w:asciiTheme="majorHAnsi" w:eastAsia="Calibri" w:hAnsiTheme="majorHAnsi" w:cstheme="majorHAnsi"/>
        </w:rPr>
        <w:t>a</w:t>
      </w:r>
      <w:r w:rsidRPr="000A7388">
        <w:rPr>
          <w:rFonts w:asciiTheme="majorHAnsi" w:eastAsia="Calibri" w:hAnsiTheme="majorHAnsi" w:cstheme="majorHAnsi"/>
        </w:rPr>
        <w:t xml:space="preserve"> végzettség nélküli iskolaelhagyás szempontjából veszélyeztetett tanulói csoportok számára egyénre szabott támogatást nyújtó megoldások</w:t>
      </w:r>
      <w:r>
        <w:rPr>
          <w:rFonts w:asciiTheme="majorHAnsi" w:eastAsia="Calibri" w:hAnsiTheme="majorHAnsi" w:cstheme="majorHAnsi"/>
        </w:rPr>
        <w:t xml:space="preserve"> biztosítása</w:t>
      </w:r>
      <w:r w:rsidR="006D7752">
        <w:rPr>
          <w:rFonts w:asciiTheme="majorHAnsi" w:eastAsia="Calibri" w:hAnsiTheme="majorHAnsi" w:cstheme="majorHAnsi"/>
        </w:rPr>
        <w:t xml:space="preserve"> (pl. a művészeti </w:t>
      </w:r>
      <w:r w:rsidR="006D7752">
        <w:rPr>
          <w:rFonts w:asciiTheme="majorHAnsi" w:eastAsia="Calibri" w:hAnsiTheme="majorHAnsi" w:cstheme="majorHAnsi"/>
        </w:rPr>
        <w:lastRenderedPageBreak/>
        <w:t>nevelés eszközeinek bevonásával)</w:t>
      </w:r>
      <w:r w:rsidR="006D7752" w:rsidRPr="006D7752">
        <w:rPr>
          <w:rFonts w:asciiTheme="majorHAnsi" w:eastAsia="Calibri" w:hAnsiTheme="majorHAnsi" w:cstheme="majorHAnsi"/>
        </w:rPr>
        <w:t>.</w:t>
      </w:r>
    </w:p>
    <w:p w14:paraId="51B023D8" w14:textId="77777777" w:rsidR="00B86FE8" w:rsidRPr="00DC6C83" w:rsidRDefault="00B86FE8" w:rsidP="00FB4D8A">
      <w:pPr>
        <w:pStyle w:val="Cmsor3"/>
      </w:pPr>
      <w:bookmarkStart w:id="75" w:name="_Toc35596141"/>
      <w:bookmarkStart w:id="76" w:name="_Toc46822718"/>
      <w:r w:rsidRPr="00DC6C83">
        <w:t>Inkluzív nevelés-oktatás</w:t>
      </w:r>
      <w:r w:rsidR="00FB4D8A">
        <w:t>,</w:t>
      </w:r>
      <w:r w:rsidRPr="00DC6C83">
        <w:t xml:space="preserve"> sajátos nevelési igényű gyermekek, tanulók fejlesztése</w:t>
      </w:r>
      <w:bookmarkEnd w:id="75"/>
      <w:bookmarkEnd w:id="76"/>
    </w:p>
    <w:p w14:paraId="6D5BE929" w14:textId="1C152246" w:rsidR="00B86FE8" w:rsidRPr="00DC6C83" w:rsidRDefault="00B86FE8" w:rsidP="009509B2">
      <w:pPr>
        <w:rPr>
          <w:rFonts w:asciiTheme="majorHAnsi" w:hAnsiTheme="majorHAnsi" w:cstheme="majorHAnsi"/>
        </w:rPr>
      </w:pPr>
      <w:r w:rsidRPr="00DC6C83">
        <w:rPr>
          <w:rFonts w:asciiTheme="majorHAnsi" w:hAnsiTheme="majorHAnsi" w:cstheme="majorHAnsi"/>
        </w:rPr>
        <w:t xml:space="preserve">A köznevelés </w:t>
      </w:r>
      <w:r w:rsidR="00A1441B">
        <w:rPr>
          <w:rFonts w:asciiTheme="majorHAnsi" w:hAnsiTheme="majorHAnsi" w:cstheme="majorHAnsi"/>
        </w:rPr>
        <w:t xml:space="preserve">rendszerében </w:t>
      </w:r>
      <w:r w:rsidRPr="00DC6C83">
        <w:rPr>
          <w:rFonts w:asciiTheme="majorHAnsi" w:hAnsiTheme="majorHAnsi" w:cstheme="majorHAnsi"/>
        </w:rPr>
        <w:t xml:space="preserve">(beleértve </w:t>
      </w:r>
      <w:r w:rsidR="00A1441B">
        <w:rPr>
          <w:rFonts w:asciiTheme="majorHAnsi" w:hAnsiTheme="majorHAnsi" w:cstheme="majorHAnsi"/>
        </w:rPr>
        <w:t xml:space="preserve">még </w:t>
      </w:r>
      <w:r w:rsidRPr="00DC6C83">
        <w:rPr>
          <w:rFonts w:asciiTheme="majorHAnsi" w:hAnsiTheme="majorHAnsi" w:cstheme="majorHAnsi"/>
        </w:rPr>
        <w:t>a szakképzést is) a sajátos nevelési igényű gyerm</w:t>
      </w:r>
      <w:r w:rsidR="00995D17">
        <w:rPr>
          <w:rFonts w:asciiTheme="majorHAnsi" w:hAnsiTheme="majorHAnsi" w:cstheme="majorHAnsi"/>
        </w:rPr>
        <w:t>ekek, tanulók száma</w:t>
      </w:r>
      <w:r w:rsidR="00E63707" w:rsidRPr="00E63707">
        <w:rPr>
          <w:rFonts w:asciiTheme="majorHAnsi" w:hAnsiTheme="majorHAnsi" w:cstheme="majorHAnsi"/>
        </w:rPr>
        <w:t xml:space="preserve"> </w:t>
      </w:r>
      <w:r w:rsidR="00E63707">
        <w:rPr>
          <w:rFonts w:asciiTheme="majorHAnsi" w:hAnsiTheme="majorHAnsi" w:cstheme="majorHAnsi"/>
        </w:rPr>
        <w:t xml:space="preserve">a </w:t>
      </w:r>
      <w:proofErr w:type="gramStart"/>
      <w:r w:rsidR="00E63707">
        <w:rPr>
          <w:rFonts w:asciiTheme="majorHAnsi" w:hAnsiTheme="majorHAnsi" w:cstheme="majorHAnsi"/>
        </w:rPr>
        <w:t>2019 októberi</w:t>
      </w:r>
      <w:proofErr w:type="gramEnd"/>
      <w:r w:rsidR="00E63707">
        <w:rPr>
          <w:rFonts w:asciiTheme="majorHAnsi" w:hAnsiTheme="majorHAnsi" w:cstheme="majorHAnsi"/>
        </w:rPr>
        <w:t xml:space="preserve"> adatközlés szerint 93 816</w:t>
      </w:r>
      <w:r w:rsidRPr="00DC6C83">
        <w:rPr>
          <w:rFonts w:asciiTheme="majorHAnsi" w:hAnsiTheme="majorHAnsi" w:cstheme="majorHAnsi"/>
        </w:rPr>
        <w:t>. A sajátos n</w:t>
      </w:r>
      <w:r w:rsidR="00995D17">
        <w:rPr>
          <w:rFonts w:asciiTheme="majorHAnsi" w:hAnsiTheme="majorHAnsi" w:cstheme="majorHAnsi"/>
        </w:rPr>
        <w:t xml:space="preserve">evelési igényű tanulók közül </w:t>
      </w:r>
      <w:r w:rsidR="00E63707">
        <w:rPr>
          <w:rFonts w:asciiTheme="majorHAnsi" w:hAnsiTheme="majorHAnsi" w:cstheme="majorHAnsi"/>
        </w:rPr>
        <w:t>66 422</w:t>
      </w:r>
      <w:r w:rsidRPr="00DC6C83">
        <w:rPr>
          <w:rFonts w:asciiTheme="majorHAnsi" w:hAnsiTheme="majorHAnsi" w:cstheme="majorHAnsi"/>
        </w:rPr>
        <w:t xml:space="preserve">-en integrált ellátásban vesznek részt, az integrált </w:t>
      </w:r>
      <w:r w:rsidR="00CF2284">
        <w:rPr>
          <w:rFonts w:asciiTheme="majorHAnsi" w:hAnsiTheme="majorHAnsi" w:cstheme="majorHAnsi"/>
        </w:rPr>
        <w:t>szolgáltatás</w:t>
      </w:r>
      <w:r w:rsidRPr="00DC6C83">
        <w:rPr>
          <w:rFonts w:asciiTheme="majorHAnsi" w:hAnsiTheme="majorHAnsi" w:cstheme="majorHAnsi"/>
        </w:rPr>
        <w:t xml:space="preserve"> aránya így 201</w:t>
      </w:r>
      <w:r w:rsidR="00E63707">
        <w:rPr>
          <w:rFonts w:asciiTheme="majorHAnsi" w:hAnsiTheme="majorHAnsi" w:cstheme="majorHAnsi"/>
        </w:rPr>
        <w:t>9</w:t>
      </w:r>
      <w:r w:rsidRPr="00DC6C83">
        <w:rPr>
          <w:rFonts w:asciiTheme="majorHAnsi" w:hAnsiTheme="majorHAnsi" w:cstheme="majorHAnsi"/>
        </w:rPr>
        <w:t>-r</w:t>
      </w:r>
      <w:r w:rsidR="00E63707">
        <w:rPr>
          <w:rFonts w:asciiTheme="majorHAnsi" w:hAnsiTheme="majorHAnsi" w:cstheme="majorHAnsi"/>
        </w:rPr>
        <w:t>e</w:t>
      </w:r>
      <w:r w:rsidRPr="00DC6C83">
        <w:rPr>
          <w:rFonts w:asciiTheme="majorHAnsi" w:hAnsiTheme="majorHAnsi" w:cstheme="majorHAnsi"/>
        </w:rPr>
        <w:t xml:space="preserve"> 7</w:t>
      </w:r>
      <w:r w:rsidR="00E63707">
        <w:rPr>
          <w:rFonts w:asciiTheme="majorHAnsi" w:hAnsiTheme="majorHAnsi" w:cstheme="majorHAnsi"/>
        </w:rPr>
        <w:t>1</w:t>
      </w:r>
      <w:r w:rsidRPr="00DC6C83">
        <w:rPr>
          <w:rFonts w:asciiTheme="majorHAnsi" w:hAnsiTheme="majorHAnsi" w:cstheme="majorHAnsi"/>
        </w:rPr>
        <w:t xml:space="preserve">%-ra emelkedett, ez az arány megfelel az európai tendenciának. </w:t>
      </w:r>
      <w:r w:rsidR="00152195" w:rsidRPr="00DC6C83">
        <w:rPr>
          <w:rFonts w:asciiTheme="majorHAnsi" w:hAnsiTheme="majorHAnsi" w:cstheme="majorHAnsi"/>
        </w:rPr>
        <w:t xml:space="preserve">A sajátos nevelési igényű tanulók számának emelkedése mellett ugyanakkor a sajátos nevelési igényű tanulókat ellátó intézmények száma is folyamatosan nő, jelenleg </w:t>
      </w:r>
      <w:r w:rsidR="00E63707">
        <w:rPr>
          <w:rFonts w:asciiTheme="majorHAnsi" w:hAnsiTheme="majorHAnsi" w:cstheme="majorHAnsi"/>
        </w:rPr>
        <w:t>4 341</w:t>
      </w:r>
      <w:r w:rsidR="00152195" w:rsidRPr="00DC6C83">
        <w:rPr>
          <w:rFonts w:asciiTheme="majorHAnsi" w:hAnsiTheme="majorHAnsi" w:cstheme="majorHAnsi"/>
        </w:rPr>
        <w:t xml:space="preserve"> intézmény lát el sajátos nevelési igényű tanulókat (</w:t>
      </w:r>
      <w:r w:rsidR="00152195">
        <w:rPr>
          <w:rFonts w:asciiTheme="majorHAnsi" w:hAnsiTheme="majorHAnsi" w:cstheme="majorHAnsi"/>
        </w:rPr>
        <w:t xml:space="preserve">ez a </w:t>
      </w:r>
      <w:proofErr w:type="gramStart"/>
      <w:r w:rsidR="00E63707">
        <w:rPr>
          <w:rFonts w:asciiTheme="majorHAnsi" w:hAnsiTheme="majorHAnsi" w:cstheme="majorHAnsi"/>
        </w:rPr>
        <w:t>2019 októberi</w:t>
      </w:r>
      <w:proofErr w:type="gramEnd"/>
      <w:r w:rsidR="00E63707">
        <w:rPr>
          <w:rFonts w:asciiTheme="majorHAnsi" w:hAnsiTheme="majorHAnsi" w:cstheme="majorHAnsi"/>
        </w:rPr>
        <w:t xml:space="preserve"> adatközlés időpontjakor 5 541 nevelési-oktatási</w:t>
      </w:r>
      <w:r w:rsidR="00152195" w:rsidRPr="00DC6C83">
        <w:rPr>
          <w:rFonts w:asciiTheme="majorHAnsi" w:hAnsiTheme="majorHAnsi" w:cstheme="majorHAnsi"/>
        </w:rPr>
        <w:t xml:space="preserve"> intézmény </w:t>
      </w:r>
      <w:r w:rsidR="00152195">
        <w:rPr>
          <w:rFonts w:asciiTheme="majorHAnsi" w:hAnsiTheme="majorHAnsi" w:cstheme="majorHAnsi"/>
        </w:rPr>
        <w:t>78,</w:t>
      </w:r>
      <w:r w:rsidR="00E63707">
        <w:rPr>
          <w:rFonts w:asciiTheme="majorHAnsi" w:hAnsiTheme="majorHAnsi" w:cstheme="majorHAnsi"/>
        </w:rPr>
        <w:t>3</w:t>
      </w:r>
      <w:r w:rsidR="00152195">
        <w:rPr>
          <w:rFonts w:asciiTheme="majorHAnsi" w:hAnsiTheme="majorHAnsi" w:cstheme="majorHAnsi"/>
        </w:rPr>
        <w:t>%-a</w:t>
      </w:r>
      <w:r w:rsidR="00152195" w:rsidRPr="00DC6C83">
        <w:rPr>
          <w:rFonts w:asciiTheme="majorHAnsi" w:hAnsiTheme="majorHAnsi" w:cstheme="majorHAnsi"/>
        </w:rPr>
        <w:t xml:space="preserve">).  </w:t>
      </w:r>
    </w:p>
    <w:p w14:paraId="7A0CC5F9" w14:textId="159B459A" w:rsidR="00B86FE8" w:rsidRPr="00DC6C83" w:rsidRDefault="00B86FE8" w:rsidP="00B86FE8">
      <w:pPr>
        <w:rPr>
          <w:rFonts w:asciiTheme="majorHAnsi" w:hAnsiTheme="majorHAnsi" w:cstheme="majorHAnsi"/>
        </w:rPr>
      </w:pPr>
      <w:r w:rsidRPr="00DC6C83">
        <w:rPr>
          <w:rFonts w:asciiTheme="majorHAnsi" w:hAnsiTheme="majorHAnsi" w:cstheme="majorHAnsi"/>
        </w:rPr>
        <w:t>A sajátos nevelési igényű gyermekek, tanulók legsérülékenyebb csoportja a súlyos és halmozottan fogyatékos tanulóké, számuk az utolsó adat</w:t>
      </w:r>
      <w:r w:rsidR="00995D17">
        <w:rPr>
          <w:rFonts w:asciiTheme="majorHAnsi" w:hAnsiTheme="majorHAnsi" w:cstheme="majorHAnsi"/>
        </w:rPr>
        <w:t xml:space="preserve">közléskor 2 </w:t>
      </w:r>
      <w:r w:rsidRPr="00DC6C83">
        <w:rPr>
          <w:rFonts w:asciiTheme="majorHAnsi" w:hAnsiTheme="majorHAnsi" w:cstheme="majorHAnsi"/>
        </w:rPr>
        <w:t>4</w:t>
      </w:r>
      <w:r w:rsidR="00627E0D">
        <w:rPr>
          <w:rFonts w:asciiTheme="majorHAnsi" w:hAnsiTheme="majorHAnsi" w:cstheme="majorHAnsi"/>
        </w:rPr>
        <w:t>85</w:t>
      </w:r>
      <w:r w:rsidRPr="00DC6C83">
        <w:rPr>
          <w:rFonts w:asciiTheme="majorHAnsi" w:hAnsiTheme="majorHAnsi" w:cstheme="majorHAnsi"/>
        </w:rPr>
        <w:t xml:space="preserve"> fő volt. Az őket ellátó köznevelési feladat-ellátási helyek száma 201</w:t>
      </w:r>
      <w:r w:rsidR="00627E0D">
        <w:rPr>
          <w:rFonts w:asciiTheme="majorHAnsi" w:hAnsiTheme="majorHAnsi" w:cstheme="majorHAnsi"/>
        </w:rPr>
        <w:t>9</w:t>
      </w:r>
      <w:r w:rsidRPr="00DC6C83">
        <w:rPr>
          <w:rFonts w:asciiTheme="majorHAnsi" w:hAnsiTheme="majorHAnsi" w:cstheme="majorHAnsi"/>
        </w:rPr>
        <w:t>-b</w:t>
      </w:r>
      <w:r w:rsidR="00627E0D">
        <w:rPr>
          <w:rFonts w:asciiTheme="majorHAnsi" w:hAnsiTheme="majorHAnsi" w:cstheme="majorHAnsi"/>
        </w:rPr>
        <w:t>e</w:t>
      </w:r>
      <w:r w:rsidRPr="00DC6C83">
        <w:rPr>
          <w:rFonts w:asciiTheme="majorHAnsi" w:hAnsiTheme="majorHAnsi" w:cstheme="majorHAnsi"/>
        </w:rPr>
        <w:t>n 13</w:t>
      </w:r>
      <w:r w:rsidR="00627E0D">
        <w:rPr>
          <w:rFonts w:asciiTheme="majorHAnsi" w:hAnsiTheme="majorHAnsi" w:cstheme="majorHAnsi"/>
        </w:rPr>
        <w:t>2</w:t>
      </w:r>
      <w:r w:rsidR="00581883">
        <w:rPr>
          <w:rFonts w:asciiTheme="majorHAnsi" w:hAnsiTheme="majorHAnsi" w:cstheme="majorHAnsi"/>
        </w:rPr>
        <w:t xml:space="preserve"> volt</w:t>
      </w:r>
      <w:r w:rsidRPr="00DC6C83">
        <w:rPr>
          <w:rFonts w:asciiTheme="majorHAnsi" w:hAnsiTheme="majorHAnsi" w:cstheme="majorHAnsi"/>
        </w:rPr>
        <w:t xml:space="preserve">. </w:t>
      </w:r>
    </w:p>
    <w:p w14:paraId="5713D9DE" w14:textId="77777777" w:rsidR="00B86FE8" w:rsidRPr="00DC6C83" w:rsidRDefault="00B86FE8" w:rsidP="00B86FE8">
      <w:pPr>
        <w:rPr>
          <w:rFonts w:asciiTheme="majorHAnsi" w:hAnsiTheme="majorHAnsi" w:cstheme="majorHAnsi"/>
        </w:rPr>
      </w:pPr>
      <w:r w:rsidRPr="00DC6C83">
        <w:rPr>
          <w:rFonts w:asciiTheme="majorHAnsi" w:hAnsiTheme="majorHAnsi" w:cstheme="majorHAnsi"/>
        </w:rPr>
        <w:t>A sajátos nevelési igényű tanulók</w:t>
      </w:r>
      <w:r w:rsidR="00581883">
        <w:rPr>
          <w:rFonts w:asciiTheme="majorHAnsi" w:hAnsiTheme="majorHAnsi" w:cstheme="majorHAnsi"/>
        </w:rPr>
        <w:t>nak</w:t>
      </w:r>
      <w:r w:rsidRPr="00DC6C83">
        <w:rPr>
          <w:rFonts w:asciiTheme="majorHAnsi" w:hAnsiTheme="majorHAnsi" w:cstheme="majorHAnsi"/>
        </w:rPr>
        <w:t xml:space="preserve"> fejleszt</w:t>
      </w:r>
      <w:r w:rsidR="00581883">
        <w:rPr>
          <w:rFonts w:asciiTheme="majorHAnsi" w:hAnsiTheme="majorHAnsi" w:cstheme="majorHAnsi"/>
        </w:rPr>
        <w:t>ő foglalkozásokat</w:t>
      </w:r>
      <w:r w:rsidRPr="00DC6C83">
        <w:rPr>
          <w:rFonts w:asciiTheme="majorHAnsi" w:hAnsiTheme="majorHAnsi" w:cstheme="majorHAnsi"/>
        </w:rPr>
        <w:t xml:space="preserve"> kell </w:t>
      </w:r>
      <w:r w:rsidR="00581883">
        <w:rPr>
          <w:rFonts w:asciiTheme="majorHAnsi" w:hAnsiTheme="majorHAnsi" w:cstheme="majorHAnsi"/>
        </w:rPr>
        <w:t>szervezni</w:t>
      </w:r>
      <w:r w:rsidRPr="00DC6C83">
        <w:rPr>
          <w:rFonts w:asciiTheme="majorHAnsi" w:hAnsiTheme="majorHAnsi" w:cstheme="majorHAnsi"/>
        </w:rPr>
        <w:t xml:space="preserve">, ez az „egészségügyi és pedagógiai célú habilitációs és rehabilitációs foglalkozás”, </w:t>
      </w:r>
      <w:r w:rsidR="00581883">
        <w:rPr>
          <w:rFonts w:asciiTheme="majorHAnsi" w:hAnsiTheme="majorHAnsi" w:cstheme="majorHAnsi"/>
        </w:rPr>
        <w:t>a</w:t>
      </w:r>
      <w:r w:rsidRPr="00DC6C83">
        <w:rPr>
          <w:rFonts w:asciiTheme="majorHAnsi" w:hAnsiTheme="majorHAnsi" w:cstheme="majorHAnsi"/>
        </w:rPr>
        <w:t xml:space="preserve">melyet a sajátos nevelési igény típusának és súlyosságának megfelelő gyógypedagógus, konduktor végezhet. A jogszabály ugyanakkor azt is kimondja, hogy a speciális szakképzettséggel rendelkező szakember </w:t>
      </w:r>
      <w:r w:rsidR="00581883">
        <w:rPr>
          <w:rFonts w:asciiTheme="majorHAnsi" w:hAnsiTheme="majorHAnsi" w:cstheme="majorHAnsi"/>
        </w:rPr>
        <w:t xml:space="preserve">az </w:t>
      </w:r>
      <w:r w:rsidRPr="00DC6C83">
        <w:rPr>
          <w:rFonts w:asciiTheme="majorHAnsi" w:hAnsiTheme="majorHAnsi" w:cstheme="majorHAnsi"/>
        </w:rPr>
        <w:t xml:space="preserve">utazó gyógypedagógusi, </w:t>
      </w:r>
      <w:r w:rsidR="00581883">
        <w:rPr>
          <w:rFonts w:asciiTheme="majorHAnsi" w:hAnsiTheme="majorHAnsi" w:cstheme="majorHAnsi"/>
        </w:rPr>
        <w:t xml:space="preserve">vagy </w:t>
      </w:r>
      <w:r w:rsidRPr="00DC6C83">
        <w:rPr>
          <w:rFonts w:asciiTheme="majorHAnsi" w:hAnsiTheme="majorHAnsi" w:cstheme="majorHAnsi"/>
        </w:rPr>
        <w:t>utazó konduktori hálózat</w:t>
      </w:r>
      <w:r w:rsidR="00581883">
        <w:rPr>
          <w:rFonts w:asciiTheme="majorHAnsi" w:hAnsiTheme="majorHAnsi" w:cstheme="majorHAnsi"/>
        </w:rPr>
        <w:t>on keresztül</w:t>
      </w:r>
      <w:r w:rsidRPr="00DC6C83">
        <w:rPr>
          <w:rFonts w:asciiTheme="majorHAnsi" w:hAnsiTheme="majorHAnsi" w:cstheme="majorHAnsi"/>
        </w:rPr>
        <w:t xml:space="preserve"> is biztosítható, amelyek az egységes gyógypedagógiai, konduktív pedagógiai módszertani intézmények</w:t>
      </w:r>
      <w:r w:rsidR="00581883">
        <w:rPr>
          <w:rFonts w:asciiTheme="majorHAnsi" w:hAnsiTheme="majorHAnsi" w:cstheme="majorHAnsi"/>
        </w:rPr>
        <w:t>en</w:t>
      </w:r>
      <w:r w:rsidRPr="00DC6C83">
        <w:rPr>
          <w:rFonts w:asciiTheme="majorHAnsi" w:hAnsiTheme="majorHAnsi" w:cstheme="majorHAnsi"/>
        </w:rPr>
        <w:t xml:space="preserve"> (EGYMI) belül működnek.</w:t>
      </w:r>
    </w:p>
    <w:p w14:paraId="2F99EF98" w14:textId="4B90C0A8"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Az általános hazai és nemzetközi trendek az együttnevelő ellátási formákat támogatják, </w:t>
      </w:r>
      <w:r w:rsidR="00CA56A1">
        <w:rPr>
          <w:rFonts w:asciiTheme="majorHAnsi" w:hAnsiTheme="majorHAnsi" w:cstheme="majorHAnsi"/>
        </w:rPr>
        <w:t xml:space="preserve">számos </w:t>
      </w:r>
      <w:r w:rsidRPr="00DC6C83">
        <w:rPr>
          <w:rFonts w:asciiTheme="majorHAnsi" w:hAnsiTheme="majorHAnsi" w:cstheme="majorHAnsi"/>
        </w:rPr>
        <w:t>esetben</w:t>
      </w:r>
      <w:r w:rsidR="00CA56A1">
        <w:rPr>
          <w:rFonts w:asciiTheme="majorHAnsi" w:hAnsiTheme="majorHAnsi" w:cstheme="majorHAnsi"/>
        </w:rPr>
        <w:t xml:space="preserve"> azonban </w:t>
      </w:r>
      <w:r w:rsidRPr="00DC6C83">
        <w:rPr>
          <w:rFonts w:asciiTheme="majorHAnsi" w:hAnsiTheme="majorHAnsi" w:cstheme="majorHAnsi"/>
        </w:rPr>
        <w:t>speciális létjogosultsága van a külön</w:t>
      </w:r>
      <w:r w:rsidR="00361CBE">
        <w:rPr>
          <w:rFonts w:asciiTheme="majorHAnsi" w:hAnsiTheme="majorHAnsi" w:cstheme="majorHAnsi"/>
        </w:rPr>
        <w:t xml:space="preserve"> </w:t>
      </w:r>
      <w:r w:rsidRPr="00DC6C83">
        <w:rPr>
          <w:rFonts w:asciiTheme="majorHAnsi" w:hAnsiTheme="majorHAnsi" w:cstheme="majorHAnsi"/>
        </w:rPr>
        <w:t>nevelő, de korszerű nevelés-oktatási formáknak is. Fontos körülmény, hogy a most speciális nevelő-oktató intézményekbe járó</w:t>
      </w:r>
      <w:r w:rsidR="005506C1">
        <w:rPr>
          <w:rFonts w:asciiTheme="majorHAnsi" w:hAnsiTheme="majorHAnsi" w:cstheme="majorHAnsi"/>
        </w:rPr>
        <w:t xml:space="preserve"> </w:t>
      </w:r>
      <w:r w:rsidRPr="00DC6C83">
        <w:rPr>
          <w:rFonts w:asciiTheme="majorHAnsi" w:hAnsiTheme="majorHAnsi" w:cstheme="majorHAnsi"/>
        </w:rPr>
        <w:t>tanulói csoportokat már eltérő módszer</w:t>
      </w:r>
      <w:r w:rsidR="00581883">
        <w:rPr>
          <w:rFonts w:asciiTheme="majorHAnsi" w:hAnsiTheme="majorHAnsi" w:cstheme="majorHAnsi"/>
        </w:rPr>
        <w:t>ekkel kell</w:t>
      </w:r>
      <w:r w:rsidRPr="00DC6C83">
        <w:rPr>
          <w:rFonts w:asciiTheme="majorHAnsi" w:hAnsiTheme="majorHAnsi" w:cstheme="majorHAnsi"/>
        </w:rPr>
        <w:t xml:space="preserve"> oktatni, mint ezelőtt pár tíz évvel.</w:t>
      </w:r>
    </w:p>
    <w:p w14:paraId="3F895ACF" w14:textId="4662216F" w:rsidR="00B86FE8" w:rsidRPr="00DC6C83" w:rsidRDefault="00B86FE8" w:rsidP="00B86FE8">
      <w:pPr>
        <w:rPr>
          <w:rFonts w:asciiTheme="majorHAnsi" w:hAnsiTheme="majorHAnsi" w:cstheme="majorHAnsi"/>
        </w:rPr>
      </w:pPr>
      <w:r w:rsidRPr="00DC6C83">
        <w:rPr>
          <w:rFonts w:asciiTheme="majorHAnsi" w:hAnsiTheme="majorHAnsi" w:cstheme="majorHAnsi"/>
        </w:rPr>
        <w:t>A sajátos nevelési igénytől, fogyatékosságtól enyhébb, a tipikus, normál övezetbe tartozó, de bizonyos problémákat mutató kategória</w:t>
      </w:r>
      <w:r w:rsidR="00581883">
        <w:rPr>
          <w:rFonts w:asciiTheme="majorHAnsi" w:hAnsiTheme="majorHAnsi" w:cstheme="majorHAnsi"/>
        </w:rPr>
        <w:t>:</w:t>
      </w:r>
      <w:r w:rsidRPr="00DC6C83">
        <w:rPr>
          <w:rFonts w:asciiTheme="majorHAnsi" w:hAnsiTheme="majorHAnsi" w:cstheme="majorHAnsi"/>
        </w:rPr>
        <w:t xml:space="preserve"> a beilleszkedési, tanulási, magatartási nehézség. A beilleszkedési, tanulási, magatartási nehézséggel küzdő gyermekeket, tanulókat szintén fejleszt</w:t>
      </w:r>
      <w:r w:rsidR="00581883">
        <w:rPr>
          <w:rFonts w:asciiTheme="majorHAnsi" w:hAnsiTheme="majorHAnsi" w:cstheme="majorHAnsi"/>
        </w:rPr>
        <w:t>eni</w:t>
      </w:r>
      <w:r w:rsidRPr="00DC6C83">
        <w:rPr>
          <w:rFonts w:asciiTheme="majorHAnsi" w:hAnsiTheme="majorHAnsi" w:cstheme="majorHAnsi"/>
        </w:rPr>
        <w:t xml:space="preserve"> kell. Ez a fejlesztő pedagógiai ellátás, </w:t>
      </w:r>
      <w:r w:rsidR="00581883">
        <w:rPr>
          <w:rFonts w:asciiTheme="majorHAnsi" w:hAnsiTheme="majorHAnsi" w:cstheme="majorHAnsi"/>
        </w:rPr>
        <w:t>a</w:t>
      </w:r>
      <w:r w:rsidRPr="00DC6C83">
        <w:rPr>
          <w:rFonts w:asciiTheme="majorHAnsi" w:hAnsiTheme="majorHAnsi" w:cstheme="majorHAnsi"/>
        </w:rPr>
        <w:t xml:space="preserve">melynek keretében a tanuló tantárgyi felzárkózását a nevelő-oktató munka szakaszának, illetve a tantárgynak megfelelő szakképzettségű pedagógus, készségfejlesztését pedig fejlesztő pedagógus végzi. A beilleszkedési, tanulási, magatartási nehézséggel küzdő gyermekek, tanulók száma </w:t>
      </w:r>
      <w:r w:rsidR="00A1441B">
        <w:rPr>
          <w:rFonts w:asciiTheme="majorHAnsi" w:hAnsiTheme="majorHAnsi" w:cstheme="majorHAnsi"/>
        </w:rPr>
        <w:t>201</w:t>
      </w:r>
      <w:r w:rsidR="00C210C6">
        <w:rPr>
          <w:rFonts w:asciiTheme="majorHAnsi" w:hAnsiTheme="majorHAnsi" w:cstheme="majorHAnsi"/>
        </w:rPr>
        <w:t>9</w:t>
      </w:r>
      <w:r w:rsidR="006324DB">
        <w:rPr>
          <w:rFonts w:asciiTheme="majorHAnsi" w:hAnsiTheme="majorHAnsi" w:cstheme="majorHAnsi"/>
        </w:rPr>
        <w:t>/2020. tanévben</w:t>
      </w:r>
      <w:r w:rsidR="00A1441B">
        <w:rPr>
          <w:rFonts w:asciiTheme="majorHAnsi" w:hAnsiTheme="majorHAnsi" w:cstheme="majorHAnsi"/>
        </w:rPr>
        <w:t xml:space="preserve"> </w:t>
      </w:r>
      <w:r w:rsidRPr="00DC6C83">
        <w:rPr>
          <w:rFonts w:asciiTheme="majorHAnsi" w:hAnsiTheme="majorHAnsi" w:cstheme="majorHAnsi"/>
        </w:rPr>
        <w:t>95</w:t>
      </w:r>
      <w:r w:rsidR="00354905">
        <w:rPr>
          <w:rFonts w:asciiTheme="majorHAnsi" w:hAnsiTheme="majorHAnsi" w:cstheme="majorHAnsi"/>
        </w:rPr>
        <w:t xml:space="preserve"> </w:t>
      </w:r>
      <w:r w:rsidR="00C210C6">
        <w:rPr>
          <w:rFonts w:asciiTheme="majorHAnsi" w:hAnsiTheme="majorHAnsi" w:cstheme="majorHAnsi"/>
        </w:rPr>
        <w:t>9</w:t>
      </w:r>
      <w:r w:rsidR="006324DB">
        <w:rPr>
          <w:rFonts w:asciiTheme="majorHAnsi" w:hAnsiTheme="majorHAnsi" w:cstheme="majorHAnsi"/>
        </w:rPr>
        <w:t>51</w:t>
      </w:r>
      <w:r w:rsidRPr="00DC6C83">
        <w:rPr>
          <w:rFonts w:asciiTheme="majorHAnsi" w:hAnsiTheme="majorHAnsi" w:cstheme="majorHAnsi"/>
        </w:rPr>
        <w:t xml:space="preserve"> fő volt.</w:t>
      </w:r>
    </w:p>
    <w:p w14:paraId="136D80B5" w14:textId="5069221C" w:rsidR="00B86FE8" w:rsidRPr="00DC6C83" w:rsidRDefault="00B86FE8" w:rsidP="00B86FE8">
      <w:pPr>
        <w:rPr>
          <w:rFonts w:asciiTheme="majorHAnsi" w:hAnsiTheme="majorHAnsi" w:cstheme="majorHAnsi"/>
        </w:rPr>
      </w:pPr>
      <w:r w:rsidRPr="00DC6C83">
        <w:rPr>
          <w:rFonts w:asciiTheme="majorHAnsi" w:hAnsiTheme="majorHAnsi" w:cstheme="majorHAnsi"/>
        </w:rPr>
        <w:t>A köznevelés</w:t>
      </w:r>
      <w:r w:rsidR="00581883">
        <w:rPr>
          <w:rFonts w:asciiTheme="majorHAnsi" w:hAnsiTheme="majorHAnsi" w:cstheme="majorHAnsi"/>
        </w:rPr>
        <w:t>nek</w:t>
      </w:r>
      <w:r w:rsidR="004139BE">
        <w:rPr>
          <w:rFonts w:asciiTheme="majorHAnsi" w:hAnsiTheme="majorHAnsi" w:cstheme="majorHAnsi"/>
        </w:rPr>
        <w:t xml:space="preserve"> </w:t>
      </w:r>
      <w:r w:rsidR="00581883">
        <w:rPr>
          <w:rFonts w:asciiTheme="majorHAnsi" w:hAnsiTheme="majorHAnsi" w:cstheme="majorHAnsi"/>
        </w:rPr>
        <w:t>a</w:t>
      </w:r>
      <w:r w:rsidRPr="00DC6C83">
        <w:rPr>
          <w:rFonts w:asciiTheme="majorHAnsi" w:hAnsiTheme="majorHAnsi" w:cstheme="majorHAnsi"/>
        </w:rPr>
        <w:t xml:space="preserve"> legritkábban </w:t>
      </w:r>
      <w:r w:rsidR="00581883">
        <w:rPr>
          <w:rFonts w:asciiTheme="majorHAnsi" w:hAnsiTheme="majorHAnsi" w:cstheme="majorHAnsi"/>
        </w:rPr>
        <w:t>középpontba</w:t>
      </w:r>
      <w:r w:rsidRPr="00DC6C83">
        <w:rPr>
          <w:rFonts w:asciiTheme="majorHAnsi" w:hAnsiTheme="majorHAnsi" w:cstheme="majorHAnsi"/>
        </w:rPr>
        <w:t xml:space="preserve"> kerülő szegmense a tartós gyógykezelés alatt álló gyermekek, tanulók köznevelési ellátása („</w:t>
      </w:r>
      <w:proofErr w:type="spellStart"/>
      <w:r w:rsidRPr="00DC6C83">
        <w:rPr>
          <w:rFonts w:asciiTheme="majorHAnsi" w:hAnsiTheme="majorHAnsi" w:cstheme="majorHAnsi"/>
        </w:rPr>
        <w:t>kórházpedagógia</w:t>
      </w:r>
      <w:proofErr w:type="spellEnd"/>
      <w:r w:rsidRPr="00DC6C83">
        <w:rPr>
          <w:rFonts w:asciiTheme="majorHAnsi" w:hAnsiTheme="majorHAnsi" w:cstheme="majorHAnsi"/>
        </w:rPr>
        <w:t>”), annak ellenére, hogy</w:t>
      </w:r>
      <w:r w:rsidR="00A1441B">
        <w:rPr>
          <w:rFonts w:asciiTheme="majorHAnsi" w:hAnsiTheme="majorHAnsi" w:cstheme="majorHAnsi"/>
        </w:rPr>
        <w:t xml:space="preserve"> </w:t>
      </w:r>
      <w:r w:rsidR="00A1441B">
        <w:rPr>
          <w:rFonts w:asciiTheme="majorHAnsi" w:hAnsiTheme="majorHAnsi" w:cstheme="majorHAnsi"/>
        </w:rPr>
        <w:lastRenderedPageBreak/>
        <w:t>jelenleg</w:t>
      </w:r>
      <w:r w:rsidRPr="00DC6C83">
        <w:rPr>
          <w:rFonts w:asciiTheme="majorHAnsi" w:hAnsiTheme="majorHAnsi" w:cstheme="majorHAnsi"/>
        </w:rPr>
        <w:t xml:space="preserve"> több</w:t>
      </w:r>
      <w:r w:rsidR="002809F2">
        <w:rPr>
          <w:rFonts w:asciiTheme="majorHAnsi" w:hAnsiTheme="majorHAnsi" w:cstheme="majorHAnsi"/>
        </w:rPr>
        <w:t xml:space="preserve"> </w:t>
      </w:r>
      <w:r w:rsidRPr="00DC6C83">
        <w:rPr>
          <w:rFonts w:asciiTheme="majorHAnsi" w:hAnsiTheme="majorHAnsi" w:cstheme="majorHAnsi"/>
        </w:rPr>
        <w:t>mi</w:t>
      </w:r>
      <w:r w:rsidR="005F0FC6">
        <w:rPr>
          <w:rFonts w:asciiTheme="majorHAnsi" w:hAnsiTheme="majorHAnsi" w:cstheme="majorHAnsi"/>
        </w:rPr>
        <w:t>n</w:t>
      </w:r>
      <w:r w:rsidRPr="00DC6C83">
        <w:rPr>
          <w:rFonts w:asciiTheme="majorHAnsi" w:hAnsiTheme="majorHAnsi" w:cstheme="majorHAnsi"/>
        </w:rPr>
        <w:t xml:space="preserve">t 500 köznevelési intézmény végez ilyen tevékenységet. </w:t>
      </w:r>
      <w:r w:rsidR="00CA56A1">
        <w:rPr>
          <w:rFonts w:asciiTheme="majorHAnsi" w:hAnsiTheme="majorHAnsi" w:cstheme="majorHAnsi"/>
        </w:rPr>
        <w:t xml:space="preserve">A célzott beavatkozások elvégzése, a tartós betegellátásban részesülők oktatásának rendszerszintű </w:t>
      </w:r>
      <w:r w:rsidR="00604374">
        <w:rPr>
          <w:rFonts w:asciiTheme="majorHAnsi" w:hAnsiTheme="majorHAnsi" w:cstheme="majorHAnsi"/>
        </w:rPr>
        <w:t>újra</w:t>
      </w:r>
      <w:r w:rsidR="00CA56A1">
        <w:rPr>
          <w:rFonts w:asciiTheme="majorHAnsi" w:hAnsiTheme="majorHAnsi" w:cstheme="majorHAnsi"/>
        </w:rPr>
        <w:t>szervezése</w:t>
      </w:r>
      <w:r w:rsidR="00604374">
        <w:rPr>
          <w:rFonts w:asciiTheme="majorHAnsi" w:hAnsiTheme="majorHAnsi" w:cstheme="majorHAnsi"/>
        </w:rPr>
        <w:t xml:space="preserve"> az intézmények magas száma ellenére a következő évek egyik jelentős kihívása. </w:t>
      </w:r>
      <w:r w:rsidR="00B91127">
        <w:rPr>
          <w:rFonts w:asciiTheme="majorHAnsi" w:hAnsiTheme="majorHAnsi" w:cstheme="majorHAnsi"/>
        </w:rPr>
        <w:t>Ezzel kapcsolatban számos jó gyakorlat létezik, amelyek egyúttal a tanulók szociális készségeinek fejlesztését is szolgálhatják (pl. a tartós gyógykezelés alatt álló gyermek osztálytársainak bevonása a tanulás támogatásába</w:t>
      </w:r>
      <w:r w:rsidR="00D64B8D">
        <w:rPr>
          <w:rFonts w:asciiTheme="majorHAnsi" w:hAnsiTheme="majorHAnsi" w:cstheme="majorHAnsi"/>
        </w:rPr>
        <w:t>).</w:t>
      </w:r>
      <w:r w:rsidR="00B91127">
        <w:rPr>
          <w:rFonts w:asciiTheme="majorHAnsi" w:hAnsiTheme="majorHAnsi" w:cstheme="majorHAnsi"/>
        </w:rPr>
        <w:t xml:space="preserve"> </w:t>
      </w:r>
    </w:p>
    <w:p w14:paraId="6AEF5A7F" w14:textId="4E44A0D2"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pedagógiai szakszolgálati tevékenységek a nevelési-oktatási munkát segítő, kiegészítő vagy megelőző speciális szolgáltatások. Jelenleg a 20 megyei (fővárosi) pedagógiai szakszolgálati intézmény több mint 300 feladat-ellátási helyén folyik pedagógiai szakszolgálati tevékenység. </w:t>
      </w:r>
      <w:r w:rsidR="00117FBC">
        <w:rPr>
          <w:rFonts w:asciiTheme="majorHAnsi" w:hAnsiTheme="majorHAnsi" w:cstheme="majorHAnsi"/>
        </w:rPr>
        <w:t>A gyógypedagógusok, konduktorok</w:t>
      </w:r>
      <w:r w:rsidR="00D64B8D">
        <w:rPr>
          <w:rFonts w:asciiTheme="majorHAnsi" w:hAnsiTheme="majorHAnsi" w:cstheme="majorHAnsi"/>
        </w:rPr>
        <w:t xml:space="preserve"> száma – a 2017-2018. évben biztosított jelentős mértékű kormányzati többlettámogatásnak is köszönhetően – az elmúlt években folyamatosan nőtt, és </w:t>
      </w:r>
      <w:r w:rsidR="00117FBC">
        <w:rPr>
          <w:rFonts w:asciiTheme="majorHAnsi" w:hAnsiTheme="majorHAnsi" w:cstheme="majorHAnsi"/>
        </w:rPr>
        <w:t>a 2010/2011. tanévben mért 5</w:t>
      </w:r>
      <w:r w:rsidR="006324DB">
        <w:rPr>
          <w:rFonts w:asciiTheme="majorHAnsi" w:hAnsiTheme="majorHAnsi" w:cstheme="majorHAnsi"/>
        </w:rPr>
        <w:t xml:space="preserve"> 695</w:t>
      </w:r>
      <w:r w:rsidR="00117FBC">
        <w:rPr>
          <w:rFonts w:asciiTheme="majorHAnsi" w:hAnsiTheme="majorHAnsi" w:cstheme="majorHAnsi"/>
        </w:rPr>
        <w:t xml:space="preserve"> főről (munkakör szerinti létszám) a 2019/2020. tanévre 9</w:t>
      </w:r>
      <w:r w:rsidR="006324DB">
        <w:rPr>
          <w:rFonts w:asciiTheme="majorHAnsi" w:hAnsiTheme="majorHAnsi" w:cstheme="majorHAnsi"/>
        </w:rPr>
        <w:t xml:space="preserve"> </w:t>
      </w:r>
      <w:r w:rsidR="00117FBC">
        <w:rPr>
          <w:rFonts w:asciiTheme="majorHAnsi" w:hAnsiTheme="majorHAnsi" w:cstheme="majorHAnsi"/>
        </w:rPr>
        <w:t>7</w:t>
      </w:r>
      <w:r w:rsidR="006324DB">
        <w:rPr>
          <w:rFonts w:asciiTheme="majorHAnsi" w:hAnsiTheme="majorHAnsi" w:cstheme="majorHAnsi"/>
        </w:rPr>
        <w:t>31</w:t>
      </w:r>
      <w:r w:rsidR="00117FBC">
        <w:rPr>
          <w:rFonts w:asciiTheme="majorHAnsi" w:hAnsiTheme="majorHAnsi" w:cstheme="majorHAnsi"/>
        </w:rPr>
        <w:t xml:space="preserve"> főre emelkedett.</w:t>
      </w:r>
      <w:r w:rsidR="00117FBC">
        <w:rPr>
          <w:rStyle w:val="Lbjegyzet-hivatkozs"/>
          <w:rFonts w:asciiTheme="majorHAnsi" w:hAnsiTheme="majorHAnsi" w:cstheme="majorHAnsi"/>
        </w:rPr>
        <w:footnoteReference w:id="22"/>
      </w:r>
    </w:p>
    <w:p w14:paraId="7B6FA38F" w14:textId="06FED0EC"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pedagógiai szakszolgálati intézmények által ellátott gyermekek, tanulók száma </w:t>
      </w:r>
      <w:r w:rsidR="00A1441B">
        <w:rPr>
          <w:rFonts w:asciiTheme="majorHAnsi" w:hAnsiTheme="majorHAnsi" w:cstheme="majorHAnsi"/>
        </w:rPr>
        <w:t>201</w:t>
      </w:r>
      <w:r w:rsidR="00C210C6">
        <w:rPr>
          <w:rFonts w:asciiTheme="majorHAnsi" w:hAnsiTheme="majorHAnsi" w:cstheme="majorHAnsi"/>
        </w:rPr>
        <w:t>9</w:t>
      </w:r>
      <w:r w:rsidR="00A1441B">
        <w:rPr>
          <w:rFonts w:asciiTheme="majorHAnsi" w:hAnsiTheme="majorHAnsi" w:cstheme="majorHAnsi"/>
        </w:rPr>
        <w:t>-b</w:t>
      </w:r>
      <w:r w:rsidR="00C210C6">
        <w:rPr>
          <w:rFonts w:asciiTheme="majorHAnsi" w:hAnsiTheme="majorHAnsi" w:cstheme="majorHAnsi"/>
        </w:rPr>
        <w:t>e</w:t>
      </w:r>
      <w:r w:rsidR="00A1441B">
        <w:rPr>
          <w:rFonts w:asciiTheme="majorHAnsi" w:hAnsiTheme="majorHAnsi" w:cstheme="majorHAnsi"/>
        </w:rPr>
        <w:t xml:space="preserve">n </w:t>
      </w:r>
      <w:r w:rsidR="00C210C6">
        <w:rPr>
          <w:rFonts w:asciiTheme="majorHAnsi" w:hAnsiTheme="majorHAnsi" w:cstheme="majorHAnsi"/>
        </w:rPr>
        <w:t>50</w:t>
      </w:r>
      <w:r w:rsidR="006324DB">
        <w:rPr>
          <w:rFonts w:asciiTheme="majorHAnsi" w:hAnsiTheme="majorHAnsi" w:cstheme="majorHAnsi"/>
        </w:rPr>
        <w:t>1</w:t>
      </w:r>
      <w:r w:rsidR="00C210C6">
        <w:rPr>
          <w:rFonts w:asciiTheme="majorHAnsi" w:hAnsiTheme="majorHAnsi" w:cstheme="majorHAnsi"/>
        </w:rPr>
        <w:t xml:space="preserve"> </w:t>
      </w:r>
      <w:r w:rsidR="006324DB">
        <w:rPr>
          <w:rFonts w:asciiTheme="majorHAnsi" w:hAnsiTheme="majorHAnsi" w:cstheme="majorHAnsi"/>
        </w:rPr>
        <w:t>053</w:t>
      </w:r>
      <w:r w:rsidRPr="00DC6C83">
        <w:rPr>
          <w:rFonts w:asciiTheme="majorHAnsi" w:hAnsiTheme="majorHAnsi" w:cstheme="majorHAnsi"/>
        </w:rPr>
        <w:t xml:space="preserve"> gyermek, tanuló volt: </w:t>
      </w:r>
    </w:p>
    <w:p w14:paraId="04E294AC" w14:textId="65EFC5C5" w:rsidR="00B86FE8" w:rsidRPr="00DC6C83" w:rsidRDefault="00B86FE8" w:rsidP="00E6751A">
      <w:pPr>
        <w:pStyle w:val="Listaszerbekezds"/>
        <w:numPr>
          <w:ilvl w:val="0"/>
          <w:numId w:val="7"/>
        </w:numPr>
        <w:rPr>
          <w:rFonts w:asciiTheme="majorHAnsi" w:hAnsiTheme="majorHAnsi" w:cstheme="majorHAnsi"/>
        </w:rPr>
      </w:pPr>
      <w:r w:rsidRPr="00DC6C83">
        <w:rPr>
          <w:rFonts w:asciiTheme="majorHAnsi" w:hAnsiTheme="majorHAnsi" w:cstheme="majorHAnsi"/>
        </w:rPr>
        <w:t>a gyógypedagógiai tanácsadás, korai fejlesztés és</w:t>
      </w:r>
      <w:r w:rsidR="00354905">
        <w:rPr>
          <w:rFonts w:asciiTheme="majorHAnsi" w:hAnsiTheme="majorHAnsi" w:cstheme="majorHAnsi"/>
        </w:rPr>
        <w:t xml:space="preserve"> gondozás (korai fejlesztés): </w:t>
      </w:r>
      <w:r w:rsidR="006324DB">
        <w:rPr>
          <w:rFonts w:asciiTheme="majorHAnsi" w:hAnsiTheme="majorHAnsi" w:cstheme="majorHAnsi"/>
        </w:rPr>
        <w:t>5</w:t>
      </w:r>
      <w:r w:rsidR="00C210C6">
        <w:rPr>
          <w:rFonts w:asciiTheme="majorHAnsi" w:hAnsiTheme="majorHAnsi" w:cstheme="majorHAnsi"/>
        </w:rPr>
        <w:t xml:space="preserve"> </w:t>
      </w:r>
      <w:r w:rsidR="006324DB">
        <w:rPr>
          <w:rFonts w:asciiTheme="majorHAnsi" w:hAnsiTheme="majorHAnsi" w:cstheme="majorHAnsi"/>
        </w:rPr>
        <w:t>887</w:t>
      </w:r>
      <w:r w:rsidRPr="00DC6C83">
        <w:rPr>
          <w:rFonts w:asciiTheme="majorHAnsi" w:hAnsiTheme="majorHAnsi" w:cstheme="majorHAnsi"/>
        </w:rPr>
        <w:t>fő,</w:t>
      </w:r>
    </w:p>
    <w:p w14:paraId="036E375F" w14:textId="3CFAAFF5" w:rsidR="00B86FE8" w:rsidRPr="00DC6C83" w:rsidRDefault="00B86FE8" w:rsidP="00E6751A">
      <w:pPr>
        <w:pStyle w:val="Listaszerbekezds"/>
        <w:numPr>
          <w:ilvl w:val="0"/>
          <w:numId w:val="7"/>
        </w:numPr>
        <w:rPr>
          <w:rFonts w:asciiTheme="majorHAnsi" w:hAnsiTheme="majorHAnsi" w:cstheme="majorHAnsi"/>
        </w:rPr>
      </w:pPr>
      <w:r w:rsidRPr="00DC6C83">
        <w:rPr>
          <w:rFonts w:asciiTheme="majorHAnsi" w:hAnsiTheme="majorHAnsi" w:cstheme="majorHAnsi"/>
        </w:rPr>
        <w:t>a szakértői b</w:t>
      </w:r>
      <w:r w:rsidR="00354905">
        <w:rPr>
          <w:rFonts w:asciiTheme="majorHAnsi" w:hAnsiTheme="majorHAnsi" w:cstheme="majorHAnsi"/>
        </w:rPr>
        <w:t xml:space="preserve">izottsági tevékenység: </w:t>
      </w:r>
      <w:r w:rsidR="00C210C6">
        <w:rPr>
          <w:rFonts w:asciiTheme="majorHAnsi" w:hAnsiTheme="majorHAnsi" w:cstheme="majorHAnsi"/>
        </w:rPr>
        <w:t>162 186</w:t>
      </w:r>
      <w:r w:rsidRPr="00DC6C83">
        <w:rPr>
          <w:rFonts w:asciiTheme="majorHAnsi" w:hAnsiTheme="majorHAnsi" w:cstheme="majorHAnsi"/>
        </w:rPr>
        <w:t xml:space="preserve"> fő,</w:t>
      </w:r>
    </w:p>
    <w:p w14:paraId="364EE36C" w14:textId="5D77FCEC" w:rsidR="00B86FE8" w:rsidRPr="00DC6C83" w:rsidRDefault="00354905" w:rsidP="00E6751A">
      <w:pPr>
        <w:pStyle w:val="Listaszerbekezds"/>
        <w:numPr>
          <w:ilvl w:val="0"/>
          <w:numId w:val="7"/>
        </w:numPr>
        <w:rPr>
          <w:rFonts w:asciiTheme="majorHAnsi" w:hAnsiTheme="majorHAnsi" w:cstheme="majorHAnsi"/>
        </w:rPr>
      </w:pPr>
      <w:r>
        <w:rPr>
          <w:rFonts w:asciiTheme="majorHAnsi" w:hAnsiTheme="majorHAnsi" w:cstheme="majorHAnsi"/>
        </w:rPr>
        <w:t xml:space="preserve">a nevelési tanácsadás: </w:t>
      </w:r>
      <w:r w:rsidR="00C210C6">
        <w:rPr>
          <w:rFonts w:asciiTheme="majorHAnsi" w:hAnsiTheme="majorHAnsi" w:cstheme="majorHAnsi"/>
        </w:rPr>
        <w:t>134 703</w:t>
      </w:r>
      <w:r w:rsidR="00B86FE8" w:rsidRPr="00DC6C83">
        <w:rPr>
          <w:rFonts w:asciiTheme="majorHAnsi" w:hAnsiTheme="majorHAnsi" w:cstheme="majorHAnsi"/>
        </w:rPr>
        <w:t xml:space="preserve"> fő,</w:t>
      </w:r>
    </w:p>
    <w:p w14:paraId="0B776AA6" w14:textId="22F74EB6" w:rsidR="00B86FE8" w:rsidRPr="00DC6C83" w:rsidRDefault="00354905" w:rsidP="00E6751A">
      <w:pPr>
        <w:pStyle w:val="Listaszerbekezds"/>
        <w:numPr>
          <w:ilvl w:val="0"/>
          <w:numId w:val="7"/>
        </w:numPr>
        <w:rPr>
          <w:rFonts w:asciiTheme="majorHAnsi" w:hAnsiTheme="majorHAnsi" w:cstheme="majorHAnsi"/>
        </w:rPr>
      </w:pPr>
      <w:r>
        <w:rPr>
          <w:rFonts w:asciiTheme="majorHAnsi" w:hAnsiTheme="majorHAnsi" w:cstheme="majorHAnsi"/>
        </w:rPr>
        <w:t xml:space="preserve">a logopédiai ellátás: </w:t>
      </w:r>
      <w:r w:rsidR="00C210C6">
        <w:rPr>
          <w:rFonts w:asciiTheme="majorHAnsi" w:hAnsiTheme="majorHAnsi" w:cstheme="majorHAnsi"/>
        </w:rPr>
        <w:t>96 764</w:t>
      </w:r>
      <w:r w:rsidR="00B86FE8" w:rsidRPr="00DC6C83">
        <w:rPr>
          <w:rFonts w:asciiTheme="majorHAnsi" w:hAnsiTheme="majorHAnsi" w:cstheme="majorHAnsi"/>
        </w:rPr>
        <w:t xml:space="preserve"> fő,</w:t>
      </w:r>
    </w:p>
    <w:p w14:paraId="7F430F8F" w14:textId="23F3B9C9" w:rsidR="00B86FE8" w:rsidRPr="00DC6C83" w:rsidRDefault="00B86FE8" w:rsidP="00E6751A">
      <w:pPr>
        <w:pStyle w:val="Listaszerbekezds"/>
        <w:numPr>
          <w:ilvl w:val="0"/>
          <w:numId w:val="7"/>
        </w:numPr>
        <w:rPr>
          <w:rFonts w:asciiTheme="majorHAnsi" w:hAnsiTheme="majorHAnsi" w:cstheme="majorHAnsi"/>
        </w:rPr>
      </w:pPr>
      <w:r w:rsidRPr="00DC6C83">
        <w:rPr>
          <w:rFonts w:asciiTheme="majorHAnsi" w:hAnsiTheme="majorHAnsi" w:cstheme="majorHAnsi"/>
        </w:rPr>
        <w:t>a továbbtanulási,</w:t>
      </w:r>
      <w:r w:rsidR="00354905">
        <w:rPr>
          <w:rFonts w:asciiTheme="majorHAnsi" w:hAnsiTheme="majorHAnsi" w:cstheme="majorHAnsi"/>
        </w:rPr>
        <w:t xml:space="preserve"> pályaválasztási tanácsadás: </w:t>
      </w:r>
      <w:r w:rsidR="00C210C6">
        <w:rPr>
          <w:rFonts w:asciiTheme="majorHAnsi" w:hAnsiTheme="majorHAnsi" w:cstheme="majorHAnsi"/>
        </w:rPr>
        <w:t>18 925</w:t>
      </w:r>
      <w:r w:rsidRPr="00DC6C83">
        <w:rPr>
          <w:rFonts w:asciiTheme="majorHAnsi" w:hAnsiTheme="majorHAnsi" w:cstheme="majorHAnsi"/>
        </w:rPr>
        <w:t xml:space="preserve"> fő,</w:t>
      </w:r>
    </w:p>
    <w:p w14:paraId="4AB8D610" w14:textId="582B2BE9" w:rsidR="00B86FE8" w:rsidRPr="00DC6C83" w:rsidRDefault="00B86FE8" w:rsidP="00E6751A">
      <w:pPr>
        <w:pStyle w:val="Listaszerbekezds"/>
        <w:numPr>
          <w:ilvl w:val="0"/>
          <w:numId w:val="7"/>
        </w:numPr>
        <w:rPr>
          <w:rFonts w:asciiTheme="majorHAnsi" w:hAnsiTheme="majorHAnsi" w:cstheme="majorHAnsi"/>
        </w:rPr>
      </w:pPr>
      <w:r w:rsidRPr="00DC6C83">
        <w:rPr>
          <w:rFonts w:asciiTheme="majorHAnsi" w:hAnsiTheme="majorHAnsi" w:cstheme="majorHAnsi"/>
        </w:rPr>
        <w:t xml:space="preserve">a konduktív pedagógiai ellátás: </w:t>
      </w:r>
      <w:r w:rsidR="00C210C6">
        <w:rPr>
          <w:rFonts w:asciiTheme="majorHAnsi" w:hAnsiTheme="majorHAnsi" w:cstheme="majorHAnsi"/>
        </w:rPr>
        <w:t>406</w:t>
      </w:r>
      <w:r w:rsidR="00C210C6" w:rsidRPr="00DC6C83">
        <w:rPr>
          <w:rFonts w:asciiTheme="majorHAnsi" w:hAnsiTheme="majorHAnsi" w:cstheme="majorHAnsi"/>
        </w:rPr>
        <w:t xml:space="preserve"> </w:t>
      </w:r>
      <w:r w:rsidRPr="00DC6C83">
        <w:rPr>
          <w:rFonts w:asciiTheme="majorHAnsi" w:hAnsiTheme="majorHAnsi" w:cstheme="majorHAnsi"/>
        </w:rPr>
        <w:t>fő,</w:t>
      </w:r>
    </w:p>
    <w:p w14:paraId="2FF8FA0E" w14:textId="40943974" w:rsidR="00B86FE8" w:rsidRPr="00DC6C83" w:rsidRDefault="00354905" w:rsidP="00E6751A">
      <w:pPr>
        <w:pStyle w:val="Listaszerbekezds"/>
        <w:numPr>
          <w:ilvl w:val="0"/>
          <w:numId w:val="7"/>
        </w:numPr>
        <w:rPr>
          <w:rFonts w:asciiTheme="majorHAnsi" w:hAnsiTheme="majorHAnsi" w:cstheme="majorHAnsi"/>
        </w:rPr>
      </w:pPr>
      <w:r>
        <w:rPr>
          <w:rFonts w:asciiTheme="majorHAnsi" w:hAnsiTheme="majorHAnsi" w:cstheme="majorHAnsi"/>
        </w:rPr>
        <w:t xml:space="preserve">a gyógytestnevelés: </w:t>
      </w:r>
      <w:r w:rsidR="00C210C6">
        <w:rPr>
          <w:rFonts w:asciiTheme="majorHAnsi" w:hAnsiTheme="majorHAnsi" w:cstheme="majorHAnsi"/>
        </w:rPr>
        <w:t>58 497</w:t>
      </w:r>
      <w:r w:rsidR="00B86FE8" w:rsidRPr="00DC6C83">
        <w:rPr>
          <w:rFonts w:asciiTheme="majorHAnsi" w:hAnsiTheme="majorHAnsi" w:cstheme="majorHAnsi"/>
        </w:rPr>
        <w:t xml:space="preserve"> fő,</w:t>
      </w:r>
    </w:p>
    <w:p w14:paraId="7D9DC78B" w14:textId="183263B7" w:rsidR="00B86FE8" w:rsidRPr="00DC6C83" w:rsidRDefault="00B86FE8" w:rsidP="00E6751A">
      <w:pPr>
        <w:pStyle w:val="Listaszerbekezds"/>
        <w:numPr>
          <w:ilvl w:val="0"/>
          <w:numId w:val="7"/>
        </w:numPr>
        <w:rPr>
          <w:rFonts w:asciiTheme="majorHAnsi" w:hAnsiTheme="majorHAnsi" w:cstheme="majorHAnsi"/>
        </w:rPr>
      </w:pPr>
      <w:r w:rsidRPr="00DC6C83">
        <w:rPr>
          <w:rFonts w:asciiTheme="majorHAnsi" w:hAnsiTheme="majorHAnsi" w:cstheme="majorHAnsi"/>
        </w:rPr>
        <w:t>az iskolapszichológiai, ó</w:t>
      </w:r>
      <w:r w:rsidR="00354905">
        <w:rPr>
          <w:rFonts w:asciiTheme="majorHAnsi" w:hAnsiTheme="majorHAnsi" w:cstheme="majorHAnsi"/>
        </w:rPr>
        <w:t xml:space="preserve">vodapszichológiai ellátás: </w:t>
      </w:r>
      <w:r w:rsidR="00C210C6">
        <w:rPr>
          <w:rFonts w:asciiTheme="majorHAnsi" w:hAnsiTheme="majorHAnsi" w:cstheme="majorHAnsi"/>
        </w:rPr>
        <w:t>12 088</w:t>
      </w:r>
      <w:r w:rsidRPr="00DC6C83">
        <w:rPr>
          <w:rFonts w:asciiTheme="majorHAnsi" w:hAnsiTheme="majorHAnsi" w:cstheme="majorHAnsi"/>
        </w:rPr>
        <w:t xml:space="preserve"> fő,</w:t>
      </w:r>
    </w:p>
    <w:p w14:paraId="28FD253F" w14:textId="007DBEB8" w:rsidR="00B86FE8" w:rsidRPr="00DC6C83" w:rsidRDefault="00B86FE8" w:rsidP="00E6751A">
      <w:pPr>
        <w:pStyle w:val="Listaszerbekezds"/>
        <w:numPr>
          <w:ilvl w:val="0"/>
          <w:numId w:val="7"/>
        </w:numPr>
        <w:rPr>
          <w:rFonts w:asciiTheme="majorHAnsi" w:hAnsiTheme="majorHAnsi" w:cstheme="majorHAnsi"/>
        </w:rPr>
      </w:pPr>
      <w:r w:rsidRPr="00DC6C83">
        <w:rPr>
          <w:rFonts w:asciiTheme="majorHAnsi" w:hAnsiTheme="majorHAnsi" w:cstheme="majorHAnsi"/>
        </w:rPr>
        <w:t>a kiemelten tehetséges g</w:t>
      </w:r>
      <w:r w:rsidR="00354905">
        <w:rPr>
          <w:rFonts w:asciiTheme="majorHAnsi" w:hAnsiTheme="majorHAnsi" w:cstheme="majorHAnsi"/>
        </w:rPr>
        <w:t xml:space="preserve">yermekek, tanulók gondozása: </w:t>
      </w:r>
      <w:r w:rsidR="00C210C6">
        <w:rPr>
          <w:rFonts w:asciiTheme="majorHAnsi" w:hAnsiTheme="majorHAnsi" w:cstheme="majorHAnsi"/>
        </w:rPr>
        <w:t>11 597</w:t>
      </w:r>
      <w:r w:rsidRPr="00DC6C83">
        <w:rPr>
          <w:rFonts w:asciiTheme="majorHAnsi" w:hAnsiTheme="majorHAnsi" w:cstheme="majorHAnsi"/>
        </w:rPr>
        <w:t xml:space="preserve"> fő.</w:t>
      </w:r>
    </w:p>
    <w:p w14:paraId="3F5EFB5E" w14:textId="562080EB" w:rsidR="00B86FE8" w:rsidRPr="00DC6C83" w:rsidRDefault="001A3D3D" w:rsidP="00B86FE8">
      <w:pPr>
        <w:rPr>
          <w:rFonts w:asciiTheme="majorHAnsi" w:hAnsiTheme="majorHAnsi" w:cstheme="majorHAnsi"/>
        </w:rPr>
      </w:pPr>
      <w:r>
        <w:rPr>
          <w:rFonts w:asciiTheme="majorHAnsi" w:hAnsiTheme="majorHAnsi" w:cstheme="majorHAnsi"/>
        </w:rPr>
        <w:t>A pedagógiai szakszolgálat fejlesztési</w:t>
      </w:r>
      <w:r w:rsidR="00B86FE8" w:rsidRPr="00DC6C83">
        <w:rPr>
          <w:rFonts w:asciiTheme="majorHAnsi" w:hAnsiTheme="majorHAnsi" w:cstheme="majorHAnsi"/>
        </w:rPr>
        <w:t xml:space="preserve"> cél</w:t>
      </w:r>
      <w:r>
        <w:rPr>
          <w:rFonts w:asciiTheme="majorHAnsi" w:hAnsiTheme="majorHAnsi" w:cstheme="majorHAnsi"/>
        </w:rPr>
        <w:t>jai</w:t>
      </w:r>
      <w:r w:rsidR="00B86FE8" w:rsidRPr="00DC6C83">
        <w:rPr>
          <w:rFonts w:asciiTheme="majorHAnsi" w:hAnsiTheme="majorHAnsi" w:cstheme="majorHAnsi"/>
        </w:rPr>
        <w:t xml:space="preserve"> elérésének záloga a </w:t>
      </w:r>
      <w:r w:rsidR="00B86FE8" w:rsidRPr="000A7388">
        <w:rPr>
          <w:rFonts w:asciiTheme="majorHAnsi" w:hAnsiTheme="majorHAnsi" w:cstheme="majorHAnsi"/>
        </w:rPr>
        <w:t xml:space="preserve">korszerű és akadálymentes infrastrukturális környezet kialakítása, a modern módszerek és eszközök alkalmazása, </w:t>
      </w:r>
      <w:r w:rsidR="00B86FE8" w:rsidRPr="00DC6C83">
        <w:rPr>
          <w:rFonts w:asciiTheme="majorHAnsi" w:hAnsiTheme="majorHAnsi" w:cstheme="majorHAnsi"/>
        </w:rPr>
        <w:t xml:space="preserve">a humánerőforrások bővítése, az utaztatási szolgáltatások fejlesztése és a helyben elérhető szolgáltatások körének bővítése. </w:t>
      </w:r>
      <w:r w:rsidR="00B86FE8" w:rsidRPr="000A7388">
        <w:rPr>
          <w:rFonts w:asciiTheme="majorHAnsi" w:hAnsiTheme="majorHAnsi" w:cstheme="majorHAnsi"/>
        </w:rPr>
        <w:t>Magyarországon a különnevelő nevelési-oktatási formák fokozatosan visszaszorultak és az</w:t>
      </w:r>
      <w:r w:rsidR="00732B37">
        <w:rPr>
          <w:rFonts w:asciiTheme="majorHAnsi" w:hAnsiTheme="majorHAnsi" w:cstheme="majorHAnsi"/>
        </w:rPr>
        <w:t xml:space="preserve"> </w:t>
      </w:r>
      <w:r w:rsidR="00B86FE8" w:rsidRPr="000A7388">
        <w:rPr>
          <w:rFonts w:asciiTheme="majorHAnsi" w:hAnsiTheme="majorHAnsi" w:cstheme="majorHAnsi"/>
        </w:rPr>
        <w:t>együttnevelés vált dominánssá</w:t>
      </w:r>
      <w:r w:rsidR="00B86FE8" w:rsidRPr="00DC6C83">
        <w:rPr>
          <w:rFonts w:asciiTheme="majorHAnsi" w:hAnsiTheme="majorHAnsi" w:cstheme="majorHAnsi"/>
        </w:rPr>
        <w:t>. Ez maga után vonta azt is, hogy nagyobb számú nevelési-oktatási intézményben kell – az egyes sajátos nevelési igény területenként különböző – infrastrukturális feltételeknek eleget tenni</w:t>
      </w:r>
      <w:r w:rsidR="00A1441B">
        <w:rPr>
          <w:rFonts w:asciiTheme="majorHAnsi" w:hAnsiTheme="majorHAnsi" w:cstheme="majorHAnsi"/>
        </w:rPr>
        <w:t>.</w:t>
      </w:r>
      <w:r w:rsidR="00B86FE8" w:rsidRPr="00DC6C83">
        <w:rPr>
          <w:rFonts w:asciiTheme="majorHAnsi" w:hAnsiTheme="majorHAnsi" w:cstheme="majorHAnsi"/>
        </w:rPr>
        <w:t xml:space="preserve"> Mindezeken túl a pedagógiai szakszolgálati intézményekben egyre nagyobb teret kapnak a helyszínen, terepen végzett </w:t>
      </w:r>
      <w:r w:rsidR="00311252">
        <w:rPr>
          <w:rFonts w:asciiTheme="majorHAnsi" w:hAnsiTheme="majorHAnsi" w:cstheme="majorHAnsi"/>
        </w:rPr>
        <w:t>szolgáltatások.</w:t>
      </w:r>
      <w:r w:rsidR="00732B37">
        <w:rPr>
          <w:rFonts w:asciiTheme="majorHAnsi" w:hAnsiTheme="majorHAnsi" w:cstheme="majorHAnsi"/>
        </w:rPr>
        <w:t xml:space="preserve"> </w:t>
      </w:r>
      <w:r w:rsidR="00311252">
        <w:rPr>
          <w:rFonts w:asciiTheme="majorHAnsi" w:hAnsiTheme="majorHAnsi" w:cstheme="majorHAnsi"/>
        </w:rPr>
        <w:t>Éppen ezért</w:t>
      </w:r>
      <w:r w:rsidR="00B86FE8" w:rsidRPr="00DC6C83">
        <w:rPr>
          <w:rFonts w:asciiTheme="majorHAnsi" w:hAnsiTheme="majorHAnsi" w:cstheme="majorHAnsi"/>
        </w:rPr>
        <w:t xml:space="preserve"> a nevelési-oktatási intézmények, továbbá az </w:t>
      </w:r>
      <w:proofErr w:type="spellStart"/>
      <w:r w:rsidR="00B86FE8" w:rsidRPr="00DC6C83">
        <w:rPr>
          <w:rFonts w:asciiTheme="majorHAnsi" w:hAnsiTheme="majorHAnsi" w:cstheme="majorHAnsi"/>
        </w:rPr>
        <w:t>EGYMI-k</w:t>
      </w:r>
      <w:proofErr w:type="spellEnd"/>
      <w:r w:rsidR="00B86FE8" w:rsidRPr="00DC6C83">
        <w:rPr>
          <w:rFonts w:asciiTheme="majorHAnsi" w:hAnsiTheme="majorHAnsi" w:cstheme="majorHAnsi"/>
        </w:rPr>
        <w:t xml:space="preserve"> és azok utazó gyógypedagógusi, utazó konduktori hálózatai esetében jelentős szerepe van az utaztatási szolgáltatások fejlesztésének. </w:t>
      </w:r>
    </w:p>
    <w:p w14:paraId="39DE2A14" w14:textId="6BF0E50A" w:rsidR="00B86FE8" w:rsidRDefault="00B86FE8" w:rsidP="00B86FE8">
      <w:pPr>
        <w:rPr>
          <w:rFonts w:asciiTheme="majorHAnsi" w:hAnsiTheme="majorHAnsi" w:cstheme="majorHAnsi"/>
        </w:rPr>
      </w:pPr>
      <w:r w:rsidRPr="00DC6C83">
        <w:rPr>
          <w:rFonts w:asciiTheme="majorHAnsi" w:hAnsiTheme="majorHAnsi" w:cstheme="majorHAnsi"/>
        </w:rPr>
        <w:lastRenderedPageBreak/>
        <w:t xml:space="preserve">Az elmúlt évtizedekben a differenciálódó nevelési-oktatási és pedagógiai szakszolgálati intézményrendszer, az integrált, inkluzív nevelés elterjedése az addigi szakembergárdán túl új igényeket generált mind a pedagógus, mind a nevelő és oktató munkát közvetlenül segítő munkakörök esetében. </w:t>
      </w:r>
      <w:r w:rsidRPr="000A7388">
        <w:rPr>
          <w:rFonts w:asciiTheme="majorHAnsi" w:hAnsiTheme="majorHAnsi" w:cstheme="majorHAnsi"/>
        </w:rPr>
        <w:t>Kiemelt fontosságú a</w:t>
      </w:r>
      <w:r w:rsidR="00471333">
        <w:rPr>
          <w:rFonts w:asciiTheme="majorHAnsi" w:hAnsiTheme="majorHAnsi" w:cstheme="majorHAnsi"/>
        </w:rPr>
        <w:t>z intézmények</w:t>
      </w:r>
      <w:r w:rsidRPr="000A7388">
        <w:rPr>
          <w:rFonts w:asciiTheme="majorHAnsi" w:hAnsiTheme="majorHAnsi" w:cstheme="majorHAnsi"/>
        </w:rPr>
        <w:t xml:space="preserve"> szakember-igény</w:t>
      </w:r>
      <w:r w:rsidR="00471333">
        <w:rPr>
          <w:rFonts w:asciiTheme="majorHAnsi" w:hAnsiTheme="majorHAnsi" w:cstheme="majorHAnsi"/>
        </w:rPr>
        <w:t>ének</w:t>
      </w:r>
      <w:r w:rsidRPr="000A7388">
        <w:rPr>
          <w:rFonts w:asciiTheme="majorHAnsi" w:hAnsiTheme="majorHAnsi" w:cstheme="majorHAnsi"/>
        </w:rPr>
        <w:t xml:space="preserve"> kielégítése, a humánerőforrások fejlesztése,</w:t>
      </w:r>
      <w:r w:rsidRPr="00DC6C83">
        <w:rPr>
          <w:rFonts w:asciiTheme="majorHAnsi" w:hAnsiTheme="majorHAnsi" w:cstheme="majorHAnsi"/>
        </w:rPr>
        <w:t xml:space="preserve"> amelyhez az előzetes intézkedések megtörténtek vagy folyamatban vannak</w:t>
      </w:r>
      <w:r w:rsidR="00471333">
        <w:rPr>
          <w:rFonts w:asciiTheme="majorHAnsi" w:hAnsiTheme="majorHAnsi" w:cstheme="majorHAnsi"/>
        </w:rPr>
        <w:t>. Ilyen például</w:t>
      </w:r>
      <w:r w:rsidRPr="00DC6C83">
        <w:rPr>
          <w:rFonts w:asciiTheme="majorHAnsi" w:hAnsiTheme="majorHAnsi" w:cstheme="majorHAnsi"/>
        </w:rPr>
        <w:t xml:space="preserve"> a </w:t>
      </w:r>
      <w:r w:rsidRPr="000A7388">
        <w:rPr>
          <w:rFonts w:asciiTheme="majorHAnsi" w:hAnsiTheme="majorHAnsi" w:cstheme="majorHAnsi"/>
        </w:rPr>
        <w:t>Klebelsberg Képzési Ösztöndíj</w:t>
      </w:r>
      <w:r w:rsidR="00444B47">
        <w:rPr>
          <w:rFonts w:asciiTheme="majorHAnsi" w:hAnsiTheme="majorHAnsi" w:cstheme="majorHAnsi"/>
        </w:rPr>
        <w:t xml:space="preserve"> Program</w:t>
      </w:r>
      <w:r w:rsidRPr="000A7388">
        <w:rPr>
          <w:rFonts w:asciiTheme="majorHAnsi" w:hAnsiTheme="majorHAnsi" w:cstheme="majorHAnsi"/>
        </w:rPr>
        <w:t xml:space="preserve"> kiterjesztése, a képző intézmények és a képzésben részt vevők számának emelése.</w:t>
      </w:r>
      <w:r w:rsidRPr="00DC6C83">
        <w:rPr>
          <w:rFonts w:asciiTheme="majorHAnsi" w:hAnsiTheme="majorHAnsi" w:cstheme="majorHAnsi"/>
        </w:rPr>
        <w:t xml:space="preserve"> 201</w:t>
      </w:r>
      <w:r w:rsidR="00C210C6">
        <w:rPr>
          <w:rFonts w:asciiTheme="majorHAnsi" w:hAnsiTheme="majorHAnsi" w:cstheme="majorHAnsi"/>
        </w:rPr>
        <w:t>9</w:t>
      </w:r>
      <w:r w:rsidRPr="00DC6C83">
        <w:rPr>
          <w:rFonts w:asciiTheme="majorHAnsi" w:hAnsiTheme="majorHAnsi" w:cstheme="majorHAnsi"/>
        </w:rPr>
        <w:t xml:space="preserve"> szeptemberétől már </w:t>
      </w:r>
      <w:r w:rsidR="00C210C6">
        <w:rPr>
          <w:rFonts w:asciiTheme="majorHAnsi" w:hAnsiTheme="majorHAnsi" w:cstheme="majorHAnsi"/>
        </w:rPr>
        <w:t>kilenc</w:t>
      </w:r>
      <w:r w:rsidR="00C210C6" w:rsidRPr="00DC6C83">
        <w:rPr>
          <w:rFonts w:asciiTheme="majorHAnsi" w:hAnsiTheme="majorHAnsi" w:cstheme="majorHAnsi"/>
        </w:rPr>
        <w:t xml:space="preserve"> </w:t>
      </w:r>
      <w:r w:rsidRPr="00DC6C83">
        <w:rPr>
          <w:rFonts w:asciiTheme="majorHAnsi" w:hAnsiTheme="majorHAnsi" w:cstheme="majorHAnsi"/>
        </w:rPr>
        <w:t>egyetemen folyik gyógypedagógus-képzés, továbbá a Semmelweis Egyetem Pető András Karán konduktor-képzés. Emellett a gyógypedagógia és a konduktív pedagógia</w:t>
      </w:r>
      <w:r w:rsidR="004568B1">
        <w:rPr>
          <w:rFonts w:asciiTheme="majorHAnsi" w:hAnsiTheme="majorHAnsi" w:cstheme="majorHAnsi"/>
        </w:rPr>
        <w:t xml:space="preserve"> vonatkozásában is megteremtődött az önálló MA képzés jogszabályi feltételrendszere</w:t>
      </w:r>
      <w:r w:rsidRPr="00DC6C83">
        <w:rPr>
          <w:rFonts w:asciiTheme="majorHAnsi" w:hAnsiTheme="majorHAnsi" w:cstheme="majorHAnsi"/>
        </w:rPr>
        <w:t xml:space="preserve">. </w:t>
      </w:r>
      <w:r w:rsidRPr="000A7388">
        <w:rPr>
          <w:rFonts w:asciiTheme="majorHAnsi" w:hAnsiTheme="majorHAnsi" w:cstheme="majorHAnsi"/>
        </w:rPr>
        <w:t>A képzőintézmények számának növekedésén túl jelentősen megemelkedett a gyógypedagógus alapképzésre felvett hallgatók száma is,</w:t>
      </w:r>
      <w:r w:rsidRPr="00DC6C83">
        <w:rPr>
          <w:rFonts w:asciiTheme="majorHAnsi" w:hAnsiTheme="majorHAnsi" w:cstheme="majorHAnsi"/>
        </w:rPr>
        <w:t xml:space="preserve"> a 201</w:t>
      </w:r>
      <w:r w:rsidR="00732B37">
        <w:rPr>
          <w:rFonts w:asciiTheme="majorHAnsi" w:hAnsiTheme="majorHAnsi" w:cstheme="majorHAnsi"/>
        </w:rPr>
        <w:t>3</w:t>
      </w:r>
      <w:r w:rsidR="00471333">
        <w:rPr>
          <w:rFonts w:asciiTheme="majorHAnsi" w:hAnsiTheme="majorHAnsi" w:cstheme="majorHAnsi"/>
        </w:rPr>
        <w:t>−</w:t>
      </w:r>
      <w:r w:rsidR="00732B37">
        <w:rPr>
          <w:rFonts w:asciiTheme="majorHAnsi" w:hAnsiTheme="majorHAnsi" w:cstheme="majorHAnsi"/>
        </w:rPr>
        <w:t>2019</w:t>
      </w:r>
      <w:r w:rsidRPr="00DC6C83">
        <w:rPr>
          <w:rFonts w:asciiTheme="majorHAnsi" w:hAnsiTheme="majorHAnsi" w:cstheme="majorHAnsi"/>
        </w:rPr>
        <w:t xml:space="preserve"> közti időszakb</w:t>
      </w:r>
      <w:r w:rsidR="00606002">
        <w:rPr>
          <w:rFonts w:asciiTheme="majorHAnsi" w:hAnsiTheme="majorHAnsi" w:cstheme="majorHAnsi"/>
        </w:rPr>
        <w:t>an több mint a kétszeresére: 937-ről 2</w:t>
      </w:r>
      <w:r w:rsidR="004E1F12">
        <w:rPr>
          <w:rFonts w:asciiTheme="majorHAnsi" w:hAnsiTheme="majorHAnsi" w:cstheme="majorHAnsi"/>
        </w:rPr>
        <w:t xml:space="preserve"> </w:t>
      </w:r>
      <w:r w:rsidRPr="00DC6C83">
        <w:rPr>
          <w:rFonts w:asciiTheme="majorHAnsi" w:hAnsiTheme="majorHAnsi" w:cstheme="majorHAnsi"/>
        </w:rPr>
        <w:t>098 főre.</w:t>
      </w:r>
    </w:p>
    <w:p w14:paraId="27167B39" w14:textId="29F3190A" w:rsidR="009509B2" w:rsidRDefault="009509B2" w:rsidP="00B86FE8">
      <w:pPr>
        <w:rPr>
          <w:rFonts w:asciiTheme="majorHAnsi" w:hAnsiTheme="majorHAnsi" w:cstheme="majorHAnsi"/>
        </w:rPr>
      </w:pPr>
    </w:p>
    <w:p w14:paraId="1B010E72" w14:textId="77777777" w:rsidR="006A24A1" w:rsidRPr="002B57AF" w:rsidRDefault="0032672E" w:rsidP="006A24A1">
      <w:pPr>
        <w:spacing w:line="276" w:lineRule="auto"/>
        <w:rPr>
          <w:rFonts w:asciiTheme="majorHAnsi" w:hAnsiTheme="majorHAnsi" w:cstheme="majorHAnsi"/>
          <w:u w:val="single"/>
        </w:rPr>
      </w:pPr>
      <w:r>
        <w:rPr>
          <w:rFonts w:asciiTheme="majorHAnsi" w:hAnsiTheme="majorHAnsi" w:cstheme="majorHAnsi"/>
          <w:u w:val="single"/>
        </w:rPr>
        <w:t>Az i</w:t>
      </w:r>
      <w:r w:rsidRPr="0032672E">
        <w:rPr>
          <w:rFonts w:asciiTheme="majorHAnsi" w:hAnsiTheme="majorHAnsi" w:cstheme="majorHAnsi"/>
          <w:u w:val="single"/>
        </w:rPr>
        <w:t>nkluzív nevelés-oktatás</w:t>
      </w:r>
      <w:r>
        <w:rPr>
          <w:rFonts w:asciiTheme="majorHAnsi" w:hAnsiTheme="majorHAnsi" w:cstheme="majorHAnsi"/>
          <w:u w:val="single"/>
        </w:rPr>
        <w:t>hoz</w:t>
      </w:r>
      <w:r w:rsidRPr="0032672E">
        <w:rPr>
          <w:rFonts w:asciiTheme="majorHAnsi" w:hAnsiTheme="majorHAnsi" w:cstheme="majorHAnsi"/>
          <w:u w:val="single"/>
        </w:rPr>
        <w:t xml:space="preserve">, </w:t>
      </w:r>
      <w:r>
        <w:rPr>
          <w:rFonts w:asciiTheme="majorHAnsi" w:hAnsiTheme="majorHAnsi" w:cstheme="majorHAnsi"/>
          <w:u w:val="single"/>
        </w:rPr>
        <w:t xml:space="preserve">a </w:t>
      </w:r>
      <w:r w:rsidRPr="0032672E">
        <w:rPr>
          <w:rFonts w:asciiTheme="majorHAnsi" w:hAnsiTheme="majorHAnsi" w:cstheme="majorHAnsi"/>
          <w:u w:val="single"/>
        </w:rPr>
        <w:t>sajátos nevelési igényű gyermekek</w:t>
      </w:r>
      <w:r>
        <w:rPr>
          <w:rFonts w:asciiTheme="majorHAnsi" w:hAnsiTheme="majorHAnsi" w:cstheme="majorHAnsi"/>
          <w:u w:val="single"/>
        </w:rPr>
        <w:t>hez</w:t>
      </w:r>
      <w:r w:rsidRPr="0032672E">
        <w:rPr>
          <w:rFonts w:asciiTheme="majorHAnsi" w:hAnsiTheme="majorHAnsi" w:cstheme="majorHAnsi"/>
          <w:u w:val="single"/>
        </w:rPr>
        <w:t>, tanulók</w:t>
      </w:r>
      <w:r>
        <w:rPr>
          <w:rFonts w:asciiTheme="majorHAnsi" w:hAnsiTheme="majorHAnsi" w:cstheme="majorHAnsi"/>
          <w:u w:val="single"/>
        </w:rPr>
        <w:t>hoz</w:t>
      </w:r>
      <w:r w:rsidR="00732B37">
        <w:rPr>
          <w:rFonts w:asciiTheme="majorHAnsi" w:hAnsiTheme="majorHAnsi" w:cstheme="majorHAnsi"/>
          <w:u w:val="single"/>
        </w:rPr>
        <w:t xml:space="preserve"> </w:t>
      </w:r>
      <w:r w:rsidR="006A24A1" w:rsidRPr="002B57AF">
        <w:rPr>
          <w:rFonts w:asciiTheme="majorHAnsi" w:hAnsiTheme="majorHAnsi" w:cstheme="majorHAnsi"/>
          <w:u w:val="single"/>
        </w:rPr>
        <w:t>kapcsolódó legfontosabb fejlesztési irányok:</w:t>
      </w:r>
    </w:p>
    <w:p w14:paraId="1293E257" w14:textId="3F7B9455" w:rsidR="006A24A1" w:rsidRPr="00DC6C83" w:rsidRDefault="006A24A1" w:rsidP="00E6751A">
      <w:pPr>
        <w:pStyle w:val="Listaszerbekezds"/>
        <w:numPr>
          <w:ilvl w:val="0"/>
          <w:numId w:val="7"/>
        </w:numPr>
        <w:rPr>
          <w:rFonts w:asciiTheme="majorHAnsi" w:hAnsiTheme="majorHAnsi" w:cstheme="majorHAnsi"/>
        </w:rPr>
      </w:pPr>
      <w:r w:rsidRPr="00DC6C83">
        <w:rPr>
          <w:rFonts w:asciiTheme="majorHAnsi" w:hAnsiTheme="majorHAnsi" w:cstheme="majorHAnsi"/>
        </w:rPr>
        <w:t>a sajátos nevelési igényű gyermekek, tanulók integrált, inkluzív nevelésének-oktatásának támogatás</w:t>
      </w:r>
      <w:r w:rsidR="0050113B">
        <w:rPr>
          <w:rFonts w:asciiTheme="majorHAnsi" w:hAnsiTheme="majorHAnsi" w:cstheme="majorHAnsi"/>
        </w:rPr>
        <w:t>a,</w:t>
      </w:r>
      <w:r w:rsidR="0050113B" w:rsidRPr="0050113B">
        <w:rPr>
          <w:rFonts w:asciiTheme="majorHAnsi" w:hAnsiTheme="majorHAnsi" w:cstheme="majorHAnsi"/>
        </w:rPr>
        <w:t xml:space="preserve"> </w:t>
      </w:r>
      <w:r w:rsidR="0050113B" w:rsidRPr="00DC6C83">
        <w:rPr>
          <w:rFonts w:asciiTheme="majorHAnsi" w:hAnsiTheme="majorHAnsi" w:cstheme="majorHAnsi"/>
        </w:rPr>
        <w:t xml:space="preserve">az </w:t>
      </w:r>
      <w:proofErr w:type="spellStart"/>
      <w:r w:rsidR="0050113B" w:rsidRPr="00DC6C83">
        <w:rPr>
          <w:rFonts w:asciiTheme="majorHAnsi" w:hAnsiTheme="majorHAnsi" w:cstheme="majorHAnsi"/>
        </w:rPr>
        <w:t>EGYMI-k</w:t>
      </w:r>
      <w:proofErr w:type="spellEnd"/>
      <w:r w:rsidR="0050113B" w:rsidRPr="00DC6C83">
        <w:rPr>
          <w:rFonts w:asciiTheme="majorHAnsi" w:hAnsiTheme="majorHAnsi" w:cstheme="majorHAnsi"/>
        </w:rPr>
        <w:t xml:space="preserve"> együttnevelő szerepének erősítés</w:t>
      </w:r>
      <w:r w:rsidR="0050113B">
        <w:rPr>
          <w:rFonts w:asciiTheme="majorHAnsi" w:hAnsiTheme="majorHAnsi" w:cstheme="majorHAnsi"/>
        </w:rPr>
        <w:t>e;</w:t>
      </w:r>
    </w:p>
    <w:p w14:paraId="4E5EDC8D" w14:textId="77777777" w:rsidR="006A24A1" w:rsidRPr="00DC6C83" w:rsidRDefault="006A24A1" w:rsidP="00E6751A">
      <w:pPr>
        <w:pStyle w:val="Listaszerbekezds"/>
        <w:numPr>
          <w:ilvl w:val="0"/>
          <w:numId w:val="7"/>
        </w:numPr>
        <w:rPr>
          <w:rFonts w:asciiTheme="majorHAnsi" w:hAnsiTheme="majorHAnsi" w:cstheme="majorHAnsi"/>
        </w:rPr>
      </w:pPr>
      <w:r w:rsidRPr="00DC6C83">
        <w:rPr>
          <w:rFonts w:asciiTheme="majorHAnsi" w:hAnsiTheme="majorHAnsi" w:cstheme="majorHAnsi"/>
        </w:rPr>
        <w:t>egyes különnevelő, de korszerű nevelés-oktatási formák szakmai támogatás</w:t>
      </w:r>
      <w:r>
        <w:rPr>
          <w:rFonts w:asciiTheme="majorHAnsi" w:hAnsiTheme="majorHAnsi" w:cstheme="majorHAnsi"/>
        </w:rPr>
        <w:t>a;</w:t>
      </w:r>
    </w:p>
    <w:p w14:paraId="283FE8DD" w14:textId="77777777" w:rsidR="006A24A1" w:rsidRPr="00DC6C83" w:rsidRDefault="006A24A1" w:rsidP="00E6751A">
      <w:pPr>
        <w:pStyle w:val="Listaszerbekezds"/>
        <w:numPr>
          <w:ilvl w:val="0"/>
          <w:numId w:val="7"/>
        </w:numPr>
        <w:rPr>
          <w:rFonts w:asciiTheme="majorHAnsi" w:hAnsiTheme="majorHAnsi" w:cstheme="majorHAnsi"/>
        </w:rPr>
      </w:pPr>
      <w:r w:rsidRPr="00DC6C83">
        <w:rPr>
          <w:rFonts w:asciiTheme="majorHAnsi" w:hAnsiTheme="majorHAnsi" w:cstheme="majorHAnsi"/>
        </w:rPr>
        <w:t>a súlyos és halmozottan fogyatékos tanuló</w:t>
      </w:r>
      <w:r>
        <w:rPr>
          <w:rFonts w:asciiTheme="majorHAnsi" w:hAnsiTheme="majorHAnsi" w:cstheme="majorHAnsi"/>
        </w:rPr>
        <w:t>k</w:t>
      </w:r>
      <w:r w:rsidRPr="00DC6C83">
        <w:rPr>
          <w:rFonts w:asciiTheme="majorHAnsi" w:hAnsiTheme="majorHAnsi" w:cstheme="majorHAnsi"/>
        </w:rPr>
        <w:t xml:space="preserve"> kö</w:t>
      </w:r>
      <w:r>
        <w:rPr>
          <w:rFonts w:asciiTheme="majorHAnsi" w:hAnsiTheme="majorHAnsi" w:cstheme="majorHAnsi"/>
        </w:rPr>
        <w:t>znevelési ellátásának fejlesztése;</w:t>
      </w:r>
    </w:p>
    <w:p w14:paraId="36D51F62" w14:textId="77777777" w:rsidR="006A24A1" w:rsidRDefault="006A24A1" w:rsidP="00E6751A">
      <w:pPr>
        <w:pStyle w:val="Listaszerbekezds"/>
        <w:numPr>
          <w:ilvl w:val="0"/>
          <w:numId w:val="7"/>
        </w:numPr>
        <w:rPr>
          <w:rFonts w:asciiTheme="majorHAnsi" w:hAnsiTheme="majorHAnsi" w:cstheme="majorHAnsi"/>
        </w:rPr>
      </w:pPr>
      <w:r w:rsidRPr="00DC6C83">
        <w:rPr>
          <w:rFonts w:asciiTheme="majorHAnsi" w:hAnsiTheme="majorHAnsi" w:cstheme="majorHAnsi"/>
        </w:rPr>
        <w:t>a tartós gyógykezelés alatt álló gyermekek, tanulók nevelésének-oktatásának támogatás</w:t>
      </w:r>
      <w:r>
        <w:rPr>
          <w:rFonts w:asciiTheme="majorHAnsi" w:hAnsiTheme="majorHAnsi" w:cstheme="majorHAnsi"/>
        </w:rPr>
        <w:t>a;</w:t>
      </w:r>
    </w:p>
    <w:p w14:paraId="26A0A3E6" w14:textId="53A01639" w:rsidR="0050113B" w:rsidRDefault="0050113B" w:rsidP="0050113B">
      <w:pPr>
        <w:pStyle w:val="Listaszerbekezds"/>
        <w:numPr>
          <w:ilvl w:val="0"/>
          <w:numId w:val="7"/>
        </w:numPr>
        <w:rPr>
          <w:rFonts w:asciiTheme="majorHAnsi" w:hAnsiTheme="majorHAnsi" w:cstheme="majorHAnsi"/>
        </w:rPr>
      </w:pPr>
      <w:r w:rsidRPr="00A1441B">
        <w:rPr>
          <w:rFonts w:asciiTheme="majorHAnsi" w:hAnsiTheme="majorHAnsi" w:cstheme="majorHAnsi"/>
        </w:rPr>
        <w:t>a tehetség felismerés</w:t>
      </w:r>
      <w:r>
        <w:rPr>
          <w:rFonts w:asciiTheme="majorHAnsi" w:hAnsiTheme="majorHAnsi" w:cstheme="majorHAnsi"/>
        </w:rPr>
        <w:t>ét</w:t>
      </w:r>
      <w:r w:rsidRPr="00A1441B">
        <w:rPr>
          <w:rFonts w:asciiTheme="majorHAnsi" w:hAnsiTheme="majorHAnsi" w:cstheme="majorHAnsi"/>
        </w:rPr>
        <w:t xml:space="preserve"> és társadalmi hasznosulás</w:t>
      </w:r>
      <w:r>
        <w:rPr>
          <w:rFonts w:asciiTheme="majorHAnsi" w:hAnsiTheme="majorHAnsi" w:cstheme="majorHAnsi"/>
        </w:rPr>
        <w:t>ának segítése;</w:t>
      </w:r>
    </w:p>
    <w:p w14:paraId="7BBC7941" w14:textId="6498CE5A" w:rsidR="0050113B" w:rsidRPr="00A1441B" w:rsidRDefault="0050113B" w:rsidP="0050113B">
      <w:pPr>
        <w:pStyle w:val="Listaszerbekezds"/>
        <w:numPr>
          <w:ilvl w:val="0"/>
          <w:numId w:val="7"/>
        </w:numPr>
        <w:rPr>
          <w:rFonts w:asciiTheme="majorHAnsi" w:hAnsiTheme="majorHAnsi" w:cstheme="majorHAnsi"/>
        </w:rPr>
      </w:pPr>
      <w:r>
        <w:rPr>
          <w:rFonts w:asciiTheme="majorHAnsi" w:hAnsiTheme="majorHAnsi" w:cstheme="majorHAnsi"/>
        </w:rPr>
        <w:t>a p</w:t>
      </w:r>
      <w:r w:rsidRPr="00A1441B">
        <w:rPr>
          <w:rFonts w:asciiTheme="majorHAnsi" w:hAnsiTheme="majorHAnsi" w:cstheme="majorHAnsi"/>
        </w:rPr>
        <w:t>ályaorientációs tevékenységek</w:t>
      </w:r>
      <w:r>
        <w:rPr>
          <w:rFonts w:asciiTheme="majorHAnsi" w:hAnsiTheme="majorHAnsi" w:cstheme="majorHAnsi"/>
        </w:rPr>
        <w:t xml:space="preserve"> biztosítása, a tanulók, kiemelten a lányok MTMI (matematikai, természettudományos, műszaki, informatikai) irányú tudományos pályák felé orientálása;</w:t>
      </w:r>
    </w:p>
    <w:p w14:paraId="65D1214B" w14:textId="604E86B4" w:rsidR="003B1EDA" w:rsidRPr="00DC6C83" w:rsidRDefault="003B1EDA" w:rsidP="00E6751A">
      <w:pPr>
        <w:pStyle w:val="Listaszerbekezds"/>
        <w:numPr>
          <w:ilvl w:val="0"/>
          <w:numId w:val="7"/>
        </w:numPr>
        <w:rPr>
          <w:rFonts w:asciiTheme="majorHAnsi" w:hAnsiTheme="majorHAnsi" w:cstheme="majorHAnsi"/>
        </w:rPr>
      </w:pPr>
      <w:r>
        <w:rPr>
          <w:rFonts w:asciiTheme="majorHAnsi" w:hAnsiTheme="majorHAnsi" w:cstheme="majorHAnsi"/>
        </w:rPr>
        <w:t>IKT alapú, illetve digitális pedagógiai megoldások bevonása a sajátos nevelési igényű tanulók felzárkóztatásának támogatásában;</w:t>
      </w:r>
    </w:p>
    <w:p w14:paraId="2921B5D0" w14:textId="77777777" w:rsidR="001E4127" w:rsidRDefault="001E4127" w:rsidP="00E6751A">
      <w:pPr>
        <w:pStyle w:val="Listaszerbekezds"/>
        <w:numPr>
          <w:ilvl w:val="0"/>
          <w:numId w:val="7"/>
        </w:numPr>
        <w:rPr>
          <w:rFonts w:asciiTheme="majorHAnsi" w:hAnsiTheme="majorHAnsi" w:cstheme="majorHAnsi"/>
        </w:rPr>
      </w:pPr>
      <w:r w:rsidRPr="001E4127">
        <w:rPr>
          <w:rFonts w:asciiTheme="majorHAnsi" w:hAnsiTheme="majorHAnsi" w:cstheme="majorHAnsi"/>
        </w:rPr>
        <w:t>az inkluzív nevelés-oktatás feladat</w:t>
      </w:r>
      <w:r>
        <w:rPr>
          <w:rFonts w:asciiTheme="majorHAnsi" w:hAnsiTheme="majorHAnsi" w:cstheme="majorHAnsi"/>
        </w:rPr>
        <w:t>á</w:t>
      </w:r>
      <w:r w:rsidRPr="001E4127">
        <w:rPr>
          <w:rFonts w:asciiTheme="majorHAnsi" w:hAnsiTheme="majorHAnsi" w:cstheme="majorHAnsi"/>
        </w:rPr>
        <w:t>hoz illeszk</w:t>
      </w:r>
      <w:r>
        <w:rPr>
          <w:rFonts w:asciiTheme="majorHAnsi" w:hAnsiTheme="majorHAnsi" w:cstheme="majorHAnsi"/>
        </w:rPr>
        <w:t>edő személyi-tárgyi feltétele</w:t>
      </w:r>
      <w:r w:rsidRPr="001E4127">
        <w:rPr>
          <w:rFonts w:asciiTheme="majorHAnsi" w:hAnsiTheme="majorHAnsi" w:cstheme="majorHAnsi"/>
        </w:rPr>
        <w:t xml:space="preserve">k fejlesztése </w:t>
      </w:r>
      <w:r>
        <w:rPr>
          <w:rFonts w:asciiTheme="majorHAnsi" w:hAnsiTheme="majorHAnsi" w:cstheme="majorHAnsi"/>
        </w:rPr>
        <w:t>az intézményekben;</w:t>
      </w:r>
    </w:p>
    <w:p w14:paraId="0D48C3C8" w14:textId="77777777" w:rsidR="006A24A1" w:rsidRPr="00DC6C83" w:rsidRDefault="006A24A1" w:rsidP="00E6751A">
      <w:pPr>
        <w:pStyle w:val="Listaszerbekezds"/>
        <w:numPr>
          <w:ilvl w:val="0"/>
          <w:numId w:val="7"/>
        </w:numPr>
        <w:rPr>
          <w:rFonts w:asciiTheme="majorHAnsi" w:hAnsiTheme="majorHAnsi" w:cstheme="majorHAnsi"/>
        </w:rPr>
      </w:pPr>
      <w:r w:rsidRPr="00DC6C83">
        <w:rPr>
          <w:rFonts w:asciiTheme="majorHAnsi" w:hAnsiTheme="majorHAnsi" w:cstheme="majorHAnsi"/>
        </w:rPr>
        <w:t>a pedagógiai szakszolgálati intézményrendszer fejlesztés</w:t>
      </w:r>
      <w:r w:rsidR="004037C2">
        <w:rPr>
          <w:rFonts w:asciiTheme="majorHAnsi" w:hAnsiTheme="majorHAnsi" w:cstheme="majorHAnsi"/>
        </w:rPr>
        <w:t>e</w:t>
      </w:r>
      <w:r w:rsidRPr="00DC6C83">
        <w:rPr>
          <w:rFonts w:asciiTheme="majorHAnsi" w:hAnsiTheme="majorHAnsi" w:cstheme="majorHAnsi"/>
        </w:rPr>
        <w:t>, módszertani megsegítés</w:t>
      </w:r>
      <w:r>
        <w:rPr>
          <w:rFonts w:asciiTheme="majorHAnsi" w:hAnsiTheme="majorHAnsi" w:cstheme="majorHAnsi"/>
        </w:rPr>
        <w:t>e.</w:t>
      </w:r>
    </w:p>
    <w:p w14:paraId="3B8B939E" w14:textId="77777777" w:rsidR="00B86FE8" w:rsidRPr="00DC6C83" w:rsidRDefault="00B86FE8" w:rsidP="00FB4D8A">
      <w:pPr>
        <w:pStyle w:val="Cmsor3"/>
      </w:pPr>
      <w:bookmarkStart w:id="77" w:name="_Toc35596142"/>
      <w:bookmarkStart w:id="78" w:name="_Toc46822719"/>
      <w:bookmarkEnd w:id="11"/>
      <w:r w:rsidRPr="00DC6C83">
        <w:t>Tehetséggondozás</w:t>
      </w:r>
      <w:r w:rsidR="00266F24">
        <w:t xml:space="preserve"> megerősítése</w:t>
      </w:r>
      <w:bookmarkEnd w:id="77"/>
      <w:bookmarkEnd w:id="78"/>
    </w:p>
    <w:p w14:paraId="74AAE492"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 tehetségek tiszteletének, a tehetségek felfedezésének és a tehetségsegítésnek évszázados, több szakterületre kiterjedő hagyományai vannak Magyarországon. Kisgyermekkorban a tehetségek felfedezése hazánkban erősen függ a családi háttértől. Ahhoz, hogy a társadalmi-gazdasági szempontból hátrányos helyzetű tehetségek megmutatkozzanak, a speciális, nekik szánt programokon kívül oktatási-fejlesztési háttérre is szükségük van. </w:t>
      </w:r>
      <w:r w:rsidRPr="000A7388">
        <w:rPr>
          <w:rFonts w:asciiTheme="majorHAnsi" w:hAnsiTheme="majorHAnsi" w:cstheme="majorHAnsi"/>
        </w:rPr>
        <w:t xml:space="preserve">Az állami programok </w:t>
      </w:r>
      <w:r w:rsidRPr="000A7388">
        <w:rPr>
          <w:rFonts w:asciiTheme="majorHAnsi" w:hAnsiTheme="majorHAnsi" w:cstheme="majorHAnsi"/>
        </w:rPr>
        <w:lastRenderedPageBreak/>
        <w:t xml:space="preserve">közül ennek támogatására vállalkoznak az Arany János </w:t>
      </w:r>
      <w:r w:rsidR="00471333">
        <w:rPr>
          <w:rFonts w:asciiTheme="majorHAnsi" w:hAnsiTheme="majorHAnsi" w:cstheme="majorHAnsi"/>
        </w:rPr>
        <w:t>Tehetséggondozó</w:t>
      </w:r>
      <w:r w:rsidRPr="000A7388">
        <w:rPr>
          <w:rFonts w:asciiTheme="majorHAnsi" w:hAnsiTheme="majorHAnsi" w:cstheme="majorHAnsi"/>
        </w:rPr>
        <w:t xml:space="preserve"> Program, valamint az Útravaló Ösztöndíjprogram Út a tudományhoz alprogram</w:t>
      </w:r>
      <w:r w:rsidR="00A1441B" w:rsidRPr="000A7388">
        <w:rPr>
          <w:rFonts w:asciiTheme="majorHAnsi" w:hAnsiTheme="majorHAnsi" w:cstheme="majorHAnsi"/>
        </w:rPr>
        <w:t>ja</w:t>
      </w:r>
      <w:r w:rsidRPr="000A7388">
        <w:rPr>
          <w:rFonts w:asciiTheme="majorHAnsi" w:hAnsiTheme="majorHAnsi" w:cstheme="majorHAnsi"/>
        </w:rPr>
        <w:t>.</w:t>
      </w:r>
      <w:r w:rsidR="00732B37">
        <w:rPr>
          <w:rFonts w:asciiTheme="majorHAnsi" w:hAnsiTheme="majorHAnsi" w:cstheme="majorHAnsi"/>
        </w:rPr>
        <w:t xml:space="preserve"> </w:t>
      </w:r>
      <w:r w:rsidR="00471333">
        <w:rPr>
          <w:rFonts w:asciiTheme="majorHAnsi" w:hAnsiTheme="majorHAnsi" w:cstheme="majorHAnsi"/>
        </w:rPr>
        <w:t>A</w:t>
      </w:r>
      <w:r w:rsidRPr="00DC6C83">
        <w:rPr>
          <w:rFonts w:asciiTheme="majorHAnsi" w:hAnsiTheme="majorHAnsi" w:cstheme="majorHAnsi"/>
        </w:rPr>
        <w:t xml:space="preserve"> tehetségek gondozásával kapcsolatos intézkedéseknek</w:t>
      </w:r>
      <w:r w:rsidR="00471333" w:rsidRPr="00DC6C83">
        <w:rPr>
          <w:rFonts w:asciiTheme="majorHAnsi" w:hAnsiTheme="majorHAnsi" w:cstheme="majorHAnsi"/>
        </w:rPr>
        <w:t xml:space="preserve"> </w:t>
      </w:r>
      <w:r w:rsidR="00471333">
        <w:rPr>
          <w:rFonts w:asciiTheme="majorHAnsi" w:hAnsiTheme="majorHAnsi" w:cstheme="majorHAnsi"/>
        </w:rPr>
        <w:t>k</w:t>
      </w:r>
      <w:r w:rsidRPr="00DC6C83">
        <w:rPr>
          <w:rFonts w:asciiTheme="majorHAnsi" w:hAnsiTheme="majorHAnsi" w:cstheme="majorHAnsi"/>
        </w:rPr>
        <w:t xml:space="preserve">ülön kiemelt programja és gyűjtőrendszere a </w:t>
      </w:r>
      <w:r w:rsidRPr="000A7388">
        <w:rPr>
          <w:rFonts w:asciiTheme="majorHAnsi" w:hAnsiTheme="majorHAnsi" w:cstheme="majorHAnsi"/>
        </w:rPr>
        <w:t>Nemzeti Tehetség Program</w:t>
      </w:r>
      <w:r w:rsidR="00C32B8C">
        <w:rPr>
          <w:rFonts w:asciiTheme="majorHAnsi" w:hAnsiTheme="majorHAnsi" w:cstheme="majorHAnsi"/>
        </w:rPr>
        <w:t>.</w:t>
      </w:r>
      <w:r w:rsidR="00E36BAB">
        <w:rPr>
          <w:rFonts w:asciiTheme="majorHAnsi" w:hAnsiTheme="majorHAnsi" w:cstheme="majorHAnsi"/>
        </w:rPr>
        <w:t xml:space="preserve"> </w:t>
      </w:r>
      <w:r w:rsidR="00D42E89" w:rsidRPr="00D42E89">
        <w:rPr>
          <w:rFonts w:asciiTheme="majorHAnsi" w:hAnsiTheme="majorHAnsi" w:cstheme="majorHAnsi"/>
        </w:rPr>
        <w:t xml:space="preserve">Annak érdekében, hogy a hátrányos </w:t>
      </w:r>
      <w:r w:rsidR="00D42E89">
        <w:rPr>
          <w:rFonts w:asciiTheme="majorHAnsi" w:hAnsiTheme="majorHAnsi" w:cstheme="majorHAnsi"/>
        </w:rPr>
        <w:t>vagy halmozottan hátrányos helyzetű</w:t>
      </w:r>
      <w:r w:rsidR="00D42E89" w:rsidRPr="00D42E89">
        <w:rPr>
          <w:rFonts w:asciiTheme="majorHAnsi" w:hAnsiTheme="majorHAnsi" w:cstheme="majorHAnsi"/>
        </w:rPr>
        <w:t xml:space="preserve"> gyermekek tehetsége </w:t>
      </w:r>
      <w:r w:rsidR="00D42E89">
        <w:rPr>
          <w:rFonts w:asciiTheme="majorHAnsi" w:hAnsiTheme="majorHAnsi" w:cstheme="majorHAnsi"/>
        </w:rPr>
        <w:t xml:space="preserve">is </w:t>
      </w:r>
      <w:r w:rsidR="00D42E89" w:rsidRPr="00D42E89">
        <w:rPr>
          <w:rFonts w:asciiTheme="majorHAnsi" w:hAnsiTheme="majorHAnsi" w:cstheme="majorHAnsi"/>
        </w:rPr>
        <w:t>széleskörűen megmutatkozhasson,</w:t>
      </w:r>
      <w:r w:rsidR="00D42E89">
        <w:rPr>
          <w:rFonts w:asciiTheme="majorHAnsi" w:hAnsiTheme="majorHAnsi" w:cstheme="majorHAnsi"/>
        </w:rPr>
        <w:t xml:space="preserve"> a sajátosságaikat figyelembe véve, </w:t>
      </w:r>
      <w:r w:rsidR="00D42E89" w:rsidRPr="00D42E89">
        <w:rPr>
          <w:rFonts w:asciiTheme="majorHAnsi" w:hAnsiTheme="majorHAnsi" w:cstheme="majorHAnsi"/>
        </w:rPr>
        <w:t>személyre szabott</w:t>
      </w:r>
      <w:r w:rsidR="00471333">
        <w:rPr>
          <w:rFonts w:asciiTheme="majorHAnsi" w:hAnsiTheme="majorHAnsi" w:cstheme="majorHAnsi"/>
        </w:rPr>
        <w:t>an kell</w:t>
      </w:r>
      <w:r w:rsidR="00D42E89" w:rsidRPr="00D42E89">
        <w:rPr>
          <w:rFonts w:asciiTheme="majorHAnsi" w:hAnsiTheme="majorHAnsi" w:cstheme="majorHAnsi"/>
        </w:rPr>
        <w:t xml:space="preserve"> számukra tehetséggondozás</w:t>
      </w:r>
      <w:r w:rsidR="00471333">
        <w:rPr>
          <w:rFonts w:asciiTheme="majorHAnsi" w:hAnsiTheme="majorHAnsi" w:cstheme="majorHAnsi"/>
        </w:rPr>
        <w:t>i foglalkozást szervezni</w:t>
      </w:r>
      <w:r w:rsidR="00D42E89" w:rsidRPr="00D42E89">
        <w:rPr>
          <w:rFonts w:asciiTheme="majorHAnsi" w:hAnsiTheme="majorHAnsi" w:cstheme="majorHAnsi"/>
        </w:rPr>
        <w:t xml:space="preserve">, </w:t>
      </w:r>
      <w:r w:rsidR="00D42E89">
        <w:rPr>
          <w:rFonts w:asciiTheme="majorHAnsi" w:hAnsiTheme="majorHAnsi" w:cstheme="majorHAnsi"/>
        </w:rPr>
        <w:t xml:space="preserve">amely egyúttal </w:t>
      </w:r>
      <w:r w:rsidR="00D42E89" w:rsidRPr="00D42E89">
        <w:rPr>
          <w:rFonts w:asciiTheme="majorHAnsi" w:hAnsiTheme="majorHAnsi" w:cstheme="majorHAnsi"/>
        </w:rPr>
        <w:t>hozzájárul</w:t>
      </w:r>
      <w:r w:rsidR="00D42E89">
        <w:rPr>
          <w:rFonts w:asciiTheme="majorHAnsi" w:hAnsiTheme="majorHAnsi" w:cstheme="majorHAnsi"/>
        </w:rPr>
        <w:t xml:space="preserve">hat a jobb </w:t>
      </w:r>
      <w:r w:rsidR="00D42E89" w:rsidRPr="00D42E89">
        <w:rPr>
          <w:rFonts w:asciiTheme="majorHAnsi" w:hAnsiTheme="majorHAnsi" w:cstheme="majorHAnsi"/>
        </w:rPr>
        <w:t xml:space="preserve">tanulmányi eredmények eléréséhez, </w:t>
      </w:r>
      <w:r w:rsidR="00D42E89">
        <w:rPr>
          <w:rFonts w:asciiTheme="majorHAnsi" w:hAnsiTheme="majorHAnsi" w:cstheme="majorHAnsi"/>
        </w:rPr>
        <w:t xml:space="preserve">valamint </w:t>
      </w:r>
      <w:r w:rsidR="00D42E89" w:rsidRPr="00D42E89">
        <w:rPr>
          <w:rFonts w:asciiTheme="majorHAnsi" w:hAnsiTheme="majorHAnsi" w:cstheme="majorHAnsi"/>
        </w:rPr>
        <w:t>a végzettség nélküli iskolaelhagyás csökkentéséhez</w:t>
      </w:r>
      <w:r w:rsidR="00471333">
        <w:rPr>
          <w:rFonts w:asciiTheme="majorHAnsi" w:hAnsiTheme="majorHAnsi" w:cstheme="majorHAnsi"/>
        </w:rPr>
        <w:t xml:space="preserve"> is</w:t>
      </w:r>
      <w:r w:rsidR="00D42E89" w:rsidRPr="00D42E89">
        <w:rPr>
          <w:rFonts w:asciiTheme="majorHAnsi" w:hAnsiTheme="majorHAnsi" w:cstheme="majorHAnsi"/>
        </w:rPr>
        <w:t>.</w:t>
      </w:r>
    </w:p>
    <w:p w14:paraId="5B0F9C84"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A középiskolai tanulmányi versenyek mellett megjelentek a nem tantárgyakhoz kötődő, vagy komplex versenyek (pl.: természettudományból,</w:t>
      </w:r>
      <w:r w:rsidR="00C32B8C">
        <w:rPr>
          <w:rFonts w:asciiTheme="majorHAnsi" w:hAnsiTheme="majorHAnsi" w:cstheme="majorHAnsi"/>
        </w:rPr>
        <w:t xml:space="preserve"> robotikából</w:t>
      </w:r>
      <w:r w:rsidRPr="00DC6C83">
        <w:rPr>
          <w:rFonts w:asciiTheme="majorHAnsi" w:hAnsiTheme="majorHAnsi" w:cstheme="majorHAnsi"/>
        </w:rPr>
        <w:t>). A tehetségek ma már egy adott ország versenyképességét meghatározó kulcstényezőnek számítanak. Ebből adódóan a tehetségek megtalálása, a</w:t>
      </w:r>
      <w:r w:rsidR="00E36BAB">
        <w:rPr>
          <w:rFonts w:asciiTheme="majorHAnsi" w:hAnsiTheme="majorHAnsi" w:cstheme="majorHAnsi"/>
        </w:rPr>
        <w:t xml:space="preserve"> </w:t>
      </w:r>
      <w:r w:rsidRPr="00DC6C83">
        <w:rPr>
          <w:rFonts w:asciiTheme="majorHAnsi" w:hAnsiTheme="majorHAnsi" w:cstheme="majorHAnsi"/>
        </w:rPr>
        <w:t>tanulmányi versenyek nyerteseinek nyilvántartása egy jobb nyomon követés</w:t>
      </w:r>
      <w:r w:rsidR="0070245B">
        <w:rPr>
          <w:rFonts w:asciiTheme="majorHAnsi" w:hAnsiTheme="majorHAnsi" w:cstheme="majorHAnsi"/>
        </w:rPr>
        <w:t>i</w:t>
      </w:r>
      <w:r w:rsidR="00C32B8C">
        <w:rPr>
          <w:rFonts w:asciiTheme="majorHAnsi" w:hAnsiTheme="majorHAnsi" w:cstheme="majorHAnsi"/>
        </w:rPr>
        <w:t xml:space="preserve"> és támogatási rendszer kialakítását</w:t>
      </w:r>
      <w:r w:rsidRPr="00DC6C83">
        <w:rPr>
          <w:rFonts w:asciiTheme="majorHAnsi" w:hAnsiTheme="majorHAnsi" w:cstheme="majorHAnsi"/>
        </w:rPr>
        <w:t xml:space="preserve"> tenn</w:t>
      </w:r>
      <w:r w:rsidR="0070245B">
        <w:rPr>
          <w:rFonts w:asciiTheme="majorHAnsi" w:hAnsiTheme="majorHAnsi" w:cstheme="majorHAnsi"/>
        </w:rPr>
        <w:t>é</w:t>
      </w:r>
      <w:r w:rsidRPr="00DC6C83">
        <w:rPr>
          <w:rFonts w:asciiTheme="majorHAnsi" w:hAnsiTheme="majorHAnsi" w:cstheme="majorHAnsi"/>
        </w:rPr>
        <w:t xml:space="preserve"> lehetővé.</w:t>
      </w:r>
      <w:r w:rsidR="00732B37">
        <w:rPr>
          <w:rFonts w:asciiTheme="majorHAnsi" w:hAnsiTheme="majorHAnsi" w:cstheme="majorHAnsi"/>
        </w:rPr>
        <w:t xml:space="preserve"> </w:t>
      </w:r>
      <w:r w:rsidRPr="00DC6C83">
        <w:rPr>
          <w:rFonts w:asciiTheme="majorHAnsi" w:hAnsiTheme="majorHAnsi" w:cstheme="majorHAnsi"/>
        </w:rPr>
        <w:t>Éppen ezért került sor a kiemelt tanulmányi versenyek esetén a szervezők és az adott területen kiemelkedően teljesítő magyar egyetemek összekapcsolására. 2018 óta a kiemelt versenyek szervezésében részt vevő egyetemeknek (ELTE, PTE, NJE, SZTE, PPKE, BME, DE, G</w:t>
      </w:r>
      <w:r w:rsidR="0008521D">
        <w:rPr>
          <w:rFonts w:asciiTheme="majorHAnsi" w:hAnsiTheme="majorHAnsi" w:cstheme="majorHAnsi"/>
        </w:rPr>
        <w:t>FF</w:t>
      </w:r>
      <w:r w:rsidRPr="00DC6C83">
        <w:rPr>
          <w:rFonts w:asciiTheme="majorHAnsi" w:hAnsiTheme="majorHAnsi" w:cstheme="majorHAnsi"/>
        </w:rPr>
        <w:t xml:space="preserve">) rálátásuk van a jövő reménységeire, a program keretében </w:t>
      </w:r>
      <w:proofErr w:type="spellStart"/>
      <w:r w:rsidRPr="00DC6C83">
        <w:rPr>
          <w:rFonts w:asciiTheme="majorHAnsi" w:hAnsiTheme="majorHAnsi" w:cstheme="majorHAnsi"/>
        </w:rPr>
        <w:t>mentorálást</w:t>
      </w:r>
      <w:proofErr w:type="spellEnd"/>
      <w:r w:rsidRPr="00DC6C83">
        <w:rPr>
          <w:rFonts w:asciiTheme="majorHAnsi" w:hAnsiTheme="majorHAnsi" w:cstheme="majorHAnsi"/>
        </w:rPr>
        <w:t xml:space="preserve"> indíthatnak, célzott</w:t>
      </w:r>
      <w:r w:rsidR="0070245B">
        <w:rPr>
          <w:rFonts w:asciiTheme="majorHAnsi" w:hAnsiTheme="majorHAnsi" w:cstheme="majorHAnsi"/>
        </w:rPr>
        <w:t>an</w:t>
      </w:r>
      <w:r w:rsidR="00732B37">
        <w:rPr>
          <w:rFonts w:asciiTheme="majorHAnsi" w:hAnsiTheme="majorHAnsi" w:cstheme="majorHAnsi"/>
        </w:rPr>
        <w:t xml:space="preserve"> </w:t>
      </w:r>
      <w:r w:rsidR="0070245B">
        <w:rPr>
          <w:rFonts w:asciiTheme="majorHAnsi" w:hAnsiTheme="majorHAnsi" w:cstheme="majorHAnsi"/>
        </w:rPr>
        <w:t>figyelhetnek</w:t>
      </w:r>
      <w:r w:rsidRPr="00DC6C83">
        <w:rPr>
          <w:rFonts w:asciiTheme="majorHAnsi" w:hAnsiTheme="majorHAnsi" w:cstheme="majorHAnsi"/>
        </w:rPr>
        <w:t xml:space="preserve"> az erre nyitott tanulók</w:t>
      </w:r>
      <w:r w:rsidR="0070245B">
        <w:rPr>
          <w:rFonts w:asciiTheme="majorHAnsi" w:hAnsiTheme="majorHAnsi" w:cstheme="majorHAnsi"/>
        </w:rPr>
        <w:t>ra</w:t>
      </w:r>
      <w:r w:rsidRPr="00DC6C83">
        <w:rPr>
          <w:rFonts w:asciiTheme="majorHAnsi" w:hAnsiTheme="majorHAnsi" w:cstheme="majorHAnsi"/>
        </w:rPr>
        <w:t xml:space="preserve">. </w:t>
      </w:r>
    </w:p>
    <w:p w14:paraId="00F447F4"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A tehetségek így nem vesznek el, a program azonban tovább gondolható</w:t>
      </w:r>
      <w:r w:rsidR="005F0FC6">
        <w:rPr>
          <w:rFonts w:asciiTheme="majorHAnsi" w:hAnsiTheme="majorHAnsi" w:cstheme="majorHAnsi"/>
        </w:rPr>
        <w:t>:</w:t>
      </w:r>
      <w:r w:rsidR="00E36BAB">
        <w:rPr>
          <w:rFonts w:asciiTheme="majorHAnsi" w:hAnsiTheme="majorHAnsi" w:cstheme="majorHAnsi"/>
        </w:rPr>
        <w:t xml:space="preserve"> </w:t>
      </w:r>
      <w:r w:rsidR="005F0FC6">
        <w:rPr>
          <w:rFonts w:asciiTheme="majorHAnsi" w:hAnsiTheme="majorHAnsi" w:cstheme="majorHAnsi"/>
        </w:rPr>
        <w:t>megfontolandó például</w:t>
      </w:r>
      <w:r w:rsidR="00C32B8C">
        <w:rPr>
          <w:rFonts w:asciiTheme="majorHAnsi" w:hAnsiTheme="majorHAnsi" w:cstheme="majorHAnsi"/>
        </w:rPr>
        <w:t xml:space="preserve">, </w:t>
      </w:r>
      <w:r w:rsidRPr="00DC6C83">
        <w:rPr>
          <w:rFonts w:asciiTheme="majorHAnsi" w:hAnsiTheme="majorHAnsi" w:cstheme="majorHAnsi"/>
        </w:rPr>
        <w:t xml:space="preserve">hogy a legtehetségesebb diákoknak rendszerszinten </w:t>
      </w:r>
      <w:proofErr w:type="spellStart"/>
      <w:r w:rsidRPr="00DC6C83">
        <w:rPr>
          <w:rFonts w:asciiTheme="majorHAnsi" w:hAnsiTheme="majorHAnsi" w:cstheme="majorHAnsi"/>
        </w:rPr>
        <w:t>mentorálást</w:t>
      </w:r>
      <w:proofErr w:type="spellEnd"/>
      <w:r w:rsidRPr="00DC6C83">
        <w:rPr>
          <w:rFonts w:asciiTheme="majorHAnsi" w:hAnsiTheme="majorHAnsi" w:cstheme="majorHAnsi"/>
        </w:rPr>
        <w:t xml:space="preserve"> és ösztöndíjat nyújtson az állam. A tehetséges gyerekek felkutatásában és fejlesztésében fontos szerepet tölt be a Nemzeti Tehetségsegítő Tanács, </w:t>
      </w:r>
      <w:r w:rsidR="0070245B">
        <w:rPr>
          <w:rFonts w:asciiTheme="majorHAnsi" w:hAnsiTheme="majorHAnsi" w:cstheme="majorHAnsi"/>
        </w:rPr>
        <w:t>a</w:t>
      </w:r>
      <w:r w:rsidRPr="00DC6C83">
        <w:rPr>
          <w:rFonts w:asciiTheme="majorHAnsi" w:hAnsiTheme="majorHAnsi" w:cstheme="majorHAnsi"/>
        </w:rPr>
        <w:t xml:space="preserve">mely mára már több tematikus és </w:t>
      </w:r>
      <w:r w:rsidR="00465002">
        <w:rPr>
          <w:rFonts w:asciiTheme="majorHAnsi" w:hAnsiTheme="majorHAnsi" w:cstheme="majorHAnsi"/>
        </w:rPr>
        <w:t xml:space="preserve">a </w:t>
      </w:r>
      <w:r w:rsidRPr="00DC6C83">
        <w:rPr>
          <w:rFonts w:asciiTheme="majorHAnsi" w:hAnsiTheme="majorHAnsi" w:cstheme="majorHAnsi"/>
        </w:rPr>
        <w:t xml:space="preserve">határon túli </w:t>
      </w:r>
      <w:r w:rsidR="00465002">
        <w:rPr>
          <w:rFonts w:asciiTheme="majorHAnsi" w:hAnsiTheme="majorHAnsi" w:cstheme="majorHAnsi"/>
        </w:rPr>
        <w:t xml:space="preserve">magyarságot támogató </w:t>
      </w:r>
      <w:r w:rsidRPr="00DC6C83">
        <w:rPr>
          <w:rFonts w:asciiTheme="majorHAnsi" w:hAnsiTheme="majorHAnsi" w:cstheme="majorHAnsi"/>
        </w:rPr>
        <w:t xml:space="preserve">tehetségsegítő szervezetet fog össze. </w:t>
      </w:r>
    </w:p>
    <w:p w14:paraId="6A28B04C" w14:textId="655DC458" w:rsidR="000D2604" w:rsidRDefault="00B86FE8" w:rsidP="000D2604">
      <w:pPr>
        <w:rPr>
          <w:rFonts w:asciiTheme="majorHAnsi" w:hAnsiTheme="majorHAnsi" w:cstheme="majorHAnsi"/>
        </w:rPr>
      </w:pPr>
      <w:r w:rsidRPr="00DC6C83">
        <w:rPr>
          <w:rFonts w:asciiTheme="majorHAnsi" w:hAnsiTheme="majorHAnsi" w:cstheme="majorHAnsi"/>
        </w:rPr>
        <w:t xml:space="preserve">Népszerű és praktikus oktatási kezdeményezés továbbá az Oktatási Hivatal által működtetett Tehetségkapu portál, </w:t>
      </w:r>
      <w:r w:rsidR="00051F29">
        <w:rPr>
          <w:rFonts w:asciiTheme="majorHAnsi" w:hAnsiTheme="majorHAnsi" w:cstheme="majorHAnsi"/>
        </w:rPr>
        <w:t>a</w:t>
      </w:r>
      <w:r w:rsidRPr="00DC6C83">
        <w:rPr>
          <w:rFonts w:asciiTheme="majorHAnsi" w:hAnsiTheme="majorHAnsi" w:cstheme="majorHAnsi"/>
        </w:rPr>
        <w:t xml:space="preserve">mely </w:t>
      </w:r>
      <w:r w:rsidR="00F201AD">
        <w:rPr>
          <w:rFonts w:asciiTheme="majorHAnsi" w:hAnsiTheme="majorHAnsi" w:cstheme="majorHAnsi"/>
        </w:rPr>
        <w:t xml:space="preserve">lehetővé teszi </w:t>
      </w:r>
      <w:r w:rsidRPr="00DC6C83">
        <w:rPr>
          <w:rFonts w:asciiTheme="majorHAnsi" w:hAnsiTheme="majorHAnsi" w:cstheme="majorHAnsi"/>
        </w:rPr>
        <w:t xml:space="preserve">a tanulók </w:t>
      </w:r>
      <w:r w:rsidR="00051F29">
        <w:rPr>
          <w:rFonts w:asciiTheme="majorHAnsi" w:hAnsiTheme="majorHAnsi" w:cstheme="majorHAnsi"/>
        </w:rPr>
        <w:t xml:space="preserve">tehetségének azonosítását és a fejlesztésükhöz gyakorló feladatokat </w:t>
      </w:r>
      <w:r w:rsidR="0070245B">
        <w:rPr>
          <w:rFonts w:asciiTheme="majorHAnsi" w:hAnsiTheme="majorHAnsi" w:cstheme="majorHAnsi"/>
        </w:rPr>
        <w:t>tesz elérhetővé</w:t>
      </w:r>
      <w:r w:rsidR="00051F29">
        <w:rPr>
          <w:rFonts w:asciiTheme="majorHAnsi" w:hAnsiTheme="majorHAnsi" w:cstheme="majorHAnsi"/>
        </w:rPr>
        <w:t xml:space="preserve">. </w:t>
      </w:r>
      <w:r w:rsidRPr="00DC6C83">
        <w:rPr>
          <w:rFonts w:asciiTheme="majorHAnsi" w:hAnsiTheme="majorHAnsi" w:cstheme="majorHAnsi"/>
        </w:rPr>
        <w:t>A Tehetségpont hálózat szakmai és információs bázisként működik, a tanácsadás, a pályaorientáció lehetőségét teremti meg a tehetséges gyerekek</w:t>
      </w:r>
      <w:r w:rsidR="0070245B">
        <w:rPr>
          <w:rFonts w:asciiTheme="majorHAnsi" w:hAnsiTheme="majorHAnsi" w:cstheme="majorHAnsi"/>
        </w:rPr>
        <w:t>nek</w:t>
      </w:r>
      <w:r w:rsidRPr="00DC6C83">
        <w:rPr>
          <w:rFonts w:asciiTheme="majorHAnsi" w:hAnsiTheme="majorHAnsi" w:cstheme="majorHAnsi"/>
        </w:rPr>
        <w:t xml:space="preserve"> és a szüleik</w:t>
      </w:r>
      <w:r w:rsidR="0070245B">
        <w:rPr>
          <w:rFonts w:asciiTheme="majorHAnsi" w:hAnsiTheme="majorHAnsi" w:cstheme="majorHAnsi"/>
        </w:rPr>
        <w:t>nek</w:t>
      </w:r>
      <w:r w:rsidRPr="00DC6C83">
        <w:rPr>
          <w:rFonts w:asciiTheme="majorHAnsi" w:hAnsiTheme="majorHAnsi" w:cstheme="majorHAnsi"/>
        </w:rPr>
        <w:t>.</w:t>
      </w:r>
      <w:r w:rsidR="000D2604">
        <w:rPr>
          <w:rFonts w:asciiTheme="majorHAnsi" w:hAnsiTheme="majorHAnsi" w:cstheme="majorHAnsi"/>
        </w:rPr>
        <w:t xml:space="preserve"> A tehetség-ígéretek azonosítása, fejlesztése, támogatása már óvodai korban is elkezdődik, amiben fontos pillér a 217 óvodai Tehetségpont.</w:t>
      </w:r>
      <w:r w:rsidR="000D2604">
        <w:rPr>
          <w:rStyle w:val="Lbjegyzet-hivatkozs"/>
          <w:rFonts w:asciiTheme="majorHAnsi" w:hAnsiTheme="majorHAnsi" w:cstheme="majorHAnsi"/>
        </w:rPr>
        <w:footnoteReference w:id="23"/>
      </w:r>
    </w:p>
    <w:p w14:paraId="5B153CCA" w14:textId="77777777" w:rsidR="00465002" w:rsidRDefault="00D20348" w:rsidP="00B86FE8">
      <w:pPr>
        <w:spacing w:line="276" w:lineRule="auto"/>
        <w:rPr>
          <w:rFonts w:asciiTheme="majorHAnsi" w:hAnsiTheme="majorHAnsi" w:cstheme="majorHAnsi"/>
        </w:rPr>
      </w:pPr>
      <w:r w:rsidRPr="00D20348">
        <w:rPr>
          <w:rFonts w:asciiTheme="majorHAnsi" w:hAnsiTheme="majorHAnsi" w:cstheme="majorHAnsi"/>
        </w:rPr>
        <w:t>Annak érdekében, hogy a hátrányos helyzetű, halmozottan hátrányos helyzetű, eltérő szociokulturális hátterű gyermekek tehetsége széleskörűen megmutatkozhasson, a sajátosságaikat figyelembe vevő tehetségszűrés után</w:t>
      </w:r>
      <w:r w:rsidR="0070245B">
        <w:rPr>
          <w:rFonts w:asciiTheme="majorHAnsi" w:hAnsiTheme="majorHAnsi" w:cstheme="majorHAnsi"/>
        </w:rPr>
        <w:t>,</w:t>
      </w:r>
      <w:r w:rsidRPr="00D20348">
        <w:rPr>
          <w:rFonts w:asciiTheme="majorHAnsi" w:hAnsiTheme="majorHAnsi" w:cstheme="majorHAnsi"/>
        </w:rPr>
        <w:t xml:space="preserve"> személyre szabott tehetséggondozás</w:t>
      </w:r>
      <w:r w:rsidR="0070245B">
        <w:rPr>
          <w:rFonts w:asciiTheme="majorHAnsi" w:hAnsiTheme="majorHAnsi" w:cstheme="majorHAnsi"/>
        </w:rPr>
        <w:t>i programot javaslunk</w:t>
      </w:r>
      <w:r w:rsidRPr="00D20348">
        <w:rPr>
          <w:rFonts w:asciiTheme="majorHAnsi" w:hAnsiTheme="majorHAnsi" w:cstheme="majorHAnsi"/>
        </w:rPr>
        <w:t xml:space="preserve"> számukra</w:t>
      </w:r>
      <w:r w:rsidR="0070245B">
        <w:rPr>
          <w:rFonts w:asciiTheme="majorHAnsi" w:hAnsiTheme="majorHAnsi" w:cstheme="majorHAnsi"/>
        </w:rPr>
        <w:t xml:space="preserve"> kialakítani</w:t>
      </w:r>
      <w:r w:rsidRPr="00D20348">
        <w:rPr>
          <w:rFonts w:asciiTheme="majorHAnsi" w:hAnsiTheme="majorHAnsi" w:cstheme="majorHAnsi"/>
        </w:rPr>
        <w:t>,</w:t>
      </w:r>
      <w:r>
        <w:rPr>
          <w:rFonts w:asciiTheme="majorHAnsi" w:hAnsiTheme="majorHAnsi" w:cstheme="majorHAnsi"/>
        </w:rPr>
        <w:t xml:space="preserve"> ami hozzájárulhat</w:t>
      </w:r>
      <w:r w:rsidRPr="00D20348">
        <w:rPr>
          <w:rFonts w:asciiTheme="majorHAnsi" w:hAnsiTheme="majorHAnsi" w:cstheme="majorHAnsi"/>
        </w:rPr>
        <w:t xml:space="preserve"> a végzettség nélküli iskolaelhagyás csökkentéséhez</w:t>
      </w:r>
      <w:r>
        <w:rPr>
          <w:rFonts w:asciiTheme="majorHAnsi" w:hAnsiTheme="majorHAnsi" w:cstheme="majorHAnsi"/>
        </w:rPr>
        <w:t xml:space="preserve"> is</w:t>
      </w:r>
      <w:r w:rsidRPr="00D20348">
        <w:rPr>
          <w:rFonts w:asciiTheme="majorHAnsi" w:hAnsiTheme="majorHAnsi" w:cstheme="majorHAnsi"/>
        </w:rPr>
        <w:t>.</w:t>
      </w:r>
      <w:r w:rsidR="00E36BAB">
        <w:rPr>
          <w:rFonts w:asciiTheme="majorHAnsi" w:hAnsiTheme="majorHAnsi" w:cstheme="majorHAnsi"/>
        </w:rPr>
        <w:t xml:space="preserve"> </w:t>
      </w:r>
      <w:r w:rsidR="00465002">
        <w:rPr>
          <w:rFonts w:asciiTheme="majorHAnsi" w:hAnsiTheme="majorHAnsi" w:cstheme="majorHAnsi"/>
        </w:rPr>
        <w:t xml:space="preserve">Ezen rendszerek továbbfejlesztése </w:t>
      </w:r>
      <w:r w:rsidR="0070245B">
        <w:rPr>
          <w:rFonts w:asciiTheme="majorHAnsi" w:hAnsiTheme="majorHAnsi" w:cstheme="majorHAnsi"/>
        </w:rPr>
        <w:t>javíthatja</w:t>
      </w:r>
      <w:r w:rsidR="00465002">
        <w:rPr>
          <w:rFonts w:asciiTheme="majorHAnsi" w:hAnsiTheme="majorHAnsi" w:cstheme="majorHAnsi"/>
        </w:rPr>
        <w:t xml:space="preserve"> a hazai tehetséggondozás eredményességé</w:t>
      </w:r>
      <w:r w:rsidR="0070245B">
        <w:rPr>
          <w:rFonts w:asciiTheme="majorHAnsi" w:hAnsiTheme="majorHAnsi" w:cstheme="majorHAnsi"/>
        </w:rPr>
        <w:t>t</w:t>
      </w:r>
      <w:r w:rsidR="00465002">
        <w:rPr>
          <w:rFonts w:asciiTheme="majorHAnsi" w:hAnsiTheme="majorHAnsi" w:cstheme="majorHAnsi"/>
        </w:rPr>
        <w:t xml:space="preserve">. </w:t>
      </w:r>
    </w:p>
    <w:p w14:paraId="773CA358" w14:textId="587F9647" w:rsidR="006C15FB" w:rsidRDefault="00B10B9C" w:rsidP="00B86FE8">
      <w:pPr>
        <w:spacing w:line="276" w:lineRule="auto"/>
        <w:rPr>
          <w:rFonts w:asciiTheme="majorHAnsi" w:hAnsiTheme="majorHAnsi" w:cstheme="majorHAnsi"/>
        </w:rPr>
      </w:pPr>
      <w:r>
        <w:rPr>
          <w:rFonts w:asciiTheme="majorHAnsi" w:hAnsiTheme="majorHAnsi" w:cstheme="majorHAnsi"/>
        </w:rPr>
        <w:lastRenderedPageBreak/>
        <w:t>T</w:t>
      </w:r>
      <w:r w:rsidR="006C15FB">
        <w:rPr>
          <w:rFonts w:asciiTheme="majorHAnsi" w:hAnsiTheme="majorHAnsi" w:cstheme="majorHAnsi"/>
        </w:rPr>
        <w:t xml:space="preserve">úlmutat </w:t>
      </w:r>
      <w:r>
        <w:rPr>
          <w:rFonts w:asciiTheme="majorHAnsi" w:hAnsiTheme="majorHAnsi" w:cstheme="majorHAnsi"/>
        </w:rPr>
        <w:t xml:space="preserve">ugyan </w:t>
      </w:r>
      <w:r w:rsidR="006C15FB">
        <w:rPr>
          <w:rFonts w:asciiTheme="majorHAnsi" w:hAnsiTheme="majorHAnsi" w:cstheme="majorHAnsi"/>
        </w:rPr>
        <w:t>a tehetséggondozás kérdéskörén, itt említjük meg az életpálya-tanácsadás, a pályaorientáció kiemelt fontosságát. A megfelelő pályaorientációnak jelentős szerepe lehet a továbbtanulás helyes megválasztásában, adott esetben a szakképzésbe való továbblépés elősegítésében, egyúttal a végzettség nélküli iskolaelhagyás megelőzésében. Ennek támogatás</w:t>
      </w:r>
      <w:r w:rsidR="005F4E83">
        <w:rPr>
          <w:rFonts w:asciiTheme="majorHAnsi" w:hAnsiTheme="majorHAnsi" w:cstheme="majorHAnsi"/>
        </w:rPr>
        <w:t xml:space="preserve">a céljából került kialakításra </w:t>
      </w:r>
      <w:r w:rsidR="005F4E83" w:rsidRPr="005F4E83">
        <w:rPr>
          <w:rFonts w:asciiTheme="majorHAnsi" w:hAnsiTheme="majorHAnsi" w:cstheme="majorHAnsi"/>
        </w:rPr>
        <w:t xml:space="preserve">a nyolcadik évfolyamos tanulók számára </w:t>
      </w:r>
      <w:r w:rsidR="005F4E83">
        <w:rPr>
          <w:rFonts w:asciiTheme="majorHAnsi" w:hAnsiTheme="majorHAnsi" w:cstheme="majorHAnsi"/>
        </w:rPr>
        <w:t>a</w:t>
      </w:r>
      <w:r w:rsidR="005F4E83" w:rsidRPr="005F4E83">
        <w:rPr>
          <w:rFonts w:asciiTheme="majorHAnsi" w:hAnsiTheme="majorHAnsi" w:cstheme="majorHAnsi"/>
        </w:rPr>
        <w:t xml:space="preserve"> pályaválasztást meg</w:t>
      </w:r>
      <w:r w:rsidR="005F4E83">
        <w:rPr>
          <w:rFonts w:asciiTheme="majorHAnsi" w:hAnsiTheme="majorHAnsi" w:cstheme="majorHAnsi"/>
        </w:rPr>
        <w:t>alapozó kompetenciák vizsgálatát célzó mérés. A bevezetést követően, a tapasztalatok alapján kerülhet sor ennek továbbfejlesztésére.</w:t>
      </w:r>
    </w:p>
    <w:p w14:paraId="58C9F436" w14:textId="77777777" w:rsidR="002B57AF" w:rsidRPr="002B57AF" w:rsidRDefault="002B57AF" w:rsidP="00B86FE8">
      <w:pPr>
        <w:spacing w:line="276" w:lineRule="auto"/>
        <w:rPr>
          <w:rFonts w:asciiTheme="majorHAnsi" w:hAnsiTheme="majorHAnsi" w:cstheme="majorHAnsi"/>
          <w:u w:val="single"/>
        </w:rPr>
      </w:pPr>
      <w:r w:rsidRPr="002B57AF">
        <w:rPr>
          <w:rFonts w:asciiTheme="majorHAnsi" w:hAnsiTheme="majorHAnsi" w:cstheme="majorHAnsi"/>
          <w:u w:val="single"/>
        </w:rPr>
        <w:t>A tehetséggondozás</w:t>
      </w:r>
      <w:r>
        <w:rPr>
          <w:rFonts w:asciiTheme="majorHAnsi" w:hAnsiTheme="majorHAnsi" w:cstheme="majorHAnsi"/>
          <w:u w:val="single"/>
        </w:rPr>
        <w:t>ho</w:t>
      </w:r>
      <w:r w:rsidRPr="002B57AF">
        <w:rPr>
          <w:rFonts w:asciiTheme="majorHAnsi" w:hAnsiTheme="majorHAnsi" w:cstheme="majorHAnsi"/>
          <w:u w:val="single"/>
        </w:rPr>
        <w:t>z kapcsolódó legfontosabb fejlesztési irányok:</w:t>
      </w:r>
    </w:p>
    <w:p w14:paraId="56AAABDC" w14:textId="77777777" w:rsidR="002B57AF" w:rsidRDefault="006A24A1"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tehetséggondozó programok továbbfejlesztési lehetőségeinek vizsgálata (pl. mentorálás vagy ösztöndíjas támogatás lehetőségei);</w:t>
      </w:r>
    </w:p>
    <w:p w14:paraId="6C8FF481" w14:textId="0AFF5525" w:rsidR="00AA5B17" w:rsidRDefault="002B57AF"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pályaorientációt támogató kezdeményezések továbbfejlesztése</w:t>
      </w:r>
      <w:r w:rsidR="005F4E83">
        <w:rPr>
          <w:rFonts w:asciiTheme="majorHAnsi" w:hAnsiTheme="majorHAnsi" w:cstheme="majorHAnsi"/>
        </w:rPr>
        <w:t xml:space="preserve"> (pl. pályaválasztást megalapozó kompetenciák mérése)</w:t>
      </w:r>
      <w:r>
        <w:rPr>
          <w:rFonts w:asciiTheme="majorHAnsi" w:hAnsiTheme="majorHAnsi" w:cstheme="majorHAnsi"/>
        </w:rPr>
        <w:t>.</w:t>
      </w:r>
    </w:p>
    <w:p w14:paraId="69A3F40B" w14:textId="77777777" w:rsidR="002B57AF" w:rsidRPr="00AA5B17" w:rsidRDefault="00AA5B17" w:rsidP="00AA5B17">
      <w:pPr>
        <w:spacing w:after="0" w:line="240" w:lineRule="auto"/>
        <w:jc w:val="left"/>
        <w:rPr>
          <w:rFonts w:asciiTheme="majorHAnsi" w:hAnsiTheme="majorHAnsi" w:cstheme="majorHAnsi"/>
        </w:rPr>
      </w:pPr>
      <w:r>
        <w:rPr>
          <w:rFonts w:asciiTheme="majorHAnsi" w:hAnsiTheme="majorHAnsi" w:cstheme="majorHAnsi"/>
        </w:rPr>
        <w:br w:type="page"/>
      </w:r>
    </w:p>
    <w:p w14:paraId="51D63B83" w14:textId="77777777" w:rsidR="0064296D" w:rsidRDefault="0064296D" w:rsidP="00B86FE8">
      <w:pPr>
        <w:pStyle w:val="Cmsor2"/>
        <w:rPr>
          <w:rFonts w:asciiTheme="majorHAnsi" w:hAnsiTheme="majorHAnsi" w:cstheme="majorHAnsi"/>
        </w:rPr>
      </w:pPr>
      <w:bookmarkStart w:id="79" w:name="_Toc35596143"/>
      <w:bookmarkStart w:id="80" w:name="_Toc46822720"/>
      <w:r>
        <w:rPr>
          <w:rFonts w:asciiTheme="majorHAnsi" w:hAnsiTheme="majorHAnsi" w:cstheme="majorHAnsi"/>
        </w:rPr>
        <w:lastRenderedPageBreak/>
        <w:t xml:space="preserve">A </w:t>
      </w:r>
      <w:r w:rsidR="000A59CC">
        <w:rPr>
          <w:rFonts w:asciiTheme="majorHAnsi" w:hAnsiTheme="majorHAnsi" w:cstheme="majorHAnsi"/>
        </w:rPr>
        <w:t>XXI</w:t>
      </w:r>
      <w:r>
        <w:rPr>
          <w:rFonts w:asciiTheme="majorHAnsi" w:hAnsiTheme="majorHAnsi" w:cstheme="majorHAnsi"/>
        </w:rPr>
        <w:t>. század kihívásaira reagáló köznevelés</w:t>
      </w:r>
      <w:bookmarkEnd w:id="79"/>
      <w:bookmarkEnd w:id="80"/>
    </w:p>
    <w:p w14:paraId="22B5F18D" w14:textId="46703074" w:rsidR="00B86FE8" w:rsidRPr="0064296D" w:rsidRDefault="00B86FE8" w:rsidP="00FE07E1">
      <w:pPr>
        <w:pStyle w:val="Cmsor3"/>
        <w:numPr>
          <w:ilvl w:val="2"/>
          <w:numId w:val="12"/>
        </w:numPr>
        <w:rPr>
          <w:rFonts w:asciiTheme="majorHAnsi" w:hAnsiTheme="majorHAnsi" w:cstheme="majorHAnsi"/>
        </w:rPr>
      </w:pPr>
      <w:bookmarkStart w:id="81" w:name="_Toc35596144"/>
      <w:bookmarkStart w:id="82" w:name="_Toc46822721"/>
      <w:r w:rsidRPr="0064296D">
        <w:rPr>
          <w:rFonts w:asciiTheme="majorHAnsi" w:hAnsiTheme="majorHAnsi" w:cstheme="majorHAnsi"/>
        </w:rPr>
        <w:t xml:space="preserve">Digitális </w:t>
      </w:r>
      <w:r w:rsidR="00EA5F43">
        <w:rPr>
          <w:rFonts w:asciiTheme="majorHAnsi" w:hAnsiTheme="majorHAnsi" w:cstheme="majorHAnsi"/>
        </w:rPr>
        <w:t>kompetenciák</w:t>
      </w:r>
      <w:r w:rsidR="00B01557">
        <w:rPr>
          <w:rFonts w:asciiTheme="majorHAnsi" w:hAnsiTheme="majorHAnsi" w:cstheme="majorHAnsi"/>
        </w:rPr>
        <w:t xml:space="preserve"> és szolgáltatások</w:t>
      </w:r>
      <w:r w:rsidRPr="0064296D">
        <w:rPr>
          <w:rFonts w:asciiTheme="majorHAnsi" w:hAnsiTheme="majorHAnsi" w:cstheme="majorHAnsi"/>
        </w:rPr>
        <w:t xml:space="preserve"> fejlesztése</w:t>
      </w:r>
      <w:bookmarkEnd w:id="81"/>
      <w:bookmarkEnd w:id="82"/>
    </w:p>
    <w:p w14:paraId="76A14DD2" w14:textId="09B2D5BE" w:rsidR="00316E28" w:rsidRDefault="00B86FE8" w:rsidP="00B86FE8">
      <w:pPr>
        <w:rPr>
          <w:rFonts w:asciiTheme="majorHAnsi" w:hAnsiTheme="majorHAnsi" w:cstheme="majorHAnsi"/>
        </w:rPr>
      </w:pPr>
      <w:r w:rsidRPr="00DC6C83">
        <w:rPr>
          <w:rFonts w:asciiTheme="majorHAnsi" w:hAnsiTheme="majorHAnsi" w:cstheme="majorHAnsi"/>
        </w:rPr>
        <w:t xml:space="preserve">A rohamos infokommunikációs technológiai fejlődés kihat a gazdasági-társadalmi folyamatokra is, ezáltal a köznevelés szereplői is folyamatosan új kihívásokkal találják szemben magukat. A munkaerőpiaci változások </w:t>
      </w:r>
      <w:r w:rsidR="009D7D42">
        <w:rPr>
          <w:rFonts w:asciiTheme="majorHAnsi" w:hAnsiTheme="majorHAnsi" w:cstheme="majorHAnsi"/>
        </w:rPr>
        <w:t>miatt</w:t>
      </w:r>
      <w:r w:rsidRPr="00DC6C83">
        <w:rPr>
          <w:rFonts w:asciiTheme="majorHAnsi" w:hAnsiTheme="majorHAnsi" w:cstheme="majorHAnsi"/>
        </w:rPr>
        <w:t xml:space="preserve"> a köznevelés feladatai </w:t>
      </w:r>
      <w:r w:rsidR="007E256E">
        <w:rPr>
          <w:rFonts w:asciiTheme="majorHAnsi" w:hAnsiTheme="majorHAnsi" w:cstheme="majorHAnsi"/>
        </w:rPr>
        <w:t>az egész világ</w:t>
      </w:r>
      <w:r w:rsidR="00295DFF">
        <w:rPr>
          <w:rFonts w:asciiTheme="majorHAnsi" w:hAnsiTheme="majorHAnsi" w:cstheme="majorHAnsi"/>
        </w:rPr>
        <w:t>ban</w:t>
      </w:r>
      <w:r w:rsidR="00732B37">
        <w:rPr>
          <w:rFonts w:asciiTheme="majorHAnsi" w:hAnsiTheme="majorHAnsi" w:cstheme="majorHAnsi"/>
        </w:rPr>
        <w:t xml:space="preserve"> </w:t>
      </w:r>
      <w:r w:rsidRPr="00DC6C83">
        <w:rPr>
          <w:rFonts w:asciiTheme="majorHAnsi" w:hAnsiTheme="majorHAnsi" w:cstheme="majorHAnsi"/>
        </w:rPr>
        <w:t xml:space="preserve">újrafogalmazódnak: amellett, hogy egyre kevesebb lesz a digitális </w:t>
      </w:r>
      <w:r w:rsidR="00EA5F43">
        <w:rPr>
          <w:rFonts w:asciiTheme="majorHAnsi" w:hAnsiTheme="majorHAnsi" w:cstheme="majorHAnsi"/>
        </w:rPr>
        <w:t xml:space="preserve">ismeretek és </w:t>
      </w:r>
      <w:r w:rsidRPr="00DC6C83">
        <w:rPr>
          <w:rFonts w:asciiTheme="majorHAnsi" w:hAnsiTheme="majorHAnsi" w:cstheme="majorHAnsi"/>
        </w:rPr>
        <w:t>készségek nélkül űzhető szakmák száma, a ma iskolájának olyan jövőbeli szakmákra, tevékenység</w:t>
      </w:r>
      <w:r w:rsidR="009D7D42">
        <w:rPr>
          <w:rFonts w:asciiTheme="majorHAnsi" w:hAnsiTheme="majorHAnsi" w:cstheme="majorHAnsi"/>
        </w:rPr>
        <w:t>ek el</w:t>
      </w:r>
      <w:r w:rsidRPr="00DC6C83">
        <w:rPr>
          <w:rFonts w:asciiTheme="majorHAnsi" w:hAnsiTheme="majorHAnsi" w:cstheme="majorHAnsi"/>
        </w:rPr>
        <w:t xml:space="preserve">végzésre kell felkészítenie a tanulókat, amelyek majd csak az elkövetkezőkben alakulnak ki. Ezáltal a digitális </w:t>
      </w:r>
      <w:r w:rsidR="0068077A">
        <w:rPr>
          <w:rFonts w:asciiTheme="majorHAnsi" w:hAnsiTheme="majorHAnsi" w:cstheme="majorHAnsi"/>
        </w:rPr>
        <w:t>kompetenciák</w:t>
      </w:r>
      <w:r w:rsidRPr="00DC6C83">
        <w:rPr>
          <w:rFonts w:asciiTheme="majorHAnsi" w:hAnsiTheme="majorHAnsi" w:cstheme="majorHAnsi"/>
        </w:rPr>
        <w:t xml:space="preserve"> jelentősége felértékelődik, a köznevelés kiemelt céljává válik a gyermekek és fiatalok digitális készségeinek pedagógiai elvek mentén tervezett, </w:t>
      </w:r>
      <w:r w:rsidR="007213D0">
        <w:rPr>
          <w:rFonts w:asciiTheme="majorHAnsi" w:hAnsiTheme="majorHAnsi" w:cstheme="majorHAnsi"/>
        </w:rPr>
        <w:t>nevelési feladatokon,</w:t>
      </w:r>
      <w:r w:rsidR="00E36BAB">
        <w:rPr>
          <w:rFonts w:asciiTheme="majorHAnsi" w:hAnsiTheme="majorHAnsi" w:cstheme="majorHAnsi"/>
        </w:rPr>
        <w:t xml:space="preserve"> </w:t>
      </w:r>
      <w:r w:rsidRPr="00DC6C83">
        <w:rPr>
          <w:rFonts w:asciiTheme="majorHAnsi" w:hAnsiTheme="majorHAnsi" w:cstheme="majorHAnsi"/>
        </w:rPr>
        <w:t xml:space="preserve">tantárgyakon átívelő és más </w:t>
      </w:r>
      <w:r w:rsidR="005E54FB">
        <w:rPr>
          <w:rFonts w:asciiTheme="majorHAnsi" w:hAnsiTheme="majorHAnsi" w:cstheme="majorHAnsi"/>
        </w:rPr>
        <w:t>XXI.</w:t>
      </w:r>
      <w:r w:rsidRPr="00DC6C83">
        <w:rPr>
          <w:rFonts w:asciiTheme="majorHAnsi" w:hAnsiTheme="majorHAnsi" w:cstheme="majorHAnsi"/>
        </w:rPr>
        <w:t xml:space="preserve"> századi készségekkel (mérlegelő gondolkodás, problémamegoldás, kreativitás, együttműködés</w:t>
      </w:r>
      <w:r w:rsidR="006B541B">
        <w:rPr>
          <w:rFonts w:asciiTheme="majorHAnsi" w:hAnsiTheme="majorHAnsi" w:cstheme="majorHAnsi"/>
        </w:rPr>
        <w:t>, pénzügyi tudatosság stb.</w:t>
      </w:r>
      <w:r w:rsidRPr="00DC6C83">
        <w:rPr>
          <w:rFonts w:asciiTheme="majorHAnsi" w:hAnsiTheme="majorHAnsi" w:cstheme="majorHAnsi"/>
        </w:rPr>
        <w:t>) együttesen (is) történő fejlesztése.</w:t>
      </w:r>
      <w:r w:rsidR="00316E28">
        <w:rPr>
          <w:rFonts w:asciiTheme="majorHAnsi" w:hAnsiTheme="majorHAnsi" w:cstheme="majorHAnsi"/>
        </w:rPr>
        <w:t xml:space="preserve"> </w:t>
      </w:r>
    </w:p>
    <w:p w14:paraId="1A0B4C10" w14:textId="77777777" w:rsidR="003B1EDA" w:rsidRDefault="00C85B58" w:rsidP="00B86FE8">
      <w:pPr>
        <w:rPr>
          <w:rFonts w:asciiTheme="majorHAnsi" w:hAnsiTheme="majorHAnsi" w:cstheme="majorHAnsi"/>
        </w:rPr>
      </w:pPr>
      <w:r>
        <w:rPr>
          <w:rFonts w:asciiTheme="majorHAnsi" w:hAnsiTheme="majorHAnsi" w:cstheme="majorHAnsi"/>
        </w:rPr>
        <w:t xml:space="preserve">A digitális </w:t>
      </w:r>
      <w:r w:rsidR="003B35A4">
        <w:rPr>
          <w:rFonts w:asciiTheme="majorHAnsi" w:hAnsiTheme="majorHAnsi" w:cstheme="majorHAnsi"/>
        </w:rPr>
        <w:t xml:space="preserve">ismeretek és készségek </w:t>
      </w:r>
      <w:r>
        <w:rPr>
          <w:rFonts w:asciiTheme="majorHAnsi" w:hAnsiTheme="majorHAnsi" w:cstheme="majorHAnsi"/>
        </w:rPr>
        <w:t xml:space="preserve">fejlesztése kapcsán </w:t>
      </w:r>
      <w:r w:rsidR="0068077A">
        <w:rPr>
          <w:rFonts w:asciiTheme="majorHAnsi" w:hAnsiTheme="majorHAnsi" w:cstheme="majorHAnsi"/>
        </w:rPr>
        <w:t xml:space="preserve">fontos kiemelni </w:t>
      </w:r>
      <w:r>
        <w:rPr>
          <w:rFonts w:asciiTheme="majorHAnsi" w:hAnsiTheme="majorHAnsi" w:cstheme="majorHAnsi"/>
        </w:rPr>
        <w:t>a</w:t>
      </w:r>
      <w:r w:rsidR="0068077A">
        <w:rPr>
          <w:rFonts w:asciiTheme="majorHAnsi" w:hAnsiTheme="majorHAnsi" w:cstheme="majorHAnsi"/>
        </w:rPr>
        <w:t xml:space="preserve"> </w:t>
      </w:r>
      <w:proofErr w:type="spellStart"/>
      <w:r w:rsidR="0068077A">
        <w:rPr>
          <w:rFonts w:asciiTheme="majorHAnsi" w:hAnsiTheme="majorHAnsi" w:cstheme="majorHAnsi"/>
        </w:rPr>
        <w:t>DigComp</w:t>
      </w:r>
      <w:proofErr w:type="spellEnd"/>
      <w:r w:rsidR="0068077A">
        <w:rPr>
          <w:rFonts w:asciiTheme="majorHAnsi" w:hAnsiTheme="majorHAnsi" w:cstheme="majorHAnsi"/>
        </w:rPr>
        <w:t xml:space="preserve"> rendszerére épülő állampolgári digitális kompetencia </w:t>
      </w:r>
      <w:proofErr w:type="gramStart"/>
      <w:r w:rsidR="0068077A">
        <w:rPr>
          <w:rFonts w:asciiTheme="majorHAnsi" w:hAnsiTheme="majorHAnsi" w:cstheme="majorHAnsi"/>
        </w:rPr>
        <w:t>keretet</w:t>
      </w:r>
      <w:r w:rsidR="0068077A">
        <w:rPr>
          <w:rStyle w:val="Lbjegyzet-hivatkozs"/>
          <w:rFonts w:asciiTheme="majorHAnsi" w:hAnsiTheme="majorHAnsi" w:cstheme="majorHAnsi"/>
        </w:rPr>
        <w:footnoteReference w:id="24"/>
      </w:r>
      <w:r w:rsidR="0068077A">
        <w:rPr>
          <w:rFonts w:asciiTheme="majorHAnsi" w:hAnsiTheme="majorHAnsi" w:cstheme="majorHAnsi"/>
        </w:rPr>
        <w:t>,</w:t>
      </w:r>
      <w:proofErr w:type="gramEnd"/>
      <w:r w:rsidR="0068077A">
        <w:rPr>
          <w:rFonts w:asciiTheme="majorHAnsi" w:hAnsiTheme="majorHAnsi" w:cstheme="majorHAnsi"/>
        </w:rPr>
        <w:t xml:space="preserve"> illetve az Oktatási Hivatal fejlesztésében készülő tanulói és pedagógusi digitális kompetencia keretet, amely alapvető a digitális készségek, képességek szintjének és fejlődésének mérhetőségéhez. A </w:t>
      </w:r>
      <w:proofErr w:type="spellStart"/>
      <w:r w:rsidR="0068077A">
        <w:rPr>
          <w:rFonts w:asciiTheme="majorHAnsi" w:hAnsiTheme="majorHAnsi" w:cstheme="majorHAnsi"/>
        </w:rPr>
        <w:t>DigComp</w:t>
      </w:r>
      <w:proofErr w:type="spellEnd"/>
      <w:r w:rsidR="0068077A">
        <w:rPr>
          <w:rFonts w:asciiTheme="majorHAnsi" w:hAnsiTheme="majorHAnsi" w:cstheme="majorHAnsi"/>
        </w:rPr>
        <w:t xml:space="preserve"> fő fókuszában az egyén információkezelési képessége áll, alapvetően – de nem szükségszerűen – digitális platformra építve. Ez a megközelítés a köznevelés vonatkozásában azt az igényt fogalmazza meg, hogy a pedagógiai tevékenységben az ismeret- és tudáselemek befogadása mellett az információk rendszerezésére, szelektálására fokozott hangsúlyt kell fektetni. </w:t>
      </w:r>
    </w:p>
    <w:p w14:paraId="0AB85411" w14:textId="2EABA25F" w:rsidR="00C85B58" w:rsidRDefault="003B1EDA" w:rsidP="00B86FE8">
      <w:pPr>
        <w:rPr>
          <w:rFonts w:asciiTheme="majorHAnsi" w:hAnsiTheme="majorHAnsi" w:cstheme="majorHAnsi"/>
        </w:rPr>
      </w:pPr>
      <w:r>
        <w:rPr>
          <w:rFonts w:asciiTheme="majorHAnsi" w:hAnsiTheme="majorHAnsi" w:cstheme="majorHAnsi"/>
        </w:rPr>
        <w:t>Kulcsfontosságú nemcsak a tanulók, hanem a pedagógusok digitális kompetenciáinak fejlesztése is, beleértve a technikai és módszertani tudáson és képességeken túl azt is, hogy legyenek motiváltak és elkötelezettek a digitális pedagógia alkalmazása, az egymással való együttműködés és tudásmegosztás irányában.</w:t>
      </w:r>
    </w:p>
    <w:p w14:paraId="321A2CDA" w14:textId="37D439A9" w:rsidR="006D4546" w:rsidRPr="006D4546" w:rsidRDefault="006D4546" w:rsidP="00B86FE8">
      <w:r>
        <w:rPr>
          <w:rFonts w:asciiTheme="majorHAnsi" w:hAnsiTheme="majorHAnsi" w:cstheme="majorHAnsi"/>
        </w:rPr>
        <w:t xml:space="preserve">Emellett fontos fejlesztési irány </w:t>
      </w:r>
      <w:r>
        <w:t>a tanulói teljesítmény és eredményesség objektív mérhetőségét (beleértve a digitális oktatás hasznosulásának mérhetőségét) támogató digitális mérőeszközök kialakítása, és ezek alapján a döntéshozatal további megalapozása.</w:t>
      </w:r>
    </w:p>
    <w:p w14:paraId="02083FE1" w14:textId="1F6DEF9F" w:rsidR="00C85B58" w:rsidRDefault="00C85B58" w:rsidP="00C85B58">
      <w:pPr>
        <w:rPr>
          <w:rFonts w:asciiTheme="majorHAnsi" w:hAnsiTheme="majorHAnsi" w:cstheme="majorHAnsi"/>
        </w:rPr>
      </w:pPr>
      <w:r>
        <w:rPr>
          <w:rFonts w:asciiTheme="majorHAnsi" w:hAnsiTheme="majorHAnsi" w:cstheme="majorHAnsi"/>
        </w:rPr>
        <w:t xml:space="preserve">A köznevelés </w:t>
      </w:r>
      <w:proofErr w:type="spellStart"/>
      <w:r>
        <w:rPr>
          <w:rFonts w:asciiTheme="majorHAnsi" w:hAnsiTheme="majorHAnsi" w:cstheme="majorHAnsi"/>
        </w:rPr>
        <w:t>digitalizációjára</w:t>
      </w:r>
      <w:proofErr w:type="spellEnd"/>
      <w:r>
        <w:rPr>
          <w:rFonts w:asciiTheme="majorHAnsi" w:hAnsiTheme="majorHAnsi" w:cstheme="majorHAnsi"/>
        </w:rPr>
        <w:t xml:space="preserve"> vonatkozó részletes stratégiai irányokat és beavatkozásokat a Dig</w:t>
      </w:r>
      <w:r w:rsidR="0068077A">
        <w:rPr>
          <w:rFonts w:asciiTheme="majorHAnsi" w:hAnsiTheme="majorHAnsi" w:cstheme="majorHAnsi"/>
        </w:rPr>
        <w:t>itális Oktatási Stratégia (DOS)</w:t>
      </w:r>
      <w:r>
        <w:rPr>
          <w:rFonts w:asciiTheme="majorHAnsi" w:hAnsiTheme="majorHAnsi" w:cstheme="majorHAnsi"/>
        </w:rPr>
        <w:t xml:space="preserve"> </w:t>
      </w:r>
      <w:r w:rsidR="0068077A">
        <w:rPr>
          <w:rFonts w:asciiTheme="majorHAnsi" w:hAnsiTheme="majorHAnsi" w:cstheme="majorHAnsi"/>
        </w:rPr>
        <w:t>rögzíti</w:t>
      </w:r>
      <w:r>
        <w:rPr>
          <w:rFonts w:asciiTheme="majorHAnsi" w:hAnsiTheme="majorHAnsi" w:cstheme="majorHAnsi"/>
        </w:rPr>
        <w:t xml:space="preserve">. Ennek megfelelően jelen stratégia csak a szoros kapcsolódás és a köznevelés-fejlesztés teljes kontextusának bemutatása céljából </w:t>
      </w:r>
      <w:r w:rsidR="0068077A">
        <w:rPr>
          <w:rFonts w:asciiTheme="majorHAnsi" w:hAnsiTheme="majorHAnsi" w:cstheme="majorHAnsi"/>
        </w:rPr>
        <w:t>foglalja össze tömören</w:t>
      </w:r>
      <w:r>
        <w:rPr>
          <w:rFonts w:asciiTheme="majorHAnsi" w:hAnsiTheme="majorHAnsi" w:cstheme="majorHAnsi"/>
        </w:rPr>
        <w:t xml:space="preserve"> a legf</w:t>
      </w:r>
      <w:r w:rsidR="0068077A">
        <w:rPr>
          <w:rFonts w:asciiTheme="majorHAnsi" w:hAnsiTheme="majorHAnsi" w:cstheme="majorHAnsi"/>
        </w:rPr>
        <w:t>ontosabb fejlesztési irányokat.</w:t>
      </w:r>
    </w:p>
    <w:p w14:paraId="764D831D" w14:textId="77777777" w:rsidR="006D4546" w:rsidRDefault="006D4546" w:rsidP="00C85B58">
      <w:pPr>
        <w:rPr>
          <w:rFonts w:asciiTheme="majorHAnsi" w:hAnsiTheme="majorHAnsi" w:cstheme="majorHAnsi"/>
        </w:rPr>
      </w:pPr>
    </w:p>
    <w:p w14:paraId="5EF01EDA" w14:textId="1A67A2D2" w:rsidR="00952363" w:rsidRPr="00DC0756" w:rsidRDefault="00952363" w:rsidP="00952363">
      <w:pPr>
        <w:spacing w:line="276" w:lineRule="auto"/>
        <w:rPr>
          <w:rFonts w:asciiTheme="majorHAnsi" w:hAnsiTheme="majorHAnsi" w:cstheme="majorHAnsi"/>
          <w:u w:val="single"/>
        </w:rPr>
      </w:pPr>
      <w:r w:rsidRPr="00DC0756">
        <w:rPr>
          <w:rFonts w:asciiTheme="majorHAnsi" w:hAnsiTheme="majorHAnsi" w:cstheme="majorHAnsi"/>
          <w:u w:val="single"/>
        </w:rPr>
        <w:lastRenderedPageBreak/>
        <w:t xml:space="preserve">A digitális </w:t>
      </w:r>
      <w:r w:rsidR="00EA5F43">
        <w:rPr>
          <w:rFonts w:asciiTheme="majorHAnsi" w:hAnsiTheme="majorHAnsi" w:cstheme="majorHAnsi"/>
          <w:u w:val="single"/>
        </w:rPr>
        <w:t>kompetenciák</w:t>
      </w:r>
      <w:r w:rsidRPr="00DC0756">
        <w:rPr>
          <w:rFonts w:asciiTheme="majorHAnsi" w:hAnsiTheme="majorHAnsi" w:cstheme="majorHAnsi"/>
          <w:u w:val="single"/>
        </w:rPr>
        <w:t xml:space="preserve"> </w:t>
      </w:r>
      <w:r w:rsidR="00B01557">
        <w:rPr>
          <w:rFonts w:asciiTheme="majorHAnsi" w:hAnsiTheme="majorHAnsi" w:cstheme="majorHAnsi"/>
          <w:u w:val="single"/>
        </w:rPr>
        <w:t xml:space="preserve">és szolgáltatások </w:t>
      </w:r>
      <w:r w:rsidRPr="00DC0756">
        <w:rPr>
          <w:rFonts w:asciiTheme="majorHAnsi" w:hAnsiTheme="majorHAnsi" w:cstheme="majorHAnsi"/>
          <w:u w:val="single"/>
        </w:rPr>
        <w:t>fejlesztéséhez kapcsolódó legfontosabb fejlesztési irányok:</w:t>
      </w:r>
    </w:p>
    <w:p w14:paraId="3CDC8303" w14:textId="77777777" w:rsidR="00952363" w:rsidRDefault="00952363"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internet-sávszélesség bővítése, működés-biztonságának fejlesztése,</w:t>
      </w:r>
    </w:p>
    <w:p w14:paraId="729AE08E" w14:textId="1125A96D" w:rsidR="00952363" w:rsidRDefault="00952363"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 xml:space="preserve">intézményi digitális </w:t>
      </w:r>
      <w:r w:rsidRPr="00676CCC">
        <w:rPr>
          <w:rFonts w:asciiTheme="majorHAnsi" w:hAnsiTheme="majorHAnsi" w:cstheme="majorHAnsi"/>
        </w:rPr>
        <w:t>infrastruktúra</w:t>
      </w:r>
      <w:r>
        <w:rPr>
          <w:rFonts w:asciiTheme="majorHAnsi" w:hAnsiTheme="majorHAnsi" w:cstheme="majorHAnsi"/>
        </w:rPr>
        <w:t xml:space="preserve"> és eszközpark</w:t>
      </w:r>
      <w:r w:rsidR="00732B37">
        <w:rPr>
          <w:rFonts w:asciiTheme="majorHAnsi" w:hAnsiTheme="majorHAnsi" w:cstheme="majorHAnsi"/>
        </w:rPr>
        <w:t xml:space="preserve"> </w:t>
      </w:r>
      <w:r>
        <w:rPr>
          <w:rFonts w:asciiTheme="majorHAnsi" w:hAnsiTheme="majorHAnsi" w:cstheme="majorHAnsi"/>
        </w:rPr>
        <w:t xml:space="preserve">folyamatos fejlesztése, szakszerű </w:t>
      </w:r>
      <w:r w:rsidRPr="00676CCC">
        <w:rPr>
          <w:rFonts w:asciiTheme="majorHAnsi" w:hAnsiTheme="majorHAnsi" w:cstheme="majorHAnsi"/>
        </w:rPr>
        <w:t>karbantartása és</w:t>
      </w:r>
      <w:r>
        <w:rPr>
          <w:rFonts w:asciiTheme="majorHAnsi" w:hAnsiTheme="majorHAnsi" w:cstheme="majorHAnsi"/>
        </w:rPr>
        <w:t xml:space="preserve"> stabil működés</w:t>
      </w:r>
      <w:r w:rsidR="009D7D42">
        <w:rPr>
          <w:rFonts w:asciiTheme="majorHAnsi" w:hAnsiTheme="majorHAnsi" w:cstheme="majorHAnsi"/>
        </w:rPr>
        <w:t>i feltételeinek megteremtése</w:t>
      </w:r>
      <w:r w:rsidR="005E24F9">
        <w:rPr>
          <w:rFonts w:asciiTheme="majorHAnsi" w:hAnsiTheme="majorHAnsi" w:cstheme="majorHAnsi"/>
        </w:rPr>
        <w:t>, különös tekintettel a leghátrányosabb térségekre</w:t>
      </w:r>
      <w:r>
        <w:rPr>
          <w:rFonts w:asciiTheme="majorHAnsi" w:hAnsiTheme="majorHAnsi" w:cstheme="majorHAnsi"/>
        </w:rPr>
        <w:t>;</w:t>
      </w:r>
    </w:p>
    <w:p w14:paraId="09C1D443" w14:textId="31B4FA36" w:rsidR="00561A71" w:rsidRDefault="00561A71"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saját eszköz használat kereteire vonatkozó módszertani ajánlás és eljárásrend kialakítása, szűrő- és védelmi rendszerek biztosítása, biztonságos eszközhasználat elősegítése;</w:t>
      </w:r>
    </w:p>
    <w:p w14:paraId="5C16D164" w14:textId="0F4F8B2F" w:rsidR="00316E28" w:rsidRPr="00676CCC" w:rsidRDefault="00316E28"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tanulói dig</w:t>
      </w:r>
      <w:r w:rsidR="00AF4F02">
        <w:rPr>
          <w:rFonts w:asciiTheme="majorHAnsi" w:hAnsiTheme="majorHAnsi" w:cstheme="majorHAnsi"/>
        </w:rPr>
        <w:t>itális kompetenciák fejlesztése</w:t>
      </w:r>
      <w:r>
        <w:rPr>
          <w:rFonts w:asciiTheme="majorHAnsi" w:hAnsiTheme="majorHAnsi" w:cstheme="majorHAnsi"/>
        </w:rPr>
        <w:t>;</w:t>
      </w:r>
    </w:p>
    <w:p w14:paraId="2E410F99" w14:textId="79DAD87E" w:rsidR="003B1EDA" w:rsidRDefault="00952363" w:rsidP="003B1EDA">
      <w:pPr>
        <w:pStyle w:val="Listaszerbekezds"/>
        <w:numPr>
          <w:ilvl w:val="0"/>
          <w:numId w:val="7"/>
        </w:numPr>
        <w:spacing w:line="276" w:lineRule="auto"/>
        <w:rPr>
          <w:rFonts w:asciiTheme="majorHAnsi" w:hAnsiTheme="majorHAnsi" w:cstheme="majorHAnsi"/>
        </w:rPr>
      </w:pPr>
      <w:r>
        <w:rPr>
          <w:rFonts w:asciiTheme="majorHAnsi" w:hAnsiTheme="majorHAnsi" w:cstheme="majorHAnsi"/>
        </w:rPr>
        <w:t xml:space="preserve">pedagógusok digitális </w:t>
      </w:r>
      <w:r w:rsidR="00EA5F43">
        <w:rPr>
          <w:rFonts w:asciiTheme="majorHAnsi" w:hAnsiTheme="majorHAnsi" w:cstheme="majorHAnsi"/>
        </w:rPr>
        <w:t>kompetenciáinak</w:t>
      </w:r>
      <w:r w:rsidR="003B1EDA">
        <w:rPr>
          <w:rFonts w:asciiTheme="majorHAnsi" w:hAnsiTheme="majorHAnsi" w:cstheme="majorHAnsi"/>
        </w:rPr>
        <w:t xml:space="preserve"> (</w:t>
      </w:r>
      <w:proofErr w:type="spellStart"/>
      <w:r w:rsidR="003B1EDA">
        <w:rPr>
          <w:rFonts w:asciiTheme="majorHAnsi" w:hAnsiTheme="majorHAnsi" w:cstheme="majorHAnsi"/>
        </w:rPr>
        <w:t>IKT-tudás</w:t>
      </w:r>
      <w:proofErr w:type="spellEnd"/>
      <w:r w:rsidR="003B1EDA">
        <w:rPr>
          <w:rFonts w:asciiTheme="majorHAnsi" w:hAnsiTheme="majorHAnsi" w:cstheme="majorHAnsi"/>
        </w:rPr>
        <w:t>, módszertani kultúra, motiváció és eszközhasználat, együttműködés</w:t>
      </w:r>
      <w:r w:rsidR="00561A71">
        <w:rPr>
          <w:rFonts w:asciiTheme="majorHAnsi" w:hAnsiTheme="majorHAnsi" w:cstheme="majorHAnsi"/>
        </w:rPr>
        <w:t>, egyéni sajátosságokat figyelembe vevő digitális pedagógiai megoldások</w:t>
      </w:r>
      <w:r w:rsidR="003B1EDA">
        <w:rPr>
          <w:rFonts w:asciiTheme="majorHAnsi" w:hAnsiTheme="majorHAnsi" w:cstheme="majorHAnsi"/>
        </w:rPr>
        <w:t xml:space="preserve"> stb.) fejlesztése;</w:t>
      </w:r>
    </w:p>
    <w:p w14:paraId="3AA598F4" w14:textId="3358DD26" w:rsidR="00952363" w:rsidRPr="003B1EDA" w:rsidRDefault="00952363" w:rsidP="003B1EDA">
      <w:pPr>
        <w:pStyle w:val="Listaszerbekezds"/>
        <w:numPr>
          <w:ilvl w:val="0"/>
          <w:numId w:val="7"/>
        </w:numPr>
        <w:spacing w:line="276" w:lineRule="auto"/>
        <w:rPr>
          <w:rFonts w:asciiTheme="majorHAnsi" w:hAnsiTheme="majorHAnsi" w:cstheme="majorHAnsi"/>
        </w:rPr>
      </w:pPr>
      <w:r w:rsidRPr="003B1EDA">
        <w:rPr>
          <w:rFonts w:asciiTheme="majorHAnsi" w:hAnsiTheme="majorHAnsi" w:cstheme="majorHAnsi"/>
        </w:rPr>
        <w:t>digitális pedagógiai megoldások alkalmazásának ösztönzése és támo</w:t>
      </w:r>
      <w:r w:rsidR="003B1EDA">
        <w:rPr>
          <w:rFonts w:asciiTheme="majorHAnsi" w:hAnsiTheme="majorHAnsi" w:cstheme="majorHAnsi"/>
        </w:rPr>
        <w:t>gatása a szaktárgyak szintjén is</w:t>
      </w:r>
      <w:r w:rsidRPr="003B1EDA">
        <w:rPr>
          <w:rFonts w:asciiTheme="majorHAnsi" w:hAnsiTheme="majorHAnsi" w:cstheme="majorHAnsi"/>
        </w:rPr>
        <w:t>;</w:t>
      </w:r>
    </w:p>
    <w:p w14:paraId="7DE99BBC" w14:textId="17DB0899" w:rsidR="006D7752" w:rsidRPr="00676CCC" w:rsidRDefault="007E1EA0"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 xml:space="preserve">tanulók és </w:t>
      </w:r>
      <w:r w:rsidR="006D7752">
        <w:rPr>
          <w:rFonts w:asciiTheme="majorHAnsi" w:hAnsiTheme="majorHAnsi" w:cstheme="majorHAnsi"/>
        </w:rPr>
        <w:t>pedagógusok digitális pedagógiai kultúrájának és biztonságos i</w:t>
      </w:r>
      <w:r w:rsidR="003B1EDA">
        <w:rPr>
          <w:rFonts w:asciiTheme="majorHAnsi" w:hAnsiTheme="majorHAnsi" w:cstheme="majorHAnsi"/>
        </w:rPr>
        <w:t>nternethasználatának támogatása, megfelelő módszertani és technikai támogatás biztosítása,</w:t>
      </w:r>
    </w:p>
    <w:p w14:paraId="06086600" w14:textId="77777777" w:rsidR="00B01557" w:rsidRDefault="00952363"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pedagógusok munkáját ösztönző tudásmenedzsment megoldások bővítése</w:t>
      </w:r>
      <w:r w:rsidR="00B01557">
        <w:rPr>
          <w:rFonts w:asciiTheme="majorHAnsi" w:hAnsiTheme="majorHAnsi" w:cstheme="majorHAnsi"/>
        </w:rPr>
        <w:t>;</w:t>
      </w:r>
    </w:p>
    <w:p w14:paraId="0B3DB44B" w14:textId="74BC5BEF" w:rsidR="00952363" w:rsidRDefault="00B01557"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 xml:space="preserve">köznevelési </w:t>
      </w:r>
      <w:r w:rsidRPr="00DE332C">
        <w:rPr>
          <w:rFonts w:asciiTheme="majorHAnsi" w:hAnsiTheme="majorHAnsi" w:cstheme="majorHAnsi"/>
        </w:rPr>
        <w:t xml:space="preserve">e-ügyintézés </w:t>
      </w:r>
      <w:r w:rsidR="00DE332C">
        <w:rPr>
          <w:rFonts w:asciiTheme="majorHAnsi" w:hAnsiTheme="majorHAnsi" w:cstheme="majorHAnsi"/>
        </w:rPr>
        <w:t xml:space="preserve">és digitális szolgáltatási </w:t>
      </w:r>
      <w:r w:rsidR="00DE332C" w:rsidRPr="00DE332C">
        <w:rPr>
          <w:rFonts w:asciiTheme="majorHAnsi" w:hAnsiTheme="majorHAnsi" w:cstheme="majorHAnsi"/>
        </w:rPr>
        <w:t>lehetősége</w:t>
      </w:r>
      <w:r w:rsidR="003B35A4">
        <w:rPr>
          <w:rFonts w:asciiTheme="majorHAnsi" w:hAnsiTheme="majorHAnsi" w:cstheme="majorHAnsi"/>
        </w:rPr>
        <w:t>k</w:t>
      </w:r>
      <w:r w:rsidR="00DA26A9">
        <w:rPr>
          <w:rFonts w:asciiTheme="majorHAnsi" w:hAnsiTheme="majorHAnsi" w:cstheme="majorHAnsi"/>
        </w:rPr>
        <w:t>, kiemelten a KRÉTA rendszer</w:t>
      </w:r>
      <w:r w:rsidR="00DA26A9" w:rsidRPr="00DA26A9">
        <w:rPr>
          <w:rFonts w:asciiTheme="majorHAnsi" w:hAnsiTheme="majorHAnsi" w:cstheme="majorHAnsi"/>
        </w:rPr>
        <w:t xml:space="preserve"> </w:t>
      </w:r>
      <w:r w:rsidR="00DA26A9">
        <w:rPr>
          <w:rFonts w:asciiTheme="majorHAnsi" w:hAnsiTheme="majorHAnsi" w:cstheme="majorHAnsi"/>
        </w:rPr>
        <w:t>bővítése</w:t>
      </w:r>
      <w:r w:rsidR="003B35A4">
        <w:rPr>
          <w:rFonts w:asciiTheme="majorHAnsi" w:hAnsiTheme="majorHAnsi" w:cstheme="majorHAnsi"/>
        </w:rPr>
        <w:t>;</w:t>
      </w:r>
    </w:p>
    <w:p w14:paraId="42A969A0" w14:textId="7EECB02C" w:rsidR="006D4546" w:rsidRPr="006D4546" w:rsidRDefault="006D4546" w:rsidP="006D4546">
      <w:pPr>
        <w:pStyle w:val="Listaszerbekezds"/>
        <w:numPr>
          <w:ilvl w:val="0"/>
          <w:numId w:val="7"/>
        </w:numPr>
      </w:pPr>
      <w:r>
        <w:t xml:space="preserve">a tanulói teljesítmény és eredményesség objektív mérhetőségét (beleértve a digitális oktatás hasznosulásának mérhetőségét) támogató digitális mérőeszközök kialakítása; </w:t>
      </w:r>
    </w:p>
    <w:p w14:paraId="593A4DC1" w14:textId="3A76E9AD" w:rsidR="00B86FE8" w:rsidRDefault="003B35A4" w:rsidP="00B86FE8">
      <w:pPr>
        <w:pStyle w:val="Listaszerbekezds"/>
        <w:numPr>
          <w:ilvl w:val="0"/>
          <w:numId w:val="7"/>
        </w:numPr>
        <w:spacing w:line="276" w:lineRule="auto"/>
        <w:rPr>
          <w:rFonts w:asciiTheme="majorHAnsi" w:hAnsiTheme="majorHAnsi" w:cstheme="majorHAnsi"/>
        </w:rPr>
      </w:pPr>
      <w:r w:rsidRPr="003B35A4">
        <w:rPr>
          <w:rFonts w:asciiTheme="majorHAnsi" w:hAnsiTheme="majorHAnsi" w:cstheme="majorHAnsi"/>
        </w:rPr>
        <w:t>a digitális infrastruktúra és a digitális kompetenciák kiemelt fejlesztése az esélyteremtés céljából a rászoruló, nehéz helyzetű tanulók felzárkóztatására</w:t>
      </w:r>
      <w:r>
        <w:rPr>
          <w:rFonts w:asciiTheme="majorHAnsi" w:hAnsiTheme="majorHAnsi" w:cstheme="majorHAnsi"/>
        </w:rPr>
        <w:t>.</w:t>
      </w:r>
    </w:p>
    <w:p w14:paraId="0CE98986" w14:textId="77777777" w:rsidR="006D4546" w:rsidRPr="003B35A4" w:rsidRDefault="006D4546" w:rsidP="006D4546">
      <w:pPr>
        <w:pStyle w:val="Listaszerbekezds"/>
        <w:spacing w:line="276" w:lineRule="auto"/>
        <w:rPr>
          <w:rFonts w:asciiTheme="majorHAnsi" w:hAnsiTheme="majorHAnsi" w:cstheme="majorHAnsi"/>
        </w:rPr>
      </w:pPr>
    </w:p>
    <w:p w14:paraId="2CC5BAE8" w14:textId="2756B595" w:rsidR="00B86FE8" w:rsidRPr="00DC6C83" w:rsidRDefault="00B86FE8" w:rsidP="0064296D">
      <w:pPr>
        <w:pStyle w:val="Cmsor4"/>
      </w:pPr>
      <w:bookmarkStart w:id="83" w:name="_Toc35596145"/>
      <w:bookmarkStart w:id="84" w:name="_Toc46822722"/>
      <w:r w:rsidRPr="00DC6C83">
        <w:t xml:space="preserve">A digitális </w:t>
      </w:r>
      <w:r w:rsidR="00EA5F43">
        <w:t>kompetenciák</w:t>
      </w:r>
      <w:r w:rsidRPr="00DC6C83">
        <w:t xml:space="preserve"> fontossága</w:t>
      </w:r>
      <w:bookmarkEnd w:id="83"/>
      <w:bookmarkEnd w:id="84"/>
    </w:p>
    <w:p w14:paraId="0837D55C" w14:textId="15E30089" w:rsidR="00AF4F02"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 digitális </w:t>
      </w:r>
      <w:r w:rsidR="00EA5F43">
        <w:rPr>
          <w:rFonts w:asciiTheme="majorHAnsi" w:hAnsiTheme="majorHAnsi" w:cstheme="majorHAnsi"/>
        </w:rPr>
        <w:t>kompetenciák</w:t>
      </w:r>
      <w:r w:rsidRPr="00DC6C83">
        <w:rPr>
          <w:rFonts w:asciiTheme="majorHAnsi" w:hAnsiTheme="majorHAnsi" w:cstheme="majorHAnsi"/>
        </w:rPr>
        <w:t xml:space="preserve"> túlmutatnak az eszközhasználaton: a digitális térben történő biztonságos, felelősségteljes tevékenykedés, valamint az abban rejlő lehetőségek kihasználása nem csak a munkaerőpiacon történő érvényesülés, de a mindennapi életben való boldogulás alappillérei is. Növekvő jelentőségük ellenére a társadalmon belül a digitális </w:t>
      </w:r>
      <w:r w:rsidR="00EA5F43">
        <w:rPr>
          <w:rFonts w:asciiTheme="majorHAnsi" w:hAnsiTheme="majorHAnsi" w:cstheme="majorHAnsi"/>
        </w:rPr>
        <w:t xml:space="preserve">ismeretek, </w:t>
      </w:r>
      <w:r w:rsidRPr="00DC6C83">
        <w:rPr>
          <w:rFonts w:asciiTheme="majorHAnsi" w:hAnsiTheme="majorHAnsi" w:cstheme="majorHAnsi"/>
        </w:rPr>
        <w:t xml:space="preserve">készségek jelentős különbségeket mutatnak a területi és szociális helyzettől függően, amely növeli a társadalmi egyenlőtlenséget azáltal, hogy a digitális </w:t>
      </w:r>
      <w:r w:rsidR="00EA5F43">
        <w:rPr>
          <w:rFonts w:asciiTheme="majorHAnsi" w:hAnsiTheme="majorHAnsi" w:cstheme="majorHAnsi"/>
        </w:rPr>
        <w:t>kompetenciákkal</w:t>
      </w:r>
      <w:r w:rsidRPr="00DC6C83">
        <w:rPr>
          <w:rFonts w:asciiTheme="majorHAnsi" w:hAnsiTheme="majorHAnsi" w:cstheme="majorHAnsi"/>
        </w:rPr>
        <w:t xml:space="preserve"> rendelkezők könnyebben és gyorsabban érnek el bizonyos szolgáltatásokat, előnyöket, míg a digitális készségekkel nem, vagy csak korlátozottan rendelkezők jelentős hátrány elszenvedői. Az esélyteremtés miatt is fontos, hogy a </w:t>
      </w:r>
      <w:r w:rsidR="002B4AD6">
        <w:rPr>
          <w:rFonts w:asciiTheme="majorHAnsi" w:hAnsiTheme="majorHAnsi" w:cstheme="majorHAnsi"/>
        </w:rPr>
        <w:t>nevelés</w:t>
      </w:r>
      <w:r w:rsidR="00E36BAB">
        <w:rPr>
          <w:rFonts w:asciiTheme="majorHAnsi" w:hAnsiTheme="majorHAnsi" w:cstheme="majorHAnsi"/>
        </w:rPr>
        <w:t xml:space="preserve"> </w:t>
      </w:r>
      <w:r w:rsidRPr="00DC6C83">
        <w:rPr>
          <w:rFonts w:asciiTheme="majorHAnsi" w:hAnsiTheme="majorHAnsi" w:cstheme="majorHAnsi"/>
        </w:rPr>
        <w:t xml:space="preserve">és a képzés kiemelten kezelje a digitális </w:t>
      </w:r>
      <w:r w:rsidR="00EA5F43">
        <w:rPr>
          <w:rFonts w:asciiTheme="majorHAnsi" w:hAnsiTheme="majorHAnsi" w:cstheme="majorHAnsi"/>
        </w:rPr>
        <w:t xml:space="preserve">ismeretek, </w:t>
      </w:r>
      <w:r w:rsidRPr="00DC6C83">
        <w:rPr>
          <w:rFonts w:asciiTheme="majorHAnsi" w:hAnsiTheme="majorHAnsi" w:cstheme="majorHAnsi"/>
        </w:rPr>
        <w:t>készségek átadását</w:t>
      </w:r>
      <w:r w:rsidR="00EA5F43">
        <w:rPr>
          <w:rFonts w:asciiTheme="majorHAnsi" w:hAnsiTheme="majorHAnsi" w:cstheme="majorHAnsi"/>
        </w:rPr>
        <w:t xml:space="preserve"> és fejlesztését</w:t>
      </w:r>
      <w:r w:rsidR="00295DFF">
        <w:rPr>
          <w:rFonts w:asciiTheme="majorHAnsi" w:hAnsiTheme="majorHAnsi" w:cstheme="majorHAnsi"/>
        </w:rPr>
        <w:t>, miközben tekintettel kell lennünk a digitalizáció mentális és egészségi hatásaira is.</w:t>
      </w:r>
    </w:p>
    <w:p w14:paraId="1CA59FFD" w14:textId="7328C1E9" w:rsidR="00316E28" w:rsidRDefault="00316E28" w:rsidP="00316E28">
      <w:pPr>
        <w:rPr>
          <w:rFonts w:asciiTheme="majorHAnsi" w:hAnsiTheme="majorHAnsi" w:cstheme="majorHAnsi"/>
        </w:rPr>
      </w:pPr>
      <w:r>
        <w:rPr>
          <w:rFonts w:asciiTheme="majorHAnsi" w:hAnsiTheme="majorHAnsi" w:cstheme="majorHAnsi"/>
        </w:rPr>
        <w:lastRenderedPageBreak/>
        <w:t xml:space="preserve">A fejlesztendő tanulói digitális kompetenciák között a már korábban említettek mellett kiemelten fontos szerepe lesz a jövő munkaerőpiacán (sőt, már most is) a programozásnak, a robotika és a mesterséges intelligencia alkalmazásának. Ezek fontosságát </w:t>
      </w:r>
      <w:r w:rsidR="00AF4F02">
        <w:rPr>
          <w:rFonts w:asciiTheme="majorHAnsi" w:hAnsiTheme="majorHAnsi" w:cstheme="majorHAnsi"/>
        </w:rPr>
        <w:t>elsősorban az adja, hogy a termelékenység színvonalának emelésén keresztül hozzájárulhatnak az elmúlt években tapasztalt dinamikus gazdasági fejlődés fenntartásához.</w:t>
      </w:r>
    </w:p>
    <w:p w14:paraId="13BA845D" w14:textId="65178B98" w:rsidR="00AF4F02" w:rsidRDefault="00AF4F02" w:rsidP="00AF4F02">
      <w:pPr>
        <w:spacing w:line="276" w:lineRule="auto"/>
        <w:rPr>
          <w:rFonts w:asciiTheme="majorHAnsi" w:hAnsiTheme="majorHAnsi" w:cstheme="majorHAnsi"/>
        </w:rPr>
      </w:pPr>
      <w:r>
        <w:rPr>
          <w:rFonts w:asciiTheme="majorHAnsi" w:hAnsiTheme="majorHAnsi" w:cstheme="majorHAnsi"/>
        </w:rPr>
        <w:t>Összefoglalva, a köznevelés egyik alapvető törekvése, hogy megfelelő szintű digitális kompetenciával rendelkező, bármilyen gazdasági ágazatban boldogulni képes, innovatív embereket bocsásson ki intézményeiből. A 2020-ban megújult Nemzeti Alaptanterv ezt a szemléletváltást nemcsak a korábbi informatika helyett a sokkal szélesebb fókuszt jelentő digitális kultúra tantárgy bevezetésével, hanem azzal is támogatja, hogy valamennyi tantárgyba beépültek a digitális kompetenciák fejlesztését célzó módszertani megoldások és pedagógiai eszközök.</w:t>
      </w:r>
    </w:p>
    <w:p w14:paraId="7443485A" w14:textId="77777777" w:rsidR="00952363" w:rsidRPr="00DC6C83" w:rsidRDefault="00952363" w:rsidP="00B86FE8">
      <w:pPr>
        <w:spacing w:line="276" w:lineRule="auto"/>
        <w:rPr>
          <w:rFonts w:asciiTheme="majorHAnsi" w:hAnsiTheme="majorHAnsi" w:cstheme="majorHAnsi"/>
        </w:rPr>
      </w:pPr>
    </w:p>
    <w:p w14:paraId="543BAB6A" w14:textId="77777777" w:rsidR="00B86FE8" w:rsidRPr="00DC6C83" w:rsidRDefault="00B86FE8" w:rsidP="0064296D">
      <w:pPr>
        <w:pStyle w:val="Cmsor4"/>
      </w:pPr>
      <w:bookmarkStart w:id="85" w:name="_Toc35596146"/>
      <w:bookmarkStart w:id="86" w:name="_Toc46822723"/>
      <w:r w:rsidRPr="00DC6C83">
        <w:t>Digitális infrastruktúra</w:t>
      </w:r>
      <w:bookmarkEnd w:id="85"/>
      <w:bookmarkEnd w:id="86"/>
    </w:p>
    <w:p w14:paraId="102BF221" w14:textId="321277F0" w:rsidR="00B86FE8" w:rsidRPr="00DC6C83" w:rsidRDefault="00B86FE8" w:rsidP="0048730B">
      <w:pPr>
        <w:spacing w:line="276" w:lineRule="auto"/>
        <w:rPr>
          <w:rFonts w:asciiTheme="majorHAnsi" w:hAnsiTheme="majorHAnsi" w:cstheme="majorHAnsi"/>
        </w:rPr>
      </w:pPr>
      <w:r w:rsidRPr="00DC6C83">
        <w:rPr>
          <w:rFonts w:asciiTheme="majorHAnsi" w:hAnsiTheme="majorHAnsi" w:cstheme="majorHAnsi"/>
        </w:rPr>
        <w:t>A köznevelési intézmények internet-ellátottsága fejlesztések tárgyát képez</w:t>
      </w:r>
      <w:r w:rsidR="00633B7B">
        <w:rPr>
          <w:rFonts w:asciiTheme="majorHAnsi" w:hAnsiTheme="majorHAnsi" w:cstheme="majorHAnsi"/>
        </w:rPr>
        <w:t>te</w:t>
      </w:r>
      <w:r w:rsidRPr="00DC6C83">
        <w:rPr>
          <w:rFonts w:asciiTheme="majorHAnsi" w:hAnsiTheme="majorHAnsi" w:cstheme="majorHAnsi"/>
        </w:rPr>
        <w:t xml:space="preserve"> az elmúlt években</w:t>
      </w:r>
      <w:r w:rsidR="00633B7B">
        <w:rPr>
          <w:rFonts w:asciiTheme="majorHAnsi" w:hAnsiTheme="majorHAnsi" w:cstheme="majorHAnsi"/>
        </w:rPr>
        <w:t xml:space="preserve"> is.</w:t>
      </w:r>
      <w:r w:rsidR="00732B37">
        <w:rPr>
          <w:rFonts w:asciiTheme="majorHAnsi" w:hAnsiTheme="majorHAnsi" w:cstheme="majorHAnsi"/>
        </w:rPr>
        <w:t xml:space="preserve"> </w:t>
      </w:r>
      <w:r w:rsidR="0048730B" w:rsidRPr="0048730B">
        <w:rPr>
          <w:rFonts w:asciiTheme="majorHAnsi" w:hAnsiTheme="majorHAnsi" w:cstheme="majorHAnsi"/>
        </w:rPr>
        <w:t>Az internet-ellátottság fejlesztése továbbra is a digitális készségek fejlesztésének</w:t>
      </w:r>
      <w:r w:rsidR="0048730B">
        <w:rPr>
          <w:rFonts w:asciiTheme="majorHAnsi" w:hAnsiTheme="majorHAnsi" w:cstheme="majorHAnsi"/>
        </w:rPr>
        <w:t xml:space="preserve"> </w:t>
      </w:r>
      <w:r w:rsidR="0048730B" w:rsidRPr="0048730B">
        <w:rPr>
          <w:rFonts w:asciiTheme="majorHAnsi" w:hAnsiTheme="majorHAnsi" w:cstheme="majorHAnsi"/>
        </w:rPr>
        <w:t>sarokkövét jelenti</w:t>
      </w:r>
      <w:r w:rsidRPr="00DC6C83">
        <w:rPr>
          <w:rFonts w:asciiTheme="majorHAnsi" w:hAnsiTheme="majorHAnsi" w:cstheme="majorHAnsi"/>
        </w:rPr>
        <w:t>. Az internettel ellátott tantermek aránya 2007 és 2016 között</w:t>
      </w:r>
      <w:r w:rsidR="00633B7B" w:rsidRPr="00DC6C83">
        <w:rPr>
          <w:rFonts w:asciiTheme="majorHAnsi" w:hAnsiTheme="majorHAnsi" w:cstheme="majorHAnsi"/>
        </w:rPr>
        <w:t xml:space="preserve"> </w:t>
      </w:r>
      <w:r w:rsidRPr="00DC6C83">
        <w:rPr>
          <w:rFonts w:asciiTheme="majorHAnsi" w:hAnsiTheme="majorHAnsi" w:cstheme="majorHAnsi"/>
        </w:rPr>
        <w:t>megduplázódott: ekkor a NIIFI</w:t>
      </w:r>
      <w:r w:rsidRPr="00DC6C83">
        <w:rPr>
          <w:rStyle w:val="Lbjegyzet-hivatkozs"/>
          <w:rFonts w:asciiTheme="majorHAnsi" w:hAnsiTheme="majorHAnsi" w:cstheme="majorHAnsi"/>
        </w:rPr>
        <w:footnoteReference w:id="25"/>
      </w:r>
      <w:r w:rsidRPr="00DC6C83">
        <w:rPr>
          <w:rFonts w:asciiTheme="majorHAnsi" w:hAnsiTheme="majorHAnsi" w:cstheme="majorHAnsi"/>
        </w:rPr>
        <w:t xml:space="preserve"> beszámolói alapján a Sulinet+ program eredményeként mindössze 883 intézmény nem rendelkezett még internet-kapcsolattal, vagy valamilyen alternatív megoldást használtak: 1.153 intézmény 1-10 </w:t>
      </w:r>
      <w:proofErr w:type="spellStart"/>
      <w:r w:rsidRPr="00DC6C83">
        <w:rPr>
          <w:rFonts w:asciiTheme="majorHAnsi" w:hAnsiTheme="majorHAnsi" w:cstheme="majorHAnsi"/>
        </w:rPr>
        <w:t>Mb</w:t>
      </w:r>
      <w:proofErr w:type="spellEnd"/>
      <w:r w:rsidRPr="00DC6C83">
        <w:rPr>
          <w:rFonts w:asciiTheme="majorHAnsi" w:hAnsiTheme="majorHAnsi" w:cstheme="majorHAnsi"/>
        </w:rPr>
        <w:t xml:space="preserve">/S, 2.155 intézmény 11-50Mb/S, míg 1.214 intézmény 51-100 </w:t>
      </w:r>
      <w:proofErr w:type="spellStart"/>
      <w:r w:rsidRPr="00DC6C83">
        <w:rPr>
          <w:rFonts w:asciiTheme="majorHAnsi" w:hAnsiTheme="majorHAnsi" w:cstheme="majorHAnsi"/>
        </w:rPr>
        <w:t>Mb</w:t>
      </w:r>
      <w:proofErr w:type="spellEnd"/>
      <w:proofErr w:type="gramStart"/>
      <w:r w:rsidRPr="00DC6C83">
        <w:rPr>
          <w:rFonts w:asciiTheme="majorHAnsi" w:hAnsiTheme="majorHAnsi" w:cstheme="majorHAnsi"/>
        </w:rPr>
        <w:t>/S</w:t>
      </w:r>
      <w:r w:rsidR="00732B37">
        <w:rPr>
          <w:rFonts w:asciiTheme="majorHAnsi" w:hAnsiTheme="majorHAnsi" w:cstheme="majorHAnsi"/>
        </w:rPr>
        <w:t xml:space="preserve"> </w:t>
      </w:r>
      <w:r w:rsidRPr="00DC6C83">
        <w:rPr>
          <w:rFonts w:asciiTheme="majorHAnsi" w:hAnsiTheme="majorHAnsi" w:cstheme="majorHAnsi"/>
        </w:rPr>
        <w:t>gyorsaságú</w:t>
      </w:r>
      <w:proofErr w:type="gramEnd"/>
      <w:r w:rsidRPr="00DC6C83">
        <w:rPr>
          <w:rFonts w:asciiTheme="majorHAnsi" w:hAnsiTheme="majorHAnsi" w:cstheme="majorHAnsi"/>
        </w:rPr>
        <w:t xml:space="preserve"> internet-kapcsolattal rendelkezett. Ezek alapján a köznevelés fejlesztési céljai között továbbra is hangsúlyosan megjelenik az</w:t>
      </w:r>
      <w:r w:rsidR="00BC65D0">
        <w:rPr>
          <w:rFonts w:asciiTheme="majorHAnsi" w:hAnsiTheme="majorHAnsi" w:cstheme="majorHAnsi"/>
        </w:rPr>
        <w:t xml:space="preserve"> </w:t>
      </w:r>
      <w:r w:rsidRPr="00DC6C83">
        <w:rPr>
          <w:rFonts w:asciiTheme="majorHAnsi" w:hAnsiTheme="majorHAnsi" w:cstheme="majorHAnsi"/>
        </w:rPr>
        <w:t xml:space="preserve">intézmények sávszélességének bővítése, az internet-infrastruktúra szakszerű, folyamatos karbantartása és stabil működésének </w:t>
      </w:r>
      <w:r w:rsidR="00633B7B">
        <w:rPr>
          <w:rFonts w:asciiTheme="majorHAnsi" w:hAnsiTheme="majorHAnsi" w:cstheme="majorHAnsi"/>
        </w:rPr>
        <w:t>megteremtése</w:t>
      </w:r>
      <w:r w:rsidRPr="00DC6C83">
        <w:rPr>
          <w:rFonts w:asciiTheme="majorHAnsi" w:hAnsiTheme="majorHAnsi" w:cstheme="majorHAnsi"/>
        </w:rPr>
        <w:t>.</w:t>
      </w:r>
    </w:p>
    <w:p w14:paraId="00F48FB1" w14:textId="3EB6B1B1"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 hordozható </w:t>
      </w:r>
      <w:proofErr w:type="spellStart"/>
      <w:r w:rsidRPr="00DC6C83">
        <w:rPr>
          <w:rFonts w:asciiTheme="majorHAnsi" w:hAnsiTheme="majorHAnsi" w:cstheme="majorHAnsi"/>
        </w:rPr>
        <w:t>IKT-eszközök</w:t>
      </w:r>
      <w:proofErr w:type="spellEnd"/>
      <w:r w:rsidRPr="00DC6C83">
        <w:rPr>
          <w:rFonts w:asciiTheme="majorHAnsi" w:hAnsiTheme="majorHAnsi" w:cstheme="majorHAnsi"/>
        </w:rPr>
        <w:t xml:space="preserve"> robbanásszerű elterjedésével egyre fontosabbá válik, hogy az internet-ellátottság </w:t>
      </w:r>
      <w:r w:rsidR="009509B2">
        <w:rPr>
          <w:rFonts w:asciiTheme="majorHAnsi" w:hAnsiTheme="majorHAnsi" w:cstheme="majorHAnsi"/>
        </w:rPr>
        <w:t>vezeték nélküli</w:t>
      </w:r>
      <w:r w:rsidRPr="00DC6C83">
        <w:rPr>
          <w:rFonts w:asciiTheme="majorHAnsi" w:hAnsiTheme="majorHAnsi" w:cstheme="majorHAnsi"/>
        </w:rPr>
        <w:t xml:space="preserve"> formában is megvalósuljon</w:t>
      </w:r>
      <w:r w:rsidR="00874BB0">
        <w:rPr>
          <w:rFonts w:asciiTheme="majorHAnsi" w:hAnsiTheme="majorHAnsi" w:cstheme="majorHAnsi"/>
        </w:rPr>
        <w:t>,</w:t>
      </w:r>
      <w:r w:rsidR="00732B37">
        <w:rPr>
          <w:rFonts w:asciiTheme="majorHAnsi" w:hAnsiTheme="majorHAnsi" w:cstheme="majorHAnsi"/>
        </w:rPr>
        <w:t xml:space="preserve"> </w:t>
      </w:r>
      <w:r w:rsidR="00874BB0">
        <w:rPr>
          <w:rFonts w:asciiTheme="majorHAnsi" w:hAnsiTheme="majorHAnsi" w:cstheme="majorHAnsi"/>
        </w:rPr>
        <w:t>ami</w:t>
      </w:r>
      <w:r w:rsidRPr="00DC6C83">
        <w:rPr>
          <w:rFonts w:asciiTheme="majorHAnsi" w:hAnsiTheme="majorHAnsi" w:cstheme="majorHAnsi"/>
        </w:rPr>
        <w:t>t egyrészt a köznevelési intézmények eszközparkja is megkíván majd, ugyanakkor a saját eszközök</w:t>
      </w:r>
      <w:r w:rsidR="00CD40DD">
        <w:rPr>
          <w:rFonts w:asciiTheme="majorHAnsi" w:hAnsiTheme="majorHAnsi" w:cstheme="majorHAnsi"/>
        </w:rPr>
        <w:t xml:space="preserve"> — </w:t>
      </w:r>
      <w:r w:rsidR="00874BB0">
        <w:rPr>
          <w:rFonts w:asciiTheme="majorHAnsi" w:hAnsiTheme="majorHAnsi" w:cstheme="majorHAnsi"/>
        </w:rPr>
        <w:t xml:space="preserve">ahol rendelkezésre állnak, </w:t>
      </w:r>
      <w:r w:rsidR="00CD40DD">
        <w:rPr>
          <w:rFonts w:asciiTheme="majorHAnsi" w:hAnsiTheme="majorHAnsi" w:cstheme="majorHAnsi"/>
        </w:rPr>
        <w:t xml:space="preserve">beleértve a saját mobiltelefont, </w:t>
      </w:r>
      <w:proofErr w:type="spellStart"/>
      <w:r w:rsidR="00CD40DD">
        <w:rPr>
          <w:rFonts w:asciiTheme="majorHAnsi" w:hAnsiTheme="majorHAnsi" w:cstheme="majorHAnsi"/>
        </w:rPr>
        <w:t>tabletet</w:t>
      </w:r>
      <w:proofErr w:type="spellEnd"/>
      <w:r w:rsidR="00CD40DD">
        <w:rPr>
          <w:rFonts w:asciiTheme="majorHAnsi" w:hAnsiTheme="majorHAnsi" w:cstheme="majorHAnsi"/>
        </w:rPr>
        <w:t xml:space="preserve"> —</w:t>
      </w:r>
      <w:r w:rsidRPr="00DC6C83">
        <w:rPr>
          <w:rFonts w:asciiTheme="majorHAnsi" w:hAnsiTheme="majorHAnsi" w:cstheme="majorHAnsi"/>
        </w:rPr>
        <w:t xml:space="preserve"> használat</w:t>
      </w:r>
      <w:r w:rsidR="00633B7B">
        <w:rPr>
          <w:rFonts w:asciiTheme="majorHAnsi" w:hAnsiTheme="majorHAnsi" w:cstheme="majorHAnsi"/>
        </w:rPr>
        <w:t>ához</w:t>
      </w:r>
      <w:r w:rsidRPr="00DC6C83">
        <w:rPr>
          <w:rFonts w:asciiTheme="majorHAnsi" w:hAnsiTheme="majorHAnsi" w:cstheme="majorHAnsi"/>
        </w:rPr>
        <w:t xml:space="preserve"> a tanárok, a köznevelési dolgozók és diákok, tanulók számára az internethez való hozzáférés csakis </w:t>
      </w:r>
      <w:proofErr w:type="spellStart"/>
      <w:r w:rsidR="00FC47AA">
        <w:rPr>
          <w:rFonts w:asciiTheme="majorHAnsi" w:hAnsiTheme="majorHAnsi" w:cstheme="majorHAnsi"/>
        </w:rPr>
        <w:t>WiFi</w:t>
      </w:r>
      <w:proofErr w:type="spellEnd"/>
      <w:r w:rsidRPr="00DC6C83">
        <w:rPr>
          <w:rFonts w:asciiTheme="majorHAnsi" w:hAnsiTheme="majorHAnsi" w:cstheme="majorHAnsi"/>
        </w:rPr>
        <w:t xml:space="preserve"> technológiával valósítható </w:t>
      </w:r>
      <w:r w:rsidR="00732B37">
        <w:rPr>
          <w:rFonts w:asciiTheme="majorHAnsi" w:hAnsiTheme="majorHAnsi" w:cstheme="majorHAnsi"/>
        </w:rPr>
        <w:t>meg. Ez ugyanakkor számos újabb</w:t>
      </w:r>
      <w:r w:rsidRPr="00DC6C83">
        <w:rPr>
          <w:rFonts w:asciiTheme="majorHAnsi" w:hAnsiTheme="majorHAnsi" w:cstheme="majorHAnsi"/>
        </w:rPr>
        <w:t xml:space="preserve"> kérdést vet fel,</w:t>
      </w:r>
      <w:r w:rsidR="00732B37" w:rsidRPr="00732B37">
        <w:rPr>
          <w:rFonts w:asciiTheme="majorHAnsi" w:hAnsiTheme="majorHAnsi" w:cstheme="majorHAnsi"/>
        </w:rPr>
        <w:t xml:space="preserve"> </w:t>
      </w:r>
      <w:r w:rsidR="00732B37">
        <w:rPr>
          <w:rFonts w:asciiTheme="majorHAnsi" w:hAnsiTheme="majorHAnsi" w:cstheme="majorHAnsi"/>
        </w:rPr>
        <w:t xml:space="preserve">így például </w:t>
      </w:r>
      <w:r w:rsidR="00732B37">
        <w:t>a digitális eszközök személyközi, élő kapcsolatokra gyakorolt negatív hatásának kiküszöbölése</w:t>
      </w:r>
      <w:r w:rsidR="00251CB4">
        <w:t>.</w:t>
      </w:r>
      <w:r w:rsidR="00732B37" w:rsidRPr="00DC6C83">
        <w:rPr>
          <w:rFonts w:asciiTheme="majorHAnsi" w:hAnsiTheme="majorHAnsi" w:cstheme="majorHAnsi"/>
        </w:rPr>
        <w:t xml:space="preserve"> </w:t>
      </w:r>
      <w:r w:rsidR="00251CB4">
        <w:rPr>
          <w:rFonts w:asciiTheme="majorHAnsi" w:hAnsiTheme="majorHAnsi" w:cstheme="majorHAnsi"/>
        </w:rPr>
        <w:t xml:space="preserve"> T</w:t>
      </w:r>
      <w:r w:rsidRPr="00DC6C83">
        <w:rPr>
          <w:rFonts w:asciiTheme="majorHAnsi" w:hAnsiTheme="majorHAnsi" w:cstheme="majorHAnsi"/>
        </w:rPr>
        <w:t xml:space="preserve">ovábbá a jó minőségű </w:t>
      </w:r>
      <w:proofErr w:type="spellStart"/>
      <w:r w:rsidR="00FC47AA">
        <w:rPr>
          <w:rFonts w:asciiTheme="majorHAnsi" w:hAnsiTheme="majorHAnsi" w:cstheme="majorHAnsi"/>
        </w:rPr>
        <w:t>WiFi</w:t>
      </w:r>
      <w:r w:rsidRPr="00DC6C83">
        <w:rPr>
          <w:rFonts w:asciiTheme="majorHAnsi" w:hAnsiTheme="majorHAnsi" w:cstheme="majorHAnsi"/>
        </w:rPr>
        <w:t>-ellátottság</w:t>
      </w:r>
      <w:proofErr w:type="spellEnd"/>
      <w:r w:rsidRPr="00DC6C83">
        <w:rPr>
          <w:rFonts w:asciiTheme="majorHAnsi" w:hAnsiTheme="majorHAnsi" w:cstheme="majorHAnsi"/>
        </w:rPr>
        <w:t xml:space="preserve"> feltétele a megfelelő (</w:t>
      </w:r>
      <w:r w:rsidR="00A21539">
        <w:rPr>
          <w:rFonts w:asciiTheme="majorHAnsi" w:hAnsiTheme="majorHAnsi" w:cstheme="majorHAnsi"/>
        </w:rPr>
        <w:t xml:space="preserve">a </w:t>
      </w:r>
      <w:r w:rsidRPr="00DC6C83">
        <w:rPr>
          <w:rFonts w:asciiTheme="majorHAnsi" w:hAnsiTheme="majorHAnsi" w:cstheme="majorHAnsi"/>
        </w:rPr>
        <w:t>felhasználók számától függően minél magasabb) sávszélességű internet-kapcsolat és az internet-infrastruktúra szakszerű, folyamatos karbantartása és stabil működ</w:t>
      </w:r>
      <w:r w:rsidR="00633B7B">
        <w:rPr>
          <w:rFonts w:asciiTheme="majorHAnsi" w:hAnsiTheme="majorHAnsi" w:cstheme="majorHAnsi"/>
        </w:rPr>
        <w:t>tetése.</w:t>
      </w:r>
    </w:p>
    <w:p w14:paraId="41393984" w14:textId="3B9863A3" w:rsidR="00B86FE8" w:rsidRPr="00DC6C83" w:rsidRDefault="00633B7B" w:rsidP="00B86FE8">
      <w:pPr>
        <w:spacing w:line="276" w:lineRule="auto"/>
        <w:rPr>
          <w:rFonts w:asciiTheme="majorHAnsi" w:hAnsiTheme="majorHAnsi" w:cstheme="majorHAnsi"/>
        </w:rPr>
      </w:pPr>
      <w:r>
        <w:rPr>
          <w:rFonts w:asciiTheme="majorHAnsi" w:hAnsiTheme="majorHAnsi" w:cstheme="majorHAnsi"/>
        </w:rPr>
        <w:t>A</w:t>
      </w:r>
      <w:r w:rsidR="00B86FE8" w:rsidRPr="000310B4">
        <w:rPr>
          <w:rFonts w:asciiTheme="majorHAnsi" w:hAnsiTheme="majorHAnsi" w:cstheme="majorHAnsi"/>
        </w:rPr>
        <w:t>z elmúlt években</w:t>
      </w:r>
      <w:r w:rsidR="00B3290D">
        <w:rPr>
          <w:rFonts w:asciiTheme="majorHAnsi" w:hAnsiTheme="majorHAnsi" w:cstheme="majorHAnsi"/>
        </w:rPr>
        <w:t xml:space="preserve"> a</w:t>
      </w:r>
      <w:r w:rsidR="00B3290D" w:rsidRPr="00B3290D">
        <w:t xml:space="preserve"> </w:t>
      </w:r>
      <w:r w:rsidR="00B3290D" w:rsidRPr="00B3290D">
        <w:rPr>
          <w:rFonts w:asciiTheme="majorHAnsi" w:hAnsiTheme="majorHAnsi" w:cstheme="majorHAnsi"/>
        </w:rPr>
        <w:t>Kormányzati Informatikai Fejlesztési Ügynökség (</w:t>
      </w:r>
      <w:r w:rsidR="00B3290D">
        <w:rPr>
          <w:rFonts w:asciiTheme="majorHAnsi" w:hAnsiTheme="majorHAnsi" w:cstheme="majorHAnsi"/>
        </w:rPr>
        <w:t xml:space="preserve">a továbbiakban: </w:t>
      </w:r>
      <w:r w:rsidR="00B3290D" w:rsidRPr="00B3290D">
        <w:rPr>
          <w:rFonts w:asciiTheme="majorHAnsi" w:hAnsiTheme="majorHAnsi" w:cstheme="majorHAnsi"/>
        </w:rPr>
        <w:t>KIFÜ)</w:t>
      </w:r>
      <w:r w:rsidR="00B86FE8" w:rsidRPr="000310B4">
        <w:rPr>
          <w:rFonts w:asciiTheme="majorHAnsi" w:hAnsiTheme="majorHAnsi" w:cstheme="majorHAnsi"/>
        </w:rPr>
        <w:t xml:space="preserve"> számos megfelelő sávszélességű, biztonságos </w:t>
      </w:r>
      <w:proofErr w:type="spellStart"/>
      <w:r w:rsidR="00FC47AA" w:rsidRPr="000310B4">
        <w:rPr>
          <w:rFonts w:asciiTheme="majorHAnsi" w:hAnsiTheme="majorHAnsi" w:cstheme="majorHAnsi"/>
        </w:rPr>
        <w:t>WiFi</w:t>
      </w:r>
      <w:r w:rsidR="00B86FE8" w:rsidRPr="000310B4">
        <w:rPr>
          <w:rFonts w:asciiTheme="majorHAnsi" w:hAnsiTheme="majorHAnsi" w:cstheme="majorHAnsi"/>
        </w:rPr>
        <w:t>-hálózat</w:t>
      </w:r>
      <w:r w:rsidR="00B3290D">
        <w:rPr>
          <w:rFonts w:asciiTheme="majorHAnsi" w:hAnsiTheme="majorHAnsi" w:cstheme="majorHAnsi"/>
        </w:rPr>
        <w:t>ot</w:t>
      </w:r>
      <w:proofErr w:type="spellEnd"/>
      <w:r w:rsidR="00B86FE8" w:rsidRPr="000310B4">
        <w:rPr>
          <w:rFonts w:asciiTheme="majorHAnsi" w:hAnsiTheme="majorHAnsi" w:cstheme="majorHAnsi"/>
        </w:rPr>
        <w:t xml:space="preserve"> ép</w:t>
      </w:r>
      <w:r w:rsidR="00B3290D">
        <w:rPr>
          <w:rFonts w:asciiTheme="majorHAnsi" w:hAnsiTheme="majorHAnsi" w:cstheme="majorHAnsi"/>
        </w:rPr>
        <w:t>ítet</w:t>
      </w:r>
      <w:r w:rsidR="00AF32DE">
        <w:rPr>
          <w:rFonts w:asciiTheme="majorHAnsi" w:hAnsiTheme="majorHAnsi" w:cstheme="majorHAnsi"/>
        </w:rPr>
        <w:t>t</w:t>
      </w:r>
      <w:r w:rsidR="00B86FE8" w:rsidRPr="000310B4">
        <w:rPr>
          <w:rFonts w:asciiTheme="majorHAnsi" w:hAnsiTheme="majorHAnsi" w:cstheme="majorHAnsi"/>
        </w:rPr>
        <w:t xml:space="preserve"> ki az állami fenntartású </w:t>
      </w:r>
      <w:r w:rsidR="00B86FE8" w:rsidRPr="000310B4">
        <w:rPr>
          <w:rFonts w:asciiTheme="majorHAnsi" w:hAnsiTheme="majorHAnsi" w:cstheme="majorHAnsi"/>
        </w:rPr>
        <w:lastRenderedPageBreak/>
        <w:t>általános- és középiskolában</w:t>
      </w:r>
      <w:r w:rsidR="00B86FE8" w:rsidRPr="00DC6C83">
        <w:rPr>
          <w:rFonts w:asciiTheme="majorHAnsi" w:hAnsiTheme="majorHAnsi" w:cstheme="majorHAnsi"/>
        </w:rPr>
        <w:t xml:space="preserve">. A </w:t>
      </w:r>
      <w:proofErr w:type="spellStart"/>
      <w:r w:rsidR="00FC47AA">
        <w:rPr>
          <w:rFonts w:asciiTheme="majorHAnsi" w:hAnsiTheme="majorHAnsi" w:cstheme="majorHAnsi"/>
        </w:rPr>
        <w:t>WiFi</w:t>
      </w:r>
      <w:r w:rsidR="00B86FE8" w:rsidRPr="00DC6C83">
        <w:rPr>
          <w:rFonts w:asciiTheme="majorHAnsi" w:hAnsiTheme="majorHAnsi" w:cstheme="majorHAnsi"/>
        </w:rPr>
        <w:t>-hálózat</w:t>
      </w:r>
      <w:proofErr w:type="spellEnd"/>
      <w:r w:rsidR="00B86FE8" w:rsidRPr="00DC6C83">
        <w:rPr>
          <w:rFonts w:asciiTheme="majorHAnsi" w:hAnsiTheme="majorHAnsi" w:cstheme="majorHAnsi"/>
        </w:rPr>
        <w:t xml:space="preserve"> kiépítésének első fázisa 2</w:t>
      </w:r>
      <w:r w:rsidR="00A21539">
        <w:rPr>
          <w:rFonts w:asciiTheme="majorHAnsi" w:hAnsiTheme="majorHAnsi" w:cstheme="majorHAnsi"/>
        </w:rPr>
        <w:t>.</w:t>
      </w:r>
      <w:r w:rsidR="00B86FE8" w:rsidRPr="00DC6C83">
        <w:rPr>
          <w:rFonts w:asciiTheme="majorHAnsi" w:hAnsiTheme="majorHAnsi" w:cstheme="majorHAnsi"/>
        </w:rPr>
        <w:t>594 intézményben zárult le. A második ütemben a közép-magyarországi régióban végeznek fejlesztéseket, amelyek 2020</w:t>
      </w:r>
      <w:r w:rsidR="00E60D8B">
        <w:rPr>
          <w:rFonts w:asciiTheme="majorHAnsi" w:hAnsiTheme="majorHAnsi" w:cstheme="majorHAnsi"/>
        </w:rPr>
        <w:t>-b</w:t>
      </w:r>
      <w:r w:rsidR="008E0058">
        <w:rPr>
          <w:rFonts w:asciiTheme="majorHAnsi" w:hAnsiTheme="majorHAnsi" w:cstheme="majorHAnsi"/>
        </w:rPr>
        <w:t>e</w:t>
      </w:r>
      <w:r w:rsidR="00E60D8B">
        <w:rPr>
          <w:rFonts w:asciiTheme="majorHAnsi" w:hAnsiTheme="majorHAnsi" w:cstheme="majorHAnsi"/>
        </w:rPr>
        <w:t>n</w:t>
      </w:r>
      <w:r w:rsidR="008E0058">
        <w:rPr>
          <w:rFonts w:asciiTheme="majorHAnsi" w:hAnsiTheme="majorHAnsi" w:cstheme="majorHAnsi"/>
        </w:rPr>
        <w:t xml:space="preserve"> </w:t>
      </w:r>
      <w:r w:rsidR="00B86FE8" w:rsidRPr="00DC6C83">
        <w:rPr>
          <w:rFonts w:asciiTheme="majorHAnsi" w:hAnsiTheme="majorHAnsi" w:cstheme="majorHAnsi"/>
        </w:rPr>
        <w:t xml:space="preserve">zárulnak le. Emellett háromezer iskolában megduplázták – 90-ről 180 megabit/másodpercre – a sávszélességet 2017 óta. A hálózat biztonságáról is gondoskodtak, komoly tartalomszűrő rendszert építettek ki, amely megóvja a tanulókat a káros tartalmaktól, de az iskolák </w:t>
      </w:r>
      <w:r w:rsidR="00E60D8B">
        <w:rPr>
          <w:rFonts w:asciiTheme="majorHAnsi" w:hAnsiTheme="majorHAnsi" w:cstheme="majorHAnsi"/>
        </w:rPr>
        <w:t xml:space="preserve">ezen túl is </w:t>
      </w:r>
      <w:r w:rsidR="00B86FE8" w:rsidRPr="00DC6C83">
        <w:rPr>
          <w:rFonts w:asciiTheme="majorHAnsi" w:hAnsiTheme="majorHAnsi" w:cstheme="majorHAnsi"/>
        </w:rPr>
        <w:t xml:space="preserve">további szűrőket állíthatnak be. </w:t>
      </w:r>
    </w:p>
    <w:p w14:paraId="63B4D6EB" w14:textId="2C6546C0" w:rsidR="006D4546" w:rsidRDefault="00E66C54" w:rsidP="00B86FE8">
      <w:pPr>
        <w:spacing w:line="276" w:lineRule="auto"/>
        <w:rPr>
          <w:rFonts w:asciiTheme="majorHAnsi" w:hAnsiTheme="majorHAnsi" w:cstheme="majorHAnsi"/>
        </w:rPr>
      </w:pPr>
      <w:r w:rsidRPr="000310B4">
        <w:rPr>
          <w:rFonts w:asciiTheme="majorHAnsi" w:hAnsiTheme="majorHAnsi" w:cstheme="majorHAnsi"/>
        </w:rPr>
        <w:t xml:space="preserve">A folyamatos fejlesztéseknek köszönhetően egyre nagyobb teret nyernek </w:t>
      </w:r>
      <w:r>
        <w:rPr>
          <w:rFonts w:asciiTheme="majorHAnsi" w:hAnsiTheme="majorHAnsi" w:cstheme="majorHAnsi"/>
        </w:rPr>
        <w:t xml:space="preserve">a digitális </w:t>
      </w:r>
      <w:r w:rsidRPr="000310B4">
        <w:rPr>
          <w:rFonts w:asciiTheme="majorHAnsi" w:hAnsiTheme="majorHAnsi" w:cstheme="majorHAnsi"/>
        </w:rPr>
        <w:t>eszközök a köznevelésben</w:t>
      </w:r>
      <w:r w:rsidRPr="00DC6C83">
        <w:rPr>
          <w:rFonts w:asciiTheme="majorHAnsi" w:hAnsiTheme="majorHAnsi" w:cstheme="majorHAnsi"/>
        </w:rPr>
        <w:t xml:space="preserve">, ennek ellenére a helyzet még korántsem kielégítő. </w:t>
      </w:r>
      <w:r w:rsidRPr="00E66C54">
        <w:rPr>
          <w:rFonts w:asciiTheme="majorHAnsi" w:hAnsiTheme="majorHAnsi" w:cstheme="majorHAnsi"/>
        </w:rPr>
        <w:t>A 2019. októberi adatok alapján a magyar köznevelésben és szakképzésben összességében 341</w:t>
      </w:r>
      <w:r w:rsidR="00B96AB5">
        <w:rPr>
          <w:rFonts w:asciiTheme="majorHAnsi" w:hAnsiTheme="majorHAnsi" w:cstheme="majorHAnsi"/>
        </w:rPr>
        <w:t xml:space="preserve"> </w:t>
      </w:r>
      <w:r w:rsidRPr="00E66C54">
        <w:rPr>
          <w:rFonts w:asciiTheme="majorHAnsi" w:hAnsiTheme="majorHAnsi" w:cstheme="majorHAnsi"/>
        </w:rPr>
        <w:t xml:space="preserve">663 db </w:t>
      </w:r>
      <w:r w:rsidR="009914E1">
        <w:rPr>
          <w:rFonts w:asciiTheme="majorHAnsi" w:hAnsiTheme="majorHAnsi" w:cstheme="majorHAnsi"/>
        </w:rPr>
        <w:t>személyi használatú digitális eszköz</w:t>
      </w:r>
      <w:r w:rsidRPr="00E66C54">
        <w:rPr>
          <w:rFonts w:asciiTheme="majorHAnsi" w:hAnsiTheme="majorHAnsi" w:cstheme="majorHAnsi"/>
        </w:rPr>
        <w:t xml:space="preserve"> </w:t>
      </w:r>
      <w:r w:rsidR="009914E1">
        <w:rPr>
          <w:rFonts w:asciiTheme="majorHAnsi" w:hAnsiTheme="majorHAnsi" w:cstheme="majorHAnsi"/>
        </w:rPr>
        <w:t>van</w:t>
      </w:r>
      <w:r w:rsidRPr="00E66C54">
        <w:rPr>
          <w:rFonts w:asciiTheme="majorHAnsi" w:hAnsiTheme="majorHAnsi" w:cstheme="majorHAnsi"/>
        </w:rPr>
        <w:t xml:space="preserve"> az intézmények</w:t>
      </w:r>
      <w:r w:rsidR="009914E1">
        <w:rPr>
          <w:rFonts w:asciiTheme="majorHAnsi" w:hAnsiTheme="majorHAnsi" w:cstheme="majorHAnsi"/>
        </w:rPr>
        <w:t>ben</w:t>
      </w:r>
      <w:r w:rsidRPr="00E66C54">
        <w:rPr>
          <w:rFonts w:asciiTheme="majorHAnsi" w:hAnsiTheme="majorHAnsi" w:cstheme="majorHAnsi"/>
        </w:rPr>
        <w:t>, átlagosan 3,56 tanulóra jut egy számítógép. A statisztika szerint a számítógépek 45,63%-</w:t>
      </w:r>
      <w:proofErr w:type="gramStart"/>
      <w:r w:rsidRPr="00E66C54">
        <w:rPr>
          <w:rFonts w:asciiTheme="majorHAnsi" w:hAnsiTheme="majorHAnsi" w:cstheme="majorHAnsi"/>
        </w:rPr>
        <w:t>a</w:t>
      </w:r>
      <w:proofErr w:type="gramEnd"/>
      <w:r w:rsidRPr="00E66C54">
        <w:rPr>
          <w:rFonts w:asciiTheme="majorHAnsi" w:hAnsiTheme="majorHAnsi" w:cstheme="majorHAnsi"/>
        </w:rPr>
        <w:t xml:space="preserve"> 5 évesnél régebbi, ami magasnak számít, az 1-3 évesek aránya ugyanakkor 22,93%.</w:t>
      </w:r>
      <w:r>
        <w:rPr>
          <w:rFonts w:asciiTheme="majorHAnsi" w:hAnsiTheme="majorHAnsi" w:cstheme="majorHAnsi"/>
        </w:rPr>
        <w:t xml:space="preserve"> </w:t>
      </w:r>
      <w:r w:rsidR="00B86FE8" w:rsidRPr="00DC6C83">
        <w:rPr>
          <w:rFonts w:asciiTheme="majorHAnsi" w:hAnsiTheme="majorHAnsi" w:cstheme="majorHAnsi"/>
        </w:rPr>
        <w:t xml:space="preserve">Az internet- és </w:t>
      </w:r>
      <w:proofErr w:type="spellStart"/>
      <w:r w:rsidR="00FC47AA">
        <w:rPr>
          <w:rFonts w:asciiTheme="majorHAnsi" w:hAnsiTheme="majorHAnsi" w:cstheme="majorHAnsi"/>
        </w:rPr>
        <w:t>WiFi</w:t>
      </w:r>
      <w:r w:rsidR="00B86FE8" w:rsidRPr="00DC6C83">
        <w:rPr>
          <w:rFonts w:asciiTheme="majorHAnsi" w:hAnsiTheme="majorHAnsi" w:cstheme="majorHAnsi"/>
        </w:rPr>
        <w:t>-ellátottsághoz</w:t>
      </w:r>
      <w:proofErr w:type="spellEnd"/>
      <w:r w:rsidR="00B86FE8" w:rsidRPr="00DC6C83">
        <w:rPr>
          <w:rFonts w:asciiTheme="majorHAnsi" w:hAnsiTheme="majorHAnsi" w:cstheme="majorHAnsi"/>
        </w:rPr>
        <w:t xml:space="preserve"> hasonlóan </w:t>
      </w:r>
      <w:r w:rsidR="00B86FE8" w:rsidRPr="000310B4">
        <w:rPr>
          <w:rFonts w:asciiTheme="majorHAnsi" w:hAnsiTheme="majorHAnsi" w:cstheme="majorHAnsi"/>
        </w:rPr>
        <w:t xml:space="preserve">a </w:t>
      </w:r>
      <w:r>
        <w:rPr>
          <w:rFonts w:asciiTheme="majorHAnsi" w:hAnsiTheme="majorHAnsi" w:cstheme="majorHAnsi"/>
        </w:rPr>
        <w:t xml:space="preserve">digitális </w:t>
      </w:r>
      <w:r w:rsidR="00B86FE8" w:rsidRPr="000310B4">
        <w:rPr>
          <w:rFonts w:asciiTheme="majorHAnsi" w:hAnsiTheme="majorHAnsi" w:cstheme="majorHAnsi"/>
        </w:rPr>
        <w:t>eszközök folyamatos és szakszerű karbantartása</w:t>
      </w:r>
      <w:r>
        <w:rPr>
          <w:rFonts w:asciiTheme="majorHAnsi" w:hAnsiTheme="majorHAnsi" w:cstheme="majorHAnsi"/>
        </w:rPr>
        <w:t>, korszerűsítése</w:t>
      </w:r>
      <w:r w:rsidR="00B86FE8" w:rsidRPr="000310B4">
        <w:rPr>
          <w:rFonts w:asciiTheme="majorHAnsi" w:hAnsiTheme="majorHAnsi" w:cstheme="majorHAnsi"/>
        </w:rPr>
        <w:t xml:space="preserve"> is elengedhetetlen a hatékony digitális készségfejlesztéshez</w:t>
      </w:r>
      <w:r w:rsidR="00B86FE8" w:rsidRPr="00DC6C83">
        <w:rPr>
          <w:rFonts w:asciiTheme="majorHAnsi" w:hAnsiTheme="majorHAnsi" w:cstheme="majorHAnsi"/>
        </w:rPr>
        <w:t xml:space="preserve">. </w:t>
      </w:r>
      <w:r>
        <w:rPr>
          <w:rFonts w:asciiTheme="majorHAnsi" w:hAnsiTheme="majorHAnsi" w:cstheme="majorHAnsi"/>
        </w:rPr>
        <w:t>A</w:t>
      </w:r>
      <w:r w:rsidR="00B86FE8" w:rsidRPr="00DC6C83">
        <w:rPr>
          <w:rFonts w:asciiTheme="majorHAnsi" w:hAnsiTheme="majorHAnsi" w:cstheme="majorHAnsi"/>
        </w:rPr>
        <w:t xml:space="preserve"> köznevelési intézmények </w:t>
      </w:r>
      <w:r>
        <w:rPr>
          <w:rFonts w:asciiTheme="majorHAnsi" w:hAnsiTheme="majorHAnsi" w:cstheme="majorHAnsi"/>
        </w:rPr>
        <w:t xml:space="preserve">digitális </w:t>
      </w:r>
      <w:r w:rsidR="00B86FE8" w:rsidRPr="00DC6C83">
        <w:rPr>
          <w:rFonts w:asciiTheme="majorHAnsi" w:hAnsiTheme="majorHAnsi" w:cstheme="majorHAnsi"/>
        </w:rPr>
        <w:t xml:space="preserve">eszközellátottsága </w:t>
      </w:r>
      <w:r w:rsidR="00A21539">
        <w:rPr>
          <w:rFonts w:asciiTheme="majorHAnsi" w:hAnsiTheme="majorHAnsi" w:cstheme="majorHAnsi"/>
        </w:rPr>
        <w:t>mind</w:t>
      </w:r>
      <w:r w:rsidR="00B86FE8" w:rsidRPr="00DC6C83">
        <w:rPr>
          <w:rFonts w:asciiTheme="majorHAnsi" w:hAnsiTheme="majorHAnsi" w:cstheme="majorHAnsi"/>
        </w:rPr>
        <w:t>három pillérének</w:t>
      </w:r>
      <w:r w:rsidR="00B96AB5">
        <w:rPr>
          <w:rFonts w:asciiTheme="majorHAnsi" w:hAnsiTheme="majorHAnsi" w:cstheme="majorHAnsi"/>
        </w:rPr>
        <w:t>:</w:t>
      </w:r>
      <w:r w:rsidR="00B86FE8" w:rsidRPr="00DC6C83">
        <w:rPr>
          <w:rFonts w:asciiTheme="majorHAnsi" w:hAnsiTheme="majorHAnsi" w:cstheme="majorHAnsi"/>
        </w:rPr>
        <w:t xml:space="preserve"> </w:t>
      </w:r>
      <w:r w:rsidR="00B96AB5">
        <w:rPr>
          <w:rFonts w:asciiTheme="majorHAnsi" w:hAnsiTheme="majorHAnsi" w:cstheme="majorHAnsi"/>
        </w:rPr>
        <w:t>a</w:t>
      </w:r>
      <w:r w:rsidR="00B86FE8" w:rsidRPr="00DC6C83">
        <w:rPr>
          <w:rFonts w:asciiTheme="majorHAnsi" w:hAnsiTheme="majorHAnsi" w:cstheme="majorHAnsi"/>
        </w:rPr>
        <w:t xml:space="preserve"> tanulók, </w:t>
      </w:r>
      <w:r w:rsidR="00B96AB5">
        <w:rPr>
          <w:rFonts w:asciiTheme="majorHAnsi" w:hAnsiTheme="majorHAnsi" w:cstheme="majorHAnsi"/>
        </w:rPr>
        <w:t xml:space="preserve">a </w:t>
      </w:r>
      <w:r w:rsidR="00B86FE8" w:rsidRPr="00DC6C83">
        <w:rPr>
          <w:rFonts w:asciiTheme="majorHAnsi" w:hAnsiTheme="majorHAnsi" w:cstheme="majorHAnsi"/>
        </w:rPr>
        <w:t xml:space="preserve">tanárok és </w:t>
      </w:r>
      <w:r w:rsidR="00B96AB5">
        <w:rPr>
          <w:rFonts w:asciiTheme="majorHAnsi" w:hAnsiTheme="majorHAnsi" w:cstheme="majorHAnsi"/>
        </w:rPr>
        <w:t xml:space="preserve">az </w:t>
      </w:r>
      <w:r w:rsidR="00B86FE8" w:rsidRPr="00DC6C83">
        <w:rPr>
          <w:rFonts w:asciiTheme="majorHAnsi" w:hAnsiTheme="majorHAnsi" w:cstheme="majorHAnsi"/>
        </w:rPr>
        <w:t>adminisztratív mu</w:t>
      </w:r>
      <w:r w:rsidR="00B96AB5">
        <w:rPr>
          <w:rFonts w:asciiTheme="majorHAnsi" w:hAnsiTheme="majorHAnsi" w:cstheme="majorHAnsi"/>
        </w:rPr>
        <w:t xml:space="preserve">nkatársak eszköz-ellátottságának </w:t>
      </w:r>
      <w:r w:rsidR="00B96AB5" w:rsidRPr="00DC6C83">
        <w:rPr>
          <w:rFonts w:asciiTheme="majorHAnsi" w:hAnsiTheme="majorHAnsi" w:cstheme="majorHAnsi"/>
        </w:rPr>
        <w:t>fejlesztése</w:t>
      </w:r>
      <w:r w:rsidR="00B96AB5">
        <w:rPr>
          <w:rFonts w:asciiTheme="majorHAnsi" w:hAnsiTheme="majorHAnsi" w:cstheme="majorHAnsi"/>
        </w:rPr>
        <w:t xml:space="preserve"> </w:t>
      </w:r>
      <w:r>
        <w:rPr>
          <w:rFonts w:asciiTheme="majorHAnsi" w:hAnsiTheme="majorHAnsi" w:cstheme="majorHAnsi"/>
        </w:rPr>
        <w:t>egyaránt cél, kiemelten gondolva</w:t>
      </w:r>
      <w:r w:rsidR="00B86FE8" w:rsidRPr="00DC6C83">
        <w:rPr>
          <w:rFonts w:asciiTheme="majorHAnsi" w:hAnsiTheme="majorHAnsi" w:cstheme="majorHAnsi"/>
        </w:rPr>
        <w:t xml:space="preserve"> a fogyatéko</w:t>
      </w:r>
      <w:r w:rsidR="008451CF">
        <w:rPr>
          <w:rFonts w:asciiTheme="majorHAnsi" w:hAnsiTheme="majorHAnsi" w:cstheme="majorHAnsi"/>
        </w:rPr>
        <w:t>s</w:t>
      </w:r>
      <w:r w:rsidR="00B86FE8" w:rsidRPr="00DC6C83">
        <w:rPr>
          <w:rFonts w:asciiTheme="majorHAnsi" w:hAnsiTheme="majorHAnsi" w:cstheme="majorHAnsi"/>
        </w:rPr>
        <w:t xml:space="preserve">sággal élők </w:t>
      </w:r>
      <w:r w:rsidR="007C14C9">
        <w:rPr>
          <w:rFonts w:asciiTheme="majorHAnsi" w:hAnsiTheme="majorHAnsi" w:cstheme="majorHAnsi"/>
        </w:rPr>
        <w:t>felzárkózás</w:t>
      </w:r>
      <w:r w:rsidR="00B86FE8" w:rsidRPr="00DC6C83">
        <w:rPr>
          <w:rFonts w:asciiTheme="majorHAnsi" w:hAnsiTheme="majorHAnsi" w:cstheme="majorHAnsi"/>
        </w:rPr>
        <w:t xml:space="preserve">ára. Az elmúlt másfél évben a fejlesztések </w:t>
      </w:r>
      <w:r w:rsidR="00633B7B">
        <w:rPr>
          <w:rFonts w:asciiTheme="majorHAnsi" w:hAnsiTheme="majorHAnsi" w:cstheme="majorHAnsi"/>
        </w:rPr>
        <w:t>eredményeképpen</w:t>
      </w:r>
      <w:r w:rsidR="00B86FE8" w:rsidRPr="00DC6C83">
        <w:rPr>
          <w:rFonts w:asciiTheme="majorHAnsi" w:hAnsiTheme="majorHAnsi" w:cstheme="majorHAnsi"/>
        </w:rPr>
        <w:t xml:space="preserve"> több mint 45 </w:t>
      </w:r>
      <w:r w:rsidR="004E1F12">
        <w:rPr>
          <w:rFonts w:asciiTheme="majorHAnsi" w:hAnsiTheme="majorHAnsi" w:cstheme="majorHAnsi"/>
        </w:rPr>
        <w:t>000</w:t>
      </w:r>
      <w:r w:rsidR="00B86FE8" w:rsidRPr="00DC6C83">
        <w:rPr>
          <w:rFonts w:asciiTheme="majorHAnsi" w:hAnsiTheme="majorHAnsi" w:cstheme="majorHAnsi"/>
        </w:rPr>
        <w:t xml:space="preserve"> notebook, 24 </w:t>
      </w:r>
      <w:r w:rsidR="004E1F12">
        <w:rPr>
          <w:rFonts w:asciiTheme="majorHAnsi" w:hAnsiTheme="majorHAnsi" w:cstheme="majorHAnsi"/>
        </w:rPr>
        <w:t>000</w:t>
      </w:r>
      <w:r w:rsidR="00B86FE8" w:rsidRPr="00DC6C83">
        <w:rPr>
          <w:rFonts w:asciiTheme="majorHAnsi" w:hAnsiTheme="majorHAnsi" w:cstheme="majorHAnsi"/>
        </w:rPr>
        <w:t xml:space="preserve"> tanulói </w:t>
      </w:r>
      <w:proofErr w:type="spellStart"/>
      <w:r w:rsidR="00B86FE8" w:rsidRPr="00DC6C83">
        <w:rPr>
          <w:rFonts w:asciiTheme="majorHAnsi" w:hAnsiTheme="majorHAnsi" w:cstheme="majorHAnsi"/>
        </w:rPr>
        <w:t>tablet</w:t>
      </w:r>
      <w:proofErr w:type="spellEnd"/>
      <w:r w:rsidR="00B86FE8" w:rsidRPr="00DC6C83">
        <w:rPr>
          <w:rFonts w:asciiTheme="majorHAnsi" w:hAnsiTheme="majorHAnsi" w:cstheme="majorHAnsi"/>
        </w:rPr>
        <w:t xml:space="preserve"> és 3</w:t>
      </w:r>
      <w:r w:rsidR="004E1F12">
        <w:rPr>
          <w:rFonts w:asciiTheme="majorHAnsi" w:hAnsiTheme="majorHAnsi" w:cstheme="majorHAnsi"/>
        </w:rPr>
        <w:t xml:space="preserve"> </w:t>
      </w:r>
      <w:r w:rsidR="00B86FE8" w:rsidRPr="00DC6C83">
        <w:rPr>
          <w:rFonts w:asciiTheme="majorHAnsi" w:hAnsiTheme="majorHAnsi" w:cstheme="majorHAnsi"/>
        </w:rPr>
        <w:t xml:space="preserve">000 interaktív panel </w:t>
      </w:r>
      <w:r w:rsidR="00E60D8B">
        <w:rPr>
          <w:rFonts w:asciiTheme="majorHAnsi" w:hAnsiTheme="majorHAnsi" w:cstheme="majorHAnsi"/>
        </w:rPr>
        <w:t xml:space="preserve">került </w:t>
      </w:r>
      <w:r w:rsidR="00B86FE8" w:rsidRPr="00DC6C83">
        <w:rPr>
          <w:rFonts w:asciiTheme="majorHAnsi" w:hAnsiTheme="majorHAnsi" w:cstheme="majorHAnsi"/>
        </w:rPr>
        <w:t>a köznevelési intézmények</w:t>
      </w:r>
      <w:r w:rsidR="00E60D8B">
        <w:rPr>
          <w:rFonts w:asciiTheme="majorHAnsi" w:hAnsiTheme="majorHAnsi" w:cstheme="majorHAnsi"/>
        </w:rPr>
        <w:t>be</w:t>
      </w:r>
      <w:r w:rsidR="00B86FE8" w:rsidRPr="00DC6C83">
        <w:rPr>
          <w:rFonts w:asciiTheme="majorHAnsi" w:hAnsiTheme="majorHAnsi" w:cstheme="majorHAnsi"/>
        </w:rPr>
        <w:t xml:space="preserve">, továbbá folyamatban van még </w:t>
      </w:r>
      <w:r w:rsidR="003B3C2F">
        <w:rPr>
          <w:rFonts w:asciiTheme="majorHAnsi" w:hAnsiTheme="majorHAnsi" w:cstheme="majorHAnsi"/>
        </w:rPr>
        <w:t>5</w:t>
      </w:r>
      <w:r w:rsidR="004E1F12">
        <w:rPr>
          <w:rFonts w:asciiTheme="majorHAnsi" w:hAnsiTheme="majorHAnsi" w:cstheme="majorHAnsi"/>
        </w:rPr>
        <w:t xml:space="preserve"> </w:t>
      </w:r>
      <w:r w:rsidR="003B3C2F">
        <w:rPr>
          <w:rFonts w:asciiTheme="majorHAnsi" w:hAnsiTheme="majorHAnsi" w:cstheme="majorHAnsi"/>
        </w:rPr>
        <w:t>000</w:t>
      </w:r>
      <w:r w:rsidR="00B86FE8" w:rsidRPr="00DC6C83">
        <w:rPr>
          <w:rFonts w:asciiTheme="majorHAnsi" w:hAnsiTheme="majorHAnsi" w:cstheme="majorHAnsi"/>
        </w:rPr>
        <w:t xml:space="preserve"> projektor beszerzése is</w:t>
      </w:r>
      <w:r w:rsidR="003B3C2F">
        <w:rPr>
          <w:rFonts w:asciiTheme="majorHAnsi" w:hAnsiTheme="majorHAnsi" w:cstheme="majorHAnsi"/>
        </w:rPr>
        <w:t xml:space="preserve"> a konvergencia régió iskoláiba, emellett a budapesti és a Pe</w:t>
      </w:r>
      <w:r w:rsidR="00E04484">
        <w:rPr>
          <w:rFonts w:asciiTheme="majorHAnsi" w:hAnsiTheme="majorHAnsi" w:cstheme="majorHAnsi"/>
        </w:rPr>
        <w:t xml:space="preserve">st megyei intézmények további </w:t>
      </w:r>
      <w:r w:rsidR="008E4E47">
        <w:rPr>
          <w:rFonts w:asciiTheme="majorHAnsi" w:hAnsiTheme="majorHAnsi" w:cstheme="majorHAnsi"/>
        </w:rPr>
        <w:t>34</w:t>
      </w:r>
      <w:r w:rsidR="004E1F12">
        <w:rPr>
          <w:rFonts w:asciiTheme="majorHAnsi" w:hAnsiTheme="majorHAnsi" w:cstheme="majorHAnsi"/>
        </w:rPr>
        <w:t xml:space="preserve"> </w:t>
      </w:r>
      <w:r w:rsidR="008E4E47">
        <w:rPr>
          <w:rFonts w:asciiTheme="majorHAnsi" w:hAnsiTheme="majorHAnsi" w:cstheme="majorHAnsi"/>
        </w:rPr>
        <w:t>5</w:t>
      </w:r>
      <w:r w:rsidR="003B3C2F">
        <w:rPr>
          <w:rFonts w:asciiTheme="majorHAnsi" w:hAnsiTheme="majorHAnsi" w:cstheme="majorHAnsi"/>
        </w:rPr>
        <w:t>00 digitális eszközt kaptak 2017</w:t>
      </w:r>
      <w:r w:rsidR="00633B7B">
        <w:rPr>
          <w:rFonts w:asciiTheme="majorHAnsi" w:hAnsiTheme="majorHAnsi" w:cstheme="majorHAnsi"/>
        </w:rPr>
        <w:t>−</w:t>
      </w:r>
      <w:r w:rsidR="003B3C2F">
        <w:rPr>
          <w:rFonts w:asciiTheme="majorHAnsi" w:hAnsiTheme="majorHAnsi" w:cstheme="majorHAnsi"/>
        </w:rPr>
        <w:t>2018-ban</w:t>
      </w:r>
      <w:r w:rsidR="00B86FE8" w:rsidRPr="00DC6C83">
        <w:rPr>
          <w:rFonts w:asciiTheme="majorHAnsi" w:hAnsiTheme="majorHAnsi" w:cstheme="majorHAnsi"/>
        </w:rPr>
        <w:t>.</w:t>
      </w:r>
      <w:r w:rsidR="00A21539">
        <w:rPr>
          <w:rFonts w:asciiTheme="majorHAnsi" w:hAnsiTheme="majorHAnsi" w:cstheme="majorHAnsi"/>
        </w:rPr>
        <w:t xml:space="preserve"> </w:t>
      </w:r>
      <w:r w:rsidR="00F75BD5" w:rsidRPr="00F75BD5">
        <w:rPr>
          <w:rFonts w:asciiTheme="majorHAnsi" w:hAnsiTheme="majorHAnsi" w:cstheme="majorHAnsi"/>
        </w:rPr>
        <w:t xml:space="preserve">Ezek az eszközfejlesztések – természetesen a pedagógusok áldozatos és felelősségteljes munkája mellett - nagyban hozzájárultak ahhoz, hogy a 2020 elején hazánkban is megjelenő koronavírus-járvány idején a köznevelési gyakorlatilag zökkenőmentesen tudott átállni a tantermen kívüli, digitális munkarendre, és néhány hét alatt a pedagógusok és a tanulók többsége a korábbinál sokkal intenzívebben kezdte el használni a különböző digitális eszközöket, online platformokat. </w:t>
      </w:r>
      <w:r w:rsidR="00A21539">
        <w:rPr>
          <w:rFonts w:asciiTheme="majorHAnsi" w:hAnsiTheme="majorHAnsi" w:cstheme="majorHAnsi"/>
        </w:rPr>
        <w:t xml:space="preserve">A digitális oktatás kiterjesztéséhez szükséges eszközök </w:t>
      </w:r>
      <w:r w:rsidR="00633B7B">
        <w:rPr>
          <w:rFonts w:asciiTheme="majorHAnsi" w:hAnsiTheme="majorHAnsi" w:cstheme="majorHAnsi"/>
        </w:rPr>
        <w:t>vásárlását</w:t>
      </w:r>
      <w:r w:rsidR="00A21539">
        <w:rPr>
          <w:rFonts w:asciiTheme="majorHAnsi" w:hAnsiTheme="majorHAnsi" w:cstheme="majorHAnsi"/>
        </w:rPr>
        <w:t xml:space="preserve"> folytatni kell</w:t>
      </w:r>
      <w:r w:rsidR="0020373E">
        <w:rPr>
          <w:rFonts w:asciiTheme="majorHAnsi" w:hAnsiTheme="majorHAnsi" w:cstheme="majorHAnsi"/>
        </w:rPr>
        <w:t xml:space="preserve">, illetve az elavultak cseréjéről is </w:t>
      </w:r>
      <w:r w:rsidR="00633B7B">
        <w:rPr>
          <w:rFonts w:asciiTheme="majorHAnsi" w:hAnsiTheme="majorHAnsi" w:cstheme="majorHAnsi"/>
        </w:rPr>
        <w:t xml:space="preserve">szükséges </w:t>
      </w:r>
      <w:r w:rsidR="0020373E">
        <w:rPr>
          <w:rFonts w:asciiTheme="majorHAnsi" w:hAnsiTheme="majorHAnsi" w:cstheme="majorHAnsi"/>
        </w:rPr>
        <w:t>gondoskodni.</w:t>
      </w:r>
      <w:r w:rsidR="00572E7F">
        <w:rPr>
          <w:rFonts w:asciiTheme="majorHAnsi" w:hAnsiTheme="majorHAnsi" w:cstheme="majorHAnsi"/>
        </w:rPr>
        <w:t xml:space="preserve"> A rohamos technológiai fejlődés és az ezzel együtt járó gyors avulás miatt fontos irány lehet a tanulók saját eszközeinek bevonása a digitális oktatásba</w:t>
      </w:r>
      <w:r w:rsidR="00776045">
        <w:rPr>
          <w:rFonts w:asciiTheme="majorHAnsi" w:hAnsiTheme="majorHAnsi" w:cstheme="majorHAnsi"/>
        </w:rPr>
        <w:t>, a megfelelő védelem (például központi eszközházirend) biztosítása mellett</w:t>
      </w:r>
      <w:r w:rsidR="00572E7F">
        <w:rPr>
          <w:rFonts w:asciiTheme="majorHAnsi" w:hAnsiTheme="majorHAnsi" w:cstheme="majorHAnsi"/>
        </w:rPr>
        <w:t xml:space="preserve">. Emellett meg kell vizsgálni a digitális </w:t>
      </w:r>
      <w:r w:rsidR="00EA5F43">
        <w:rPr>
          <w:rFonts w:asciiTheme="majorHAnsi" w:hAnsiTheme="majorHAnsi" w:cstheme="majorHAnsi"/>
        </w:rPr>
        <w:t>kompetenciák fejlesztését</w:t>
      </w:r>
      <w:r w:rsidR="00572E7F">
        <w:rPr>
          <w:rFonts w:asciiTheme="majorHAnsi" w:hAnsiTheme="majorHAnsi" w:cstheme="majorHAnsi"/>
        </w:rPr>
        <w:t xml:space="preserve"> legjobban támogató tanulási környezetre, valamint a speciális és esetenként igen költséges eszközök használatához való egyenlő </w:t>
      </w:r>
      <w:r w:rsidR="003F5405">
        <w:rPr>
          <w:rFonts w:asciiTheme="majorHAnsi" w:hAnsiTheme="majorHAnsi" w:cstheme="majorHAnsi"/>
        </w:rPr>
        <w:t xml:space="preserve">esélyű </w:t>
      </w:r>
      <w:r w:rsidR="00572E7F">
        <w:rPr>
          <w:rFonts w:asciiTheme="majorHAnsi" w:hAnsiTheme="majorHAnsi" w:cstheme="majorHAnsi"/>
        </w:rPr>
        <w:t xml:space="preserve">hozzáférés </w:t>
      </w:r>
      <w:r w:rsidR="003F5405">
        <w:rPr>
          <w:rFonts w:asciiTheme="majorHAnsi" w:hAnsiTheme="majorHAnsi" w:cstheme="majorHAnsi"/>
        </w:rPr>
        <w:t>elérésére</w:t>
      </w:r>
      <w:r w:rsidR="00572E7F">
        <w:rPr>
          <w:rFonts w:asciiTheme="majorHAnsi" w:hAnsiTheme="majorHAnsi" w:cstheme="majorHAnsi"/>
        </w:rPr>
        <w:t xml:space="preserve"> vonatkozó megoldási lehetőségeket. </w:t>
      </w:r>
    </w:p>
    <w:p w14:paraId="5D22BD5A" w14:textId="5EB2D02F" w:rsidR="006D4546" w:rsidRDefault="006D5CBA" w:rsidP="006D4546">
      <w:pPr>
        <w:rPr>
          <w:rFonts w:asciiTheme="majorHAnsi" w:hAnsiTheme="majorHAnsi" w:cstheme="majorHAnsi"/>
        </w:rPr>
      </w:pPr>
      <w:r w:rsidRPr="006D4546">
        <w:rPr>
          <w:rFonts w:asciiTheme="majorHAnsi" w:hAnsiTheme="majorHAnsi" w:cstheme="majorHAnsi"/>
        </w:rPr>
        <w:t>Az infrastruktúrához szervesen kapcsolódik a Kormányzati Informatikai Fejlesztési Ügynökség (KIFÜ) által nyújtott központi infokommunikációs</w:t>
      </w:r>
      <w:r w:rsidR="00DD754F" w:rsidRPr="006D4546">
        <w:rPr>
          <w:rFonts w:asciiTheme="majorHAnsi" w:hAnsiTheme="majorHAnsi" w:cstheme="majorHAnsi"/>
        </w:rPr>
        <w:t xml:space="preserve"> szolgáltatások köre, amelynek továbbfejlesztése szintén fontos cél a következő időszakra.</w:t>
      </w:r>
      <w:r w:rsidR="006D4546" w:rsidRPr="006D4546">
        <w:rPr>
          <w:rFonts w:asciiTheme="majorHAnsi" w:hAnsiTheme="majorHAnsi" w:cstheme="majorHAnsi"/>
        </w:rPr>
        <w:t xml:space="preserve"> </w:t>
      </w:r>
      <w:r w:rsidR="006D4546">
        <w:rPr>
          <w:rFonts w:asciiTheme="majorHAnsi" w:hAnsiTheme="majorHAnsi" w:cstheme="majorHAnsi"/>
        </w:rPr>
        <w:t>Az alapvető digitális szolgáltatások mellett célszerű törekedni a tanulási-tanítási folyamatok megvalósításához szükséges alkalmazások, szolgáltatások fejlesztésére is.</w:t>
      </w:r>
    </w:p>
    <w:p w14:paraId="024D1C10" w14:textId="77777777" w:rsidR="008063F2" w:rsidRPr="00DC6C83" w:rsidRDefault="008063F2" w:rsidP="008063F2">
      <w:pPr>
        <w:rPr>
          <w:rFonts w:asciiTheme="majorHAnsi" w:eastAsiaTheme="minorHAnsi" w:hAnsiTheme="majorHAnsi" w:cstheme="majorHAnsi"/>
        </w:rPr>
      </w:pPr>
      <w:bookmarkStart w:id="87" w:name="_Toc35596147"/>
    </w:p>
    <w:p w14:paraId="35B0A22C" w14:textId="77777777" w:rsidR="00B86FE8" w:rsidRPr="00DC6C83" w:rsidRDefault="00B86FE8" w:rsidP="0064296D">
      <w:pPr>
        <w:pStyle w:val="Cmsor4"/>
      </w:pPr>
      <w:bookmarkStart w:id="88" w:name="_Toc46822724"/>
      <w:r w:rsidRPr="00DC6C83">
        <w:t>A pedagógusok digitális felkészültsége</w:t>
      </w:r>
      <w:bookmarkEnd w:id="87"/>
      <w:bookmarkEnd w:id="88"/>
    </w:p>
    <w:p w14:paraId="544A3C2A" w14:textId="2B063447" w:rsidR="00B86FE8" w:rsidRPr="00DC6C83" w:rsidRDefault="00B86FE8" w:rsidP="00B86FE8">
      <w:pPr>
        <w:rPr>
          <w:rFonts w:asciiTheme="majorHAnsi" w:hAnsiTheme="majorHAnsi" w:cstheme="majorHAnsi"/>
        </w:rPr>
      </w:pPr>
      <w:r w:rsidRPr="00DC6C83">
        <w:rPr>
          <w:rFonts w:asciiTheme="majorHAnsi" w:hAnsiTheme="majorHAnsi" w:cstheme="majorHAnsi"/>
        </w:rPr>
        <w:t>A</w:t>
      </w:r>
      <w:r w:rsidR="00141B48">
        <w:rPr>
          <w:rFonts w:asciiTheme="majorHAnsi" w:hAnsiTheme="majorHAnsi" w:cstheme="majorHAnsi"/>
        </w:rPr>
        <w:t xml:space="preserve"> nemzetközi példák is azt igazolják, hogy az eszközvásárlások önmagukban nem hoznak változást az oktatás eredményességében, a</w:t>
      </w:r>
      <w:r w:rsidRPr="00DC6C83">
        <w:rPr>
          <w:rFonts w:asciiTheme="majorHAnsi" w:hAnsiTheme="majorHAnsi" w:cstheme="majorHAnsi"/>
        </w:rPr>
        <w:t xml:space="preserve"> digitális </w:t>
      </w:r>
      <w:r w:rsidR="00EA5F43">
        <w:rPr>
          <w:rFonts w:asciiTheme="majorHAnsi" w:hAnsiTheme="majorHAnsi" w:cstheme="majorHAnsi"/>
        </w:rPr>
        <w:t>kompetenciák</w:t>
      </w:r>
      <w:r w:rsidRPr="00DC6C83">
        <w:rPr>
          <w:rFonts w:asciiTheme="majorHAnsi" w:hAnsiTheme="majorHAnsi" w:cstheme="majorHAnsi"/>
        </w:rPr>
        <w:t xml:space="preserve"> fejlesztéséhez szükséges infrastruktúr</w:t>
      </w:r>
      <w:r w:rsidR="00FC47AA">
        <w:rPr>
          <w:rFonts w:asciiTheme="majorHAnsi" w:hAnsiTheme="majorHAnsi" w:cstheme="majorHAnsi"/>
        </w:rPr>
        <w:t xml:space="preserve">a </w:t>
      </w:r>
      <w:r w:rsidR="00141B48">
        <w:rPr>
          <w:rFonts w:asciiTheme="majorHAnsi" w:hAnsiTheme="majorHAnsi" w:cstheme="majorHAnsi"/>
        </w:rPr>
        <w:t xml:space="preserve">felszerelése mellett </w:t>
      </w:r>
      <w:r w:rsidR="00FC47AA">
        <w:rPr>
          <w:rFonts w:asciiTheme="majorHAnsi" w:hAnsiTheme="majorHAnsi" w:cstheme="majorHAnsi"/>
        </w:rPr>
        <w:t xml:space="preserve">legalább ilyen fontos </w:t>
      </w:r>
      <w:r w:rsidRPr="00DC6C83">
        <w:rPr>
          <w:rFonts w:asciiTheme="majorHAnsi" w:hAnsiTheme="majorHAnsi" w:cstheme="majorHAnsi"/>
        </w:rPr>
        <w:t xml:space="preserve">a pedagógusok digitális felkészülésének támogatása. Annak érdekében, hogy a köznevelés rendszere képes legyen megerősíteni a megfelelő, mind az élethosszig tartó tanulás, mind a munkaerőpiac számára kiemelt fontosságú IKT alapkészségeket, szükséges a pedagógusok </w:t>
      </w:r>
      <w:r w:rsidR="003F5405">
        <w:rPr>
          <w:rFonts w:asciiTheme="majorHAnsi" w:hAnsiTheme="majorHAnsi" w:cstheme="majorHAnsi"/>
        </w:rPr>
        <w:t xml:space="preserve">továbbképzése </w:t>
      </w:r>
      <w:r w:rsidRPr="00DC6C83">
        <w:rPr>
          <w:rFonts w:asciiTheme="majorHAnsi" w:hAnsiTheme="majorHAnsi" w:cstheme="majorHAnsi"/>
        </w:rPr>
        <w:t xml:space="preserve">is ezen a területen. A pedagógusok digitális felkészültsége nem csak az eszközhasználatra és digitális írástudásuk fejlesztésére korlátozódik, hanem hangsúlyosan </w:t>
      </w:r>
      <w:r w:rsidR="003F5405">
        <w:rPr>
          <w:rFonts w:asciiTheme="majorHAnsi" w:hAnsiTheme="majorHAnsi" w:cstheme="majorHAnsi"/>
        </w:rPr>
        <w:t xml:space="preserve">nyilvánul meg </w:t>
      </w:r>
      <w:r w:rsidRPr="00DC6C83">
        <w:rPr>
          <w:rFonts w:asciiTheme="majorHAnsi" w:hAnsiTheme="majorHAnsi" w:cstheme="majorHAnsi"/>
        </w:rPr>
        <w:t xml:space="preserve">az </w:t>
      </w:r>
      <w:proofErr w:type="spellStart"/>
      <w:r w:rsidRPr="00DC6C83">
        <w:rPr>
          <w:rFonts w:asciiTheme="majorHAnsi" w:hAnsiTheme="majorHAnsi" w:cstheme="majorHAnsi"/>
        </w:rPr>
        <w:t>IKT-eszközökkel</w:t>
      </w:r>
      <w:proofErr w:type="spellEnd"/>
      <w:r w:rsidRPr="00DC6C83">
        <w:rPr>
          <w:rFonts w:asciiTheme="majorHAnsi" w:hAnsiTheme="majorHAnsi" w:cstheme="majorHAnsi"/>
        </w:rPr>
        <w:t xml:space="preserve"> támogatott tanulási és tanítási folyamatok pedagógiai-módszertani elvek mentén történő tervezésében </w:t>
      </w:r>
      <w:r w:rsidR="003F5405">
        <w:rPr>
          <w:rFonts w:asciiTheme="majorHAnsi" w:hAnsiTheme="majorHAnsi" w:cstheme="majorHAnsi"/>
        </w:rPr>
        <w:t>is</w:t>
      </w:r>
      <w:r w:rsidR="00141B48">
        <w:rPr>
          <w:rFonts w:asciiTheme="majorHAnsi" w:hAnsiTheme="majorHAnsi" w:cstheme="majorHAnsi"/>
        </w:rPr>
        <w:t>, amit az intézményvezetők felé megfogalmazott ágazatirányítási elvárásokon túl a továbbképzések és a szaktanácsadás rendszerén keresztül is erősíteni, támogatni szükséges</w:t>
      </w:r>
      <w:r w:rsidRPr="00DC6C83">
        <w:rPr>
          <w:rFonts w:asciiTheme="majorHAnsi" w:hAnsiTheme="majorHAnsi" w:cstheme="majorHAnsi"/>
        </w:rPr>
        <w:t>.</w:t>
      </w:r>
    </w:p>
    <w:p w14:paraId="3EF2EA5B" w14:textId="77777777" w:rsidR="00B86FE8" w:rsidRPr="00DC6C83" w:rsidRDefault="00A21539" w:rsidP="000310B4">
      <w:pPr>
        <w:rPr>
          <w:rFonts w:asciiTheme="majorHAnsi" w:hAnsiTheme="majorHAnsi" w:cstheme="majorHAnsi"/>
        </w:rPr>
      </w:pPr>
      <w:r>
        <w:rPr>
          <w:rFonts w:asciiTheme="majorHAnsi" w:hAnsiTheme="majorHAnsi" w:cstheme="majorHAnsi"/>
        </w:rPr>
        <w:t xml:space="preserve">A Kormány éppen ezért </w:t>
      </w:r>
      <w:r w:rsidR="00B86FE8" w:rsidRPr="000310B4">
        <w:rPr>
          <w:rFonts w:asciiTheme="majorHAnsi" w:hAnsiTheme="majorHAnsi" w:cstheme="majorHAnsi"/>
        </w:rPr>
        <w:t>komoly figyelmet fordít a pedagógusok digitális felkészítésére</w:t>
      </w:r>
      <w:r w:rsidR="00B86FE8" w:rsidRPr="00DC6C83">
        <w:rPr>
          <w:rFonts w:asciiTheme="majorHAnsi" w:hAnsiTheme="majorHAnsi" w:cstheme="majorHAnsi"/>
        </w:rPr>
        <w:t xml:space="preserve">. Az EFOP 3.2.4. Digitális kompetencia fejlesztése című </w:t>
      </w:r>
      <w:r w:rsidR="0020373E">
        <w:rPr>
          <w:rFonts w:asciiTheme="majorHAnsi" w:hAnsiTheme="majorHAnsi" w:cstheme="majorHAnsi"/>
        </w:rPr>
        <w:t xml:space="preserve">kiemelt európai uniós </w:t>
      </w:r>
      <w:r w:rsidR="00B86FE8" w:rsidRPr="00DC6C83">
        <w:rPr>
          <w:rFonts w:asciiTheme="majorHAnsi" w:hAnsiTheme="majorHAnsi" w:cstheme="majorHAnsi"/>
        </w:rPr>
        <w:t xml:space="preserve">projekt </w:t>
      </w:r>
      <w:r w:rsidR="00A71D68">
        <w:rPr>
          <w:rFonts w:asciiTheme="majorHAnsi" w:hAnsiTheme="majorHAnsi" w:cstheme="majorHAnsi"/>
        </w:rPr>
        <w:t>segítette</w:t>
      </w:r>
      <w:r w:rsidR="00A71D68" w:rsidRPr="00DC6C83">
        <w:rPr>
          <w:rFonts w:asciiTheme="majorHAnsi" w:hAnsiTheme="majorHAnsi" w:cstheme="majorHAnsi"/>
        </w:rPr>
        <w:t xml:space="preserve"> </w:t>
      </w:r>
      <w:r w:rsidR="00B86FE8" w:rsidRPr="00DC6C83">
        <w:rPr>
          <w:rFonts w:asciiTheme="majorHAnsi" w:hAnsiTheme="majorHAnsi" w:cstheme="majorHAnsi"/>
        </w:rPr>
        <w:t>a pedagógusok módszertani megerősítés</w:t>
      </w:r>
      <w:r w:rsidR="00A71D68">
        <w:rPr>
          <w:rFonts w:asciiTheme="majorHAnsi" w:hAnsiTheme="majorHAnsi" w:cstheme="majorHAnsi"/>
        </w:rPr>
        <w:t>ét. A projekt</w:t>
      </w:r>
      <w:r w:rsidR="003B3C2F">
        <w:rPr>
          <w:rFonts w:asciiTheme="majorHAnsi" w:hAnsiTheme="majorHAnsi" w:cstheme="majorHAnsi"/>
        </w:rPr>
        <w:t xml:space="preserve"> keretében, valamint költségvetési forrásból</w:t>
      </w:r>
      <w:r w:rsidR="00251CB4">
        <w:rPr>
          <w:rFonts w:asciiTheme="majorHAnsi" w:hAnsiTheme="majorHAnsi" w:cstheme="majorHAnsi"/>
        </w:rPr>
        <w:t xml:space="preserve"> </w:t>
      </w:r>
      <w:r w:rsidR="003B3C2F" w:rsidRPr="00DC6C83">
        <w:rPr>
          <w:rFonts w:asciiTheme="majorHAnsi" w:hAnsiTheme="majorHAnsi" w:cstheme="majorHAnsi"/>
        </w:rPr>
        <w:t>2017</w:t>
      </w:r>
      <w:r w:rsidR="003F5405">
        <w:rPr>
          <w:rFonts w:asciiTheme="majorHAnsi" w:hAnsiTheme="majorHAnsi" w:cstheme="majorHAnsi"/>
        </w:rPr>
        <w:t>−</w:t>
      </w:r>
      <w:r w:rsidR="003B3C2F" w:rsidRPr="00DC6C83">
        <w:rPr>
          <w:rFonts w:asciiTheme="majorHAnsi" w:hAnsiTheme="majorHAnsi" w:cstheme="majorHAnsi"/>
        </w:rPr>
        <w:t>201</w:t>
      </w:r>
      <w:r w:rsidR="003B3C2F">
        <w:rPr>
          <w:rFonts w:asciiTheme="majorHAnsi" w:hAnsiTheme="majorHAnsi" w:cstheme="majorHAnsi"/>
        </w:rPr>
        <w:t>9 között</w:t>
      </w:r>
      <w:r w:rsidR="00E36BAB">
        <w:rPr>
          <w:rFonts w:asciiTheme="majorHAnsi" w:hAnsiTheme="majorHAnsi" w:cstheme="majorHAnsi"/>
        </w:rPr>
        <w:t xml:space="preserve"> </w:t>
      </w:r>
      <w:r w:rsidR="00A71D68">
        <w:rPr>
          <w:rFonts w:asciiTheme="majorHAnsi" w:hAnsiTheme="majorHAnsi" w:cstheme="majorHAnsi"/>
        </w:rPr>
        <w:t> </w:t>
      </w:r>
      <w:r w:rsidR="00E25410">
        <w:rPr>
          <w:rFonts w:asciiTheme="majorHAnsi" w:hAnsiTheme="majorHAnsi" w:cstheme="majorHAnsi"/>
        </w:rPr>
        <w:t xml:space="preserve"> - ahogyan már utaltunk rá – nagyszámú digitális eszköz került kiosztásra</w:t>
      </w:r>
      <w:r w:rsidR="00B86FE8" w:rsidRPr="00DC6C83">
        <w:rPr>
          <w:rFonts w:asciiTheme="majorHAnsi" w:hAnsiTheme="majorHAnsi" w:cstheme="majorHAnsi"/>
        </w:rPr>
        <w:t>. Az eszközök melle</w:t>
      </w:r>
      <w:r>
        <w:rPr>
          <w:rFonts w:asciiTheme="majorHAnsi" w:hAnsiTheme="majorHAnsi" w:cstheme="majorHAnsi"/>
        </w:rPr>
        <w:t>t</w:t>
      </w:r>
      <w:r w:rsidR="00B86FE8" w:rsidRPr="00DC6C83">
        <w:rPr>
          <w:rFonts w:asciiTheme="majorHAnsi" w:hAnsiTheme="majorHAnsi" w:cstheme="majorHAnsi"/>
        </w:rPr>
        <w:t>t azonban elengedhetetlen, hogy rendelkezésre álljanak digitális tananyagok és tartalmak</w:t>
      </w:r>
      <w:r w:rsidR="00F75BD5">
        <w:rPr>
          <w:rFonts w:asciiTheme="majorHAnsi" w:hAnsiTheme="majorHAnsi" w:cstheme="majorHAnsi"/>
        </w:rPr>
        <w:t>.</w:t>
      </w:r>
    </w:p>
    <w:p w14:paraId="08156966" w14:textId="591E00D8" w:rsidR="00B86FE8" w:rsidRPr="00DC6C83" w:rsidRDefault="003A3A45" w:rsidP="003A3A45">
      <w:pPr>
        <w:rPr>
          <w:rFonts w:asciiTheme="majorHAnsi" w:hAnsiTheme="majorHAnsi" w:cstheme="majorHAnsi"/>
        </w:rPr>
      </w:pPr>
      <w:r w:rsidRPr="003A3A45">
        <w:t xml:space="preserve"> </w:t>
      </w:r>
      <w:r w:rsidRPr="003A3A45">
        <w:rPr>
          <w:rFonts w:asciiTheme="majorHAnsi" w:hAnsiTheme="majorHAnsi" w:cstheme="majorHAnsi"/>
        </w:rPr>
        <w:t>Tovább kell folytatni</w:t>
      </w:r>
      <w:r>
        <w:rPr>
          <w:rFonts w:asciiTheme="majorHAnsi" w:hAnsiTheme="majorHAnsi" w:cstheme="majorHAnsi"/>
        </w:rPr>
        <w:t xml:space="preserve"> </w:t>
      </w:r>
      <w:r w:rsidRPr="003A3A45">
        <w:rPr>
          <w:rFonts w:asciiTheme="majorHAnsi" w:hAnsiTheme="majorHAnsi" w:cstheme="majorHAnsi"/>
        </w:rPr>
        <w:t>a pedagógusok digitális fejlesztésé</w:t>
      </w:r>
      <w:r w:rsidR="00A32BDB">
        <w:rPr>
          <w:rFonts w:asciiTheme="majorHAnsi" w:hAnsiTheme="majorHAnsi" w:cstheme="majorHAnsi"/>
        </w:rPr>
        <w:t>é</w:t>
      </w:r>
      <w:r w:rsidRPr="003A3A45">
        <w:rPr>
          <w:rFonts w:asciiTheme="majorHAnsi" w:hAnsiTheme="majorHAnsi" w:cstheme="majorHAnsi"/>
        </w:rPr>
        <w:t>rt, felkészítéséért tett munkát annak érdekében, hogy növelni</w:t>
      </w:r>
      <w:r>
        <w:rPr>
          <w:rFonts w:asciiTheme="majorHAnsi" w:hAnsiTheme="majorHAnsi" w:cstheme="majorHAnsi"/>
        </w:rPr>
        <w:t xml:space="preserve"> </w:t>
      </w:r>
      <w:r w:rsidRPr="003A3A45">
        <w:rPr>
          <w:rFonts w:asciiTheme="majorHAnsi" w:hAnsiTheme="majorHAnsi" w:cstheme="majorHAnsi"/>
        </w:rPr>
        <w:t xml:space="preserve">tudjuk az </w:t>
      </w:r>
      <w:proofErr w:type="spellStart"/>
      <w:r w:rsidRPr="003A3A45">
        <w:rPr>
          <w:rFonts w:asciiTheme="majorHAnsi" w:hAnsiTheme="majorHAnsi" w:cstheme="majorHAnsi"/>
        </w:rPr>
        <w:t>IKT-val</w:t>
      </w:r>
      <w:proofErr w:type="spellEnd"/>
      <w:r w:rsidRPr="003A3A45">
        <w:rPr>
          <w:rFonts w:asciiTheme="majorHAnsi" w:hAnsiTheme="majorHAnsi" w:cstheme="majorHAnsi"/>
        </w:rPr>
        <w:t xml:space="preserve"> támogatott tanórák arányát Magyarországon</w:t>
      </w:r>
      <w:r w:rsidR="00B86FE8" w:rsidRPr="00DC6C83">
        <w:rPr>
          <w:rFonts w:asciiTheme="majorHAnsi" w:hAnsiTheme="majorHAnsi" w:cstheme="majorHAnsi"/>
        </w:rPr>
        <w:t>. Ennek céljából</w:t>
      </w:r>
      <w:r w:rsidR="005D0973">
        <w:rPr>
          <w:rFonts w:asciiTheme="majorHAnsi" w:hAnsiTheme="majorHAnsi" w:cstheme="majorHAnsi"/>
        </w:rPr>
        <w:t xml:space="preserve"> a 2018/2019-es tanévben 40 </w:t>
      </w:r>
      <w:r w:rsidR="00B86FE8" w:rsidRPr="00DC6C83">
        <w:rPr>
          <w:rFonts w:asciiTheme="majorHAnsi" w:hAnsiTheme="majorHAnsi" w:cstheme="majorHAnsi"/>
        </w:rPr>
        <w:t>000 pedagógus vehetett részt</w:t>
      </w:r>
      <w:r w:rsidR="00B86FE8" w:rsidRPr="000310B4">
        <w:rPr>
          <w:rFonts w:asciiTheme="majorHAnsi" w:hAnsiTheme="majorHAnsi" w:cstheme="majorHAnsi"/>
        </w:rPr>
        <w:t xml:space="preserve"> a Klebelsberg Központ által szervezett digitális </w:t>
      </w:r>
      <w:r w:rsidR="00F11788">
        <w:rPr>
          <w:rFonts w:asciiTheme="majorHAnsi" w:hAnsiTheme="majorHAnsi" w:cstheme="majorHAnsi"/>
        </w:rPr>
        <w:t>alapozó</w:t>
      </w:r>
      <w:r w:rsidR="00251CB4">
        <w:rPr>
          <w:rFonts w:asciiTheme="majorHAnsi" w:hAnsiTheme="majorHAnsi" w:cstheme="majorHAnsi"/>
        </w:rPr>
        <w:t xml:space="preserve"> </w:t>
      </w:r>
      <w:r w:rsidR="00B86FE8" w:rsidRPr="000310B4">
        <w:rPr>
          <w:rFonts w:asciiTheme="majorHAnsi" w:hAnsiTheme="majorHAnsi" w:cstheme="majorHAnsi"/>
        </w:rPr>
        <w:t xml:space="preserve">továbbképzésen, </w:t>
      </w:r>
      <w:r w:rsidR="00F11788">
        <w:rPr>
          <w:rFonts w:asciiTheme="majorHAnsi" w:hAnsiTheme="majorHAnsi" w:cstheme="majorHAnsi"/>
        </w:rPr>
        <w:t xml:space="preserve">valamint a </w:t>
      </w:r>
      <w:r w:rsidR="00F11788" w:rsidRPr="00F11788">
        <w:rPr>
          <w:rFonts w:asciiTheme="majorHAnsi" w:hAnsiTheme="majorHAnsi" w:cstheme="majorHAnsi"/>
        </w:rPr>
        <w:t xml:space="preserve">Digitális Pedagógiai Módszertani Központ </w:t>
      </w:r>
      <w:r w:rsidR="00251CB4">
        <w:rPr>
          <w:rFonts w:asciiTheme="majorHAnsi" w:hAnsiTheme="majorHAnsi" w:cstheme="majorHAnsi"/>
        </w:rPr>
        <w:t>számos szaktárgyi módszertani-</w:t>
      </w:r>
      <w:r w:rsidR="00F11788">
        <w:rPr>
          <w:rFonts w:asciiTheme="majorHAnsi" w:hAnsiTheme="majorHAnsi" w:cstheme="majorHAnsi"/>
        </w:rPr>
        <w:t xml:space="preserve">csomagot készített annak érdekében, </w:t>
      </w:r>
      <w:r w:rsidR="00B86FE8" w:rsidRPr="000310B4">
        <w:rPr>
          <w:rFonts w:asciiTheme="majorHAnsi" w:hAnsiTheme="majorHAnsi" w:cstheme="majorHAnsi"/>
        </w:rPr>
        <w:t xml:space="preserve">hogy a beszerzett eszközöket </w:t>
      </w:r>
      <w:r w:rsidR="00E65F4D">
        <w:rPr>
          <w:rFonts w:asciiTheme="majorHAnsi" w:hAnsiTheme="majorHAnsi" w:cstheme="majorHAnsi"/>
        </w:rPr>
        <w:t>az adott szaktárgyi módszertan alapján</w:t>
      </w:r>
      <w:r w:rsidR="00F11788">
        <w:rPr>
          <w:rFonts w:asciiTheme="majorHAnsi" w:hAnsiTheme="majorHAnsi" w:cstheme="majorHAnsi"/>
        </w:rPr>
        <w:t xml:space="preserve"> </w:t>
      </w:r>
      <w:r w:rsidR="00B86FE8" w:rsidRPr="000310B4">
        <w:rPr>
          <w:rFonts w:asciiTheme="majorHAnsi" w:hAnsiTheme="majorHAnsi" w:cstheme="majorHAnsi"/>
        </w:rPr>
        <w:t>mi</w:t>
      </w:r>
      <w:r w:rsidR="00BE3BE6">
        <w:rPr>
          <w:rFonts w:asciiTheme="majorHAnsi" w:hAnsiTheme="majorHAnsi" w:cstheme="majorHAnsi"/>
        </w:rPr>
        <w:t xml:space="preserve">nél felkészültebben használják. A jövőben a felkészítést még intenzívebbé, célirányosabbá kell tenni, kiemelten támogatva </w:t>
      </w:r>
      <w:r w:rsidR="00A15205">
        <w:rPr>
          <w:rFonts w:asciiTheme="majorHAnsi" w:hAnsiTheme="majorHAnsi" w:cstheme="majorHAnsi"/>
        </w:rPr>
        <w:t>az óvodai nevelésben alkalmazható, és az iskolai</w:t>
      </w:r>
      <w:r w:rsidR="00BE3BE6">
        <w:rPr>
          <w:rFonts w:asciiTheme="majorHAnsi" w:hAnsiTheme="majorHAnsi" w:cstheme="majorHAnsi"/>
        </w:rPr>
        <w:t xml:space="preserve"> szaktárgyakhoz kapcsolódó digitális módszertan és eszközrendszer megismerését, elsajátítását</w:t>
      </w:r>
      <w:r w:rsidR="00B86FE8" w:rsidRPr="00DC6C83">
        <w:rPr>
          <w:rFonts w:asciiTheme="majorHAnsi" w:hAnsiTheme="majorHAnsi" w:cstheme="majorHAnsi"/>
        </w:rPr>
        <w:t>.</w:t>
      </w:r>
    </w:p>
    <w:p w14:paraId="38791458" w14:textId="4C2245EE" w:rsidR="00B86FE8" w:rsidRPr="00DC6C83" w:rsidRDefault="00B86FE8" w:rsidP="000310B4">
      <w:pPr>
        <w:rPr>
          <w:rFonts w:asciiTheme="majorHAnsi" w:hAnsiTheme="majorHAnsi" w:cstheme="majorHAnsi"/>
        </w:rPr>
      </w:pPr>
      <w:r w:rsidRPr="00DC6C83">
        <w:rPr>
          <w:rFonts w:asciiTheme="majorHAnsi" w:hAnsiTheme="majorHAnsi" w:cstheme="majorHAnsi"/>
        </w:rPr>
        <w:t xml:space="preserve">A TALIS2018 kutatás is vizsgálta, hogy a tanárok a </w:t>
      </w:r>
      <w:r w:rsidR="00473252">
        <w:rPr>
          <w:rFonts w:asciiTheme="majorHAnsi" w:hAnsiTheme="majorHAnsi" w:cstheme="majorHAnsi"/>
        </w:rPr>
        <w:t xml:space="preserve">− </w:t>
      </w:r>
      <w:r w:rsidRPr="00DC6C83">
        <w:rPr>
          <w:rFonts w:asciiTheme="majorHAnsi" w:hAnsiTheme="majorHAnsi" w:cstheme="majorHAnsi"/>
        </w:rPr>
        <w:t xml:space="preserve">képzésük részét képező </w:t>
      </w:r>
      <w:r w:rsidR="00473252">
        <w:rPr>
          <w:rFonts w:asciiTheme="majorHAnsi" w:hAnsiTheme="majorHAnsi" w:cstheme="majorHAnsi"/>
        </w:rPr>
        <w:t>−</w:t>
      </w:r>
      <w:r w:rsidRPr="00DC6C83">
        <w:rPr>
          <w:rFonts w:asciiTheme="majorHAnsi" w:hAnsiTheme="majorHAnsi" w:cstheme="majorHAnsi"/>
        </w:rPr>
        <w:t xml:space="preserve"> tudás- és képességterületeken mennyire érzik felkészültnek magukat. Az adatok </w:t>
      </w:r>
      <w:proofErr w:type="gramStart"/>
      <w:r w:rsidR="00FC47AA" w:rsidRPr="00DC6C83">
        <w:rPr>
          <w:rFonts w:asciiTheme="majorHAnsi" w:hAnsiTheme="majorHAnsi" w:cstheme="majorHAnsi"/>
        </w:rPr>
        <w:t>alapján</w:t>
      </w:r>
      <w:proofErr w:type="gramEnd"/>
      <w:r w:rsidR="00E36BAB">
        <w:rPr>
          <w:rFonts w:asciiTheme="majorHAnsi" w:hAnsiTheme="majorHAnsi" w:cstheme="majorHAnsi"/>
        </w:rPr>
        <w:t xml:space="preserve"> </w:t>
      </w:r>
      <w:r w:rsidRPr="000310B4">
        <w:rPr>
          <w:rFonts w:asciiTheme="majorHAnsi" w:hAnsiTheme="majorHAnsi" w:cstheme="majorHAnsi"/>
        </w:rPr>
        <w:t xml:space="preserve">Magyarországon a tanárok több mint 65 százaléka felkészültnek érzi magát az IKT eszközök tanítási célú használatából, és </w:t>
      </w:r>
      <w:r w:rsidR="00FC47AA" w:rsidRPr="000310B4">
        <w:rPr>
          <w:rFonts w:asciiTheme="majorHAnsi" w:hAnsiTheme="majorHAnsi" w:cstheme="majorHAnsi"/>
        </w:rPr>
        <w:t>ezzel</w:t>
      </w:r>
      <w:r w:rsidRPr="000310B4">
        <w:rPr>
          <w:rFonts w:asciiTheme="majorHAnsi" w:hAnsiTheme="majorHAnsi" w:cstheme="majorHAnsi"/>
        </w:rPr>
        <w:t xml:space="preserve"> jóval az OECD átlag felett helyezkedünk el. </w:t>
      </w:r>
      <w:r w:rsidRPr="00DC6C83">
        <w:rPr>
          <w:rFonts w:asciiTheme="majorHAnsi" w:hAnsiTheme="majorHAnsi" w:cstheme="majorHAnsi"/>
        </w:rPr>
        <w:t>A felkészültség tekintetében érdemes azt is hangsúlyozni, hogy a magyar tanárok a 10 vizsgált terület közül 9 esetben szignifikánsan nagyobb arányban mondták magukat jól vagy nagyon jól felkészültnek, mint az OECD-országokban átlagosan.</w:t>
      </w:r>
      <w:r w:rsidR="009509B2">
        <w:rPr>
          <w:rFonts w:asciiTheme="majorHAnsi" w:hAnsiTheme="majorHAnsi" w:cstheme="majorHAnsi"/>
        </w:rPr>
        <w:t xml:space="preserve"> </w:t>
      </w:r>
      <w:r w:rsidR="008D1496">
        <w:rPr>
          <w:rFonts w:asciiTheme="majorHAnsi" w:hAnsiTheme="majorHAnsi" w:cstheme="majorHAnsi"/>
        </w:rPr>
        <w:t>(Az adatok kapcsán fontos kiemelni, hogy ezek a válaszadó tanárok önértékelésén alapulnak.)</w:t>
      </w:r>
    </w:p>
    <w:p w14:paraId="180E46D8" w14:textId="77777777" w:rsidR="00B86FE8" w:rsidRDefault="00B86FE8" w:rsidP="00B86FE8">
      <w:pPr>
        <w:pStyle w:val="Abracim"/>
        <w:rPr>
          <w:rFonts w:asciiTheme="majorHAnsi" w:hAnsiTheme="majorHAnsi" w:cstheme="majorHAnsi"/>
          <w:lang w:eastAsia="hu-HU"/>
        </w:rPr>
      </w:pPr>
      <w:r w:rsidRPr="00DC6C83">
        <w:rPr>
          <w:rFonts w:asciiTheme="majorHAnsi" w:hAnsiTheme="majorHAnsi" w:cstheme="majorHAnsi"/>
          <w:lang w:eastAsia="hu-HU"/>
        </w:rPr>
        <w:lastRenderedPageBreak/>
        <w:t>ábra: Tanárok felkészü</w:t>
      </w:r>
      <w:r w:rsidR="00993B37">
        <w:rPr>
          <w:rFonts w:asciiTheme="majorHAnsi" w:hAnsiTheme="majorHAnsi" w:cstheme="majorHAnsi"/>
          <w:lang w:eastAsia="hu-HU"/>
        </w:rPr>
        <w:t>l</w:t>
      </w:r>
      <w:r w:rsidRPr="00DC6C83">
        <w:rPr>
          <w:rFonts w:asciiTheme="majorHAnsi" w:hAnsiTheme="majorHAnsi" w:cstheme="majorHAnsi"/>
          <w:lang w:eastAsia="hu-HU"/>
        </w:rPr>
        <w:t>tsége</w:t>
      </w:r>
      <w:r w:rsidRPr="00DC6C83">
        <w:rPr>
          <w:rFonts w:asciiTheme="majorHAnsi" w:hAnsiTheme="majorHAnsi" w:cstheme="majorHAnsi"/>
        </w:rPr>
        <w:t xml:space="preserve"> az OECD-országokban és Magyarországon</w:t>
      </w:r>
    </w:p>
    <w:p w14:paraId="76C07BE5" w14:textId="77777777" w:rsidR="00993B37" w:rsidRPr="00DC6C83" w:rsidRDefault="00993B37" w:rsidP="00993B37">
      <w:pPr>
        <w:pStyle w:val="Abracim"/>
        <w:numPr>
          <w:ilvl w:val="0"/>
          <w:numId w:val="0"/>
        </w:numPr>
        <w:rPr>
          <w:rFonts w:asciiTheme="majorHAnsi" w:hAnsiTheme="majorHAnsi" w:cstheme="majorHAnsi"/>
          <w:lang w:eastAsia="hu-HU"/>
        </w:rPr>
      </w:pPr>
      <w:r>
        <w:rPr>
          <w:rFonts w:asciiTheme="majorHAnsi" w:hAnsiTheme="majorHAnsi" w:cstheme="majorHAnsi"/>
          <w:noProof/>
          <w:lang w:eastAsia="hu-HU"/>
        </w:rPr>
        <w:drawing>
          <wp:inline distT="0" distB="0" distL="0" distR="0" wp14:anchorId="79FA4F3F" wp14:editId="12BF29A3">
            <wp:extent cx="5683250" cy="3625850"/>
            <wp:effectExtent l="0" t="0" r="12700" b="12700"/>
            <wp:docPr id="15"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5DFF92" w14:textId="77777777" w:rsidR="00993B37" w:rsidRDefault="00993B37" w:rsidP="00DA54E4">
      <w:pPr>
        <w:spacing w:line="276" w:lineRule="auto"/>
        <w:jc w:val="center"/>
        <w:rPr>
          <w:rFonts w:asciiTheme="majorHAnsi" w:hAnsiTheme="majorHAnsi" w:cstheme="majorHAnsi"/>
          <w:i/>
          <w:sz w:val="20"/>
        </w:rPr>
      </w:pPr>
      <w:r>
        <w:rPr>
          <w:rFonts w:asciiTheme="majorHAnsi" w:hAnsiTheme="majorHAnsi" w:cstheme="majorHAnsi"/>
          <w:i/>
          <w:sz w:val="20"/>
        </w:rPr>
        <w:t xml:space="preserve">Forrás: OECD, TALIS 2018 </w:t>
      </w:r>
      <w:proofErr w:type="spellStart"/>
      <w:r>
        <w:rPr>
          <w:rFonts w:asciiTheme="majorHAnsi" w:hAnsiTheme="majorHAnsi" w:cstheme="majorHAnsi"/>
          <w:i/>
          <w:sz w:val="20"/>
        </w:rPr>
        <w:t>Data</w:t>
      </w:r>
      <w:r w:rsidRPr="00DC6C83">
        <w:rPr>
          <w:rFonts w:asciiTheme="majorHAnsi" w:hAnsiTheme="majorHAnsi" w:cstheme="majorHAnsi"/>
          <w:i/>
          <w:sz w:val="20"/>
        </w:rPr>
        <w:t>base</w:t>
      </w:r>
      <w:proofErr w:type="spellEnd"/>
      <w:r w:rsidR="004203BA">
        <w:rPr>
          <w:rFonts w:asciiTheme="majorHAnsi" w:hAnsiTheme="majorHAnsi" w:cstheme="majorHAnsi"/>
          <w:i/>
          <w:sz w:val="20"/>
        </w:rPr>
        <w:t xml:space="preserve"> </w:t>
      </w:r>
    </w:p>
    <w:p w14:paraId="2641E061" w14:textId="6ADBB288" w:rsidR="00BE3BE6" w:rsidRPr="00DC6C83" w:rsidRDefault="00B86FE8" w:rsidP="00BE3BE6">
      <w:pPr>
        <w:spacing w:line="276" w:lineRule="auto"/>
        <w:rPr>
          <w:rFonts w:asciiTheme="majorHAnsi" w:hAnsiTheme="majorHAnsi" w:cstheme="majorHAnsi"/>
        </w:rPr>
      </w:pPr>
      <w:r w:rsidRPr="00DC6C83">
        <w:rPr>
          <w:rFonts w:asciiTheme="majorHAnsi" w:hAnsiTheme="majorHAnsi" w:cstheme="majorHAnsi"/>
        </w:rPr>
        <w:t>A pedagógusok alapképzés</w:t>
      </w:r>
      <w:r w:rsidR="00473252">
        <w:rPr>
          <w:rFonts w:asciiTheme="majorHAnsi" w:hAnsiTheme="majorHAnsi" w:cstheme="majorHAnsi"/>
        </w:rPr>
        <w:t>ében</w:t>
      </w:r>
      <w:r w:rsidRPr="00DC6C83">
        <w:rPr>
          <w:rFonts w:asciiTheme="majorHAnsi" w:hAnsiTheme="majorHAnsi" w:cstheme="majorHAnsi"/>
        </w:rPr>
        <w:t xml:space="preserve"> is egyre inkább megjelennek a digitális technológiák. A TALIS 2018-as mérés adatai alapján az látszik, hogy </w:t>
      </w:r>
      <w:r w:rsidRPr="000310B4">
        <w:rPr>
          <w:rFonts w:asciiTheme="majorHAnsi" w:hAnsiTheme="majorHAnsi" w:cstheme="majorHAnsi"/>
        </w:rPr>
        <w:t xml:space="preserve">az </w:t>
      </w:r>
      <w:proofErr w:type="spellStart"/>
      <w:r w:rsidRPr="000310B4">
        <w:rPr>
          <w:rFonts w:asciiTheme="majorHAnsi" w:hAnsiTheme="majorHAnsi" w:cstheme="majorHAnsi"/>
        </w:rPr>
        <w:t>IKT-eszközök</w:t>
      </w:r>
      <w:proofErr w:type="spellEnd"/>
      <w:r w:rsidRPr="000310B4">
        <w:rPr>
          <w:rFonts w:asciiTheme="majorHAnsi" w:hAnsiTheme="majorHAnsi" w:cstheme="majorHAnsi"/>
        </w:rPr>
        <w:t xml:space="preserve"> pedagógiai célú használata szignifikánsan nagyobb hangsúlyt kap az elmúlt évek tanárképzésében, mint korábban, azaz a tanárképzés alkalmazkodott az IKT elterjedéséhez és a leendő tanárokat igyekszik felkészíteni az új kihívásokra.</w:t>
      </w:r>
      <w:r w:rsidR="00E36BAB">
        <w:rPr>
          <w:rFonts w:asciiTheme="majorHAnsi" w:hAnsiTheme="majorHAnsi" w:cstheme="majorHAnsi"/>
        </w:rPr>
        <w:t xml:space="preserve"> </w:t>
      </w:r>
      <w:r w:rsidR="00BE3BE6" w:rsidRPr="00DC6C83">
        <w:rPr>
          <w:rFonts w:asciiTheme="majorHAnsi" w:hAnsiTheme="majorHAnsi" w:cstheme="majorHAnsi"/>
        </w:rPr>
        <w:t>Ugyanakkor az IKT</w:t>
      </w:r>
      <w:r w:rsidR="00790D85">
        <w:rPr>
          <w:rFonts w:asciiTheme="majorHAnsi" w:hAnsiTheme="majorHAnsi" w:cstheme="majorHAnsi"/>
        </w:rPr>
        <w:t xml:space="preserve"> eszköz</w:t>
      </w:r>
      <w:r w:rsidR="00BE3BE6" w:rsidRPr="00DC6C83">
        <w:rPr>
          <w:rFonts w:asciiTheme="majorHAnsi" w:hAnsiTheme="majorHAnsi" w:cstheme="majorHAnsi"/>
        </w:rPr>
        <w:t xml:space="preserve"> csak egy</w:t>
      </w:r>
      <w:r w:rsidR="00790D85">
        <w:rPr>
          <w:rFonts w:asciiTheme="majorHAnsi" w:hAnsiTheme="majorHAnsi" w:cstheme="majorHAnsi"/>
        </w:rPr>
        <w:t xml:space="preserve"> eleme a szükséges feltételrendszernek</w:t>
      </w:r>
      <w:r w:rsidR="00BE3BE6" w:rsidRPr="00DC6C83">
        <w:rPr>
          <w:rFonts w:asciiTheme="majorHAnsi" w:hAnsiTheme="majorHAnsi" w:cstheme="majorHAnsi"/>
        </w:rPr>
        <w:t>, elengedhetetlen, hogy a</w:t>
      </w:r>
      <w:r w:rsidR="00BE3BE6">
        <w:rPr>
          <w:rFonts w:asciiTheme="majorHAnsi" w:hAnsiTheme="majorHAnsi" w:cstheme="majorHAnsi"/>
        </w:rPr>
        <w:t xml:space="preserve"> megfelelő </w:t>
      </w:r>
      <w:proofErr w:type="spellStart"/>
      <w:r w:rsidR="00455CE0">
        <w:rPr>
          <w:rFonts w:asciiTheme="majorHAnsi" w:hAnsiTheme="majorHAnsi" w:cstheme="majorHAnsi"/>
        </w:rPr>
        <w:t>okostankönyvek</w:t>
      </w:r>
      <w:proofErr w:type="spellEnd"/>
      <w:r w:rsidR="00455CE0">
        <w:rPr>
          <w:rFonts w:asciiTheme="majorHAnsi" w:hAnsiTheme="majorHAnsi" w:cstheme="majorHAnsi"/>
        </w:rPr>
        <w:t>,</w:t>
      </w:r>
      <w:r w:rsidR="00BE3BE6" w:rsidRPr="00DC6C83">
        <w:rPr>
          <w:rFonts w:asciiTheme="majorHAnsi" w:hAnsiTheme="majorHAnsi" w:cstheme="majorHAnsi"/>
        </w:rPr>
        <w:t xml:space="preserve"> </w:t>
      </w:r>
      <w:r w:rsidR="00455CE0">
        <w:rPr>
          <w:rFonts w:asciiTheme="majorHAnsi" w:hAnsiTheme="majorHAnsi" w:cstheme="majorHAnsi"/>
        </w:rPr>
        <w:t xml:space="preserve">digitális </w:t>
      </w:r>
      <w:r w:rsidR="00BE3BE6" w:rsidRPr="00DC6C83">
        <w:rPr>
          <w:rFonts w:asciiTheme="majorHAnsi" w:hAnsiTheme="majorHAnsi" w:cstheme="majorHAnsi"/>
        </w:rPr>
        <w:t>tartalmak is rendelkezésre álljanak.</w:t>
      </w:r>
    </w:p>
    <w:p w14:paraId="4849B358" w14:textId="0B0B4A68" w:rsidR="00B86FE8"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 digitális eszköz- és </w:t>
      </w:r>
      <w:proofErr w:type="spellStart"/>
      <w:r w:rsidRPr="00DC6C83">
        <w:rPr>
          <w:rFonts w:asciiTheme="majorHAnsi" w:hAnsiTheme="majorHAnsi" w:cstheme="majorHAnsi"/>
        </w:rPr>
        <w:t>internetellátottság</w:t>
      </w:r>
      <w:proofErr w:type="spellEnd"/>
      <w:r w:rsidRPr="00DC6C83">
        <w:rPr>
          <w:rFonts w:asciiTheme="majorHAnsi" w:hAnsiTheme="majorHAnsi" w:cstheme="majorHAnsi"/>
        </w:rPr>
        <w:t xml:space="preserve"> alapfeltételeinek megteremtésén, valamint a digitális tanulás-tanítás korszerű, szemléletformáló megközelítésének pedagógusképzésbe és továbbképzésbe történő beépítésén túl közvetett és közvetlen módon is </w:t>
      </w:r>
      <w:r w:rsidRPr="000310B4">
        <w:rPr>
          <w:rFonts w:asciiTheme="majorHAnsi" w:hAnsiTheme="majorHAnsi" w:cstheme="majorHAnsi"/>
        </w:rPr>
        <w:t>szükséges a pedagógusok támogatásáról, illetve ösztönzéséről gondoskodni</w:t>
      </w:r>
      <w:r w:rsidRPr="00DC6C83">
        <w:rPr>
          <w:rFonts w:asciiTheme="majorHAnsi" w:hAnsiTheme="majorHAnsi" w:cstheme="majorHAnsi"/>
        </w:rPr>
        <w:t>. A képzések és továbbképzések, eseti támogatói tevékenységek középpontjába az adott környezet, intézmény vagy pedagógus szükségletei kerülnek, ezáltal növelhető a digitális oktatáshoz szükséges készségek fejlettségi szintje. A közös tudás</w:t>
      </w:r>
      <w:r w:rsidR="00455CE0">
        <w:rPr>
          <w:rFonts w:asciiTheme="majorHAnsi" w:hAnsiTheme="majorHAnsi" w:cstheme="majorHAnsi"/>
        </w:rPr>
        <w:t xml:space="preserve"> </w:t>
      </w:r>
      <w:r w:rsidRPr="00DC6C83">
        <w:rPr>
          <w:rFonts w:asciiTheme="majorHAnsi" w:hAnsiTheme="majorHAnsi" w:cstheme="majorHAnsi"/>
        </w:rPr>
        <w:t>létrehozás</w:t>
      </w:r>
      <w:r w:rsidR="00455CE0">
        <w:rPr>
          <w:rFonts w:asciiTheme="majorHAnsi" w:hAnsiTheme="majorHAnsi" w:cstheme="majorHAnsi"/>
        </w:rPr>
        <w:t>á</w:t>
      </w:r>
      <w:r w:rsidRPr="00DC6C83">
        <w:rPr>
          <w:rFonts w:asciiTheme="majorHAnsi" w:hAnsiTheme="majorHAnsi" w:cstheme="majorHAnsi"/>
        </w:rPr>
        <w:t>ra</w:t>
      </w:r>
      <w:r w:rsidR="00455CE0">
        <w:rPr>
          <w:rFonts w:asciiTheme="majorHAnsi" w:hAnsiTheme="majorHAnsi" w:cstheme="majorHAnsi"/>
        </w:rPr>
        <w:t>, menedzselésére</w:t>
      </w:r>
      <w:r w:rsidRPr="00DC6C83">
        <w:rPr>
          <w:rFonts w:asciiTheme="majorHAnsi" w:hAnsiTheme="majorHAnsi" w:cstheme="majorHAnsi"/>
        </w:rPr>
        <w:t xml:space="preserve"> alkalmas tudásmegosztó platformok, online közösségek szintén ösztönzőleg hatnak a pedagógusok munkájára</w:t>
      </w:r>
      <w:r w:rsidR="00A40ED7">
        <w:rPr>
          <w:rFonts w:asciiTheme="majorHAnsi" w:hAnsiTheme="majorHAnsi" w:cstheme="majorHAnsi"/>
        </w:rPr>
        <w:t xml:space="preserve">, ahogyan a szaktanácsadás is </w:t>
      </w:r>
      <w:r w:rsidR="00606002">
        <w:rPr>
          <w:rFonts w:asciiTheme="majorHAnsi" w:hAnsiTheme="majorHAnsi" w:cstheme="majorHAnsi"/>
        </w:rPr>
        <w:t>megvalósulhat az online térben</w:t>
      </w:r>
      <w:r w:rsidRPr="00DC6C83">
        <w:rPr>
          <w:rFonts w:asciiTheme="majorHAnsi" w:hAnsiTheme="majorHAnsi" w:cstheme="majorHAnsi"/>
        </w:rPr>
        <w:t>.</w:t>
      </w:r>
    </w:p>
    <w:p w14:paraId="4E720318" w14:textId="77777777" w:rsidR="00DE332C" w:rsidRPr="00DC6C83" w:rsidRDefault="00DE332C" w:rsidP="00B01557">
      <w:pPr>
        <w:spacing w:line="276" w:lineRule="auto"/>
        <w:rPr>
          <w:rFonts w:asciiTheme="majorHAnsi" w:hAnsiTheme="majorHAnsi" w:cstheme="majorHAnsi"/>
        </w:rPr>
      </w:pPr>
    </w:p>
    <w:p w14:paraId="06ED9E8B" w14:textId="77777777" w:rsidR="00B86FE8" w:rsidRDefault="001878DF" w:rsidP="006F7AF3">
      <w:pPr>
        <w:pStyle w:val="Cmsor3"/>
      </w:pPr>
      <w:bookmarkStart w:id="89" w:name="_Toc35596148"/>
      <w:bookmarkStart w:id="90" w:name="_Toc46822725"/>
      <w:r>
        <w:t>T</w:t>
      </w:r>
      <w:r w:rsidR="00B86FE8" w:rsidRPr="00DC6C83">
        <w:t>artalomfejlesztés</w:t>
      </w:r>
      <w:bookmarkEnd w:id="89"/>
      <w:bookmarkEnd w:id="90"/>
    </w:p>
    <w:p w14:paraId="64E7E068" w14:textId="622E81C9" w:rsidR="001C2AB0" w:rsidRDefault="001C2AB0" w:rsidP="001C2AB0">
      <w:r>
        <w:t>A tartalomfejlesztés magában foglalja a hagyományos és digitális tartalmak, taneszközök kialakítását és használatba vételét, valamint</w:t>
      </w:r>
      <w:r w:rsidR="00DE11F7">
        <w:t xml:space="preserve"> korszerű tanulás-menedzsment rendszerek </w:t>
      </w:r>
      <w:r w:rsidR="00DE11F7">
        <w:lastRenderedPageBreak/>
        <w:t xml:space="preserve">alkalmazását is. A tartalomfejlesztés szempontjából kulcsfontosságú a tantervi szabályozók teljes rendszerének – a </w:t>
      </w:r>
      <w:proofErr w:type="spellStart"/>
      <w:r w:rsidR="00DE11F7">
        <w:t>N</w:t>
      </w:r>
      <w:r w:rsidR="00FD67AF">
        <w:t>at</w:t>
      </w:r>
      <w:proofErr w:type="spellEnd"/>
      <w:r w:rsidR="00DE11F7">
        <w:t xml:space="preserve"> módosításával kapcsolatos – felülvizsgálata és megújítása.</w:t>
      </w:r>
      <w:r w:rsidR="006D4546">
        <w:t xml:space="preserve"> Az alábbiakban összegezzük a javasolt fejlesztési irányokat, majd a tankönyvek, a digitális tartalmak, és a tanulástámogató rendszerek tekintetében külön is bemutatjuk a jövőbeli törekvéseket.</w:t>
      </w:r>
    </w:p>
    <w:p w14:paraId="2E98F28A" w14:textId="77777777" w:rsidR="00DE11F7" w:rsidRDefault="00DE11F7" w:rsidP="001C2AB0">
      <w:pPr>
        <w:rPr>
          <w:u w:val="single"/>
        </w:rPr>
      </w:pPr>
      <w:r w:rsidRPr="00DE11F7">
        <w:rPr>
          <w:u w:val="single"/>
        </w:rPr>
        <w:t>A tartalomfejlesztéshez kapcsolódó legfontosabb fejlesztési irányok:</w:t>
      </w:r>
    </w:p>
    <w:p w14:paraId="0D697795" w14:textId="77777777" w:rsidR="00561A71" w:rsidRDefault="00A0513F" w:rsidP="00E6751A">
      <w:pPr>
        <w:pStyle w:val="Listaszerbekezds"/>
        <w:numPr>
          <w:ilvl w:val="0"/>
          <w:numId w:val="7"/>
        </w:numPr>
        <w:tabs>
          <w:tab w:val="center" w:pos="1701"/>
        </w:tabs>
        <w:rPr>
          <w:rFonts w:asciiTheme="majorHAnsi" w:eastAsia="Calibri" w:hAnsiTheme="majorHAnsi" w:cstheme="majorHAnsi"/>
        </w:rPr>
      </w:pPr>
      <w:r w:rsidRPr="00A0513F">
        <w:rPr>
          <w:rFonts w:asciiTheme="majorHAnsi" w:eastAsia="Calibri" w:hAnsiTheme="majorHAnsi" w:cstheme="majorHAnsi"/>
        </w:rPr>
        <w:t>módosuló t</w:t>
      </w:r>
      <w:r w:rsidR="00621EF0">
        <w:rPr>
          <w:rFonts w:asciiTheme="majorHAnsi" w:eastAsia="Calibri" w:hAnsiTheme="majorHAnsi" w:cstheme="majorHAnsi"/>
        </w:rPr>
        <w:t>artalmi szabályozás követése, tankönyvi kínálat átdolgozása</w:t>
      </w:r>
      <w:r w:rsidR="00561A71">
        <w:rPr>
          <w:rFonts w:asciiTheme="majorHAnsi" w:eastAsia="Calibri" w:hAnsiTheme="majorHAnsi" w:cstheme="majorHAnsi"/>
        </w:rPr>
        <w:t>;</w:t>
      </w:r>
    </w:p>
    <w:p w14:paraId="3C9D5C2B" w14:textId="221D5411" w:rsidR="00621EF0" w:rsidRDefault="00561A71" w:rsidP="00E6751A">
      <w:pPr>
        <w:pStyle w:val="Listaszerbekezds"/>
        <w:numPr>
          <w:ilvl w:val="0"/>
          <w:numId w:val="7"/>
        </w:numPr>
        <w:tabs>
          <w:tab w:val="center" w:pos="1701"/>
        </w:tabs>
        <w:rPr>
          <w:rFonts w:asciiTheme="majorHAnsi" w:eastAsia="Calibri" w:hAnsiTheme="majorHAnsi" w:cstheme="majorHAnsi"/>
        </w:rPr>
      </w:pPr>
      <w:r>
        <w:rPr>
          <w:rFonts w:asciiTheme="majorHAnsi" w:eastAsia="Calibri" w:hAnsiTheme="majorHAnsi" w:cstheme="majorHAnsi"/>
        </w:rPr>
        <w:t>a megújuló tartalmi szabályozáshoz illeszkedő digitális tananyag és tartalom biztosítása és karbantartása</w:t>
      </w:r>
      <w:r w:rsidR="00621EF0">
        <w:rPr>
          <w:rFonts w:asciiTheme="majorHAnsi" w:eastAsia="Calibri" w:hAnsiTheme="majorHAnsi" w:cstheme="majorHAnsi"/>
        </w:rPr>
        <w:t>;</w:t>
      </w:r>
    </w:p>
    <w:p w14:paraId="36548032" w14:textId="77777777" w:rsidR="00621EF0" w:rsidRPr="00621EF0" w:rsidRDefault="00621EF0" w:rsidP="00E6751A">
      <w:pPr>
        <w:pStyle w:val="Listaszerbekezds"/>
        <w:numPr>
          <w:ilvl w:val="0"/>
          <w:numId w:val="7"/>
        </w:numPr>
        <w:spacing w:line="276" w:lineRule="auto"/>
        <w:rPr>
          <w:rFonts w:asciiTheme="majorHAnsi" w:hAnsiTheme="majorHAnsi" w:cstheme="majorHAnsi"/>
        </w:rPr>
      </w:pPr>
      <w:r w:rsidRPr="00621EF0">
        <w:rPr>
          <w:rFonts w:asciiTheme="majorHAnsi" w:hAnsiTheme="majorHAnsi" w:cstheme="majorHAnsi"/>
        </w:rPr>
        <w:t>digitális tanulás-tanítás lehetőségeivel foglalkozó ismeretterjesztő pro</w:t>
      </w:r>
      <w:r>
        <w:rPr>
          <w:rFonts w:asciiTheme="majorHAnsi" w:hAnsiTheme="majorHAnsi" w:cstheme="majorHAnsi"/>
        </w:rPr>
        <w:t>gramok indítása, népszerűsítése;</w:t>
      </w:r>
    </w:p>
    <w:p w14:paraId="62C6D29B" w14:textId="240BB74D" w:rsidR="00952363" w:rsidRDefault="00621EF0" w:rsidP="00E6751A">
      <w:pPr>
        <w:pStyle w:val="Listaszerbekezds"/>
        <w:numPr>
          <w:ilvl w:val="0"/>
          <w:numId w:val="7"/>
        </w:numPr>
      </w:pPr>
      <w:r>
        <w:t xml:space="preserve">tudásmegosztó megoldások és </w:t>
      </w:r>
      <w:r w:rsidRPr="00621EF0">
        <w:t>tanulásmenedzsment</w:t>
      </w:r>
      <w:r w:rsidR="00561A71">
        <w:t xml:space="preserve"> környezet fejlesztése;</w:t>
      </w:r>
    </w:p>
    <w:p w14:paraId="6A56EE95" w14:textId="1A5DE0A3" w:rsidR="00561A71" w:rsidRDefault="00561A71" w:rsidP="00E6751A">
      <w:pPr>
        <w:pStyle w:val="Listaszerbekezds"/>
        <w:numPr>
          <w:ilvl w:val="0"/>
          <w:numId w:val="7"/>
        </w:numPr>
      </w:pPr>
      <w:r>
        <w:t>a forrásalapú tanulás, a kreatív és alkotó digitális eszközhasználat támogatása a tartalomfejlesztés segítségével;</w:t>
      </w:r>
    </w:p>
    <w:p w14:paraId="1FABBC27" w14:textId="53C188C9" w:rsidR="00561A71" w:rsidRDefault="00561A71" w:rsidP="00E6751A">
      <w:pPr>
        <w:pStyle w:val="Listaszerbekezds"/>
        <w:numPr>
          <w:ilvl w:val="0"/>
          <w:numId w:val="7"/>
        </w:numPr>
      </w:pPr>
      <w:r>
        <w:t>közgyűjteményi digitális tartalmak integrálása</w:t>
      </w:r>
      <w:r w:rsidR="006D4546">
        <w:t xml:space="preserve"> a tanulási-tanítási folyamatba.</w:t>
      </w:r>
    </w:p>
    <w:p w14:paraId="008A795A" w14:textId="77777777" w:rsidR="00DE11F7" w:rsidRPr="001C2AB0" w:rsidRDefault="00DE11F7" w:rsidP="001C2AB0"/>
    <w:p w14:paraId="5B5E1A88" w14:textId="77777777" w:rsidR="00B86FE8" w:rsidRPr="00DC6C83" w:rsidRDefault="00B86FE8" w:rsidP="006F7AF3">
      <w:pPr>
        <w:pStyle w:val="Cmsor4"/>
      </w:pPr>
      <w:bookmarkStart w:id="91" w:name="_Toc35596149"/>
      <w:bookmarkStart w:id="92" w:name="_Toc46822726"/>
      <w:r w:rsidRPr="00DC6C83">
        <w:t>Tankönyvfejlesztés</w:t>
      </w:r>
      <w:bookmarkEnd w:id="91"/>
      <w:bookmarkEnd w:id="92"/>
    </w:p>
    <w:p w14:paraId="442CAD06" w14:textId="77777777" w:rsidR="00B86FE8" w:rsidRPr="00DC6C83" w:rsidRDefault="00B86FE8" w:rsidP="00B86FE8">
      <w:pPr>
        <w:tabs>
          <w:tab w:val="center" w:pos="1701"/>
        </w:tabs>
        <w:rPr>
          <w:rFonts w:asciiTheme="majorHAnsi" w:eastAsia="Calibri" w:hAnsiTheme="majorHAnsi" w:cstheme="majorHAnsi"/>
        </w:rPr>
      </w:pPr>
      <w:r w:rsidRPr="00DC6C83">
        <w:rPr>
          <w:rFonts w:asciiTheme="majorHAnsi" w:eastAsia="Calibri" w:hAnsiTheme="majorHAnsi" w:cstheme="majorHAnsi"/>
        </w:rPr>
        <w:t xml:space="preserve">A </w:t>
      </w:r>
      <w:r w:rsidR="001878DF">
        <w:rPr>
          <w:rFonts w:asciiTheme="majorHAnsi" w:eastAsia="Calibri" w:hAnsiTheme="majorHAnsi" w:cstheme="majorHAnsi"/>
        </w:rPr>
        <w:t>K</w:t>
      </w:r>
      <w:r w:rsidRPr="00DC6C83">
        <w:rPr>
          <w:rFonts w:asciiTheme="majorHAnsi" w:eastAsia="Calibri" w:hAnsiTheme="majorHAnsi" w:cstheme="majorHAnsi"/>
        </w:rPr>
        <w:t xml:space="preserve">ormány elkötelezett abban, hogy a pedagógusok és a tanulók a legkorszerűbb, a </w:t>
      </w:r>
      <w:r w:rsidR="005E54FB">
        <w:rPr>
          <w:rFonts w:asciiTheme="majorHAnsi" w:eastAsia="Calibri" w:hAnsiTheme="majorHAnsi" w:cstheme="majorHAnsi"/>
        </w:rPr>
        <w:t>XXI</w:t>
      </w:r>
      <w:r w:rsidRPr="00DC6C83">
        <w:rPr>
          <w:rFonts w:asciiTheme="majorHAnsi" w:eastAsia="Calibri" w:hAnsiTheme="majorHAnsi" w:cstheme="majorHAnsi"/>
        </w:rPr>
        <w:t>. századi</w:t>
      </w:r>
      <w:r w:rsidR="00CA6AAA">
        <w:rPr>
          <w:rFonts w:asciiTheme="majorHAnsi" w:eastAsia="Calibri" w:hAnsiTheme="majorHAnsi" w:cstheme="majorHAnsi"/>
        </w:rPr>
        <w:t>,</w:t>
      </w:r>
      <w:r w:rsidRPr="00DC6C83">
        <w:rPr>
          <w:rFonts w:asciiTheme="majorHAnsi" w:eastAsia="Calibri" w:hAnsiTheme="majorHAnsi" w:cstheme="majorHAnsi"/>
        </w:rPr>
        <w:t xml:space="preserve"> versenyképes tudást biztosító hagyományos és digitális taneszközöket használjanak. </w:t>
      </w:r>
      <w:r w:rsidR="001C2AB0">
        <w:rPr>
          <w:rFonts w:asciiTheme="majorHAnsi" w:eastAsia="Calibri" w:hAnsiTheme="majorHAnsi" w:cstheme="majorHAnsi"/>
        </w:rPr>
        <w:t xml:space="preserve">A tankönyvfejlesztés, kiadás és </w:t>
      </w:r>
      <w:r w:rsidRPr="000310B4">
        <w:rPr>
          <w:rFonts w:asciiTheme="majorHAnsi" w:eastAsia="Calibri" w:hAnsiTheme="majorHAnsi" w:cstheme="majorHAnsi"/>
        </w:rPr>
        <w:t>terjesztés Magyarországon állami közfeladat.</w:t>
      </w:r>
      <w:r w:rsidRPr="00DC6C83">
        <w:rPr>
          <w:rFonts w:asciiTheme="majorHAnsi" w:eastAsia="Calibri" w:hAnsiTheme="majorHAnsi" w:cstheme="majorHAnsi"/>
        </w:rPr>
        <w:t xml:space="preserve"> A </w:t>
      </w:r>
      <w:r w:rsidR="00FC47AA" w:rsidRPr="00DC6C83">
        <w:rPr>
          <w:rFonts w:asciiTheme="majorHAnsi" w:eastAsia="Calibri" w:hAnsiTheme="majorHAnsi" w:cstheme="majorHAnsi"/>
        </w:rPr>
        <w:t>profitorientált</w:t>
      </w:r>
      <w:r w:rsidRPr="00DC6C83">
        <w:rPr>
          <w:rFonts w:asciiTheme="majorHAnsi" w:eastAsia="Calibri" w:hAnsiTheme="majorHAnsi" w:cstheme="majorHAnsi"/>
        </w:rPr>
        <w:t xml:space="preserve">, piaci alapú tankönyvellátás rendszere számos olyan ellentmondásos helyzetet teremtett, </w:t>
      </w:r>
      <w:r w:rsidR="00CA6AAA">
        <w:rPr>
          <w:rFonts w:asciiTheme="majorHAnsi" w:eastAsia="Calibri" w:hAnsiTheme="majorHAnsi" w:cstheme="majorHAnsi"/>
        </w:rPr>
        <w:t>ami miatt</w:t>
      </w:r>
      <w:r w:rsidRPr="00DC6C83">
        <w:rPr>
          <w:rFonts w:asciiTheme="majorHAnsi" w:eastAsia="Calibri" w:hAnsiTheme="majorHAnsi" w:cstheme="majorHAnsi"/>
        </w:rPr>
        <w:t xml:space="preserve"> az állami beavatkozás szükség</w:t>
      </w:r>
      <w:r w:rsidR="001878DF">
        <w:rPr>
          <w:rFonts w:asciiTheme="majorHAnsi" w:eastAsia="Calibri" w:hAnsiTheme="majorHAnsi" w:cstheme="majorHAnsi"/>
        </w:rPr>
        <w:t>es</w:t>
      </w:r>
      <w:r w:rsidRPr="00DC6C83">
        <w:rPr>
          <w:rFonts w:asciiTheme="majorHAnsi" w:eastAsia="Calibri" w:hAnsiTheme="majorHAnsi" w:cstheme="majorHAnsi"/>
        </w:rPr>
        <w:t xml:space="preserve"> volt, ezért az állami tankönyvkiadás feladatának ellátásával </w:t>
      </w:r>
      <w:r w:rsidR="00DE11F7">
        <w:rPr>
          <w:rFonts w:asciiTheme="majorHAnsi" w:eastAsia="Calibri" w:hAnsiTheme="majorHAnsi" w:cstheme="majorHAnsi"/>
        </w:rPr>
        <w:t>az</w:t>
      </w:r>
      <w:r w:rsidR="001C2AB0">
        <w:rPr>
          <w:rFonts w:asciiTheme="majorHAnsi" w:eastAsia="Calibri" w:hAnsiTheme="majorHAnsi" w:cstheme="majorHAnsi"/>
        </w:rPr>
        <w:t xml:space="preserve"> Oktatási Hivatalba integrálódot</w:t>
      </w:r>
      <w:r w:rsidR="00DE11F7">
        <w:rPr>
          <w:rFonts w:asciiTheme="majorHAnsi" w:eastAsia="Calibri" w:hAnsiTheme="majorHAnsi" w:cstheme="majorHAnsi"/>
        </w:rPr>
        <w:t xml:space="preserve">t </w:t>
      </w:r>
      <w:r w:rsidRPr="00DC6C83">
        <w:rPr>
          <w:rFonts w:asciiTheme="majorHAnsi" w:eastAsia="Calibri" w:hAnsiTheme="majorHAnsi" w:cstheme="majorHAnsi"/>
        </w:rPr>
        <w:t>Oktatáskutat</w:t>
      </w:r>
      <w:r w:rsidR="00DE11F7">
        <w:rPr>
          <w:rFonts w:asciiTheme="majorHAnsi" w:eastAsia="Calibri" w:hAnsiTheme="majorHAnsi" w:cstheme="majorHAnsi"/>
        </w:rPr>
        <w:t>ó és Fejlesztő Intézet (OFI)</w:t>
      </w:r>
      <w:r w:rsidR="00CA6AAA">
        <w:rPr>
          <w:rFonts w:asciiTheme="majorHAnsi" w:eastAsia="Calibri" w:hAnsiTheme="majorHAnsi" w:cstheme="majorHAnsi"/>
        </w:rPr>
        <w:t xml:space="preserve"> bízták meg</w:t>
      </w:r>
      <w:r w:rsidR="00DE11F7">
        <w:rPr>
          <w:rFonts w:asciiTheme="majorHAnsi" w:eastAsia="Calibri" w:hAnsiTheme="majorHAnsi" w:cstheme="majorHAnsi"/>
        </w:rPr>
        <w:t>.</w:t>
      </w:r>
      <w:r w:rsidR="00CA6AAA">
        <w:rPr>
          <w:rFonts w:asciiTheme="majorHAnsi" w:eastAsia="Calibri" w:hAnsiTheme="majorHAnsi" w:cstheme="majorHAnsi"/>
        </w:rPr>
        <w:t xml:space="preserve"> Az OFI </w:t>
      </w:r>
      <w:r w:rsidR="00DE11F7">
        <w:rPr>
          <w:rFonts w:asciiTheme="majorHAnsi" w:eastAsia="Calibri" w:hAnsiTheme="majorHAnsi" w:cstheme="majorHAnsi"/>
        </w:rPr>
        <w:t>kidolgoz</w:t>
      </w:r>
      <w:r w:rsidR="00CA6AAA">
        <w:rPr>
          <w:rFonts w:asciiTheme="majorHAnsi" w:eastAsia="Calibri" w:hAnsiTheme="majorHAnsi" w:cstheme="majorHAnsi"/>
        </w:rPr>
        <w:t>ta</w:t>
      </w:r>
      <w:r w:rsidRPr="00DC6C83">
        <w:rPr>
          <w:rFonts w:asciiTheme="majorHAnsi" w:eastAsia="Calibri" w:hAnsiTheme="majorHAnsi" w:cstheme="majorHAnsi"/>
        </w:rPr>
        <w:t xml:space="preserve"> az állami</w:t>
      </w:r>
      <w:r w:rsidR="00DE11F7">
        <w:rPr>
          <w:rFonts w:asciiTheme="majorHAnsi" w:eastAsia="Calibri" w:hAnsiTheme="majorHAnsi" w:cstheme="majorHAnsi"/>
        </w:rPr>
        <w:t xml:space="preserve"> tankönyvfejlesztés koncepciój</w:t>
      </w:r>
      <w:r w:rsidR="00CA6AAA">
        <w:rPr>
          <w:rFonts w:asciiTheme="majorHAnsi" w:eastAsia="Calibri" w:hAnsiTheme="majorHAnsi" w:cstheme="majorHAnsi"/>
        </w:rPr>
        <w:t>át</w:t>
      </w:r>
      <w:r w:rsidRPr="00DC6C83">
        <w:rPr>
          <w:rFonts w:asciiTheme="majorHAnsi" w:eastAsia="Calibri" w:hAnsiTheme="majorHAnsi" w:cstheme="majorHAnsi"/>
        </w:rPr>
        <w:t xml:space="preserve">, </w:t>
      </w:r>
      <w:r w:rsidR="00DE11F7">
        <w:rPr>
          <w:rFonts w:asciiTheme="majorHAnsi" w:eastAsia="Calibri" w:hAnsiTheme="majorHAnsi" w:cstheme="majorHAnsi"/>
        </w:rPr>
        <w:t xml:space="preserve">majd </w:t>
      </w:r>
      <w:r w:rsidR="00CA6AAA">
        <w:rPr>
          <w:rFonts w:asciiTheme="majorHAnsi" w:eastAsia="Calibri" w:hAnsiTheme="majorHAnsi" w:cstheme="majorHAnsi"/>
        </w:rPr>
        <w:t>ennek alapján</w:t>
      </w:r>
      <w:r w:rsidRPr="00DC6C83">
        <w:rPr>
          <w:rFonts w:asciiTheme="majorHAnsi" w:eastAsia="Calibri" w:hAnsiTheme="majorHAnsi" w:cstheme="majorHAnsi"/>
        </w:rPr>
        <w:t xml:space="preserve"> mintegy 170 újgenerációs tankönyv</w:t>
      </w:r>
      <w:r w:rsidR="00DE11F7">
        <w:rPr>
          <w:rFonts w:asciiTheme="majorHAnsi" w:eastAsia="Calibri" w:hAnsiTheme="majorHAnsi" w:cstheme="majorHAnsi"/>
        </w:rPr>
        <w:t xml:space="preserve"> készült el.</w:t>
      </w:r>
      <w:r w:rsidR="00E36BAB">
        <w:rPr>
          <w:rFonts w:asciiTheme="majorHAnsi" w:eastAsia="Calibri" w:hAnsiTheme="majorHAnsi" w:cstheme="majorHAnsi"/>
        </w:rPr>
        <w:t xml:space="preserve"> </w:t>
      </w:r>
      <w:r w:rsidR="00DE11F7">
        <w:rPr>
          <w:rFonts w:asciiTheme="majorHAnsi" w:eastAsia="Calibri" w:hAnsiTheme="majorHAnsi" w:cstheme="majorHAnsi"/>
        </w:rPr>
        <w:t>E</w:t>
      </w:r>
      <w:r w:rsidRPr="00DC6C83">
        <w:rPr>
          <w:rFonts w:asciiTheme="majorHAnsi" w:eastAsia="Calibri" w:hAnsiTheme="majorHAnsi" w:cstheme="majorHAnsi"/>
        </w:rPr>
        <w:t>zt követően a felmért tankönyvjegyzéki</w:t>
      </w:r>
      <w:r w:rsidR="00DE11F7">
        <w:rPr>
          <w:rFonts w:asciiTheme="majorHAnsi" w:eastAsia="Calibri" w:hAnsiTheme="majorHAnsi" w:cstheme="majorHAnsi"/>
        </w:rPr>
        <w:t xml:space="preserve"> hiányok pótlása kezdődött meg,</w:t>
      </w:r>
      <w:r w:rsidRPr="00DC6C83">
        <w:rPr>
          <w:rFonts w:asciiTheme="majorHAnsi" w:eastAsia="Calibri" w:hAnsiTheme="majorHAnsi" w:cstheme="majorHAnsi"/>
        </w:rPr>
        <w:t xml:space="preserve"> főként olyan képzési területeken, amelyeket a tankönyvpiaci szereplők </w:t>
      </w:r>
      <w:r w:rsidR="00DE11F7">
        <w:rPr>
          <w:rFonts w:asciiTheme="majorHAnsi" w:eastAsia="Calibri" w:hAnsiTheme="majorHAnsi" w:cstheme="majorHAnsi"/>
        </w:rPr>
        <w:t xml:space="preserve">korábban </w:t>
      </w:r>
      <w:r w:rsidRPr="00DC6C83">
        <w:rPr>
          <w:rFonts w:asciiTheme="majorHAnsi" w:eastAsia="Calibri" w:hAnsiTheme="majorHAnsi" w:cstheme="majorHAnsi"/>
        </w:rPr>
        <w:t xml:space="preserve">üzleti okokból nem találtak elég vonzónak (például a nemzetiségi iskolákban tanuló, illetve sajátos nevelési igényű diákok taneszközei). </w:t>
      </w:r>
      <w:r w:rsidR="00CA6AAA">
        <w:rPr>
          <w:rFonts w:asciiTheme="majorHAnsi" w:eastAsia="Calibri" w:hAnsiTheme="majorHAnsi" w:cstheme="majorHAnsi"/>
        </w:rPr>
        <w:t>Ebben</w:t>
      </w:r>
      <w:r w:rsidRPr="00DC6C83">
        <w:rPr>
          <w:rFonts w:asciiTheme="majorHAnsi" w:eastAsia="Calibri" w:hAnsiTheme="majorHAnsi" w:cstheme="majorHAnsi"/>
        </w:rPr>
        <w:t xml:space="preserve"> a </w:t>
      </w:r>
      <w:r w:rsidR="00CA6AAA">
        <w:rPr>
          <w:rFonts w:asciiTheme="majorHAnsi" w:eastAsia="Calibri" w:hAnsiTheme="majorHAnsi" w:cstheme="majorHAnsi"/>
        </w:rPr>
        <w:t>fázisban</w:t>
      </w:r>
      <w:r w:rsidRPr="00DC6C83">
        <w:rPr>
          <w:rFonts w:asciiTheme="majorHAnsi" w:eastAsia="Calibri" w:hAnsiTheme="majorHAnsi" w:cstheme="majorHAnsi"/>
        </w:rPr>
        <w:t xml:space="preserve"> összesen 894 darab taneszköz hosszabbítása, átdolgozása, illetve fejlesztése valósul meg 202</w:t>
      </w:r>
      <w:r w:rsidR="00F201AD">
        <w:rPr>
          <w:rFonts w:asciiTheme="majorHAnsi" w:eastAsia="Calibri" w:hAnsiTheme="majorHAnsi" w:cstheme="majorHAnsi"/>
        </w:rPr>
        <w:t>1</w:t>
      </w:r>
      <w:r w:rsidRPr="00DC6C83">
        <w:rPr>
          <w:rFonts w:asciiTheme="majorHAnsi" w:eastAsia="Calibri" w:hAnsiTheme="majorHAnsi" w:cstheme="majorHAnsi"/>
        </w:rPr>
        <w:t>-ig.</w:t>
      </w:r>
    </w:p>
    <w:p w14:paraId="00F6876A" w14:textId="77777777" w:rsidR="00B86FE8" w:rsidRPr="00DC6C83" w:rsidRDefault="00B86FE8" w:rsidP="00B86FE8">
      <w:pPr>
        <w:tabs>
          <w:tab w:val="center" w:pos="1701"/>
        </w:tabs>
        <w:rPr>
          <w:rFonts w:asciiTheme="majorHAnsi" w:eastAsia="Calibri" w:hAnsiTheme="majorHAnsi" w:cstheme="majorHAnsi"/>
        </w:rPr>
      </w:pPr>
      <w:r w:rsidRPr="00DC6C83">
        <w:rPr>
          <w:rFonts w:asciiTheme="majorHAnsi" w:eastAsia="Calibri" w:hAnsiTheme="majorHAnsi" w:cstheme="majorHAnsi"/>
        </w:rPr>
        <w:t xml:space="preserve">Ezen pillérekre építve </w:t>
      </w:r>
      <w:r w:rsidR="009A5DA9">
        <w:rPr>
          <w:rFonts w:asciiTheme="majorHAnsi" w:eastAsia="Calibri" w:hAnsiTheme="majorHAnsi" w:cstheme="majorHAnsi"/>
        </w:rPr>
        <w:t xml:space="preserve">jött </w:t>
      </w:r>
      <w:r w:rsidRPr="00DC6C83">
        <w:rPr>
          <w:rFonts w:asciiTheme="majorHAnsi" w:eastAsia="Calibri" w:hAnsiTheme="majorHAnsi" w:cstheme="majorHAnsi"/>
        </w:rPr>
        <w:t>létre</w:t>
      </w:r>
      <w:r w:rsidR="00251CB4">
        <w:rPr>
          <w:rFonts w:asciiTheme="majorHAnsi" w:eastAsia="Calibri" w:hAnsiTheme="majorHAnsi" w:cstheme="majorHAnsi"/>
        </w:rPr>
        <w:t xml:space="preserve"> </w:t>
      </w:r>
      <w:r w:rsidRPr="00DC6C83">
        <w:rPr>
          <w:rFonts w:asciiTheme="majorHAnsi" w:eastAsia="Calibri" w:hAnsiTheme="majorHAnsi" w:cstheme="majorHAnsi"/>
        </w:rPr>
        <w:t>az állam által biztosított tankönyvek széleskörű portfóliója, amely már valamennyi</w:t>
      </w:r>
      <w:r w:rsidR="009A5DA9">
        <w:rPr>
          <w:rFonts w:asciiTheme="majorHAnsi" w:eastAsia="Calibri" w:hAnsiTheme="majorHAnsi" w:cstheme="majorHAnsi"/>
        </w:rPr>
        <w:t xml:space="preserve"> közműveltségi tantárgyat lefed, illetve</w:t>
      </w:r>
      <w:r w:rsidRPr="00DC6C83">
        <w:rPr>
          <w:rFonts w:asciiTheme="majorHAnsi" w:eastAsia="Calibri" w:hAnsiTheme="majorHAnsi" w:cstheme="majorHAnsi"/>
        </w:rPr>
        <w:t xml:space="preserve"> </w:t>
      </w:r>
      <w:r w:rsidR="00F56F3C">
        <w:rPr>
          <w:rFonts w:asciiTheme="majorHAnsi" w:eastAsia="Calibri" w:hAnsiTheme="majorHAnsi" w:cstheme="majorHAnsi"/>
        </w:rPr>
        <w:t>lehetővé teszi</w:t>
      </w:r>
      <w:r w:rsidRPr="00DC6C83">
        <w:rPr>
          <w:rFonts w:asciiTheme="majorHAnsi" w:eastAsia="Calibri" w:hAnsiTheme="majorHAnsi" w:cstheme="majorHAnsi"/>
        </w:rPr>
        <w:t xml:space="preserve"> a </w:t>
      </w:r>
      <w:r w:rsidR="009A5DA9">
        <w:rPr>
          <w:rFonts w:asciiTheme="majorHAnsi" w:eastAsia="Calibri" w:hAnsiTheme="majorHAnsi" w:cstheme="majorHAnsi"/>
        </w:rPr>
        <w:t xml:space="preserve">méltányos árakat és a </w:t>
      </w:r>
      <w:r w:rsidR="00F56F3C">
        <w:rPr>
          <w:rFonts w:asciiTheme="majorHAnsi" w:eastAsia="Calibri" w:hAnsiTheme="majorHAnsi" w:cstheme="majorHAnsi"/>
        </w:rPr>
        <w:t>választást</w:t>
      </w:r>
      <w:r w:rsidRPr="00DC6C83">
        <w:rPr>
          <w:rFonts w:asciiTheme="majorHAnsi" w:eastAsia="Calibri" w:hAnsiTheme="majorHAnsi" w:cstheme="majorHAnsi"/>
        </w:rPr>
        <w:t xml:space="preserve"> a pedagógusoknak. </w:t>
      </w:r>
    </w:p>
    <w:p w14:paraId="0CB5A4E2" w14:textId="37A0BEBC" w:rsidR="00B86FE8" w:rsidRPr="00DC6C83" w:rsidRDefault="00B86FE8" w:rsidP="00B86FE8">
      <w:pPr>
        <w:tabs>
          <w:tab w:val="center" w:pos="1701"/>
        </w:tabs>
        <w:rPr>
          <w:rFonts w:asciiTheme="majorHAnsi" w:eastAsia="Calibri" w:hAnsiTheme="majorHAnsi" w:cstheme="majorHAnsi"/>
        </w:rPr>
      </w:pPr>
      <w:r w:rsidRPr="00DC6C83">
        <w:rPr>
          <w:rFonts w:asciiTheme="majorHAnsi" w:eastAsia="Calibri" w:hAnsiTheme="majorHAnsi" w:cstheme="majorHAnsi"/>
        </w:rPr>
        <w:t>A tankönyvellátás megújult rendszerének kitűzött célja volt</w:t>
      </w:r>
      <w:r w:rsidR="00D229BB">
        <w:rPr>
          <w:rFonts w:asciiTheme="majorHAnsi" w:eastAsia="Calibri" w:hAnsiTheme="majorHAnsi" w:cstheme="majorHAnsi"/>
        </w:rPr>
        <w:t>, hogy −</w:t>
      </w:r>
      <w:r w:rsidR="00823E22">
        <w:rPr>
          <w:rFonts w:asciiTheme="majorHAnsi" w:eastAsia="Calibri" w:hAnsiTheme="majorHAnsi" w:cstheme="majorHAnsi"/>
        </w:rPr>
        <w:t xml:space="preserve"> </w:t>
      </w:r>
      <w:r w:rsidRPr="00DC6C83">
        <w:rPr>
          <w:rFonts w:asciiTheme="majorHAnsi" w:eastAsia="Calibri" w:hAnsiTheme="majorHAnsi" w:cstheme="majorHAnsi"/>
        </w:rPr>
        <w:t>tervezhető kiadások mellett</w:t>
      </w:r>
      <w:r w:rsidR="00D229BB">
        <w:rPr>
          <w:rFonts w:asciiTheme="majorHAnsi" w:eastAsia="Calibri" w:hAnsiTheme="majorHAnsi" w:cstheme="majorHAnsi"/>
        </w:rPr>
        <w:t xml:space="preserve"> −</w:t>
      </w:r>
      <w:r w:rsidRPr="00DC6C83">
        <w:rPr>
          <w:rFonts w:asciiTheme="majorHAnsi" w:eastAsia="Calibri" w:hAnsiTheme="majorHAnsi" w:cstheme="majorHAnsi"/>
        </w:rPr>
        <w:t xml:space="preserve"> minőségi tankönyvek</w:t>
      </w:r>
      <w:r w:rsidR="00D229BB">
        <w:rPr>
          <w:rFonts w:asciiTheme="majorHAnsi" w:eastAsia="Calibri" w:hAnsiTheme="majorHAnsi" w:cstheme="majorHAnsi"/>
        </w:rPr>
        <w:t xml:space="preserve"> álljanak a tanárok rendelkezésére. Így</w:t>
      </w:r>
      <w:r w:rsidRPr="00DC6C83">
        <w:rPr>
          <w:rFonts w:asciiTheme="majorHAnsi" w:eastAsia="Calibri" w:hAnsiTheme="majorHAnsi" w:cstheme="majorHAnsi"/>
        </w:rPr>
        <w:t xml:space="preserve"> lehetőség nyílt arra, hogy a</w:t>
      </w:r>
      <w:r w:rsidR="00B22789">
        <w:rPr>
          <w:rFonts w:asciiTheme="majorHAnsi" w:eastAsia="Calibri" w:hAnsiTheme="majorHAnsi" w:cstheme="majorHAnsi"/>
        </w:rPr>
        <w:t xml:space="preserve">z </w:t>
      </w:r>
      <w:r w:rsidRPr="00DC6C83">
        <w:rPr>
          <w:rFonts w:asciiTheme="majorHAnsi" w:eastAsia="Calibri" w:hAnsiTheme="majorHAnsi" w:cstheme="majorHAnsi"/>
        </w:rPr>
        <w:t>állam átvállalja a szülők anyagi terhét, amelyet a tankönyvek megvásárlása jelente</w:t>
      </w:r>
      <w:r w:rsidR="003B3C2F">
        <w:rPr>
          <w:rFonts w:asciiTheme="majorHAnsi" w:eastAsia="Calibri" w:hAnsiTheme="majorHAnsi" w:cstheme="majorHAnsi"/>
        </w:rPr>
        <w:t>tt,</w:t>
      </w:r>
      <w:r w:rsidRPr="00DC6C83">
        <w:rPr>
          <w:rFonts w:asciiTheme="majorHAnsi" w:eastAsia="Calibri" w:hAnsiTheme="majorHAnsi" w:cstheme="majorHAnsi"/>
        </w:rPr>
        <w:t xml:space="preserve"> és felmenő rendszerben térítésmentesen </w:t>
      </w:r>
      <w:r w:rsidR="00D229BB">
        <w:rPr>
          <w:rFonts w:asciiTheme="majorHAnsi" w:eastAsia="Calibri" w:hAnsiTheme="majorHAnsi" w:cstheme="majorHAnsi"/>
        </w:rPr>
        <w:t>adja át</w:t>
      </w:r>
      <w:r w:rsidRPr="00DC6C83">
        <w:rPr>
          <w:rFonts w:asciiTheme="majorHAnsi" w:eastAsia="Calibri" w:hAnsiTheme="majorHAnsi" w:cstheme="majorHAnsi"/>
        </w:rPr>
        <w:t xml:space="preserve"> a tanulóknak a taneszközöket. 2020-tól már </w:t>
      </w:r>
      <w:r w:rsidRPr="00DC6C83">
        <w:rPr>
          <w:rFonts w:asciiTheme="majorHAnsi" w:eastAsia="Calibri" w:hAnsiTheme="majorHAnsi" w:cstheme="majorHAnsi"/>
        </w:rPr>
        <w:lastRenderedPageBreak/>
        <w:t xml:space="preserve">minden köznevelésben tanuló ingyenesen kapja meg a tankönyveit. A </w:t>
      </w:r>
      <w:r w:rsidR="00170AB1">
        <w:rPr>
          <w:rFonts w:asciiTheme="majorHAnsi" w:eastAsia="Calibri" w:hAnsiTheme="majorHAnsi" w:cstheme="majorHAnsi"/>
        </w:rPr>
        <w:t>K</w:t>
      </w:r>
      <w:r w:rsidR="00170AB1" w:rsidRPr="00DC6C83">
        <w:rPr>
          <w:rFonts w:asciiTheme="majorHAnsi" w:eastAsia="Calibri" w:hAnsiTheme="majorHAnsi" w:cstheme="majorHAnsi"/>
        </w:rPr>
        <w:t xml:space="preserve">ormány </w:t>
      </w:r>
      <w:r w:rsidRPr="00DC6C83">
        <w:rPr>
          <w:rFonts w:asciiTheme="majorHAnsi" w:eastAsia="Calibri" w:hAnsiTheme="majorHAnsi" w:cstheme="majorHAnsi"/>
        </w:rPr>
        <w:t xml:space="preserve">13,8 </w:t>
      </w:r>
      <w:r w:rsidR="00D63746">
        <w:rPr>
          <w:rFonts w:asciiTheme="majorHAnsi" w:eastAsia="Calibri" w:hAnsiTheme="majorHAnsi" w:cstheme="majorHAnsi"/>
        </w:rPr>
        <w:t>milliárd</w:t>
      </w:r>
      <w:r w:rsidR="00443E5F">
        <w:rPr>
          <w:rFonts w:asciiTheme="majorHAnsi" w:eastAsia="Calibri" w:hAnsiTheme="majorHAnsi" w:cstheme="majorHAnsi"/>
        </w:rPr>
        <w:t xml:space="preserve"> </w:t>
      </w:r>
      <w:r w:rsidRPr="00DC6C83">
        <w:rPr>
          <w:rFonts w:asciiTheme="majorHAnsi" w:eastAsia="Calibri" w:hAnsiTheme="majorHAnsi" w:cstheme="majorHAnsi"/>
        </w:rPr>
        <w:t xml:space="preserve">forintot </w:t>
      </w:r>
      <w:r w:rsidR="00D229BB">
        <w:rPr>
          <w:rFonts w:asciiTheme="majorHAnsi" w:eastAsia="Calibri" w:hAnsiTheme="majorHAnsi" w:cstheme="majorHAnsi"/>
        </w:rPr>
        <w:t>fordít</w:t>
      </w:r>
      <w:r w:rsidR="005D0973">
        <w:rPr>
          <w:rFonts w:asciiTheme="majorHAnsi" w:eastAsia="Calibri" w:hAnsiTheme="majorHAnsi" w:cstheme="majorHAnsi"/>
        </w:rPr>
        <w:t xml:space="preserve"> </w:t>
      </w:r>
      <w:r w:rsidRPr="00DC6C83">
        <w:rPr>
          <w:rFonts w:asciiTheme="majorHAnsi" w:eastAsia="Calibri" w:hAnsiTheme="majorHAnsi" w:cstheme="majorHAnsi"/>
        </w:rPr>
        <w:t>2020-tól arra, hogy a tanárok az átalakított tankönyvkínálatból megrendel</w:t>
      </w:r>
      <w:r w:rsidR="008047EB">
        <w:rPr>
          <w:rFonts w:asciiTheme="majorHAnsi" w:eastAsia="Calibri" w:hAnsiTheme="majorHAnsi" w:cstheme="majorHAnsi"/>
        </w:rPr>
        <w:t>hessék</w:t>
      </w:r>
      <w:r w:rsidRPr="00DC6C83">
        <w:rPr>
          <w:rFonts w:asciiTheme="majorHAnsi" w:eastAsia="Calibri" w:hAnsiTheme="majorHAnsi" w:cstheme="majorHAnsi"/>
        </w:rPr>
        <w:t xml:space="preserve"> a tanulóik számára a szükséges tankönyveket és taneszközöket, mindezt úgy, hogy a rendeléssel összefüggő teljes pénzügyi adminisztráció terhét az állam magára vállalja</w:t>
      </w:r>
      <w:r w:rsidR="00D229BB">
        <w:rPr>
          <w:rFonts w:asciiTheme="majorHAnsi" w:eastAsia="Calibri" w:hAnsiTheme="majorHAnsi" w:cstheme="majorHAnsi"/>
        </w:rPr>
        <w:t>. Így</w:t>
      </w:r>
      <w:r w:rsidRPr="00DC6C83">
        <w:rPr>
          <w:rFonts w:asciiTheme="majorHAnsi" w:eastAsia="Calibri" w:hAnsiTheme="majorHAnsi" w:cstheme="majorHAnsi"/>
        </w:rPr>
        <w:t xml:space="preserve"> az </w:t>
      </w:r>
      <w:r w:rsidR="00D229BB">
        <w:rPr>
          <w:rFonts w:asciiTheme="majorHAnsi" w:eastAsia="Calibri" w:hAnsiTheme="majorHAnsi" w:cstheme="majorHAnsi"/>
        </w:rPr>
        <w:t>iskolának</w:t>
      </w:r>
      <w:r w:rsidRPr="00DC6C83">
        <w:rPr>
          <w:rFonts w:asciiTheme="majorHAnsi" w:eastAsia="Calibri" w:hAnsiTheme="majorHAnsi" w:cstheme="majorHAnsi"/>
        </w:rPr>
        <w:t xml:space="preserve"> a megrendelésen kívül más teendőjük </w:t>
      </w:r>
      <w:r w:rsidR="00D229BB">
        <w:rPr>
          <w:rFonts w:asciiTheme="majorHAnsi" w:eastAsia="Calibri" w:hAnsiTheme="majorHAnsi" w:cstheme="majorHAnsi"/>
        </w:rPr>
        <w:t>nincs.</w:t>
      </w:r>
    </w:p>
    <w:p w14:paraId="2F832E7F" w14:textId="77777777" w:rsidR="00B86FE8" w:rsidRDefault="00B86FE8" w:rsidP="00B86FE8">
      <w:pPr>
        <w:tabs>
          <w:tab w:val="center" w:pos="1701"/>
        </w:tabs>
        <w:rPr>
          <w:rFonts w:asciiTheme="majorHAnsi" w:eastAsia="Calibri" w:hAnsiTheme="majorHAnsi" w:cstheme="majorHAnsi"/>
        </w:rPr>
      </w:pPr>
      <w:r w:rsidRPr="00DC6C83">
        <w:rPr>
          <w:rFonts w:asciiTheme="majorHAnsi" w:eastAsia="Calibri" w:hAnsiTheme="majorHAnsi" w:cstheme="majorHAnsi"/>
        </w:rPr>
        <w:t>Összességében a finanszírozás hatékonnyá és átláthatóvá vált, a tankönyvekre fordított összeg évről évre csökkent, előre tervezhető, megteremtve ez</w:t>
      </w:r>
      <w:r w:rsidR="003B3C2F">
        <w:rPr>
          <w:rFonts w:asciiTheme="majorHAnsi" w:eastAsia="Calibri" w:hAnsiTheme="majorHAnsi" w:cstheme="majorHAnsi"/>
        </w:rPr>
        <w:t>zel</w:t>
      </w:r>
      <w:r w:rsidRPr="00DC6C83">
        <w:rPr>
          <w:rFonts w:asciiTheme="majorHAnsi" w:eastAsia="Calibri" w:hAnsiTheme="majorHAnsi" w:cstheme="majorHAnsi"/>
        </w:rPr>
        <w:t xml:space="preserve"> a fenntartható, biztonságos és méltányos taneszköz-ellátást.</w:t>
      </w:r>
    </w:p>
    <w:p w14:paraId="569B8C8C" w14:textId="77777777" w:rsidR="008047EB" w:rsidRDefault="008047EB" w:rsidP="00B86FE8">
      <w:pPr>
        <w:tabs>
          <w:tab w:val="center" w:pos="1701"/>
        </w:tabs>
        <w:rPr>
          <w:rFonts w:asciiTheme="majorHAnsi" w:eastAsia="Calibri" w:hAnsiTheme="majorHAnsi" w:cstheme="majorHAnsi"/>
        </w:rPr>
      </w:pPr>
      <w:r>
        <w:rPr>
          <w:rFonts w:asciiTheme="majorHAnsi" w:eastAsia="Calibri" w:hAnsiTheme="majorHAnsi" w:cstheme="majorHAnsi"/>
        </w:rPr>
        <w:t>A tankönyvellátás</w:t>
      </w:r>
      <w:r w:rsidR="00D229BB">
        <w:rPr>
          <w:rFonts w:asciiTheme="majorHAnsi" w:eastAsia="Calibri" w:hAnsiTheme="majorHAnsi" w:cstheme="majorHAnsi"/>
        </w:rPr>
        <w:t>ban</w:t>
      </w:r>
      <w:r>
        <w:rPr>
          <w:rFonts w:asciiTheme="majorHAnsi" w:eastAsia="Calibri" w:hAnsiTheme="majorHAnsi" w:cstheme="majorHAnsi"/>
        </w:rPr>
        <w:t xml:space="preserve"> fontos feladat a módosuló tartalmi szabályozás követése, a tankönyvi kínálat átdolgozása, illetve annak garantálása, hogy az állami tankönyvellátás valamennyi tantárgy és minden évfolyam számára kiváló minőségű tankönyveket </w:t>
      </w:r>
      <w:r w:rsidR="00D229BB">
        <w:rPr>
          <w:rFonts w:asciiTheme="majorHAnsi" w:eastAsia="Calibri" w:hAnsiTheme="majorHAnsi" w:cstheme="majorHAnsi"/>
        </w:rPr>
        <w:t>tegyen elérhetővé</w:t>
      </w:r>
      <w:r>
        <w:rPr>
          <w:rFonts w:asciiTheme="majorHAnsi" w:eastAsia="Calibri" w:hAnsiTheme="majorHAnsi" w:cstheme="majorHAnsi"/>
        </w:rPr>
        <w:t xml:space="preserve">. </w:t>
      </w:r>
    </w:p>
    <w:p w14:paraId="286BC737" w14:textId="77777777" w:rsidR="00621EF0" w:rsidRPr="00DC6C83" w:rsidRDefault="00621EF0" w:rsidP="00B86FE8">
      <w:pPr>
        <w:tabs>
          <w:tab w:val="center" w:pos="1701"/>
        </w:tabs>
        <w:rPr>
          <w:rFonts w:asciiTheme="majorHAnsi" w:eastAsia="Calibri" w:hAnsiTheme="majorHAnsi" w:cstheme="majorHAnsi"/>
        </w:rPr>
      </w:pPr>
    </w:p>
    <w:p w14:paraId="49C65DCD" w14:textId="77777777" w:rsidR="00B86FE8" w:rsidRPr="00DC6C83" w:rsidRDefault="00B86FE8" w:rsidP="006F7AF3">
      <w:pPr>
        <w:pStyle w:val="Cmsor4"/>
      </w:pPr>
      <w:bookmarkStart w:id="93" w:name="_Toc35596150"/>
      <w:bookmarkStart w:id="94" w:name="_Toc46822727"/>
      <w:r w:rsidRPr="00DC6C83">
        <w:t>Digitális tartalomfejlesztés</w:t>
      </w:r>
      <w:bookmarkEnd w:id="93"/>
      <w:bookmarkEnd w:id="94"/>
    </w:p>
    <w:p w14:paraId="5A094CA0"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Az elmúlt évek kormányzati munkájának eredményeképpen a magyar gazdaság a leggyorsabban bővül</w:t>
      </w:r>
      <w:r w:rsidR="003B3C2F">
        <w:rPr>
          <w:rFonts w:asciiTheme="majorHAnsi" w:hAnsiTheme="majorHAnsi" w:cstheme="majorHAnsi"/>
        </w:rPr>
        <w:t>ő</w:t>
      </w:r>
      <w:r w:rsidRPr="00DC6C83">
        <w:rPr>
          <w:rFonts w:asciiTheme="majorHAnsi" w:hAnsiTheme="majorHAnsi" w:cstheme="majorHAnsi"/>
        </w:rPr>
        <w:t xml:space="preserve"> az Európai Unióban, de a növekvő pálya megtartásához egyre nagyobb hangsúlyt kell fektetni a </w:t>
      </w:r>
      <w:proofErr w:type="spellStart"/>
      <w:r w:rsidRPr="00DC6C83">
        <w:rPr>
          <w:rFonts w:asciiTheme="majorHAnsi" w:hAnsiTheme="majorHAnsi" w:cstheme="majorHAnsi"/>
        </w:rPr>
        <w:t>digitalizációra</w:t>
      </w:r>
      <w:proofErr w:type="spellEnd"/>
      <w:r w:rsidRPr="00DC6C83">
        <w:rPr>
          <w:rFonts w:asciiTheme="majorHAnsi" w:hAnsiTheme="majorHAnsi" w:cstheme="majorHAnsi"/>
        </w:rPr>
        <w:t xml:space="preserve">. Ezért is született meg 2016-ban Magyarország Digitális Oktatási Stratégiája, hogy az oktatási rendszer minden szintjén megteremtse a digitális írástudás elterjesztésének lehetőségét, hozzájárulva Magyarország versenyképességének növeléséhez. </w:t>
      </w:r>
    </w:p>
    <w:p w14:paraId="31CD7715"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 digitális tartalmak célja, hogy </w:t>
      </w:r>
      <w:r w:rsidR="00D229BB">
        <w:rPr>
          <w:rFonts w:asciiTheme="majorHAnsi" w:hAnsiTheme="majorHAnsi" w:cstheme="majorHAnsi"/>
        </w:rPr>
        <w:t>elősegítse</w:t>
      </w:r>
      <w:r w:rsidRPr="00DC6C83">
        <w:rPr>
          <w:rFonts w:asciiTheme="majorHAnsi" w:hAnsiTheme="majorHAnsi" w:cstheme="majorHAnsi"/>
        </w:rPr>
        <w:t xml:space="preserve"> a köznevelés átállását a papíralapú, nyomtatott taneszközök</w:t>
      </w:r>
      <w:r w:rsidR="008047EB">
        <w:rPr>
          <w:rFonts w:asciiTheme="majorHAnsi" w:hAnsiTheme="majorHAnsi" w:cstheme="majorHAnsi"/>
        </w:rPr>
        <w:t xml:space="preserve"> használata mellett </w:t>
      </w:r>
      <w:r w:rsidRPr="00DC6C83">
        <w:rPr>
          <w:rFonts w:asciiTheme="majorHAnsi" w:hAnsiTheme="majorHAnsi" w:cstheme="majorHAnsi"/>
        </w:rPr>
        <w:t xml:space="preserve">a digitális tananyagok, tananyagelemek használatára. Az előállított digitális tananyagtartalmak jelentős mértékben </w:t>
      </w:r>
      <w:r w:rsidR="00D229BB" w:rsidRPr="00DC6C83">
        <w:rPr>
          <w:rFonts w:asciiTheme="majorHAnsi" w:hAnsiTheme="majorHAnsi" w:cstheme="majorHAnsi"/>
        </w:rPr>
        <w:t>bőv</w:t>
      </w:r>
      <w:r w:rsidR="00D229BB">
        <w:rPr>
          <w:rFonts w:asciiTheme="majorHAnsi" w:hAnsiTheme="majorHAnsi" w:cstheme="majorHAnsi"/>
        </w:rPr>
        <w:t xml:space="preserve">íthetik </w:t>
      </w:r>
      <w:r w:rsidR="00D229BB" w:rsidRPr="00DC6C83">
        <w:rPr>
          <w:rFonts w:asciiTheme="majorHAnsi" w:hAnsiTheme="majorHAnsi" w:cstheme="majorHAnsi"/>
        </w:rPr>
        <w:t>a pedagógusok eszközrend</w:t>
      </w:r>
      <w:r w:rsidR="00D229BB">
        <w:rPr>
          <w:rFonts w:asciiTheme="majorHAnsi" w:hAnsiTheme="majorHAnsi" w:cstheme="majorHAnsi"/>
        </w:rPr>
        <w:t>szerét,</w:t>
      </w:r>
      <w:r w:rsidR="00443E5F">
        <w:rPr>
          <w:rFonts w:asciiTheme="majorHAnsi" w:hAnsiTheme="majorHAnsi" w:cstheme="majorHAnsi"/>
        </w:rPr>
        <w:t xml:space="preserve"> </w:t>
      </w:r>
      <w:r w:rsidRPr="00DC6C83">
        <w:rPr>
          <w:rFonts w:asciiTheme="majorHAnsi" w:hAnsiTheme="majorHAnsi" w:cstheme="majorHAnsi"/>
        </w:rPr>
        <w:t>hozzájárulhatnak a tanulók aktív tanulás</w:t>
      </w:r>
      <w:r w:rsidR="00D229BB">
        <w:rPr>
          <w:rFonts w:asciiTheme="majorHAnsi" w:hAnsiTheme="majorHAnsi" w:cstheme="majorHAnsi"/>
        </w:rPr>
        <w:t>i</w:t>
      </w:r>
      <w:r w:rsidRPr="00DC6C83">
        <w:rPr>
          <w:rFonts w:asciiTheme="majorHAnsi" w:hAnsiTheme="majorHAnsi" w:cstheme="majorHAnsi"/>
        </w:rPr>
        <w:t xml:space="preserve"> stratégiá</w:t>
      </w:r>
      <w:r w:rsidR="00D229BB">
        <w:rPr>
          <w:rFonts w:asciiTheme="majorHAnsi" w:hAnsiTheme="majorHAnsi" w:cstheme="majorHAnsi"/>
        </w:rPr>
        <w:t>i</w:t>
      </w:r>
      <w:r w:rsidRPr="00DC6C83">
        <w:rPr>
          <w:rFonts w:asciiTheme="majorHAnsi" w:hAnsiTheme="majorHAnsi" w:cstheme="majorHAnsi"/>
        </w:rPr>
        <w:t>nak az elsajátításához, és ezek segítségével fejleszthetők a kulcskompetenciá</w:t>
      </w:r>
      <w:r w:rsidR="00D229BB">
        <w:rPr>
          <w:rFonts w:asciiTheme="majorHAnsi" w:hAnsiTheme="majorHAnsi" w:cstheme="majorHAnsi"/>
        </w:rPr>
        <w:t>i</w:t>
      </w:r>
      <w:r w:rsidRPr="00DC6C83">
        <w:rPr>
          <w:rFonts w:asciiTheme="majorHAnsi" w:hAnsiTheme="majorHAnsi" w:cstheme="majorHAnsi"/>
        </w:rPr>
        <w:t>k.</w:t>
      </w:r>
      <w:r w:rsidRPr="00DC6C83">
        <w:rPr>
          <w:rStyle w:val="Lbjegyzet-hivatkozs"/>
          <w:rFonts w:asciiTheme="majorHAnsi" w:hAnsiTheme="majorHAnsi" w:cstheme="majorHAnsi"/>
        </w:rPr>
        <w:footnoteReference w:id="26"/>
      </w:r>
    </w:p>
    <w:p w14:paraId="325E3C1E" w14:textId="16C2529A"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Jellemzően az Oktatási Hivatal üzemelteti a köznevelés területén működő állami digitális tartalomszolgáltatások központi felületeit</w:t>
      </w:r>
      <w:r w:rsidR="00443E5F">
        <w:rPr>
          <w:rFonts w:asciiTheme="majorHAnsi" w:hAnsiTheme="majorHAnsi" w:cstheme="majorHAnsi"/>
        </w:rPr>
        <w:t>,</w:t>
      </w:r>
      <w:r w:rsidRPr="00DC6C83">
        <w:rPr>
          <w:rStyle w:val="Lbjegyzet-hivatkozs"/>
          <w:rFonts w:asciiTheme="majorHAnsi" w:hAnsiTheme="majorHAnsi" w:cstheme="majorHAnsi"/>
        </w:rPr>
        <w:footnoteReference w:id="27"/>
      </w:r>
      <w:r w:rsidR="00443E5F">
        <w:rPr>
          <w:rFonts w:asciiTheme="majorHAnsi" w:hAnsiTheme="majorHAnsi" w:cstheme="majorHAnsi"/>
        </w:rPr>
        <w:t xml:space="preserve"> </w:t>
      </w:r>
      <w:r w:rsidRPr="00DC6C83">
        <w:rPr>
          <w:rFonts w:asciiTheme="majorHAnsi" w:hAnsiTheme="majorHAnsi" w:cstheme="majorHAnsi"/>
        </w:rPr>
        <w:t xml:space="preserve">valamint digitális fejlesztéseket végez, többek között az </w:t>
      </w:r>
      <w:proofErr w:type="spellStart"/>
      <w:r w:rsidRPr="00DC6C83">
        <w:rPr>
          <w:rFonts w:asciiTheme="majorHAnsi" w:hAnsiTheme="majorHAnsi" w:cstheme="majorHAnsi"/>
        </w:rPr>
        <w:t>okostankönyvek</w:t>
      </w:r>
      <w:proofErr w:type="spellEnd"/>
      <w:r w:rsidRPr="00DC6C83">
        <w:rPr>
          <w:rFonts w:asciiTheme="majorHAnsi" w:hAnsiTheme="majorHAnsi" w:cstheme="majorHAnsi"/>
        </w:rPr>
        <w:t xml:space="preserve"> új generációjának fejlesztését</w:t>
      </w:r>
      <w:r w:rsidR="00D229BB">
        <w:rPr>
          <w:rFonts w:asciiTheme="majorHAnsi" w:hAnsiTheme="majorHAnsi" w:cstheme="majorHAnsi"/>
        </w:rPr>
        <w:t xml:space="preserve"> is</w:t>
      </w:r>
      <w:r w:rsidRPr="00DC6C83">
        <w:rPr>
          <w:rFonts w:asciiTheme="majorHAnsi" w:hAnsiTheme="majorHAnsi" w:cstheme="majorHAnsi"/>
        </w:rPr>
        <w:t xml:space="preserve">. A Nemzeti </w:t>
      </w:r>
      <w:r w:rsidR="00D229BB">
        <w:rPr>
          <w:rFonts w:asciiTheme="majorHAnsi" w:hAnsiTheme="majorHAnsi" w:cstheme="majorHAnsi"/>
        </w:rPr>
        <w:t>a</w:t>
      </w:r>
      <w:r w:rsidR="00D229BB" w:rsidRPr="00DC6C83">
        <w:rPr>
          <w:rFonts w:asciiTheme="majorHAnsi" w:hAnsiTheme="majorHAnsi" w:cstheme="majorHAnsi"/>
        </w:rPr>
        <w:t>laptanterv</w:t>
      </w:r>
      <w:r w:rsidRPr="00DC6C83">
        <w:rPr>
          <w:rFonts w:asciiTheme="majorHAnsi" w:hAnsiTheme="majorHAnsi" w:cstheme="majorHAnsi"/>
        </w:rPr>
        <w:t xml:space="preserve"> </w:t>
      </w:r>
      <w:r w:rsidR="008047EB">
        <w:rPr>
          <w:rFonts w:asciiTheme="majorHAnsi" w:hAnsiTheme="majorHAnsi" w:cstheme="majorHAnsi"/>
        </w:rPr>
        <w:t xml:space="preserve">módosítását követően </w:t>
      </w:r>
      <w:r w:rsidRPr="00DC6C83">
        <w:rPr>
          <w:rFonts w:asciiTheme="majorHAnsi" w:hAnsiTheme="majorHAnsi" w:cstheme="majorHAnsi"/>
        </w:rPr>
        <w:t xml:space="preserve">az </w:t>
      </w:r>
      <w:proofErr w:type="spellStart"/>
      <w:r w:rsidRPr="00DC6C83">
        <w:rPr>
          <w:rFonts w:asciiTheme="majorHAnsi" w:hAnsiTheme="majorHAnsi" w:cstheme="majorHAnsi"/>
        </w:rPr>
        <w:t>okostankönyvek</w:t>
      </w:r>
      <w:proofErr w:type="spellEnd"/>
      <w:r w:rsidRPr="00DC6C83">
        <w:rPr>
          <w:rFonts w:asciiTheme="majorHAnsi" w:hAnsiTheme="majorHAnsi" w:cstheme="majorHAnsi"/>
        </w:rPr>
        <w:t xml:space="preserve"> új generációj</w:t>
      </w:r>
      <w:r w:rsidR="008047EB">
        <w:rPr>
          <w:rFonts w:asciiTheme="majorHAnsi" w:hAnsiTheme="majorHAnsi" w:cstheme="majorHAnsi"/>
        </w:rPr>
        <w:t>a</w:t>
      </w:r>
      <w:r w:rsidRPr="00DC6C83">
        <w:rPr>
          <w:rFonts w:asciiTheme="majorHAnsi" w:hAnsiTheme="majorHAnsi" w:cstheme="majorHAnsi"/>
        </w:rPr>
        <w:t xml:space="preserve"> is elérhető</w:t>
      </w:r>
      <w:r w:rsidR="00443E5F">
        <w:rPr>
          <w:rFonts w:asciiTheme="majorHAnsi" w:hAnsiTheme="majorHAnsi" w:cstheme="majorHAnsi"/>
        </w:rPr>
        <w:t xml:space="preserve"> </w:t>
      </w:r>
      <w:r w:rsidR="009A5DA9">
        <w:rPr>
          <w:rFonts w:asciiTheme="majorHAnsi" w:hAnsiTheme="majorHAnsi" w:cstheme="majorHAnsi"/>
        </w:rPr>
        <w:t>a Nemzeti Köznevelési Portálon</w:t>
      </w:r>
      <w:r w:rsidRPr="00DC6C83">
        <w:rPr>
          <w:rFonts w:asciiTheme="majorHAnsi" w:hAnsiTheme="majorHAnsi" w:cstheme="majorHAnsi"/>
        </w:rPr>
        <w:t>, de ez természetesen nem jár a papíralapú tankönyvek megszűnésével</w:t>
      </w:r>
      <w:r w:rsidR="008047EB">
        <w:rPr>
          <w:rFonts w:asciiTheme="majorHAnsi" w:hAnsiTheme="majorHAnsi" w:cstheme="majorHAnsi"/>
        </w:rPr>
        <w:t xml:space="preserve">, hiszen a tanulók egy része </w:t>
      </w:r>
      <w:r w:rsidR="00621EF0">
        <w:rPr>
          <w:rFonts w:asciiTheme="majorHAnsi" w:hAnsiTheme="majorHAnsi" w:cstheme="majorHAnsi"/>
        </w:rPr>
        <w:t>szívesebben</w:t>
      </w:r>
      <w:r w:rsidR="008047EB">
        <w:rPr>
          <w:rFonts w:asciiTheme="majorHAnsi" w:hAnsiTheme="majorHAnsi" w:cstheme="majorHAnsi"/>
        </w:rPr>
        <w:t xml:space="preserve"> tanul a hagyományos tankönyvekből, ezért még hosszú ideig egymás mellett kell léteznie a hagyományos és a digitális tankönyveknek. </w:t>
      </w:r>
      <w:r w:rsidR="00BF0237">
        <w:rPr>
          <w:rFonts w:asciiTheme="majorHAnsi" w:hAnsiTheme="majorHAnsi" w:cstheme="majorHAnsi"/>
        </w:rPr>
        <w:t>A kialakult járványügyi v</w:t>
      </w:r>
      <w:r w:rsidR="00D44AFF">
        <w:rPr>
          <w:rFonts w:asciiTheme="majorHAnsi" w:hAnsiTheme="majorHAnsi" w:cstheme="majorHAnsi"/>
        </w:rPr>
        <w:t>eszély</w:t>
      </w:r>
      <w:r w:rsidR="00BF0237">
        <w:rPr>
          <w:rFonts w:asciiTheme="majorHAnsi" w:hAnsiTheme="majorHAnsi" w:cstheme="majorHAnsi"/>
        </w:rPr>
        <w:t>helyzet miatti digitális oktatás magával hozta a digitális tananyagtarta</w:t>
      </w:r>
      <w:r w:rsidR="00A60211">
        <w:rPr>
          <w:rFonts w:asciiTheme="majorHAnsi" w:hAnsiTheme="majorHAnsi" w:cstheme="majorHAnsi"/>
        </w:rPr>
        <w:t>l</w:t>
      </w:r>
      <w:r w:rsidR="00BF0237">
        <w:rPr>
          <w:rFonts w:asciiTheme="majorHAnsi" w:hAnsiTheme="majorHAnsi" w:cstheme="majorHAnsi"/>
        </w:rPr>
        <w:t>mak felgyorsított ütemű elérhetőségének igényét.</w:t>
      </w:r>
      <w:r w:rsidR="0057169B">
        <w:rPr>
          <w:rFonts w:asciiTheme="majorHAnsi" w:hAnsiTheme="majorHAnsi" w:cstheme="majorHAnsi"/>
        </w:rPr>
        <w:t xml:space="preserve"> Az </w:t>
      </w:r>
      <w:proofErr w:type="spellStart"/>
      <w:r w:rsidR="0057169B">
        <w:rPr>
          <w:rFonts w:asciiTheme="majorHAnsi" w:hAnsiTheme="majorHAnsi" w:cstheme="majorHAnsi"/>
        </w:rPr>
        <w:t>okostankönyveken</w:t>
      </w:r>
      <w:proofErr w:type="spellEnd"/>
      <w:r w:rsidR="0057169B">
        <w:rPr>
          <w:rFonts w:asciiTheme="majorHAnsi" w:hAnsiTheme="majorHAnsi" w:cstheme="majorHAnsi"/>
        </w:rPr>
        <w:t xml:space="preserve"> túl számtalan </w:t>
      </w:r>
      <w:proofErr w:type="spellStart"/>
      <w:r w:rsidR="0057169B">
        <w:rPr>
          <w:rFonts w:asciiTheme="majorHAnsi" w:hAnsiTheme="majorHAnsi" w:cstheme="majorHAnsi"/>
        </w:rPr>
        <w:t>jógyakorlat</w:t>
      </w:r>
      <w:proofErr w:type="spellEnd"/>
      <w:r w:rsidR="0057169B">
        <w:rPr>
          <w:rFonts w:asciiTheme="majorHAnsi" w:hAnsiTheme="majorHAnsi" w:cstheme="majorHAnsi"/>
        </w:rPr>
        <w:t xml:space="preserve"> és digitális tartalom jelent meg</w:t>
      </w:r>
      <w:r w:rsidR="003A015E">
        <w:rPr>
          <w:rFonts w:asciiTheme="majorHAnsi" w:hAnsiTheme="majorHAnsi" w:cstheme="majorHAnsi"/>
        </w:rPr>
        <w:t xml:space="preserve"> az</w:t>
      </w:r>
      <w:r w:rsidR="0057169B">
        <w:rPr>
          <w:rFonts w:asciiTheme="majorHAnsi" w:hAnsiTheme="majorHAnsi" w:cstheme="majorHAnsi"/>
        </w:rPr>
        <w:t xml:space="preserve"> oktatas.hu weboldalon is, amely segítette a váratlan helyzetbe kerülő pedagógusok, tanulók és családjaik munkáját.</w:t>
      </w:r>
    </w:p>
    <w:p w14:paraId="64351C6B" w14:textId="5BD641AE"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lastRenderedPageBreak/>
        <w:t xml:space="preserve">A Nemzeti Köznevelési Portál (portal.nkp.hu) a tartalomtár funkció mellett önálló és csoportos, osztálytermi és tanórán kívüli, tanítást és tanulást támogató funkciókat is kínál, és az ugyancsak állami </w:t>
      </w:r>
      <w:r w:rsidR="008B122A">
        <w:rPr>
          <w:rFonts w:asciiTheme="majorHAnsi" w:hAnsiTheme="majorHAnsi" w:cstheme="majorHAnsi"/>
        </w:rPr>
        <w:t xml:space="preserve">fenntartású </w:t>
      </w:r>
      <w:r w:rsidRPr="00DC6C83">
        <w:rPr>
          <w:rFonts w:asciiTheme="majorHAnsi" w:hAnsiTheme="majorHAnsi" w:cstheme="majorHAnsi"/>
        </w:rPr>
        <w:t>Sulinet Digitális Tudásbázis is hozzáférést nyújt a digitális tartalomelemekhez</w:t>
      </w:r>
      <w:r w:rsidR="00D229BB">
        <w:rPr>
          <w:rFonts w:asciiTheme="majorHAnsi" w:hAnsiTheme="majorHAnsi" w:cstheme="majorHAnsi"/>
        </w:rPr>
        <w:t>.</w:t>
      </w:r>
      <w:r w:rsidR="00443E5F">
        <w:rPr>
          <w:rFonts w:asciiTheme="majorHAnsi" w:hAnsiTheme="majorHAnsi" w:cstheme="majorHAnsi"/>
        </w:rPr>
        <w:t xml:space="preserve"> </w:t>
      </w:r>
      <w:r w:rsidR="003A015E">
        <w:rPr>
          <w:rFonts w:asciiTheme="majorHAnsi" w:hAnsiTheme="majorHAnsi" w:cstheme="majorHAnsi"/>
        </w:rPr>
        <w:t>A</w:t>
      </w:r>
      <w:r w:rsidRPr="00DC6C83">
        <w:rPr>
          <w:rFonts w:asciiTheme="majorHAnsi" w:hAnsiTheme="majorHAnsi" w:cstheme="majorHAnsi"/>
        </w:rPr>
        <w:t xml:space="preserve"> két portál látogatása nem</w:t>
      </w:r>
      <w:r w:rsidR="003A015E">
        <w:rPr>
          <w:rFonts w:asciiTheme="majorHAnsi" w:hAnsiTheme="majorHAnsi" w:cstheme="majorHAnsi"/>
        </w:rPr>
        <w:t xml:space="preserve"> volt</w:t>
      </w:r>
      <w:r w:rsidRPr="00DC6C83">
        <w:rPr>
          <w:rFonts w:asciiTheme="majorHAnsi" w:hAnsiTheme="majorHAnsi" w:cstheme="majorHAnsi"/>
        </w:rPr>
        <w:t xml:space="preserve"> általános napi gyakorlat a pedagógusok körében</w:t>
      </w:r>
      <w:r w:rsidR="002F4536">
        <w:rPr>
          <w:rFonts w:asciiTheme="majorHAnsi" w:hAnsiTheme="majorHAnsi" w:cstheme="majorHAnsi"/>
        </w:rPr>
        <w:t xml:space="preserve">, amelyen </w:t>
      </w:r>
      <w:r w:rsidR="003A015E">
        <w:rPr>
          <w:rFonts w:asciiTheme="majorHAnsi" w:hAnsiTheme="majorHAnsi" w:cstheme="majorHAnsi"/>
        </w:rPr>
        <w:t xml:space="preserve">a járványügyi </w:t>
      </w:r>
      <w:r w:rsidR="00BD7474">
        <w:rPr>
          <w:rFonts w:asciiTheme="majorHAnsi" w:hAnsiTheme="majorHAnsi" w:cstheme="majorHAnsi"/>
        </w:rPr>
        <w:t>veszély</w:t>
      </w:r>
      <w:r w:rsidR="003A015E">
        <w:rPr>
          <w:rFonts w:asciiTheme="majorHAnsi" w:hAnsiTheme="majorHAnsi" w:cstheme="majorHAnsi"/>
        </w:rPr>
        <w:t>helyzetben kialakított</w:t>
      </w:r>
      <w:r w:rsidR="00BD7474">
        <w:rPr>
          <w:rFonts w:asciiTheme="majorHAnsi" w:hAnsiTheme="majorHAnsi" w:cstheme="majorHAnsi"/>
        </w:rPr>
        <w:t xml:space="preserve"> tantermen kívüli, </w:t>
      </w:r>
      <w:r w:rsidR="003A015E">
        <w:rPr>
          <w:rFonts w:asciiTheme="majorHAnsi" w:hAnsiTheme="majorHAnsi" w:cstheme="majorHAnsi"/>
        </w:rPr>
        <w:t xml:space="preserve">digitális </w:t>
      </w:r>
      <w:r w:rsidR="00BD7474">
        <w:rPr>
          <w:rFonts w:asciiTheme="majorHAnsi" w:hAnsiTheme="majorHAnsi" w:cstheme="majorHAnsi"/>
        </w:rPr>
        <w:t>munkarend</w:t>
      </w:r>
      <w:r w:rsidR="003A015E">
        <w:rPr>
          <w:rFonts w:asciiTheme="majorHAnsi" w:hAnsiTheme="majorHAnsi" w:cstheme="majorHAnsi"/>
        </w:rPr>
        <w:t xml:space="preserve"> változtatott</w:t>
      </w:r>
      <w:r w:rsidRPr="00DC6C83">
        <w:rPr>
          <w:rFonts w:asciiTheme="majorHAnsi" w:hAnsiTheme="majorHAnsi" w:cstheme="majorHAnsi"/>
        </w:rPr>
        <w:t xml:space="preserve">. A fenti tapasztalatokból kiindulva </w:t>
      </w:r>
      <w:r w:rsidR="003A015E">
        <w:rPr>
          <w:rFonts w:asciiTheme="majorHAnsi" w:hAnsiTheme="majorHAnsi" w:cstheme="majorHAnsi"/>
        </w:rPr>
        <w:t xml:space="preserve">továbbra is </w:t>
      </w:r>
      <w:r w:rsidRPr="00DC6C83">
        <w:rPr>
          <w:rFonts w:asciiTheme="majorHAnsi" w:hAnsiTheme="majorHAnsi" w:cstheme="majorHAnsi"/>
        </w:rPr>
        <w:t>szükséges a digitális tanulás-tanítás lehetőségeivel foglalkozó ismeretterjesztő programok indítása, népszerűsítése.</w:t>
      </w:r>
      <w:r w:rsidR="003A015E">
        <w:rPr>
          <w:rFonts w:asciiTheme="majorHAnsi" w:hAnsiTheme="majorHAnsi" w:cstheme="majorHAnsi"/>
        </w:rPr>
        <w:t xml:space="preserve"> </w:t>
      </w:r>
    </w:p>
    <w:p w14:paraId="649026AF" w14:textId="77777777" w:rsidR="00621EF0" w:rsidRPr="00DC6C83" w:rsidRDefault="00621EF0" w:rsidP="00B86FE8">
      <w:pPr>
        <w:spacing w:line="276" w:lineRule="auto"/>
        <w:rPr>
          <w:rFonts w:asciiTheme="majorHAnsi" w:hAnsiTheme="majorHAnsi" w:cstheme="majorHAnsi"/>
        </w:rPr>
      </w:pPr>
    </w:p>
    <w:p w14:paraId="09290469" w14:textId="77777777" w:rsidR="00B86FE8" w:rsidRPr="00DC6C83" w:rsidRDefault="00B86FE8" w:rsidP="006F7AF3">
      <w:pPr>
        <w:pStyle w:val="Cmsor4"/>
      </w:pPr>
      <w:bookmarkStart w:id="95" w:name="_Toc35596151"/>
      <w:bookmarkStart w:id="96" w:name="_Toc46822728"/>
      <w:r w:rsidRPr="00DC6C83">
        <w:t>Köznevelési LMS rendszer fejlesztése</w:t>
      </w:r>
      <w:bookmarkEnd w:id="95"/>
      <w:bookmarkEnd w:id="96"/>
    </w:p>
    <w:p w14:paraId="059AD4CA" w14:textId="77777777"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w:t>
      </w:r>
      <w:r w:rsidR="005E54FB">
        <w:rPr>
          <w:rFonts w:asciiTheme="majorHAnsi" w:hAnsiTheme="majorHAnsi" w:cstheme="majorHAnsi"/>
        </w:rPr>
        <w:t>XXI</w:t>
      </w:r>
      <w:r w:rsidRPr="00DC6C83">
        <w:rPr>
          <w:rFonts w:asciiTheme="majorHAnsi" w:hAnsiTheme="majorHAnsi" w:cstheme="majorHAnsi"/>
        </w:rPr>
        <w:t xml:space="preserve">. század technológiai újításai, az Ipar 4.0, valamint a tanulói attitűd megváltozása indukálják azt, hogy a köznevelésben alkalmazott tankönyvek tartalmát és formáját is át kell alakítani. Egyre több tanuló tanul informatikai eszközök – számítógép, </w:t>
      </w:r>
      <w:proofErr w:type="spellStart"/>
      <w:r w:rsidRPr="00DC6C83">
        <w:rPr>
          <w:rFonts w:asciiTheme="majorHAnsi" w:hAnsiTheme="majorHAnsi" w:cstheme="majorHAnsi"/>
        </w:rPr>
        <w:t>okostelefon</w:t>
      </w:r>
      <w:proofErr w:type="spellEnd"/>
      <w:r w:rsidRPr="00DC6C83">
        <w:rPr>
          <w:rFonts w:asciiTheme="majorHAnsi" w:hAnsiTheme="majorHAnsi" w:cstheme="majorHAnsi"/>
        </w:rPr>
        <w:t xml:space="preserve"> – használatával, az információt ezeken keresztül, gyakran nem </w:t>
      </w:r>
      <w:r w:rsidR="00B21DF8">
        <w:rPr>
          <w:rFonts w:asciiTheme="majorHAnsi" w:hAnsiTheme="majorHAnsi" w:cstheme="majorHAnsi"/>
        </w:rPr>
        <w:t xml:space="preserve">is </w:t>
      </w:r>
      <w:r w:rsidRPr="00DC6C83">
        <w:rPr>
          <w:rFonts w:asciiTheme="majorHAnsi" w:hAnsiTheme="majorHAnsi" w:cstheme="majorHAnsi"/>
        </w:rPr>
        <w:t>megbízható információforrás</w:t>
      </w:r>
      <w:r w:rsidR="00B21DF8">
        <w:rPr>
          <w:rFonts w:asciiTheme="majorHAnsi" w:hAnsiTheme="majorHAnsi" w:cstheme="majorHAnsi"/>
        </w:rPr>
        <w:t>ok</w:t>
      </w:r>
      <w:r w:rsidRPr="00DC6C83">
        <w:rPr>
          <w:rFonts w:asciiTheme="majorHAnsi" w:hAnsiTheme="majorHAnsi" w:cstheme="majorHAnsi"/>
        </w:rPr>
        <w:t>ból szerzik be.</w:t>
      </w:r>
    </w:p>
    <w:p w14:paraId="1FE1F60B" w14:textId="753874CE"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köznevelésben jelenleg még a nyomtatott tananyagok, tankönyvek, munkafüzetek az elsődleges segédanyagok. Annak érdekében, hogy az oktatás alkalmazkodjon a tanulói attitűd megváltozásához, magas színvonalú és hatékony legyen, </w:t>
      </w:r>
      <w:r w:rsidR="00BF1585">
        <w:rPr>
          <w:rFonts w:asciiTheme="majorHAnsi" w:hAnsiTheme="majorHAnsi" w:cstheme="majorHAnsi"/>
        </w:rPr>
        <w:t xml:space="preserve">— </w:t>
      </w:r>
      <w:r w:rsidR="00BF1585" w:rsidRPr="00BF1585">
        <w:rPr>
          <w:rFonts w:asciiTheme="majorHAnsi" w:hAnsiTheme="majorHAnsi" w:cstheme="majorHAnsi"/>
        </w:rPr>
        <w:t xml:space="preserve">a papír alapú verziók megtartása mellett </w:t>
      </w:r>
      <w:r w:rsidR="00BF1585">
        <w:rPr>
          <w:rFonts w:asciiTheme="majorHAnsi" w:hAnsiTheme="majorHAnsi" w:cstheme="majorHAnsi"/>
        </w:rPr>
        <w:t xml:space="preserve">— </w:t>
      </w:r>
      <w:r w:rsidRPr="00DC6C83">
        <w:rPr>
          <w:rFonts w:asciiTheme="majorHAnsi" w:hAnsiTheme="majorHAnsi" w:cstheme="majorHAnsi"/>
        </w:rPr>
        <w:t xml:space="preserve">szükség van a tankönyvek és a kiegészítő tananyagok digitális formában történő közvetítésére. </w:t>
      </w:r>
    </w:p>
    <w:p w14:paraId="3AA8C15D" w14:textId="77777777" w:rsidR="00B86FE8" w:rsidRDefault="00B86FE8" w:rsidP="00B86FE8">
      <w:pPr>
        <w:rPr>
          <w:rFonts w:asciiTheme="majorHAnsi" w:hAnsiTheme="majorHAnsi" w:cstheme="majorHAnsi"/>
        </w:rPr>
      </w:pPr>
      <w:r w:rsidRPr="00DC6C83">
        <w:rPr>
          <w:rFonts w:asciiTheme="majorHAnsi" w:hAnsiTheme="majorHAnsi" w:cstheme="majorHAnsi"/>
        </w:rPr>
        <w:t>A tartalomfejle</w:t>
      </w:r>
      <w:r w:rsidR="00621EF0">
        <w:rPr>
          <w:rFonts w:asciiTheme="majorHAnsi" w:hAnsiTheme="majorHAnsi" w:cstheme="majorHAnsi"/>
        </w:rPr>
        <w:t>sztés eredményeként jó minőségű</w:t>
      </w:r>
      <w:r w:rsidRPr="00DC6C83">
        <w:rPr>
          <w:rFonts w:asciiTheme="majorHAnsi" w:hAnsiTheme="majorHAnsi" w:cstheme="majorHAnsi"/>
        </w:rPr>
        <w:t xml:space="preserve"> tananyagok állnak rendelkezésre. A már meglévő tananyag</w:t>
      </w:r>
      <w:r w:rsidR="00B21DF8">
        <w:rPr>
          <w:rFonts w:asciiTheme="majorHAnsi" w:hAnsiTheme="majorHAnsi" w:cstheme="majorHAnsi"/>
        </w:rPr>
        <w:t>ok</w:t>
      </w:r>
      <w:r w:rsidRPr="00DC6C83">
        <w:rPr>
          <w:rFonts w:asciiTheme="majorHAnsi" w:hAnsiTheme="majorHAnsi" w:cstheme="majorHAnsi"/>
        </w:rPr>
        <w:t xml:space="preserve"> digitalizálása során a tananyagok jól meghatározott tartalmi egységekre bonthatók. Az </w:t>
      </w:r>
      <w:proofErr w:type="spellStart"/>
      <w:r w:rsidRPr="00DC6C83">
        <w:rPr>
          <w:rFonts w:asciiTheme="majorHAnsi" w:hAnsiTheme="majorHAnsi" w:cstheme="majorHAnsi"/>
        </w:rPr>
        <w:t>okostankönyveket</w:t>
      </w:r>
      <w:proofErr w:type="spellEnd"/>
      <w:r w:rsidRPr="00DC6C83">
        <w:rPr>
          <w:rFonts w:asciiTheme="majorHAnsi" w:hAnsiTheme="majorHAnsi" w:cstheme="majorHAnsi"/>
        </w:rPr>
        <w:t>, tananyagokat a tanulást és a tanítást támogató ún. Tanulásmenedzsment-rendszeren (</w:t>
      </w:r>
      <w:proofErr w:type="spellStart"/>
      <w:r w:rsidRPr="00DC6C83">
        <w:rPr>
          <w:rFonts w:asciiTheme="majorHAnsi" w:hAnsiTheme="majorHAnsi" w:cstheme="majorHAnsi"/>
        </w:rPr>
        <w:t>Learning</w:t>
      </w:r>
      <w:proofErr w:type="spellEnd"/>
      <w:r w:rsidRPr="00DC6C83">
        <w:rPr>
          <w:rFonts w:asciiTheme="majorHAnsi" w:hAnsiTheme="majorHAnsi" w:cstheme="majorHAnsi"/>
        </w:rPr>
        <w:t xml:space="preserve"> Management System, LMS) keresztül kell elérhetővé tenni. Az LMS segítségével </w:t>
      </w:r>
      <w:r w:rsidR="00B21DF8">
        <w:rPr>
          <w:rFonts w:asciiTheme="majorHAnsi" w:hAnsiTheme="majorHAnsi" w:cstheme="majorHAnsi"/>
        </w:rPr>
        <w:t xml:space="preserve">az interneten keresztül </w:t>
      </w:r>
      <w:r w:rsidRPr="00DC6C83">
        <w:rPr>
          <w:rFonts w:asciiTheme="majorHAnsi" w:hAnsiTheme="majorHAnsi" w:cstheme="majorHAnsi"/>
        </w:rPr>
        <w:t xml:space="preserve">a tananyagok bármikor, bárhonnan hozzáférhetők és nyomon követhető a tanulók egyéni előrehaladása is. A rendszer támogatja a korszerű oktatási, tanulásszervezési módszerek – pl. kooperatív tanulás, projektoktatás – alkalmazását; a mérési, értékelési funkcióknak köszönhetően az értékelés részben automatikussá válhat. </w:t>
      </w:r>
      <w:r w:rsidR="00B21DF8">
        <w:rPr>
          <w:rFonts w:asciiTheme="majorHAnsi" w:hAnsiTheme="majorHAnsi" w:cstheme="majorHAnsi"/>
        </w:rPr>
        <w:t xml:space="preserve">Különösen nagy perspektívája lehet már a közeli jövőben a nyelvi fejlesztő eszközök térhódításának, adott esetben a mesterséges intelligencia oktatási területen történő térhódításának. </w:t>
      </w:r>
    </w:p>
    <w:p w14:paraId="7E2426B5" w14:textId="77777777" w:rsidR="008063F2" w:rsidRDefault="008063F2" w:rsidP="00B86FE8">
      <w:pPr>
        <w:rPr>
          <w:rFonts w:asciiTheme="majorHAnsi" w:hAnsiTheme="majorHAnsi" w:cstheme="majorHAnsi"/>
        </w:rPr>
      </w:pPr>
    </w:p>
    <w:p w14:paraId="10568973" w14:textId="3437FF54" w:rsidR="00B86FE8" w:rsidRPr="00DC6C83" w:rsidRDefault="00B86FE8" w:rsidP="008063F2">
      <w:pPr>
        <w:pStyle w:val="Cmsor3"/>
      </w:pPr>
      <w:bookmarkStart w:id="97" w:name="_Toc35596152"/>
      <w:bookmarkStart w:id="98" w:name="_Toc46822729"/>
      <w:r w:rsidRPr="00DC6C83">
        <w:t>Idegen</w:t>
      </w:r>
      <w:r w:rsidR="00C4697D">
        <w:t xml:space="preserve"> </w:t>
      </w:r>
      <w:r w:rsidRPr="00DC6C83">
        <w:t>nyelvi tudás fejlesztése</w:t>
      </w:r>
      <w:bookmarkEnd w:id="97"/>
      <w:bookmarkEnd w:id="98"/>
    </w:p>
    <w:p w14:paraId="62E3B3CD" w14:textId="70879842" w:rsidR="00B86FE8" w:rsidRPr="000310B4" w:rsidRDefault="00B86FE8" w:rsidP="00C630F9">
      <w:pPr>
        <w:rPr>
          <w:rFonts w:asciiTheme="majorHAnsi" w:hAnsiTheme="majorHAnsi" w:cstheme="majorHAnsi"/>
        </w:rPr>
      </w:pPr>
      <w:r w:rsidRPr="00DC6C83">
        <w:rPr>
          <w:rFonts w:asciiTheme="majorHAnsi" w:hAnsiTheme="majorHAnsi" w:cstheme="majorHAnsi"/>
        </w:rPr>
        <w:t>Az Európai Unióban az idegen nyelveket beszélők aránya 2016-ra összességében emelked</w:t>
      </w:r>
      <w:r w:rsidR="00CB080E">
        <w:rPr>
          <w:rFonts w:asciiTheme="majorHAnsi" w:hAnsiTheme="majorHAnsi" w:cstheme="majorHAnsi"/>
        </w:rPr>
        <w:t>ést</w:t>
      </w:r>
      <w:r w:rsidR="00E36BAB">
        <w:rPr>
          <w:rFonts w:asciiTheme="majorHAnsi" w:hAnsiTheme="majorHAnsi" w:cstheme="majorHAnsi"/>
        </w:rPr>
        <w:t xml:space="preserve"> </w:t>
      </w:r>
      <w:r w:rsidR="00CB080E">
        <w:rPr>
          <w:rFonts w:asciiTheme="majorHAnsi" w:hAnsiTheme="majorHAnsi" w:cstheme="majorHAnsi"/>
        </w:rPr>
        <w:t>mutatott</w:t>
      </w:r>
      <w:r w:rsidRPr="00DC6C83">
        <w:rPr>
          <w:rFonts w:asciiTheme="majorHAnsi" w:hAnsiTheme="majorHAnsi" w:cstheme="majorHAnsi"/>
        </w:rPr>
        <w:t xml:space="preserve"> </w:t>
      </w:r>
      <w:r w:rsidR="00202094">
        <w:rPr>
          <w:rFonts w:asciiTheme="majorHAnsi" w:hAnsiTheme="majorHAnsi" w:cstheme="majorHAnsi"/>
        </w:rPr>
        <w:t>a korábbi évekhez</w:t>
      </w:r>
      <w:r w:rsidRPr="00DC6C83">
        <w:rPr>
          <w:rFonts w:asciiTheme="majorHAnsi" w:hAnsiTheme="majorHAnsi" w:cstheme="majorHAnsi"/>
        </w:rPr>
        <w:t xml:space="preserve"> képest.</w:t>
      </w:r>
      <w:r w:rsidRPr="00DC6C83">
        <w:rPr>
          <w:rStyle w:val="Lbjegyzet-hivatkozs"/>
          <w:rFonts w:asciiTheme="majorHAnsi" w:hAnsiTheme="majorHAnsi" w:cstheme="majorHAnsi"/>
        </w:rPr>
        <w:footnoteReference w:id="28"/>
      </w:r>
      <w:r w:rsidR="008573C4">
        <w:rPr>
          <w:rFonts w:asciiTheme="majorHAnsi" w:hAnsiTheme="majorHAnsi" w:cstheme="majorHAnsi"/>
        </w:rPr>
        <w:t>Míg h</w:t>
      </w:r>
      <w:r w:rsidRPr="000310B4">
        <w:rPr>
          <w:rFonts w:asciiTheme="majorHAnsi" w:hAnsiTheme="majorHAnsi" w:cstheme="majorHAnsi"/>
        </w:rPr>
        <w:t xml:space="preserve">azánkban </w:t>
      </w:r>
      <w:r w:rsidR="008573C4" w:rsidRPr="008573C4">
        <w:rPr>
          <w:rFonts w:asciiTheme="majorHAnsi" w:hAnsiTheme="majorHAnsi" w:cstheme="majorHAnsi"/>
        </w:rPr>
        <w:t xml:space="preserve">2007-ben </w:t>
      </w:r>
      <w:r w:rsidR="008573C4">
        <w:rPr>
          <w:rFonts w:asciiTheme="majorHAnsi" w:hAnsiTheme="majorHAnsi" w:cstheme="majorHAnsi"/>
        </w:rPr>
        <w:t xml:space="preserve">a </w:t>
      </w:r>
      <w:r w:rsidR="008573C4" w:rsidRPr="008573C4">
        <w:rPr>
          <w:rFonts w:asciiTheme="majorHAnsi" w:hAnsiTheme="majorHAnsi" w:cstheme="majorHAnsi"/>
        </w:rPr>
        <w:t xml:space="preserve">legalább egy idegen nyelvet </w:t>
      </w:r>
      <w:r w:rsidR="008573C4" w:rsidRPr="008573C4">
        <w:rPr>
          <w:rFonts w:asciiTheme="majorHAnsi" w:hAnsiTheme="majorHAnsi" w:cstheme="majorHAnsi"/>
        </w:rPr>
        <w:lastRenderedPageBreak/>
        <w:t>beszélők aránya 25,2 % volt</w:t>
      </w:r>
      <w:r w:rsidR="008573C4">
        <w:rPr>
          <w:rFonts w:asciiTheme="majorHAnsi" w:hAnsiTheme="majorHAnsi" w:cstheme="majorHAnsi"/>
        </w:rPr>
        <w:t>, addig 2011-ben</w:t>
      </w:r>
      <w:r w:rsidRPr="000310B4">
        <w:rPr>
          <w:rFonts w:asciiTheme="majorHAnsi" w:hAnsiTheme="majorHAnsi" w:cstheme="majorHAnsi"/>
        </w:rPr>
        <w:t xml:space="preserve"> 36,8 </w:t>
      </w:r>
      <w:r w:rsidR="008573C4">
        <w:rPr>
          <w:rFonts w:asciiTheme="majorHAnsi" w:hAnsiTheme="majorHAnsi" w:cstheme="majorHAnsi"/>
        </w:rPr>
        <w:t>%, majd az arány</w:t>
      </w:r>
      <w:r w:rsidRPr="000310B4">
        <w:rPr>
          <w:rFonts w:asciiTheme="majorHAnsi" w:hAnsiTheme="majorHAnsi" w:cstheme="majorHAnsi"/>
        </w:rPr>
        <w:t xml:space="preserve"> 2016-ra 42,4 </w:t>
      </w:r>
      <w:r w:rsidR="0013024B">
        <w:rPr>
          <w:rFonts w:asciiTheme="majorHAnsi" w:hAnsiTheme="majorHAnsi" w:cstheme="majorHAnsi"/>
        </w:rPr>
        <w:t>%-ra</w:t>
      </w:r>
      <w:r w:rsidRPr="000310B4">
        <w:rPr>
          <w:rFonts w:asciiTheme="majorHAnsi" w:hAnsiTheme="majorHAnsi" w:cstheme="majorHAnsi"/>
        </w:rPr>
        <w:t xml:space="preserve"> </w:t>
      </w:r>
      <w:r w:rsidR="008573C4">
        <w:rPr>
          <w:rFonts w:asciiTheme="majorHAnsi" w:hAnsiTheme="majorHAnsi" w:cstheme="majorHAnsi"/>
        </w:rPr>
        <w:t>nőtt. E</w:t>
      </w:r>
      <w:r w:rsidRPr="000310B4">
        <w:rPr>
          <w:rFonts w:asciiTheme="majorHAnsi" w:hAnsiTheme="majorHAnsi" w:cstheme="majorHAnsi"/>
        </w:rPr>
        <w:t>z</w:t>
      </w:r>
      <w:r w:rsidR="008573C4">
        <w:rPr>
          <w:rFonts w:asciiTheme="majorHAnsi" w:hAnsiTheme="majorHAnsi" w:cstheme="majorHAnsi"/>
        </w:rPr>
        <w:t xml:space="preserve"> az érték</w:t>
      </w:r>
      <w:r w:rsidRPr="000310B4">
        <w:rPr>
          <w:rFonts w:asciiTheme="majorHAnsi" w:hAnsiTheme="majorHAnsi" w:cstheme="majorHAnsi"/>
        </w:rPr>
        <w:t xml:space="preserve"> azonban még mindig elmarad az EU átlagától. </w:t>
      </w:r>
    </w:p>
    <w:p w14:paraId="5475B40F" w14:textId="77777777" w:rsidR="00B86FE8" w:rsidRDefault="00B86FE8" w:rsidP="00B86FE8">
      <w:pPr>
        <w:pStyle w:val="Abracim"/>
        <w:rPr>
          <w:rFonts w:asciiTheme="majorHAnsi" w:hAnsiTheme="majorHAnsi" w:cstheme="majorHAnsi"/>
        </w:rPr>
      </w:pPr>
      <w:r w:rsidRPr="00DC6C83">
        <w:rPr>
          <w:rFonts w:asciiTheme="majorHAnsi" w:hAnsiTheme="majorHAnsi" w:cstheme="majorHAnsi"/>
        </w:rPr>
        <w:t>ábra: Idegen nyelveket beszélők aránya</w:t>
      </w:r>
    </w:p>
    <w:p w14:paraId="42899591" w14:textId="77777777" w:rsidR="00696381" w:rsidRPr="00DC6C83" w:rsidRDefault="00696381" w:rsidP="00993B37">
      <w:pPr>
        <w:pStyle w:val="Abracim"/>
        <w:numPr>
          <w:ilvl w:val="0"/>
          <w:numId w:val="0"/>
        </w:numPr>
        <w:rPr>
          <w:rFonts w:asciiTheme="majorHAnsi" w:hAnsiTheme="majorHAnsi" w:cstheme="majorHAnsi"/>
        </w:rPr>
      </w:pPr>
      <w:r>
        <w:rPr>
          <w:noProof/>
          <w:sz w:val="16"/>
          <w:szCs w:val="16"/>
          <w:lang w:eastAsia="hu-HU"/>
        </w:rPr>
        <w:drawing>
          <wp:inline distT="0" distB="0" distL="0" distR="0" wp14:anchorId="4AAD0E88" wp14:editId="6C1359B6">
            <wp:extent cx="5412740" cy="2374711"/>
            <wp:effectExtent l="0" t="0" r="16510" b="6985"/>
            <wp:docPr id="16"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33BA7A7" w14:textId="21895084" w:rsidR="00696381" w:rsidRPr="00DC6C83" w:rsidRDefault="0007196A" w:rsidP="00DA54E4">
      <w:pPr>
        <w:pStyle w:val="Forrs"/>
        <w:jc w:val="center"/>
      </w:pPr>
      <w:r>
        <w:t xml:space="preserve">Forrás: </w:t>
      </w:r>
      <w:proofErr w:type="spellStart"/>
      <w:r>
        <w:t>Eurostat</w:t>
      </w:r>
      <w:proofErr w:type="spellEnd"/>
      <w:r>
        <w:t>, 2016.</w:t>
      </w:r>
    </w:p>
    <w:p w14:paraId="129B928E" w14:textId="40C01103" w:rsidR="00B86FE8" w:rsidRPr="00DC6C83" w:rsidRDefault="00B86FE8" w:rsidP="00B86FE8">
      <w:pPr>
        <w:rPr>
          <w:rFonts w:asciiTheme="majorHAnsi" w:hAnsiTheme="majorHAnsi" w:cstheme="majorHAnsi"/>
        </w:rPr>
      </w:pPr>
      <w:r w:rsidRPr="00DC6C83">
        <w:rPr>
          <w:rFonts w:asciiTheme="majorHAnsi" w:hAnsiTheme="majorHAnsi" w:cstheme="majorHAnsi"/>
        </w:rPr>
        <w:t>Az egyre inkább a digitális térben tevékenykedő információs társadalom számára az idegen</w:t>
      </w:r>
      <w:r w:rsidR="00FF666D">
        <w:rPr>
          <w:rFonts w:asciiTheme="majorHAnsi" w:hAnsiTheme="majorHAnsi" w:cstheme="majorHAnsi"/>
        </w:rPr>
        <w:t xml:space="preserve"> </w:t>
      </w:r>
      <w:r w:rsidRPr="00DC6C83">
        <w:rPr>
          <w:rFonts w:asciiTheme="majorHAnsi" w:hAnsiTheme="majorHAnsi" w:cstheme="majorHAnsi"/>
        </w:rPr>
        <w:t xml:space="preserve">nyelvi kommunikációs kompetencia fejlesztése a köznevelés kiemelt feladatává válik. </w:t>
      </w:r>
      <w:r w:rsidR="00222799">
        <w:rPr>
          <w:rFonts w:asciiTheme="majorHAnsi" w:hAnsiTheme="majorHAnsi" w:cstheme="majorHAnsi"/>
        </w:rPr>
        <w:t>Az átgondolt idegen</w:t>
      </w:r>
      <w:r w:rsidR="00FF666D">
        <w:rPr>
          <w:rFonts w:asciiTheme="majorHAnsi" w:hAnsiTheme="majorHAnsi" w:cstheme="majorHAnsi"/>
        </w:rPr>
        <w:t xml:space="preserve"> </w:t>
      </w:r>
      <w:r w:rsidR="00222799">
        <w:rPr>
          <w:rFonts w:asciiTheme="majorHAnsi" w:hAnsiTheme="majorHAnsi" w:cstheme="majorHAnsi"/>
        </w:rPr>
        <w:t>nyelvi fejlesztés szempontjából 2011 és 2013 között kulcsfontosságú lépés volt az egységes és szabályozott tartalmi keretek visszaállítása</w:t>
      </w:r>
      <w:r w:rsidR="006E00BE">
        <w:rPr>
          <w:rFonts w:asciiTheme="majorHAnsi" w:hAnsiTheme="majorHAnsi" w:cstheme="majorHAnsi"/>
        </w:rPr>
        <w:t>,</w:t>
      </w:r>
      <w:r w:rsidR="00222799">
        <w:rPr>
          <w:rFonts w:asciiTheme="majorHAnsi" w:hAnsiTheme="majorHAnsi" w:cstheme="majorHAnsi"/>
        </w:rPr>
        <w:t xml:space="preserve"> ezzel nyílt lehetőség arra, hogy valóban egységes nyelvoktatási folyamatról beszélhessünk az általános iskolai és középiskolai periódusban. </w:t>
      </w:r>
      <w:r w:rsidRPr="000310B4">
        <w:rPr>
          <w:rFonts w:asciiTheme="majorHAnsi" w:hAnsiTheme="majorHAnsi" w:cstheme="majorHAnsi"/>
        </w:rPr>
        <w:t>Az Oktatási Hivatal a 2014/2015-ös tanévtől kezdve végez éve</w:t>
      </w:r>
      <w:r w:rsidR="004B490B">
        <w:rPr>
          <w:rFonts w:asciiTheme="majorHAnsi" w:hAnsiTheme="majorHAnsi" w:cstheme="majorHAnsi"/>
        </w:rPr>
        <w:t>nként</w:t>
      </w:r>
      <w:r w:rsidRPr="000310B4">
        <w:rPr>
          <w:rFonts w:asciiTheme="majorHAnsi" w:hAnsiTheme="majorHAnsi" w:cstheme="majorHAnsi"/>
        </w:rPr>
        <w:t xml:space="preserve"> idegen</w:t>
      </w:r>
      <w:r w:rsidR="00FF666D">
        <w:rPr>
          <w:rFonts w:asciiTheme="majorHAnsi" w:hAnsiTheme="majorHAnsi" w:cstheme="majorHAnsi"/>
        </w:rPr>
        <w:t xml:space="preserve"> </w:t>
      </w:r>
      <w:r w:rsidRPr="000310B4">
        <w:rPr>
          <w:rFonts w:asciiTheme="majorHAnsi" w:hAnsiTheme="majorHAnsi" w:cstheme="majorHAnsi"/>
        </w:rPr>
        <w:t>nyelvi mérést</w:t>
      </w:r>
      <w:r w:rsidR="004B490B">
        <w:rPr>
          <w:rFonts w:asciiTheme="majorHAnsi" w:hAnsiTheme="majorHAnsi" w:cstheme="majorHAnsi"/>
        </w:rPr>
        <w:t xml:space="preserve">, </w:t>
      </w:r>
      <w:r w:rsidR="003E4F0C">
        <w:rPr>
          <w:rFonts w:asciiTheme="majorHAnsi" w:hAnsiTheme="majorHAnsi" w:cstheme="majorHAnsi"/>
        </w:rPr>
        <w:t>a</w:t>
      </w:r>
      <w:r w:rsidR="004B490B">
        <w:rPr>
          <w:rFonts w:asciiTheme="majorHAnsi" w:hAnsiTheme="majorHAnsi" w:cstheme="majorHAnsi"/>
        </w:rPr>
        <w:t>melynek továbbfejlesztése a tanulók nyelvtudásának minél pontosabb felmérés</w:t>
      </w:r>
      <w:r w:rsidR="003E4F0C">
        <w:rPr>
          <w:rFonts w:asciiTheme="majorHAnsi" w:hAnsiTheme="majorHAnsi" w:cstheme="majorHAnsi"/>
        </w:rPr>
        <w:t>ére</w:t>
      </w:r>
      <w:r w:rsidR="00E36BAB">
        <w:rPr>
          <w:rFonts w:asciiTheme="majorHAnsi" w:hAnsiTheme="majorHAnsi" w:cstheme="majorHAnsi"/>
        </w:rPr>
        <w:t xml:space="preserve"> </w:t>
      </w:r>
      <w:r w:rsidR="004B490B">
        <w:rPr>
          <w:rFonts w:asciiTheme="majorHAnsi" w:hAnsiTheme="majorHAnsi" w:cstheme="majorHAnsi"/>
        </w:rPr>
        <w:t>a következő években mindenképpen indokolt</w:t>
      </w:r>
      <w:r w:rsidRPr="000310B4">
        <w:rPr>
          <w:rFonts w:asciiTheme="majorHAnsi" w:hAnsiTheme="majorHAnsi" w:cstheme="majorHAnsi"/>
        </w:rPr>
        <w:t>.</w:t>
      </w:r>
      <w:r w:rsidRPr="00DC6C83">
        <w:rPr>
          <w:rFonts w:asciiTheme="majorHAnsi" w:hAnsiTheme="majorHAnsi" w:cstheme="majorHAnsi"/>
        </w:rPr>
        <w:t xml:space="preserve"> E vizsgálatok célja feltárni, hogy a </w:t>
      </w:r>
      <w:r w:rsidRPr="000310B4">
        <w:rPr>
          <w:rFonts w:asciiTheme="majorHAnsi" w:hAnsiTheme="majorHAnsi" w:cstheme="majorHAnsi"/>
        </w:rPr>
        <w:t>tanulók nyelvtudása megfelel-e a tantervi követelményekben előírt Közös Európai Referenciakeret szerinti szinteknek.</w:t>
      </w:r>
      <w:r w:rsidRPr="00DC6C83">
        <w:rPr>
          <w:rFonts w:asciiTheme="majorHAnsi" w:hAnsiTheme="majorHAnsi" w:cstheme="majorHAnsi"/>
        </w:rPr>
        <w:t xml:space="preserve"> A 6. évfolyamon végzett angol nyelvi mérésen 2018-ban a résztvevő tanulók 64,9%-a szerzett megfelelő minősítést, míg a német nyelvi méréseken a tanulók 75,5%-</w:t>
      </w:r>
      <w:proofErr w:type="gramStart"/>
      <w:r w:rsidRPr="00DC6C83">
        <w:rPr>
          <w:rFonts w:asciiTheme="majorHAnsi" w:hAnsiTheme="majorHAnsi" w:cstheme="majorHAnsi"/>
        </w:rPr>
        <w:t>a</w:t>
      </w:r>
      <w:proofErr w:type="gramEnd"/>
      <w:r w:rsidR="00A463D0">
        <w:rPr>
          <w:rFonts w:asciiTheme="majorHAnsi" w:hAnsiTheme="majorHAnsi" w:cstheme="majorHAnsi"/>
        </w:rPr>
        <w:t xml:space="preserve"> </w:t>
      </w:r>
      <w:r w:rsidR="00B21DF8">
        <w:rPr>
          <w:rFonts w:asciiTheme="majorHAnsi" w:hAnsiTheme="majorHAnsi" w:cstheme="majorHAnsi"/>
        </w:rPr>
        <w:t>érte el ugyanezt</w:t>
      </w:r>
      <w:r w:rsidRPr="00DC6C83">
        <w:rPr>
          <w:rFonts w:asciiTheme="majorHAnsi" w:hAnsiTheme="majorHAnsi" w:cstheme="majorHAnsi"/>
        </w:rPr>
        <w:t xml:space="preserve">. A 8. évfolyamon végzett angol nyelvi mérésen 2018-ban a résztvevő tanulók 60,6%-a szerzett megfelelő minősítést, a német nyelvi mérések eredménye növekvő (a tanulók 59,3%-a szerzett megfelelő minősítést). A kutatásban résztvevő köznevelési intézmények településeinek típusa és régiója mentén eltérések figyelhetők meg a mérési eredményekben. </w:t>
      </w:r>
    </w:p>
    <w:p w14:paraId="7551FFBD" w14:textId="3CF15161" w:rsidR="00B86FE8" w:rsidRDefault="00B86FE8" w:rsidP="00B86FE8">
      <w:pPr>
        <w:rPr>
          <w:rFonts w:asciiTheme="majorHAnsi" w:hAnsiTheme="majorHAnsi" w:cstheme="majorHAnsi"/>
        </w:rPr>
      </w:pPr>
      <w:r w:rsidRPr="00DC6C83">
        <w:rPr>
          <w:rFonts w:asciiTheme="majorHAnsi" w:hAnsiTheme="majorHAnsi" w:cstheme="majorHAnsi"/>
        </w:rPr>
        <w:t>Az idegen</w:t>
      </w:r>
      <w:r w:rsidR="00FF666D">
        <w:rPr>
          <w:rFonts w:asciiTheme="majorHAnsi" w:hAnsiTheme="majorHAnsi" w:cstheme="majorHAnsi"/>
        </w:rPr>
        <w:t xml:space="preserve"> </w:t>
      </w:r>
      <w:r w:rsidRPr="00DC6C83">
        <w:rPr>
          <w:rFonts w:asciiTheme="majorHAnsi" w:hAnsiTheme="majorHAnsi" w:cstheme="majorHAnsi"/>
        </w:rPr>
        <w:t>nyelvi kompetenciafejlesztés</w:t>
      </w:r>
      <w:r w:rsidR="003E4F0C">
        <w:rPr>
          <w:rFonts w:asciiTheme="majorHAnsi" w:hAnsiTheme="majorHAnsi" w:cstheme="majorHAnsi"/>
        </w:rPr>
        <w:t>ben</w:t>
      </w:r>
      <w:r w:rsidRPr="00DC6C83">
        <w:rPr>
          <w:rFonts w:asciiTheme="majorHAnsi" w:hAnsiTheme="majorHAnsi" w:cstheme="majorHAnsi"/>
        </w:rPr>
        <w:t xml:space="preserve"> célként megfogalmazódik egyrészt a Közös Európai Referenciakeret szerinti </w:t>
      </w:r>
      <w:r w:rsidRPr="000310B4">
        <w:rPr>
          <w:rFonts w:asciiTheme="majorHAnsi" w:hAnsiTheme="majorHAnsi" w:cstheme="majorHAnsi"/>
        </w:rPr>
        <w:t>megfelelő minősítést szerző tanulók arányának növelése</w:t>
      </w:r>
      <w:r w:rsidRPr="00DC6C83">
        <w:rPr>
          <w:rFonts w:asciiTheme="majorHAnsi" w:hAnsiTheme="majorHAnsi" w:cstheme="majorHAnsi"/>
        </w:rPr>
        <w:t xml:space="preserve">, másrészt </w:t>
      </w:r>
      <w:r w:rsidRPr="000310B4">
        <w:rPr>
          <w:rFonts w:asciiTheme="majorHAnsi" w:hAnsiTheme="majorHAnsi" w:cstheme="majorHAnsi"/>
        </w:rPr>
        <w:t>a pedagógusok saját idegen</w:t>
      </w:r>
      <w:r w:rsidR="00FF666D">
        <w:rPr>
          <w:rFonts w:asciiTheme="majorHAnsi" w:hAnsiTheme="majorHAnsi" w:cstheme="majorHAnsi"/>
        </w:rPr>
        <w:t xml:space="preserve"> </w:t>
      </w:r>
      <w:r w:rsidRPr="000310B4">
        <w:rPr>
          <w:rFonts w:asciiTheme="majorHAnsi" w:hAnsiTheme="majorHAnsi" w:cstheme="majorHAnsi"/>
        </w:rPr>
        <w:t>nyelvi kompetenciáinak fejlesztése</w:t>
      </w:r>
      <w:r w:rsidRPr="00DC6C83">
        <w:rPr>
          <w:rFonts w:asciiTheme="majorHAnsi" w:hAnsiTheme="majorHAnsi" w:cstheme="majorHAnsi"/>
        </w:rPr>
        <w:t>, illetve a módszertani repertoárjuk bővítése, harmadrészt pedig az idegen</w:t>
      </w:r>
      <w:r w:rsidR="00FF666D">
        <w:rPr>
          <w:rFonts w:asciiTheme="majorHAnsi" w:hAnsiTheme="majorHAnsi" w:cstheme="majorHAnsi"/>
        </w:rPr>
        <w:t xml:space="preserve"> </w:t>
      </w:r>
      <w:r w:rsidRPr="00DC6C83">
        <w:rPr>
          <w:rFonts w:asciiTheme="majorHAnsi" w:hAnsiTheme="majorHAnsi" w:cstheme="majorHAnsi"/>
        </w:rPr>
        <w:t xml:space="preserve">nyelvi kompetenciafejlesztés </w:t>
      </w:r>
      <w:r w:rsidRPr="000310B4">
        <w:rPr>
          <w:rFonts w:asciiTheme="majorHAnsi" w:hAnsiTheme="majorHAnsi" w:cstheme="majorHAnsi"/>
        </w:rPr>
        <w:t>korszerű infrastrukturális feltételeinek megteremtése</w:t>
      </w:r>
      <w:r w:rsidRPr="00DC6C83">
        <w:rPr>
          <w:rFonts w:asciiTheme="majorHAnsi" w:hAnsiTheme="majorHAnsi" w:cstheme="majorHAnsi"/>
        </w:rPr>
        <w:t xml:space="preserve"> (beleértve a hagyományos és digitális tartalmakat és eszközöket, tantermi környezetet).</w:t>
      </w:r>
      <w:r w:rsidR="00E36BAB">
        <w:rPr>
          <w:rFonts w:asciiTheme="majorHAnsi" w:hAnsiTheme="majorHAnsi" w:cstheme="majorHAnsi"/>
        </w:rPr>
        <w:t xml:space="preserve"> </w:t>
      </w:r>
      <w:r w:rsidRPr="00DC6C83">
        <w:rPr>
          <w:rFonts w:asciiTheme="majorHAnsi" w:hAnsiTheme="majorHAnsi" w:cstheme="majorHAnsi"/>
        </w:rPr>
        <w:t>A</w:t>
      </w:r>
      <w:r w:rsidR="00E36BAB">
        <w:rPr>
          <w:rFonts w:asciiTheme="majorHAnsi" w:hAnsiTheme="majorHAnsi" w:cstheme="majorHAnsi"/>
        </w:rPr>
        <w:t xml:space="preserve"> </w:t>
      </w:r>
      <w:r w:rsidR="00B21DF8">
        <w:rPr>
          <w:rFonts w:asciiTheme="majorHAnsi" w:hAnsiTheme="majorHAnsi" w:cstheme="majorHAnsi"/>
        </w:rPr>
        <w:t>digitális</w:t>
      </w:r>
      <w:r w:rsidRPr="00DC6C83">
        <w:rPr>
          <w:rFonts w:asciiTheme="majorHAnsi" w:hAnsiTheme="majorHAnsi" w:cstheme="majorHAnsi"/>
        </w:rPr>
        <w:t xml:space="preserve"> eszközvásárlásokról,</w:t>
      </w:r>
      <w:r w:rsidR="00FA7A16">
        <w:rPr>
          <w:rFonts w:asciiTheme="majorHAnsi" w:hAnsiTheme="majorHAnsi" w:cstheme="majorHAnsi"/>
        </w:rPr>
        <w:t xml:space="preserve"> </w:t>
      </w:r>
      <w:r w:rsidRPr="00DC6C83">
        <w:rPr>
          <w:rFonts w:asciiTheme="majorHAnsi" w:hAnsiTheme="majorHAnsi" w:cstheme="majorHAnsi"/>
        </w:rPr>
        <w:t>a tankönyvek ingyenességéről már volt szó</w:t>
      </w:r>
      <w:r w:rsidR="003B3C2F">
        <w:rPr>
          <w:rFonts w:asciiTheme="majorHAnsi" w:hAnsiTheme="majorHAnsi" w:cstheme="majorHAnsi"/>
        </w:rPr>
        <w:t>.</w:t>
      </w:r>
      <w:r w:rsidR="00E36BAB">
        <w:rPr>
          <w:rFonts w:asciiTheme="majorHAnsi" w:hAnsiTheme="majorHAnsi" w:cstheme="majorHAnsi"/>
        </w:rPr>
        <w:t xml:space="preserve"> </w:t>
      </w:r>
      <w:r w:rsidR="003B3C2F">
        <w:rPr>
          <w:rFonts w:asciiTheme="majorHAnsi" w:hAnsiTheme="majorHAnsi" w:cstheme="majorHAnsi"/>
        </w:rPr>
        <w:t>Emellett</w:t>
      </w:r>
      <w:r w:rsidRPr="00DC6C83">
        <w:rPr>
          <w:rFonts w:asciiTheme="majorHAnsi" w:hAnsiTheme="majorHAnsi" w:cstheme="majorHAnsi"/>
        </w:rPr>
        <w:t xml:space="preserve"> a Kormány a </w:t>
      </w:r>
      <w:r w:rsidRPr="00DC6C83">
        <w:rPr>
          <w:rFonts w:asciiTheme="majorHAnsi" w:hAnsiTheme="majorHAnsi" w:cstheme="majorHAnsi"/>
        </w:rPr>
        <w:lastRenderedPageBreak/>
        <w:t>pedagógusok nyelvi kompetenciáinak fejlesztés</w:t>
      </w:r>
      <w:r w:rsidR="003E4F0C">
        <w:rPr>
          <w:rFonts w:asciiTheme="majorHAnsi" w:hAnsiTheme="majorHAnsi" w:cstheme="majorHAnsi"/>
        </w:rPr>
        <w:t>ére</w:t>
      </w:r>
      <w:r w:rsidRPr="00DC6C83">
        <w:rPr>
          <w:rFonts w:asciiTheme="majorHAnsi" w:hAnsiTheme="majorHAnsi" w:cstheme="majorHAnsi"/>
        </w:rPr>
        <w:t xml:space="preserve"> 2021-től évi 1,5 </w:t>
      </w:r>
      <w:r w:rsidR="00D63746">
        <w:rPr>
          <w:rFonts w:asciiTheme="majorHAnsi" w:hAnsiTheme="majorHAnsi" w:cstheme="majorHAnsi"/>
        </w:rPr>
        <w:t>milliárd</w:t>
      </w:r>
      <w:r w:rsidR="00E36BAB">
        <w:rPr>
          <w:rFonts w:asciiTheme="majorHAnsi" w:hAnsiTheme="majorHAnsi" w:cstheme="majorHAnsi"/>
        </w:rPr>
        <w:t xml:space="preserve"> </w:t>
      </w:r>
      <w:r w:rsidRPr="00DC6C83">
        <w:rPr>
          <w:rFonts w:asciiTheme="majorHAnsi" w:hAnsiTheme="majorHAnsi" w:cstheme="majorHAnsi"/>
        </w:rPr>
        <w:t xml:space="preserve">Ft-ot </w:t>
      </w:r>
      <w:r w:rsidR="003E4F0C">
        <w:rPr>
          <w:rFonts w:asciiTheme="majorHAnsi" w:hAnsiTheme="majorHAnsi" w:cstheme="majorHAnsi"/>
        </w:rPr>
        <w:t>fordít</w:t>
      </w:r>
      <w:r w:rsidRPr="00DC6C83">
        <w:rPr>
          <w:rFonts w:asciiTheme="majorHAnsi" w:hAnsiTheme="majorHAnsi" w:cstheme="majorHAnsi"/>
        </w:rPr>
        <w:t xml:space="preserve"> az idegen nyelvet tanító pedagógusok idegen nyelvi környezetben való továbbképzésére</w:t>
      </w:r>
      <w:r w:rsidR="003E4F0C">
        <w:rPr>
          <w:rFonts w:asciiTheme="majorHAnsi" w:hAnsiTheme="majorHAnsi" w:cstheme="majorHAnsi"/>
        </w:rPr>
        <w:t>.</w:t>
      </w:r>
      <w:r w:rsidR="00E36BAB">
        <w:rPr>
          <w:rFonts w:asciiTheme="majorHAnsi" w:hAnsiTheme="majorHAnsi" w:cstheme="majorHAnsi"/>
        </w:rPr>
        <w:t xml:space="preserve"> </w:t>
      </w:r>
      <w:r w:rsidR="003E4F0C">
        <w:rPr>
          <w:rFonts w:asciiTheme="majorHAnsi" w:hAnsiTheme="majorHAnsi" w:cstheme="majorHAnsi"/>
        </w:rPr>
        <w:t xml:space="preserve">E </w:t>
      </w:r>
      <w:r w:rsidR="003A33A7">
        <w:rPr>
          <w:rFonts w:asciiTheme="majorHAnsi" w:hAnsiTheme="majorHAnsi" w:cstheme="majorHAnsi"/>
        </w:rPr>
        <w:t xml:space="preserve">mellett a </w:t>
      </w:r>
      <w:proofErr w:type="gramStart"/>
      <w:r w:rsidR="003A33A7">
        <w:rPr>
          <w:rFonts w:asciiTheme="majorHAnsi" w:hAnsiTheme="majorHAnsi" w:cstheme="majorHAnsi"/>
        </w:rPr>
        <w:t>Kormány döntést</w:t>
      </w:r>
      <w:proofErr w:type="gramEnd"/>
      <w:r w:rsidR="003A33A7">
        <w:rPr>
          <w:rFonts w:asciiTheme="majorHAnsi" w:hAnsiTheme="majorHAnsi" w:cstheme="majorHAnsi"/>
        </w:rPr>
        <w:t xml:space="preserve"> hozott</w:t>
      </w:r>
      <w:r w:rsidRPr="00DC6C83">
        <w:rPr>
          <w:rFonts w:asciiTheme="majorHAnsi" w:hAnsiTheme="majorHAnsi" w:cstheme="majorHAnsi"/>
        </w:rPr>
        <w:t xml:space="preserve"> </w:t>
      </w:r>
      <w:r w:rsidR="003A33A7">
        <w:rPr>
          <w:rFonts w:asciiTheme="majorHAnsi" w:hAnsiTheme="majorHAnsi" w:cstheme="majorHAnsi"/>
        </w:rPr>
        <w:t xml:space="preserve">arról, hogy </w:t>
      </w:r>
      <w:r w:rsidR="00AD6641">
        <w:rPr>
          <w:rFonts w:asciiTheme="majorHAnsi" w:hAnsiTheme="majorHAnsi" w:cstheme="majorHAnsi"/>
        </w:rPr>
        <w:t>minden 9. és 11.</w:t>
      </w:r>
      <w:r w:rsidRPr="00DC6C83">
        <w:rPr>
          <w:rFonts w:asciiTheme="majorHAnsi" w:hAnsiTheme="majorHAnsi" w:cstheme="majorHAnsi"/>
        </w:rPr>
        <w:t xml:space="preserve"> évfolyamos gimnáziumi és technikumi tanulónak </w:t>
      </w:r>
      <w:r w:rsidR="00A518D7">
        <w:rPr>
          <w:rFonts w:asciiTheme="majorHAnsi" w:hAnsiTheme="majorHAnsi" w:cstheme="majorHAnsi"/>
        </w:rPr>
        <w:t>két</w:t>
      </w:r>
      <w:r w:rsidRPr="00DC6C83">
        <w:rPr>
          <w:rFonts w:asciiTheme="majorHAnsi" w:hAnsiTheme="majorHAnsi" w:cstheme="majorHAnsi"/>
        </w:rPr>
        <w:t xml:space="preserve"> hetes, nyelvoktatási célú programot finanszíroz, ami a korábban tanultak mobilizálása, az idegen nyelvtudás fokozott és értelmes használatát segítheti elő.</w:t>
      </w:r>
      <w:r w:rsidR="003A33A7">
        <w:rPr>
          <w:rFonts w:asciiTheme="majorHAnsi" w:hAnsiTheme="majorHAnsi" w:cstheme="majorHAnsi"/>
        </w:rPr>
        <w:t xml:space="preserve"> A koronavírus-járvány, és az ezzel kapcsolatos</w:t>
      </w:r>
      <w:r w:rsidRPr="00DC6C83">
        <w:rPr>
          <w:rFonts w:asciiTheme="majorHAnsi" w:hAnsiTheme="majorHAnsi" w:cstheme="majorHAnsi"/>
        </w:rPr>
        <w:t xml:space="preserve"> </w:t>
      </w:r>
      <w:r w:rsidR="003A33A7">
        <w:rPr>
          <w:rFonts w:asciiTheme="majorHAnsi" w:hAnsiTheme="majorHAnsi" w:cstheme="majorHAnsi"/>
        </w:rPr>
        <w:t>mobilitási nehézségek függvényében szükségessé vált a program újratervezése, ez a következő időszak feladata.</w:t>
      </w:r>
    </w:p>
    <w:p w14:paraId="5CC19226" w14:textId="7DCB02D9" w:rsidR="002A7431" w:rsidRDefault="000C69CC" w:rsidP="00B86FE8">
      <w:pPr>
        <w:rPr>
          <w:rFonts w:asciiTheme="majorHAnsi" w:hAnsiTheme="majorHAnsi" w:cstheme="majorHAnsi"/>
        </w:rPr>
      </w:pPr>
      <w:r>
        <w:rPr>
          <w:rFonts w:asciiTheme="majorHAnsi" w:hAnsiTheme="majorHAnsi" w:cstheme="majorHAnsi"/>
        </w:rPr>
        <w:t>J</w:t>
      </w:r>
      <w:r w:rsidR="00BB7EC9">
        <w:rPr>
          <w:rFonts w:asciiTheme="majorHAnsi" w:hAnsiTheme="majorHAnsi" w:cstheme="majorHAnsi"/>
        </w:rPr>
        <w:t xml:space="preserve">elen stratégia a köznevelés-fejlesztés teljes kontextusának bemutatása céljából tartalmazza a legfontosabb </w:t>
      </w:r>
      <w:r w:rsidR="00635D36">
        <w:rPr>
          <w:rFonts w:asciiTheme="majorHAnsi" w:hAnsiTheme="majorHAnsi" w:cstheme="majorHAnsi"/>
        </w:rPr>
        <w:t>idegen nyelvi</w:t>
      </w:r>
      <w:r w:rsidR="00C33BC9">
        <w:rPr>
          <w:rFonts w:asciiTheme="majorHAnsi" w:hAnsiTheme="majorHAnsi" w:cstheme="majorHAnsi"/>
        </w:rPr>
        <w:t xml:space="preserve"> </w:t>
      </w:r>
      <w:r w:rsidR="00BB7EC9">
        <w:rPr>
          <w:rFonts w:asciiTheme="majorHAnsi" w:hAnsiTheme="majorHAnsi" w:cstheme="majorHAnsi"/>
        </w:rPr>
        <w:t xml:space="preserve">fejlesztési irányokat, azok </w:t>
      </w:r>
      <w:r w:rsidR="00CA5D25">
        <w:rPr>
          <w:rFonts w:asciiTheme="majorHAnsi" w:hAnsiTheme="majorHAnsi" w:cstheme="majorHAnsi"/>
        </w:rPr>
        <w:t xml:space="preserve">pénzügyi </w:t>
      </w:r>
      <w:r w:rsidR="00BB7EC9">
        <w:rPr>
          <w:rFonts w:asciiTheme="majorHAnsi" w:hAnsiTheme="majorHAnsi" w:cstheme="majorHAnsi"/>
        </w:rPr>
        <w:t>keretei</w:t>
      </w:r>
      <w:r w:rsidR="00CA5D25">
        <w:rPr>
          <w:rFonts w:asciiTheme="majorHAnsi" w:hAnsiTheme="majorHAnsi" w:cstheme="majorHAnsi"/>
        </w:rPr>
        <w:t>t</w:t>
      </w:r>
      <w:r w:rsidR="00635D36">
        <w:rPr>
          <w:rFonts w:asciiTheme="majorHAnsi" w:hAnsiTheme="majorHAnsi" w:cstheme="majorHAnsi"/>
        </w:rPr>
        <w:t xml:space="preserve"> egyéb</w:t>
      </w:r>
      <w:r w:rsidR="00635D36">
        <w:rPr>
          <w:rFonts w:asciiTheme="majorHAnsi" w:hAnsiTheme="majorHAnsi" w:cstheme="majorHAnsi"/>
        </w:rPr>
        <w:t xml:space="preserve"> kapcsolódó kormányhatározatok rögzítik.</w:t>
      </w:r>
    </w:p>
    <w:p w14:paraId="65CCF1AA" w14:textId="7678D04A" w:rsidR="00BE3BE6" w:rsidRDefault="00BE3BE6" w:rsidP="00BE3BE6">
      <w:pPr>
        <w:rPr>
          <w:rFonts w:asciiTheme="majorHAnsi" w:hAnsiTheme="majorHAnsi" w:cstheme="majorHAnsi"/>
          <w:u w:val="single"/>
        </w:rPr>
      </w:pPr>
      <w:r>
        <w:rPr>
          <w:rFonts w:asciiTheme="majorHAnsi" w:hAnsiTheme="majorHAnsi" w:cstheme="majorHAnsi"/>
          <w:u w:val="single"/>
        </w:rPr>
        <w:t>Az idegen</w:t>
      </w:r>
      <w:r w:rsidR="00BB7EC9">
        <w:rPr>
          <w:rFonts w:asciiTheme="majorHAnsi" w:hAnsiTheme="majorHAnsi" w:cstheme="majorHAnsi"/>
          <w:u w:val="single"/>
        </w:rPr>
        <w:t xml:space="preserve"> </w:t>
      </w:r>
      <w:r>
        <w:rPr>
          <w:rFonts w:asciiTheme="majorHAnsi" w:hAnsiTheme="majorHAnsi" w:cstheme="majorHAnsi"/>
          <w:u w:val="single"/>
        </w:rPr>
        <w:t>nyelvi tudás fejlesztéséhez kapcsolódó legfontosabb fejlesztési irányok:</w:t>
      </w:r>
    </w:p>
    <w:p w14:paraId="025FF847" w14:textId="77777777" w:rsidR="00BE3BE6" w:rsidRDefault="00BE3BE6" w:rsidP="00E6751A">
      <w:pPr>
        <w:pStyle w:val="Listaszerbekezds"/>
        <w:numPr>
          <w:ilvl w:val="0"/>
          <w:numId w:val="7"/>
        </w:numPr>
        <w:rPr>
          <w:rFonts w:asciiTheme="majorHAnsi" w:hAnsiTheme="majorHAnsi" w:cstheme="majorHAnsi"/>
        </w:rPr>
      </w:pPr>
      <w:r w:rsidRPr="00DC6C83">
        <w:rPr>
          <w:rFonts w:asciiTheme="majorHAnsi" w:hAnsiTheme="majorHAnsi" w:cstheme="majorHAnsi"/>
        </w:rPr>
        <w:t xml:space="preserve">Közös Európai Referenciakeret szerinti </w:t>
      </w:r>
      <w:r w:rsidRPr="000310B4">
        <w:rPr>
          <w:rFonts w:asciiTheme="majorHAnsi" w:hAnsiTheme="majorHAnsi" w:cstheme="majorHAnsi"/>
        </w:rPr>
        <w:t>megfelelő minősítést szerző tanulók arányának növelése</w:t>
      </w:r>
      <w:r>
        <w:rPr>
          <w:rFonts w:asciiTheme="majorHAnsi" w:hAnsiTheme="majorHAnsi" w:cstheme="majorHAnsi"/>
        </w:rPr>
        <w:t>;</w:t>
      </w:r>
    </w:p>
    <w:p w14:paraId="36C47663" w14:textId="20963713" w:rsidR="00BE3BE6" w:rsidRDefault="00BE3BE6" w:rsidP="00E6751A">
      <w:pPr>
        <w:pStyle w:val="Listaszerbekezds"/>
        <w:numPr>
          <w:ilvl w:val="0"/>
          <w:numId w:val="7"/>
        </w:numPr>
        <w:rPr>
          <w:rFonts w:asciiTheme="majorHAnsi" w:hAnsiTheme="majorHAnsi" w:cstheme="majorHAnsi"/>
        </w:rPr>
      </w:pPr>
      <w:r>
        <w:rPr>
          <w:rFonts w:asciiTheme="majorHAnsi" w:hAnsiTheme="majorHAnsi" w:cstheme="majorHAnsi"/>
        </w:rPr>
        <w:t>tanulók és pedagógusok idegen nyelvtudásának anyanyelvi k</w:t>
      </w:r>
      <w:r w:rsidR="003A33A7">
        <w:rPr>
          <w:rFonts w:asciiTheme="majorHAnsi" w:hAnsiTheme="majorHAnsi" w:cstheme="majorHAnsi"/>
        </w:rPr>
        <w:t>örnyezetben történő fejlesztésére vonatkozó keretek kialakítása;</w:t>
      </w:r>
    </w:p>
    <w:p w14:paraId="29FE8F75" w14:textId="70393272" w:rsidR="00BE3BE6" w:rsidRPr="00BE3BE6" w:rsidRDefault="00BE3BE6" w:rsidP="00E6751A">
      <w:pPr>
        <w:pStyle w:val="Listaszerbekezds"/>
        <w:numPr>
          <w:ilvl w:val="0"/>
          <w:numId w:val="7"/>
        </w:numPr>
        <w:rPr>
          <w:rFonts w:asciiTheme="majorHAnsi" w:hAnsiTheme="majorHAnsi" w:cstheme="majorHAnsi"/>
        </w:rPr>
      </w:pPr>
      <w:r w:rsidRPr="00DC6C83">
        <w:rPr>
          <w:rFonts w:asciiTheme="majorHAnsi" w:hAnsiTheme="majorHAnsi" w:cstheme="majorHAnsi"/>
        </w:rPr>
        <w:t>az idegen</w:t>
      </w:r>
      <w:r w:rsidR="00635D36">
        <w:rPr>
          <w:rFonts w:asciiTheme="majorHAnsi" w:hAnsiTheme="majorHAnsi" w:cstheme="majorHAnsi"/>
        </w:rPr>
        <w:t xml:space="preserve"> </w:t>
      </w:r>
      <w:r w:rsidRPr="00DC6C83">
        <w:rPr>
          <w:rFonts w:asciiTheme="majorHAnsi" w:hAnsiTheme="majorHAnsi" w:cstheme="majorHAnsi"/>
        </w:rPr>
        <w:t xml:space="preserve">nyelvi kompetenciafejlesztés </w:t>
      </w:r>
      <w:r w:rsidRPr="000310B4">
        <w:rPr>
          <w:rFonts w:asciiTheme="majorHAnsi" w:hAnsiTheme="majorHAnsi" w:cstheme="majorHAnsi"/>
        </w:rPr>
        <w:t>korszerű infrastrukturális feltételeinek megteremtése</w:t>
      </w:r>
      <w:r>
        <w:rPr>
          <w:rFonts w:asciiTheme="majorHAnsi" w:hAnsiTheme="majorHAnsi" w:cstheme="majorHAnsi"/>
        </w:rPr>
        <w:t>.</w:t>
      </w:r>
    </w:p>
    <w:p w14:paraId="25D23DAB" w14:textId="00EDAC75" w:rsidR="00B86FE8" w:rsidRPr="00DC6C83" w:rsidRDefault="006F7AF3" w:rsidP="006F7AF3">
      <w:pPr>
        <w:pStyle w:val="Cmsor3"/>
      </w:pPr>
      <w:bookmarkStart w:id="99" w:name="_Toc35596153"/>
      <w:bookmarkStart w:id="100" w:name="_Toc46822730"/>
      <w:r>
        <w:t xml:space="preserve">Korszerű köznevelési </w:t>
      </w:r>
      <w:r w:rsidR="00742724">
        <w:t xml:space="preserve">intézményrendszer és </w:t>
      </w:r>
      <w:r>
        <w:t>infrastruktúra</w:t>
      </w:r>
      <w:bookmarkEnd w:id="99"/>
      <w:bookmarkEnd w:id="100"/>
    </w:p>
    <w:p w14:paraId="0D948B83" w14:textId="67836994" w:rsidR="00C47FAC"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Jelenleg a köznevelési intézményrendszerben a nevelési-oktatási feladatellátás minőség</w:t>
      </w:r>
      <w:r w:rsidR="003E4F0C">
        <w:rPr>
          <w:rFonts w:asciiTheme="majorHAnsi" w:hAnsiTheme="majorHAnsi" w:cstheme="majorHAnsi"/>
        </w:rPr>
        <w:t>e</w:t>
      </w:r>
      <w:r w:rsidRPr="00DC6C83">
        <w:rPr>
          <w:rFonts w:asciiTheme="majorHAnsi" w:hAnsiTheme="majorHAnsi" w:cstheme="majorHAnsi"/>
        </w:rPr>
        <w:t xml:space="preserve"> Magyarország elaprózódott településszerkezetéből, az állami fenntartásban lévő általános iskolai nevelést-oktatást nyújtó intézményhálózat változatos struktúrájából fakadóan </w:t>
      </w:r>
      <w:r w:rsidR="0079111E">
        <w:rPr>
          <w:rFonts w:asciiTheme="majorHAnsi" w:hAnsiTheme="majorHAnsi" w:cstheme="majorHAnsi"/>
        </w:rPr>
        <w:t xml:space="preserve">meglehetősen </w:t>
      </w:r>
      <w:r w:rsidRPr="00DC6C83">
        <w:rPr>
          <w:rFonts w:asciiTheme="majorHAnsi" w:hAnsiTheme="majorHAnsi" w:cstheme="majorHAnsi"/>
        </w:rPr>
        <w:t>eltérő</w:t>
      </w:r>
      <w:r w:rsidR="003E4F0C">
        <w:rPr>
          <w:rFonts w:asciiTheme="majorHAnsi" w:hAnsiTheme="majorHAnsi" w:cstheme="majorHAnsi"/>
        </w:rPr>
        <w:t>.</w:t>
      </w:r>
      <w:r w:rsidR="008E4901">
        <w:rPr>
          <w:rFonts w:asciiTheme="majorHAnsi" w:hAnsiTheme="majorHAnsi" w:cstheme="majorHAnsi"/>
        </w:rPr>
        <w:t xml:space="preserve"> </w:t>
      </w:r>
      <w:r w:rsidR="003E4F0C">
        <w:rPr>
          <w:rFonts w:asciiTheme="majorHAnsi" w:hAnsiTheme="majorHAnsi" w:cstheme="majorHAnsi"/>
        </w:rPr>
        <w:t>E</w:t>
      </w:r>
      <w:r w:rsidRPr="00DC6C83">
        <w:rPr>
          <w:rFonts w:asciiTheme="majorHAnsi" w:hAnsiTheme="majorHAnsi" w:cstheme="majorHAnsi"/>
        </w:rPr>
        <w:t xml:space="preserve">nnek kiegyenlítésén az állami fenntartásba vétel (2013) óta folyamatosan dolgoznak az állami intézményfenntartók. Az iskolák különböző kapacitással, más-más infrastrukturális háttérrel, felszereltséggel és színvonalon </w:t>
      </w:r>
      <w:r w:rsidR="003E4F0C">
        <w:rPr>
          <w:rFonts w:asciiTheme="majorHAnsi" w:hAnsiTheme="majorHAnsi" w:cstheme="majorHAnsi"/>
        </w:rPr>
        <w:t xml:space="preserve">látták el a </w:t>
      </w:r>
      <w:r w:rsidR="00152195">
        <w:rPr>
          <w:rFonts w:asciiTheme="majorHAnsi" w:hAnsiTheme="majorHAnsi" w:cstheme="majorHAnsi"/>
        </w:rPr>
        <w:t xml:space="preserve">feladatukat </w:t>
      </w:r>
      <w:r w:rsidR="00152195" w:rsidRPr="00DC6C83">
        <w:rPr>
          <w:rFonts w:asciiTheme="majorHAnsi" w:hAnsiTheme="majorHAnsi" w:cstheme="majorHAnsi"/>
        </w:rPr>
        <w:t>korábban</w:t>
      </w:r>
      <w:r w:rsidRPr="00DC6C83">
        <w:rPr>
          <w:rFonts w:asciiTheme="majorHAnsi" w:hAnsiTheme="majorHAnsi" w:cstheme="majorHAnsi"/>
        </w:rPr>
        <w:t>, azonban a folyamatban lévő fejlesztéseknek köszönhetően ezen a téren is változások tapasztalhatók. A köznevelési intézményrendszer folyamatban lévő infrastrukturális fejlesztésének elsődleges célja, hogy az ország egész területén lehetőleg azonos tanulási környezet</w:t>
      </w:r>
      <w:r w:rsidR="003E4F0C">
        <w:rPr>
          <w:rFonts w:asciiTheme="majorHAnsi" w:hAnsiTheme="majorHAnsi" w:cstheme="majorHAnsi"/>
        </w:rPr>
        <w:t>ben</w:t>
      </w:r>
      <w:r w:rsidRPr="00DC6C83">
        <w:rPr>
          <w:rFonts w:asciiTheme="majorHAnsi" w:hAnsiTheme="majorHAnsi" w:cstheme="majorHAnsi"/>
        </w:rPr>
        <w:t>, minőségi, támogató oktatásban, nevelésben részesüljenek a tanulók</w:t>
      </w:r>
      <w:r w:rsidR="00CB080E">
        <w:rPr>
          <w:rFonts w:asciiTheme="majorHAnsi" w:hAnsiTheme="majorHAnsi" w:cstheme="majorHAnsi"/>
        </w:rPr>
        <w:t>. Törekszünk arra, hogy</w:t>
      </w:r>
      <w:r w:rsidRPr="00DC6C83">
        <w:rPr>
          <w:rFonts w:asciiTheme="majorHAnsi" w:hAnsiTheme="majorHAnsi" w:cstheme="majorHAnsi"/>
        </w:rPr>
        <w:t xml:space="preserve"> a gazdasági, szociális területi különbségek az oktatási eredményekben egyre kevésbé legyenek érezhetők, hiszen a </w:t>
      </w:r>
      <w:r w:rsidR="005E54FB">
        <w:rPr>
          <w:rFonts w:asciiTheme="majorHAnsi" w:hAnsiTheme="majorHAnsi" w:cstheme="majorHAnsi"/>
        </w:rPr>
        <w:t>XXI</w:t>
      </w:r>
      <w:r w:rsidRPr="00DC6C83">
        <w:rPr>
          <w:rFonts w:asciiTheme="majorHAnsi" w:hAnsiTheme="majorHAnsi" w:cstheme="majorHAnsi"/>
        </w:rPr>
        <w:t xml:space="preserve">. század követelményeinek megfelelő hatékony és magas színvonalú köznevelés </w:t>
      </w:r>
      <w:r w:rsidR="0079111E">
        <w:rPr>
          <w:rFonts w:asciiTheme="majorHAnsi" w:hAnsiTheme="majorHAnsi" w:cstheme="majorHAnsi"/>
        </w:rPr>
        <w:t xml:space="preserve">csak </w:t>
      </w:r>
      <w:r w:rsidRPr="00DC6C83">
        <w:rPr>
          <w:rFonts w:asciiTheme="majorHAnsi" w:hAnsiTheme="majorHAnsi" w:cstheme="majorHAnsi"/>
        </w:rPr>
        <w:t>modern, korszerű, jól felszerelt iskolák biztosításával képzelhető el.</w:t>
      </w:r>
      <w:r w:rsidR="004F001D">
        <w:rPr>
          <w:rFonts w:asciiTheme="majorHAnsi" w:hAnsiTheme="majorHAnsi" w:cstheme="majorHAnsi"/>
        </w:rPr>
        <w:t xml:space="preserve"> </w:t>
      </w:r>
      <w:r w:rsidR="00BF3702" w:rsidRPr="004F001D">
        <w:rPr>
          <w:rFonts w:asciiTheme="majorHAnsi" w:hAnsiTheme="majorHAnsi" w:cstheme="majorHAnsi"/>
        </w:rPr>
        <w:t>Az infrastrukturális fejlesztéseknél szem előtt tartjuk a zöldenergia hasznosítását és a környezetbarát technológiákat.</w:t>
      </w:r>
    </w:p>
    <w:p w14:paraId="16B8D185" w14:textId="1061545A" w:rsidR="00B86FE8" w:rsidRDefault="00B86FE8" w:rsidP="00B86FE8">
      <w:pPr>
        <w:spacing w:line="276" w:lineRule="auto"/>
        <w:rPr>
          <w:rFonts w:asciiTheme="majorHAnsi" w:hAnsiTheme="majorHAnsi" w:cstheme="majorHAnsi"/>
        </w:rPr>
      </w:pPr>
      <w:r w:rsidRPr="00DC6C83">
        <w:rPr>
          <w:rFonts w:asciiTheme="majorHAnsi" w:hAnsiTheme="majorHAnsi" w:cstheme="majorHAnsi"/>
        </w:rPr>
        <w:t>A Klebelsberg Intézményfenntartó Központ 2014-ben, az EFOP tervezésekor végzett felmérésében 60%-</w:t>
      </w:r>
      <w:r w:rsidR="00A463D0">
        <w:rPr>
          <w:rFonts w:asciiTheme="majorHAnsi" w:hAnsiTheme="majorHAnsi" w:cstheme="majorHAnsi"/>
        </w:rPr>
        <w:t>on</w:t>
      </w:r>
      <w:r w:rsidRPr="00DC6C83">
        <w:rPr>
          <w:rFonts w:asciiTheme="majorHAnsi" w:hAnsiTheme="majorHAnsi" w:cstheme="majorHAnsi"/>
        </w:rPr>
        <w:t xml:space="preserve"> </w:t>
      </w:r>
      <w:r w:rsidR="000D335A">
        <w:rPr>
          <w:rFonts w:asciiTheme="majorHAnsi" w:hAnsiTheme="majorHAnsi" w:cstheme="majorHAnsi"/>
        </w:rPr>
        <w:t>állapította meg</w:t>
      </w:r>
      <w:r w:rsidR="00823E22">
        <w:rPr>
          <w:rFonts w:asciiTheme="majorHAnsi" w:hAnsiTheme="majorHAnsi" w:cstheme="majorHAnsi"/>
        </w:rPr>
        <w:t xml:space="preserve"> </w:t>
      </w:r>
      <w:r w:rsidRPr="00DC6C83">
        <w:rPr>
          <w:rFonts w:asciiTheme="majorHAnsi" w:hAnsiTheme="majorHAnsi" w:cstheme="majorHAnsi"/>
        </w:rPr>
        <w:t xml:space="preserve">a felújítandó oktatási célú ingatlanok arányát. A 2017-ben elvégzett, a tankerületi központok fenntartásában lévő köznevelési intézmények ingatlanállományának műszaki állapotára vonatkozó felmérés alapján akkor az épületek </w:t>
      </w:r>
      <w:r w:rsidRPr="00DC6C83">
        <w:rPr>
          <w:rFonts w:asciiTheme="majorHAnsi" w:hAnsiTheme="majorHAnsi" w:cstheme="majorHAnsi"/>
        </w:rPr>
        <w:lastRenderedPageBreak/>
        <w:t>54,24%-a minősült átlag alatti műszaki állapotúnak, vagyis szorult felújításra. Ez az arány 2018. év végére az elvégzett beruházásoknak köszönhetően 49,45%-ra javult. Az adatokat tovább javítja, hogy 201</w:t>
      </w:r>
      <w:r w:rsidR="0079111E">
        <w:rPr>
          <w:rFonts w:asciiTheme="majorHAnsi" w:hAnsiTheme="majorHAnsi" w:cstheme="majorHAnsi"/>
        </w:rPr>
        <w:t>8</w:t>
      </w:r>
      <w:r w:rsidRPr="00DC6C83">
        <w:rPr>
          <w:rFonts w:asciiTheme="majorHAnsi" w:hAnsiTheme="majorHAnsi" w:cstheme="majorHAnsi"/>
        </w:rPr>
        <w:t xml:space="preserve"> és 202</w:t>
      </w:r>
      <w:r w:rsidR="0079111E">
        <w:rPr>
          <w:rFonts w:asciiTheme="majorHAnsi" w:hAnsiTheme="majorHAnsi" w:cstheme="majorHAnsi"/>
        </w:rPr>
        <w:t>1</w:t>
      </w:r>
      <w:r w:rsidRPr="00DC6C83">
        <w:rPr>
          <w:rFonts w:asciiTheme="majorHAnsi" w:hAnsiTheme="majorHAnsi" w:cstheme="majorHAnsi"/>
        </w:rPr>
        <w:t xml:space="preserve"> között európai uniós és költségvetési forrásokból több mint 800 helyszínen mintegy 276 </w:t>
      </w:r>
      <w:r w:rsidR="00D63746">
        <w:rPr>
          <w:rFonts w:asciiTheme="majorHAnsi" w:hAnsiTheme="majorHAnsi" w:cstheme="majorHAnsi"/>
        </w:rPr>
        <w:t>milliárd</w:t>
      </w:r>
      <w:r w:rsidR="008E4901">
        <w:rPr>
          <w:rFonts w:asciiTheme="majorHAnsi" w:hAnsiTheme="majorHAnsi" w:cstheme="majorHAnsi"/>
        </w:rPr>
        <w:t xml:space="preserve"> </w:t>
      </w:r>
      <w:r w:rsidRPr="00DC6C83">
        <w:rPr>
          <w:rFonts w:asciiTheme="majorHAnsi" w:hAnsiTheme="majorHAnsi" w:cstheme="majorHAnsi"/>
        </w:rPr>
        <w:t xml:space="preserve">Ft értékű oktatási beruházás, felújítás valósulhat meg. </w:t>
      </w:r>
    </w:p>
    <w:p w14:paraId="03990F54" w14:textId="0D3AD05E" w:rsidR="00423ECA" w:rsidRPr="00DC6C83" w:rsidRDefault="00423ECA" w:rsidP="00B86FE8">
      <w:pPr>
        <w:spacing w:line="276" w:lineRule="auto"/>
        <w:rPr>
          <w:rFonts w:asciiTheme="majorHAnsi" w:hAnsiTheme="majorHAnsi" w:cstheme="majorHAnsi"/>
        </w:rPr>
      </w:pPr>
      <w:r>
        <w:rPr>
          <w:rFonts w:asciiTheme="majorHAnsi" w:hAnsiTheme="majorHAnsi" w:cstheme="majorHAnsi"/>
        </w:rPr>
        <w:t xml:space="preserve">Az intézményrendszer kapcsán jelentős kihívás – amire a járványhelyzet tapasztalatai is rámutattak – a széttagolt, kis létszámmal, néhány pedagógussal, gyengébb infrastrukturális lehetőségekkel és gyakran alacsonyabb hatékonysággal működő intézmények (elsősorban általános iskolai felső tagozatok) kérdése. </w:t>
      </w:r>
    </w:p>
    <w:p w14:paraId="4B4AA63F" w14:textId="78FAE4AE" w:rsidR="00BE3BE6" w:rsidRPr="00BE5AF7" w:rsidRDefault="00BE3BE6" w:rsidP="00BE3BE6">
      <w:pPr>
        <w:spacing w:line="276" w:lineRule="auto"/>
        <w:rPr>
          <w:rFonts w:asciiTheme="majorHAnsi" w:hAnsiTheme="majorHAnsi" w:cstheme="majorHAnsi"/>
          <w:u w:val="single"/>
        </w:rPr>
      </w:pPr>
      <w:r>
        <w:rPr>
          <w:rFonts w:asciiTheme="majorHAnsi" w:hAnsiTheme="majorHAnsi" w:cstheme="majorHAnsi"/>
          <w:u w:val="single"/>
        </w:rPr>
        <w:t>Az</w:t>
      </w:r>
      <w:r w:rsidR="00742724">
        <w:rPr>
          <w:rFonts w:asciiTheme="majorHAnsi" w:hAnsiTheme="majorHAnsi" w:cstheme="majorHAnsi"/>
          <w:u w:val="single"/>
        </w:rPr>
        <w:t xml:space="preserve"> intézményrendszer- és az</w:t>
      </w:r>
      <w:r>
        <w:rPr>
          <w:rFonts w:asciiTheme="majorHAnsi" w:hAnsiTheme="majorHAnsi" w:cstheme="majorHAnsi"/>
          <w:u w:val="single"/>
        </w:rPr>
        <w:t xml:space="preserve"> infrastruktúra-fejlesztéshez kapcsolódó legfontosabb</w:t>
      </w:r>
      <w:r w:rsidRPr="00BE5AF7">
        <w:rPr>
          <w:rFonts w:asciiTheme="majorHAnsi" w:hAnsiTheme="majorHAnsi" w:cstheme="majorHAnsi"/>
          <w:u w:val="single"/>
        </w:rPr>
        <w:t xml:space="preserve"> fejlesztési irányok:</w:t>
      </w:r>
    </w:p>
    <w:p w14:paraId="09D88AF1" w14:textId="6695FF5B" w:rsidR="000329A1" w:rsidRDefault="00BE3BE6">
      <w:pPr>
        <w:pStyle w:val="Listaszerbekezds"/>
        <w:numPr>
          <w:ilvl w:val="0"/>
          <w:numId w:val="7"/>
        </w:numPr>
        <w:spacing w:line="276" w:lineRule="auto"/>
        <w:rPr>
          <w:rFonts w:asciiTheme="majorHAnsi" w:hAnsiTheme="majorHAnsi" w:cstheme="majorHAnsi"/>
        </w:rPr>
      </w:pPr>
      <w:r>
        <w:rPr>
          <w:rFonts w:asciiTheme="majorHAnsi" w:hAnsiTheme="majorHAnsi" w:cstheme="majorHAnsi"/>
        </w:rPr>
        <w:t>új intézmények építése vagy meglévők bővítése a növekvő népességű területeken</w:t>
      </w:r>
      <w:r w:rsidR="002C2673">
        <w:rPr>
          <w:rFonts w:asciiTheme="majorHAnsi" w:hAnsiTheme="majorHAnsi" w:cstheme="majorHAnsi"/>
        </w:rPr>
        <w:t xml:space="preserve"> (elsősorban a fővárosi agglomerációban)</w:t>
      </w:r>
      <w:r>
        <w:rPr>
          <w:rFonts w:asciiTheme="majorHAnsi" w:hAnsiTheme="majorHAnsi" w:cstheme="majorHAnsi"/>
        </w:rPr>
        <w:t>;</w:t>
      </w:r>
    </w:p>
    <w:p w14:paraId="5357010A" w14:textId="77777777" w:rsidR="000329A1" w:rsidRDefault="00A87D94">
      <w:pPr>
        <w:pStyle w:val="Listaszerbekezds"/>
        <w:numPr>
          <w:ilvl w:val="0"/>
          <w:numId w:val="7"/>
        </w:numPr>
        <w:spacing w:line="276" w:lineRule="auto"/>
        <w:rPr>
          <w:rFonts w:asciiTheme="majorHAnsi" w:hAnsiTheme="majorHAnsi" w:cstheme="majorHAnsi"/>
        </w:rPr>
      </w:pPr>
      <w:r>
        <w:rPr>
          <w:rFonts w:asciiTheme="majorHAnsi" w:hAnsiTheme="majorHAnsi" w:cstheme="majorHAnsi"/>
        </w:rPr>
        <w:t>a meglévő köznevelési infrastruktúra</w:t>
      </w:r>
      <w:r w:rsidR="006D7752">
        <w:rPr>
          <w:rFonts w:asciiTheme="majorHAnsi" w:hAnsiTheme="majorHAnsi" w:cstheme="majorHAnsi"/>
        </w:rPr>
        <w:t xml:space="preserve"> állagmegóvása</w:t>
      </w:r>
      <w:r>
        <w:rPr>
          <w:rFonts w:asciiTheme="majorHAnsi" w:hAnsiTheme="majorHAnsi" w:cstheme="majorHAnsi"/>
        </w:rPr>
        <w:t>;</w:t>
      </w:r>
    </w:p>
    <w:p w14:paraId="041D3959" w14:textId="45CF4E91" w:rsidR="00423ECA" w:rsidRDefault="00423ECA">
      <w:pPr>
        <w:pStyle w:val="Listaszerbekezds"/>
        <w:numPr>
          <w:ilvl w:val="0"/>
          <w:numId w:val="7"/>
        </w:numPr>
        <w:spacing w:line="276" w:lineRule="auto"/>
        <w:rPr>
          <w:rFonts w:asciiTheme="majorHAnsi" w:hAnsiTheme="majorHAnsi" w:cstheme="majorHAnsi"/>
        </w:rPr>
      </w:pPr>
      <w:r>
        <w:rPr>
          <w:rFonts w:asciiTheme="majorHAnsi" w:hAnsiTheme="majorHAnsi" w:cstheme="majorHAnsi"/>
        </w:rPr>
        <w:t>széttagolt, kis létszámú, nehezen fenntartható infrastruktúrával rendelkező intézmények helyzetének rendszerszintű áttekintése;</w:t>
      </w:r>
    </w:p>
    <w:p w14:paraId="4BCFAD08" w14:textId="77777777" w:rsidR="000329A1" w:rsidRDefault="00BE3BE6">
      <w:pPr>
        <w:pStyle w:val="Listaszerbekezds"/>
        <w:numPr>
          <w:ilvl w:val="0"/>
          <w:numId w:val="7"/>
        </w:numPr>
        <w:spacing w:line="276" w:lineRule="auto"/>
        <w:rPr>
          <w:rFonts w:asciiTheme="majorHAnsi" w:hAnsiTheme="majorHAnsi" w:cstheme="majorHAnsi"/>
        </w:rPr>
      </w:pPr>
      <w:r>
        <w:rPr>
          <w:rFonts w:asciiTheme="majorHAnsi" w:hAnsiTheme="majorHAnsi" w:cstheme="majorHAnsi"/>
        </w:rPr>
        <w:t xml:space="preserve">a folyamatban lévő, a mindennapos testnevelés megvalósításához és a magas szintű egészségneveléshez szükséges infrastruktúra-fejlesztés (tornaterem, tornaszoba, tanuszodák) </w:t>
      </w:r>
      <w:proofErr w:type="spellStart"/>
      <w:r>
        <w:rPr>
          <w:rFonts w:asciiTheme="majorHAnsi" w:hAnsiTheme="majorHAnsi" w:cstheme="majorHAnsi"/>
        </w:rPr>
        <w:t>végigvitele</w:t>
      </w:r>
      <w:proofErr w:type="spellEnd"/>
      <w:r>
        <w:rPr>
          <w:rFonts w:asciiTheme="majorHAnsi" w:hAnsiTheme="majorHAnsi" w:cstheme="majorHAnsi"/>
        </w:rPr>
        <w:t>;</w:t>
      </w:r>
    </w:p>
    <w:p w14:paraId="792DE1EC" w14:textId="54C02AF9" w:rsidR="000329A1" w:rsidRDefault="00BE3BE6">
      <w:pPr>
        <w:pStyle w:val="Listaszerbekezds"/>
        <w:numPr>
          <w:ilvl w:val="0"/>
          <w:numId w:val="7"/>
        </w:numPr>
        <w:spacing w:line="276" w:lineRule="auto"/>
        <w:rPr>
          <w:rFonts w:asciiTheme="majorHAnsi" w:hAnsiTheme="majorHAnsi" w:cstheme="majorHAnsi"/>
        </w:rPr>
      </w:pPr>
      <w:r>
        <w:rPr>
          <w:rFonts w:asciiTheme="majorHAnsi" w:hAnsiTheme="majorHAnsi" w:cstheme="majorHAnsi"/>
        </w:rPr>
        <w:t xml:space="preserve">a Modern Városok Program keretében elindított köznevelési intézményfejlesztések </w:t>
      </w:r>
      <w:r w:rsidR="007F3DBD">
        <w:rPr>
          <w:rFonts w:asciiTheme="majorHAnsi" w:hAnsiTheme="majorHAnsi" w:cstheme="majorHAnsi"/>
        </w:rPr>
        <w:t>megvalósítása</w:t>
      </w:r>
      <w:r w:rsidR="002C2673">
        <w:rPr>
          <w:rFonts w:asciiTheme="majorHAnsi" w:hAnsiTheme="majorHAnsi" w:cstheme="majorHAnsi"/>
        </w:rPr>
        <w:t>;</w:t>
      </w:r>
    </w:p>
    <w:p w14:paraId="56033975" w14:textId="735EB90A" w:rsidR="002C2673" w:rsidRDefault="002C2673">
      <w:pPr>
        <w:pStyle w:val="Listaszerbekezds"/>
        <w:numPr>
          <w:ilvl w:val="0"/>
          <w:numId w:val="7"/>
        </w:numPr>
        <w:spacing w:line="276" w:lineRule="auto"/>
        <w:rPr>
          <w:rFonts w:asciiTheme="majorHAnsi" w:hAnsiTheme="majorHAnsi" w:cstheme="majorHAnsi"/>
        </w:rPr>
      </w:pPr>
      <w:r>
        <w:rPr>
          <w:rFonts w:asciiTheme="majorHAnsi" w:hAnsiTheme="majorHAnsi" w:cstheme="majorHAnsi"/>
        </w:rPr>
        <w:t>óvodák, iskolák energiahatékonyságának fejlesztése.</w:t>
      </w:r>
    </w:p>
    <w:p w14:paraId="704108A7" w14:textId="4A19A3A4" w:rsidR="00B86FE8" w:rsidRPr="00DC6C83" w:rsidRDefault="00B86FE8" w:rsidP="00B86FE8">
      <w:pPr>
        <w:pStyle w:val="Cmsor4"/>
        <w:rPr>
          <w:rFonts w:asciiTheme="majorHAnsi" w:hAnsiTheme="majorHAnsi" w:cstheme="majorHAnsi"/>
        </w:rPr>
      </w:pPr>
      <w:bookmarkStart w:id="101" w:name="_Toc35596154"/>
      <w:bookmarkStart w:id="102" w:name="_Toc46822731"/>
      <w:r w:rsidRPr="00DC6C83">
        <w:rPr>
          <w:rFonts w:asciiTheme="majorHAnsi" w:hAnsiTheme="majorHAnsi" w:cstheme="majorHAnsi"/>
        </w:rPr>
        <w:t xml:space="preserve">Európai Uniós forrásból megvalósuló fejlesztések az </w:t>
      </w:r>
      <w:r w:rsidR="00E271FC">
        <w:rPr>
          <w:rFonts w:asciiTheme="majorHAnsi" w:hAnsiTheme="majorHAnsi" w:cstheme="majorHAnsi"/>
        </w:rPr>
        <w:t xml:space="preserve">óvodák, </w:t>
      </w:r>
      <w:r w:rsidRPr="00DC6C83">
        <w:rPr>
          <w:rFonts w:asciiTheme="majorHAnsi" w:hAnsiTheme="majorHAnsi" w:cstheme="majorHAnsi"/>
        </w:rPr>
        <w:t>iskolák, kollégiumok épületeiben</w:t>
      </w:r>
      <w:bookmarkEnd w:id="101"/>
      <w:bookmarkEnd w:id="102"/>
    </w:p>
    <w:p w14:paraId="367BDC1E" w14:textId="2494D4EF" w:rsidR="00E271FC" w:rsidRDefault="00B86FE8" w:rsidP="00E271FC">
      <w:pPr>
        <w:tabs>
          <w:tab w:val="left" w:pos="0"/>
        </w:tabs>
        <w:spacing w:line="276" w:lineRule="auto"/>
        <w:rPr>
          <w:rFonts w:asciiTheme="majorHAnsi" w:hAnsiTheme="majorHAnsi" w:cstheme="majorHAnsi"/>
        </w:rPr>
      </w:pPr>
      <w:r w:rsidRPr="00DC6C83">
        <w:rPr>
          <w:rFonts w:asciiTheme="majorHAnsi" w:hAnsiTheme="majorHAnsi" w:cstheme="majorHAnsi"/>
        </w:rPr>
        <w:t xml:space="preserve">Európai </w:t>
      </w:r>
      <w:r w:rsidR="00823E22">
        <w:rPr>
          <w:rFonts w:asciiTheme="majorHAnsi" w:hAnsiTheme="majorHAnsi" w:cstheme="majorHAnsi"/>
        </w:rPr>
        <w:t>u</w:t>
      </w:r>
      <w:r w:rsidRPr="00DC6C83">
        <w:rPr>
          <w:rFonts w:asciiTheme="majorHAnsi" w:hAnsiTheme="majorHAnsi" w:cstheme="majorHAnsi"/>
        </w:rPr>
        <w:t xml:space="preserve">niós forrásból a 2014-2020-as finanszírozási ciklus terhére hozzávetőleg 690 beruházás valósul meg. Országos területi lefedettséggel az állami fenntartású köznevelési intézmények épületei energiahatékonyságának javítására és megújuló energiafelhasználásuk fokozására a KEHOP-5.2.2 konstrukció nyújt támogatást, ennek keretében 22,425 </w:t>
      </w:r>
      <w:r w:rsidR="00D63746">
        <w:rPr>
          <w:rFonts w:asciiTheme="majorHAnsi" w:hAnsiTheme="majorHAnsi" w:cstheme="majorHAnsi"/>
        </w:rPr>
        <w:t>milliárd</w:t>
      </w:r>
      <w:r w:rsidR="008E4901">
        <w:rPr>
          <w:rFonts w:asciiTheme="majorHAnsi" w:hAnsiTheme="majorHAnsi" w:cstheme="majorHAnsi"/>
        </w:rPr>
        <w:t xml:space="preserve"> </w:t>
      </w:r>
      <w:r w:rsidRPr="00DC6C83">
        <w:rPr>
          <w:rFonts w:asciiTheme="majorHAnsi" w:hAnsiTheme="majorHAnsi" w:cstheme="majorHAnsi"/>
        </w:rPr>
        <w:t xml:space="preserve">forintból 74 helyszínen valósul meg fejlesztés. </w:t>
      </w:r>
      <w:r w:rsidR="0040077E">
        <w:rPr>
          <w:rFonts w:asciiTheme="majorHAnsi" w:hAnsiTheme="majorHAnsi" w:cstheme="majorHAnsi"/>
        </w:rPr>
        <w:t xml:space="preserve">Emellett a TOP-3.2.1 és TOP-6.5.1 konstrukciók keretében is lehetőség volt támogatást igényelni az önkormányzati tulajdonú épületek – beleértve az alap- és középfokú oktatási intézményeket és kapcsolódó épületeket – energetikai korszerűsítésére. </w:t>
      </w:r>
      <w:r w:rsidRPr="00DC6C83">
        <w:rPr>
          <w:rFonts w:asciiTheme="majorHAnsi" w:hAnsiTheme="majorHAnsi" w:cstheme="majorHAnsi"/>
        </w:rPr>
        <w:t xml:space="preserve">A kevésbé fejlett régiók intézményeinek átfogóbb infrastrukturális fejlesztésére </w:t>
      </w:r>
      <w:r w:rsidR="000D335A">
        <w:rPr>
          <w:rFonts w:asciiTheme="majorHAnsi" w:hAnsiTheme="majorHAnsi" w:cstheme="majorHAnsi"/>
        </w:rPr>
        <w:t xml:space="preserve">további EFOP pályázatok </w:t>
      </w:r>
      <w:r w:rsidRPr="00DC6C83">
        <w:rPr>
          <w:rFonts w:asciiTheme="majorHAnsi" w:hAnsiTheme="majorHAnsi" w:cstheme="majorHAnsi"/>
        </w:rPr>
        <w:t>biztosítanak 12</w:t>
      </w:r>
      <w:r w:rsidR="00995432">
        <w:rPr>
          <w:rFonts w:asciiTheme="majorHAnsi" w:hAnsiTheme="majorHAnsi" w:cstheme="majorHAnsi"/>
        </w:rPr>
        <w:t>2,65</w:t>
      </w:r>
      <w:r w:rsidR="008E4901">
        <w:rPr>
          <w:rFonts w:asciiTheme="majorHAnsi" w:hAnsiTheme="majorHAnsi" w:cstheme="majorHAnsi"/>
        </w:rPr>
        <w:t xml:space="preserve"> </w:t>
      </w:r>
      <w:r w:rsidR="00D63746">
        <w:rPr>
          <w:rFonts w:asciiTheme="majorHAnsi" w:hAnsiTheme="majorHAnsi" w:cstheme="majorHAnsi"/>
        </w:rPr>
        <w:t>milliárd</w:t>
      </w:r>
      <w:r w:rsidR="008E4901">
        <w:rPr>
          <w:rFonts w:asciiTheme="majorHAnsi" w:hAnsiTheme="majorHAnsi" w:cstheme="majorHAnsi"/>
        </w:rPr>
        <w:t xml:space="preserve"> </w:t>
      </w:r>
      <w:r w:rsidRPr="00DC6C83">
        <w:rPr>
          <w:rFonts w:asciiTheme="majorHAnsi" w:hAnsiTheme="majorHAnsi" w:cstheme="majorHAnsi"/>
        </w:rPr>
        <w:t xml:space="preserve">Ft forrást. Ezen konstrukciók projektjei keretében </w:t>
      </w:r>
      <w:r w:rsidR="00995432">
        <w:rPr>
          <w:rFonts w:asciiTheme="majorHAnsi" w:hAnsiTheme="majorHAnsi" w:cstheme="majorHAnsi"/>
        </w:rPr>
        <w:t>2020 márciusáig</w:t>
      </w:r>
      <w:r w:rsidRPr="00DC6C83">
        <w:rPr>
          <w:rFonts w:asciiTheme="majorHAnsi" w:hAnsiTheme="majorHAnsi" w:cstheme="majorHAnsi"/>
        </w:rPr>
        <w:t xml:space="preserve"> 61</w:t>
      </w:r>
      <w:r w:rsidR="00995432">
        <w:rPr>
          <w:rFonts w:asciiTheme="majorHAnsi" w:hAnsiTheme="majorHAnsi" w:cstheme="majorHAnsi"/>
        </w:rPr>
        <w:t>9</w:t>
      </w:r>
      <w:r w:rsidRPr="00DC6C83">
        <w:rPr>
          <w:rFonts w:asciiTheme="majorHAnsi" w:hAnsiTheme="majorHAnsi" w:cstheme="majorHAnsi"/>
        </w:rPr>
        <w:t xml:space="preserve"> helyszínen valósulnak meg beruházások az állami, valamint a nem állami fenntartású köznevelési intézményekben.</w:t>
      </w:r>
      <w:r w:rsidR="00951C1B">
        <w:rPr>
          <w:rFonts w:asciiTheme="majorHAnsi" w:hAnsiTheme="majorHAnsi" w:cstheme="majorHAnsi"/>
        </w:rPr>
        <w:t xml:space="preserve"> </w:t>
      </w:r>
    </w:p>
    <w:p w14:paraId="2FED1FFA" w14:textId="175499FE" w:rsidR="00670095" w:rsidRDefault="00951C1B" w:rsidP="00670095">
      <w:pPr>
        <w:spacing w:line="276" w:lineRule="auto"/>
        <w:rPr>
          <w:rFonts w:asciiTheme="majorHAnsi" w:hAnsiTheme="majorHAnsi" w:cstheme="majorHAnsi"/>
        </w:rPr>
      </w:pPr>
      <w:r>
        <w:rPr>
          <w:rFonts w:asciiTheme="majorHAnsi" w:hAnsiTheme="majorHAnsi" w:cstheme="majorHAnsi"/>
        </w:rPr>
        <w:t xml:space="preserve">Óvodai </w:t>
      </w:r>
      <w:r w:rsidR="00670095" w:rsidRPr="00E271FC">
        <w:rPr>
          <w:rFonts w:asciiTheme="majorHAnsi" w:hAnsiTheme="majorHAnsi" w:cstheme="majorHAnsi"/>
        </w:rPr>
        <w:t>férőhelyek kial</w:t>
      </w:r>
      <w:r w:rsidR="00670095">
        <w:rPr>
          <w:rFonts w:asciiTheme="majorHAnsi" w:hAnsiTheme="majorHAnsi" w:cstheme="majorHAnsi"/>
        </w:rPr>
        <w:t>akítását</w:t>
      </w:r>
      <w:r w:rsidR="00670095" w:rsidRPr="00E271FC">
        <w:rPr>
          <w:rFonts w:asciiTheme="majorHAnsi" w:hAnsiTheme="majorHAnsi" w:cstheme="majorHAnsi"/>
        </w:rPr>
        <w:t xml:space="preserve"> és az intézmények infrastr</w:t>
      </w:r>
      <w:r w:rsidR="00670095">
        <w:rPr>
          <w:rFonts w:asciiTheme="majorHAnsi" w:hAnsiTheme="majorHAnsi" w:cstheme="majorHAnsi"/>
        </w:rPr>
        <w:t>ukturális fejlesztését 2015 óta</w:t>
      </w:r>
      <w:r w:rsidR="00670095" w:rsidRPr="00E271FC">
        <w:rPr>
          <w:rFonts w:asciiTheme="majorHAnsi" w:hAnsiTheme="majorHAnsi" w:cstheme="majorHAnsi"/>
        </w:rPr>
        <w:t xml:space="preserve"> országosan 5 felhívás támogatta, amelyek keretösszege összesen 99,178 milliárd Ft</w:t>
      </w:r>
      <w:r w:rsidR="00670095">
        <w:rPr>
          <w:rFonts w:asciiTheme="majorHAnsi" w:hAnsiTheme="majorHAnsi" w:cstheme="majorHAnsi"/>
        </w:rPr>
        <w:t xml:space="preserve"> volt</w:t>
      </w:r>
      <w:r w:rsidR="00670095" w:rsidRPr="00E271FC">
        <w:rPr>
          <w:rFonts w:asciiTheme="majorHAnsi" w:hAnsiTheme="majorHAnsi" w:cstheme="majorHAnsi"/>
        </w:rPr>
        <w:t xml:space="preserve">.  A támogatásra óvodák fenntartói – költségvetési szervek, megyei jogú városok önkormányzatai, helyi önkormányzatok és társulásaik, országos és helyi nemzetiségi </w:t>
      </w:r>
      <w:r w:rsidR="00670095" w:rsidRPr="00E271FC">
        <w:rPr>
          <w:rFonts w:asciiTheme="majorHAnsi" w:hAnsiTheme="majorHAnsi" w:cstheme="majorHAnsi"/>
        </w:rPr>
        <w:lastRenderedPageBreak/>
        <w:t>önkormányzatok, egyházak, civil szervezetek, közalapítványok, nonprofit gazdasági társaságok, önkormányzati többségi tulajdon</w:t>
      </w:r>
      <w:r w:rsidR="00670095">
        <w:rPr>
          <w:rFonts w:asciiTheme="majorHAnsi" w:hAnsiTheme="majorHAnsi" w:cstheme="majorHAnsi"/>
        </w:rPr>
        <w:t xml:space="preserve">ú vállalkozások – pályázhattak, és </w:t>
      </w:r>
      <w:r w:rsidR="00670095" w:rsidRPr="00E271FC">
        <w:rPr>
          <w:rFonts w:asciiTheme="majorHAnsi" w:hAnsiTheme="majorHAnsi" w:cstheme="majorHAnsi"/>
        </w:rPr>
        <w:t>az intézmények infras</w:t>
      </w:r>
      <w:r w:rsidR="00670095">
        <w:rPr>
          <w:rFonts w:asciiTheme="majorHAnsi" w:hAnsiTheme="majorHAnsi" w:cstheme="majorHAnsi"/>
        </w:rPr>
        <w:t>trukturális fejlesztése (</w:t>
      </w:r>
      <w:r w:rsidR="00670095" w:rsidRPr="00E271FC">
        <w:rPr>
          <w:rFonts w:asciiTheme="majorHAnsi" w:hAnsiTheme="majorHAnsi" w:cstheme="majorHAnsi"/>
        </w:rPr>
        <w:t>bővítés, átalakítás, felújítás, telephely létesítés, új ing</w:t>
      </w:r>
      <w:r w:rsidR="00670095">
        <w:rPr>
          <w:rFonts w:asciiTheme="majorHAnsi" w:hAnsiTheme="majorHAnsi" w:cstheme="majorHAnsi"/>
        </w:rPr>
        <w:t>atlan építése, eszközbeszerzés)</w:t>
      </w:r>
      <w:r w:rsidR="00670095" w:rsidRPr="00E271FC">
        <w:rPr>
          <w:rFonts w:asciiTheme="majorHAnsi" w:hAnsiTheme="majorHAnsi" w:cstheme="majorHAnsi"/>
        </w:rPr>
        <w:t xml:space="preserve"> valósult meg</w:t>
      </w:r>
      <w:r w:rsidR="00670095">
        <w:rPr>
          <w:rFonts w:asciiTheme="majorHAnsi" w:hAnsiTheme="majorHAnsi" w:cstheme="majorHAnsi"/>
        </w:rPr>
        <w:t xml:space="preserve"> ezek keretében</w:t>
      </w:r>
      <w:r w:rsidR="00670095" w:rsidRPr="00E271FC">
        <w:rPr>
          <w:rFonts w:asciiTheme="majorHAnsi" w:hAnsiTheme="majorHAnsi" w:cstheme="majorHAnsi"/>
        </w:rPr>
        <w:t>.</w:t>
      </w:r>
    </w:p>
    <w:p w14:paraId="7BB1E731" w14:textId="75D8D365" w:rsidR="00E271FC" w:rsidRPr="00670095" w:rsidRDefault="00E271FC" w:rsidP="00670095">
      <w:pPr>
        <w:spacing w:line="276" w:lineRule="auto"/>
        <w:rPr>
          <w:rFonts w:asciiTheme="majorHAnsi" w:hAnsiTheme="majorHAnsi" w:cstheme="majorHAnsi"/>
        </w:rPr>
      </w:pPr>
      <w:r>
        <w:rPr>
          <w:lang w:eastAsia="ar-SA"/>
        </w:rPr>
        <w:t>Az</w:t>
      </w:r>
      <w:r w:rsidR="00670095">
        <w:rPr>
          <w:lang w:eastAsia="ar-SA"/>
        </w:rPr>
        <w:t xml:space="preserve"> intézkedések eredményeként az</w:t>
      </w:r>
      <w:r>
        <w:rPr>
          <w:lang w:eastAsia="ar-SA"/>
        </w:rPr>
        <w:t xml:space="preserve"> óvodai férőhelyek száma</w:t>
      </w:r>
      <w:r w:rsidR="00670095">
        <w:rPr>
          <w:lang w:eastAsia="ar-SA"/>
        </w:rPr>
        <w:t xml:space="preserve"> 1</w:t>
      </w:r>
      <w:r w:rsidR="00E77DB7">
        <w:rPr>
          <w:lang w:eastAsia="ar-SA"/>
        </w:rPr>
        <w:t>6 104 hellyel</w:t>
      </w:r>
      <w:r>
        <w:rPr>
          <w:lang w:eastAsia="ar-SA"/>
        </w:rPr>
        <w:t xml:space="preserve"> növekedett 2010 óta, így </w:t>
      </w:r>
      <w:r>
        <w:rPr>
          <w:rFonts w:asciiTheme="majorHAnsi" w:hAnsiTheme="majorHAnsi" w:cstheme="majorHAnsi"/>
        </w:rPr>
        <w:t xml:space="preserve">országos férőhelyhiány nem mutatkozik: 2019 őszén 330 </w:t>
      </w:r>
      <w:r w:rsidRPr="00E271FC">
        <w:rPr>
          <w:rFonts w:asciiTheme="majorHAnsi" w:hAnsiTheme="majorHAnsi" w:cstheme="majorHAnsi"/>
        </w:rPr>
        <w:t>539 gyermek</w:t>
      </w:r>
      <w:r>
        <w:rPr>
          <w:rFonts w:asciiTheme="majorHAnsi" w:hAnsiTheme="majorHAnsi" w:cstheme="majorHAnsi"/>
        </w:rPr>
        <w:t xml:space="preserve"> járt óvodába, míg az összes férőhely száma 3</w:t>
      </w:r>
      <w:r w:rsidR="00E77DB7">
        <w:rPr>
          <w:rFonts w:asciiTheme="majorHAnsi" w:hAnsiTheme="majorHAnsi" w:cstheme="majorHAnsi"/>
        </w:rPr>
        <w:t>86 240</w:t>
      </w:r>
      <w:r>
        <w:rPr>
          <w:rFonts w:asciiTheme="majorHAnsi" w:hAnsiTheme="majorHAnsi" w:cstheme="majorHAnsi"/>
        </w:rPr>
        <w:t xml:space="preserve"> volt.</w:t>
      </w:r>
      <w:r>
        <w:rPr>
          <w:rStyle w:val="Lbjegyzet-hivatkozs"/>
          <w:rFonts w:asciiTheme="majorHAnsi" w:hAnsiTheme="majorHAnsi" w:cstheme="majorHAnsi"/>
        </w:rPr>
        <w:footnoteReference w:id="29"/>
      </w:r>
      <w:r>
        <w:rPr>
          <w:rFonts w:asciiTheme="majorHAnsi" w:hAnsiTheme="majorHAnsi" w:cstheme="majorHAnsi"/>
        </w:rPr>
        <w:t xml:space="preserve"> </w:t>
      </w:r>
      <w:r>
        <w:t>Egyedi férőhelyigények természetesen (különösen a fővárosi agglomerációban) előfordulhatnak, ezek biztosítása a következő időszak fontos célja. Emellett fontos a jövőben is az infrastruktúra fejlesztése, különösen az energetikai korszerűsítési beruházások támogatása.</w:t>
      </w:r>
    </w:p>
    <w:p w14:paraId="124388E5" w14:textId="77777777" w:rsidR="00670095" w:rsidRPr="00E271FC" w:rsidRDefault="00670095" w:rsidP="00E271FC">
      <w:pPr>
        <w:spacing w:line="276" w:lineRule="auto"/>
        <w:rPr>
          <w:rFonts w:asciiTheme="majorHAnsi" w:hAnsiTheme="majorHAnsi" w:cstheme="majorHAnsi"/>
        </w:rPr>
      </w:pPr>
    </w:p>
    <w:p w14:paraId="37CBD5F0" w14:textId="77777777" w:rsidR="00B86FE8" w:rsidRPr="00DC6C83" w:rsidRDefault="00B86FE8" w:rsidP="00B86FE8">
      <w:pPr>
        <w:pStyle w:val="Cmsor4"/>
        <w:rPr>
          <w:rFonts w:asciiTheme="majorHAnsi" w:hAnsiTheme="majorHAnsi" w:cstheme="majorHAnsi"/>
        </w:rPr>
      </w:pPr>
      <w:bookmarkStart w:id="103" w:name="_Toc35596155"/>
      <w:bookmarkStart w:id="104" w:name="_Toc46822732"/>
      <w:r w:rsidRPr="00DC6C83">
        <w:rPr>
          <w:rFonts w:asciiTheme="majorHAnsi" w:hAnsiTheme="majorHAnsi" w:cstheme="majorHAnsi"/>
        </w:rPr>
        <w:t>Hazai forrásból finanszírozott beruházások</w:t>
      </w:r>
      <w:bookmarkEnd w:id="103"/>
      <w:bookmarkEnd w:id="104"/>
    </w:p>
    <w:p w14:paraId="21DB1A93"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 Kormány kiemelt céljai között szerepel, hogy olyan európai színvonalú tornatermek, tantermek és tanuszodák épüljenek, amelyek hosszú távon szolgálják a fiatalok </w:t>
      </w:r>
      <w:r w:rsidR="0079111E">
        <w:rPr>
          <w:rFonts w:asciiTheme="majorHAnsi" w:hAnsiTheme="majorHAnsi" w:cstheme="majorHAnsi"/>
        </w:rPr>
        <w:t xml:space="preserve">egészséges </w:t>
      </w:r>
      <w:r w:rsidRPr="00DC6C83">
        <w:rPr>
          <w:rFonts w:asciiTheme="majorHAnsi" w:hAnsiTheme="majorHAnsi" w:cstheme="majorHAnsi"/>
        </w:rPr>
        <w:t xml:space="preserve">fejlődését, elősegítve az adott településen a köznevelési feladatok ellátását, különös tekintettel a mindennapos testnevelés megvalósítására. Ezt a célt szolgálja a 2014. évben elindított Nemzeti Köznevelési Infrastruktúra Fejlesztési Program. A program I. és II. ütemének keretében összesen 158 beruházás valósul meg több mint 55 </w:t>
      </w:r>
      <w:r w:rsidR="00D63746">
        <w:rPr>
          <w:rFonts w:asciiTheme="majorHAnsi" w:hAnsiTheme="majorHAnsi" w:cstheme="majorHAnsi"/>
        </w:rPr>
        <w:t>milliárd</w:t>
      </w:r>
      <w:r w:rsidR="008E4901">
        <w:rPr>
          <w:rFonts w:asciiTheme="majorHAnsi" w:hAnsiTheme="majorHAnsi" w:cstheme="majorHAnsi"/>
        </w:rPr>
        <w:t xml:space="preserve"> </w:t>
      </w:r>
      <w:r w:rsidRPr="00DC6C83">
        <w:rPr>
          <w:rFonts w:asciiTheme="majorHAnsi" w:hAnsiTheme="majorHAnsi" w:cstheme="majorHAnsi"/>
        </w:rPr>
        <w:t xml:space="preserve">forintból: 51 új uszoda, 47 új tornaterem, 44 helyszínen új tantermek, 15 új iskola és 1 óvoda épül, </w:t>
      </w:r>
      <w:r w:rsidR="00434CF5">
        <w:rPr>
          <w:rFonts w:asciiTheme="majorHAnsi" w:hAnsiTheme="majorHAnsi" w:cstheme="majorHAnsi"/>
        </w:rPr>
        <w:t>és a jövőben további</w:t>
      </w:r>
      <w:r w:rsidRPr="00DC6C83">
        <w:rPr>
          <w:rFonts w:asciiTheme="majorHAnsi" w:hAnsiTheme="majorHAnsi" w:cstheme="majorHAnsi"/>
        </w:rPr>
        <w:t xml:space="preserve"> tornaterm</w:t>
      </w:r>
      <w:r w:rsidR="00434CF5">
        <w:rPr>
          <w:rFonts w:asciiTheme="majorHAnsi" w:hAnsiTheme="majorHAnsi" w:cstheme="majorHAnsi"/>
        </w:rPr>
        <w:t>ek</w:t>
      </w:r>
      <w:r w:rsidRPr="00DC6C83">
        <w:rPr>
          <w:rFonts w:asciiTheme="majorHAnsi" w:hAnsiTheme="majorHAnsi" w:cstheme="majorHAnsi"/>
        </w:rPr>
        <w:t xml:space="preserve"> építésé</w:t>
      </w:r>
      <w:r w:rsidR="00434CF5">
        <w:rPr>
          <w:rFonts w:asciiTheme="majorHAnsi" w:hAnsiTheme="majorHAnsi" w:cstheme="majorHAnsi"/>
        </w:rPr>
        <w:t>t tervezzük</w:t>
      </w:r>
      <w:r w:rsidRPr="00DC6C83">
        <w:rPr>
          <w:rFonts w:asciiTheme="majorHAnsi" w:hAnsiTheme="majorHAnsi" w:cstheme="majorHAnsi"/>
        </w:rPr>
        <w:t xml:space="preserve">. </w:t>
      </w:r>
    </w:p>
    <w:p w14:paraId="6D9750B1"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Magyarország miniszterelnöke a Modern Városok Program keretében együttműködési megállapodásokat kötött a megyei jogú városok önkormányzatainak polgármestereivel. A megállapodások a városok jövőbeni fejlesztési prioritásai között jelentős köznevelési intézményfejlesztéseket is tartalmaznak. 2015</w:t>
      </w:r>
      <w:r w:rsidR="003E4F0C">
        <w:rPr>
          <w:rFonts w:asciiTheme="majorHAnsi" w:hAnsiTheme="majorHAnsi" w:cstheme="majorHAnsi"/>
        </w:rPr>
        <w:t>−</w:t>
      </w:r>
      <w:r w:rsidRPr="00DC6C83">
        <w:rPr>
          <w:rFonts w:asciiTheme="majorHAnsi" w:hAnsiTheme="majorHAnsi" w:cstheme="majorHAnsi"/>
        </w:rPr>
        <w:t>2022 között 6 városban 19 köznevelési intézményt érintenek</w:t>
      </w:r>
      <w:r w:rsidR="0047754F">
        <w:rPr>
          <w:rFonts w:asciiTheme="majorHAnsi" w:hAnsiTheme="majorHAnsi" w:cstheme="majorHAnsi"/>
        </w:rPr>
        <w:t xml:space="preserve"> a</w:t>
      </w:r>
      <w:r w:rsidRPr="00DC6C83">
        <w:rPr>
          <w:rFonts w:asciiTheme="majorHAnsi" w:hAnsiTheme="majorHAnsi" w:cstheme="majorHAnsi"/>
        </w:rPr>
        <w:t xml:space="preserve"> fejlesztések több mint 51 </w:t>
      </w:r>
      <w:r w:rsidR="00D63746">
        <w:rPr>
          <w:rFonts w:asciiTheme="majorHAnsi" w:hAnsiTheme="majorHAnsi" w:cstheme="majorHAnsi"/>
        </w:rPr>
        <w:t>milliárd</w:t>
      </w:r>
      <w:r w:rsidR="002C12CB">
        <w:rPr>
          <w:rFonts w:asciiTheme="majorHAnsi" w:hAnsiTheme="majorHAnsi" w:cstheme="majorHAnsi"/>
        </w:rPr>
        <w:t xml:space="preserve"> </w:t>
      </w:r>
      <w:r w:rsidRPr="00DC6C83">
        <w:rPr>
          <w:rFonts w:asciiTheme="majorHAnsi" w:hAnsiTheme="majorHAnsi" w:cstheme="majorHAnsi"/>
        </w:rPr>
        <w:t>Ft támogatási összértékkel.</w:t>
      </w:r>
    </w:p>
    <w:p w14:paraId="60FF8797"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Egyes egyedi kormánydöntések eredményeként további 11 köznevelési intézmény bővülhet, illetve újulhat meg 10 </w:t>
      </w:r>
      <w:r w:rsidR="00D63746">
        <w:rPr>
          <w:rFonts w:asciiTheme="majorHAnsi" w:hAnsiTheme="majorHAnsi" w:cstheme="majorHAnsi"/>
        </w:rPr>
        <w:t>milliárd</w:t>
      </w:r>
      <w:r w:rsidRPr="00DC6C83">
        <w:rPr>
          <w:rFonts w:asciiTheme="majorHAnsi" w:hAnsiTheme="majorHAnsi" w:cstheme="majorHAnsi"/>
        </w:rPr>
        <w:t xml:space="preserve"> forintot meghaladó költségvetési támogatással, ezen túl speciális program indult a budapesti agglomeráció iskolai férőhelyproblémáinak felszámolására</w:t>
      </w:r>
      <w:r w:rsidR="003E4F0C">
        <w:rPr>
          <w:rFonts w:asciiTheme="majorHAnsi" w:hAnsiTheme="majorHAnsi" w:cstheme="majorHAnsi"/>
        </w:rPr>
        <w:t>. A</w:t>
      </w:r>
      <w:r w:rsidRPr="00DC6C83">
        <w:rPr>
          <w:rFonts w:asciiTheme="majorHAnsi" w:hAnsiTheme="majorHAnsi" w:cstheme="majorHAnsi"/>
        </w:rPr>
        <w:t xml:space="preserve"> Kormány 16 jelentős </w:t>
      </w:r>
      <w:proofErr w:type="spellStart"/>
      <w:r w:rsidRPr="00DC6C83">
        <w:rPr>
          <w:rFonts w:asciiTheme="majorHAnsi" w:hAnsiTheme="majorHAnsi" w:cstheme="majorHAnsi"/>
        </w:rPr>
        <w:t>iskolaberuházást</w:t>
      </w:r>
      <w:proofErr w:type="spellEnd"/>
      <w:r w:rsidRPr="00DC6C83">
        <w:rPr>
          <w:rFonts w:asciiTheme="majorHAnsi" w:hAnsiTheme="majorHAnsi" w:cstheme="majorHAnsi"/>
        </w:rPr>
        <w:t xml:space="preserve"> indított el, a teljes ráfordítás össze</w:t>
      </w:r>
      <w:r w:rsidR="003B3C2F">
        <w:rPr>
          <w:rFonts w:asciiTheme="majorHAnsi" w:hAnsiTheme="majorHAnsi" w:cstheme="majorHAnsi"/>
        </w:rPr>
        <w:t>ge</w:t>
      </w:r>
      <w:r w:rsidRPr="00DC6C83">
        <w:rPr>
          <w:rFonts w:asciiTheme="majorHAnsi" w:hAnsiTheme="majorHAnsi" w:cstheme="majorHAnsi"/>
        </w:rPr>
        <w:t xml:space="preserve"> valószínűsíthetően meghaladja majd a 60 </w:t>
      </w:r>
      <w:r w:rsidR="00D63746">
        <w:rPr>
          <w:rFonts w:asciiTheme="majorHAnsi" w:hAnsiTheme="majorHAnsi" w:cstheme="majorHAnsi"/>
        </w:rPr>
        <w:t>milliárd</w:t>
      </w:r>
      <w:r w:rsidRPr="00DC6C83">
        <w:rPr>
          <w:rFonts w:asciiTheme="majorHAnsi" w:hAnsiTheme="majorHAnsi" w:cstheme="majorHAnsi"/>
        </w:rPr>
        <w:t xml:space="preserve"> Ft-ot. </w:t>
      </w:r>
    </w:p>
    <w:p w14:paraId="46019E45" w14:textId="77777777" w:rsidR="00B86FE8" w:rsidRPr="00DC6C83" w:rsidRDefault="00B86FE8" w:rsidP="00B86FE8">
      <w:pPr>
        <w:spacing w:line="276" w:lineRule="auto"/>
        <w:rPr>
          <w:rFonts w:asciiTheme="majorHAnsi" w:hAnsiTheme="majorHAnsi" w:cstheme="majorHAnsi"/>
        </w:rPr>
      </w:pPr>
      <w:r w:rsidRPr="00DC6C83">
        <w:rPr>
          <w:rFonts w:asciiTheme="majorHAnsi" w:hAnsiTheme="majorHAnsi" w:cstheme="majorHAnsi"/>
        </w:rPr>
        <w:t xml:space="preserve">Az infrastrukturális fejlesztések előrehaladását tekintve elmondható, hogy </w:t>
      </w:r>
      <w:r w:rsidR="00127557">
        <w:rPr>
          <w:rFonts w:asciiTheme="majorHAnsi" w:hAnsiTheme="majorHAnsi" w:cstheme="majorHAnsi"/>
        </w:rPr>
        <w:t xml:space="preserve">néhány éven belül </w:t>
      </w:r>
      <w:r w:rsidRPr="00DC6C83">
        <w:rPr>
          <w:rFonts w:asciiTheme="majorHAnsi" w:hAnsiTheme="majorHAnsi" w:cstheme="majorHAnsi"/>
        </w:rPr>
        <w:t>Magyarország</w:t>
      </w:r>
      <w:r w:rsidR="008426DF">
        <w:rPr>
          <w:rFonts w:asciiTheme="majorHAnsi" w:hAnsiTheme="majorHAnsi" w:cstheme="majorHAnsi"/>
        </w:rPr>
        <w:t>on</w:t>
      </w:r>
      <w:r w:rsidR="008E4901">
        <w:rPr>
          <w:rFonts w:asciiTheme="majorHAnsi" w:hAnsiTheme="majorHAnsi" w:cstheme="majorHAnsi"/>
        </w:rPr>
        <w:t xml:space="preserve"> </w:t>
      </w:r>
      <w:r w:rsidR="008426DF">
        <w:rPr>
          <w:rFonts w:asciiTheme="majorHAnsi" w:hAnsiTheme="majorHAnsi" w:cstheme="majorHAnsi"/>
        </w:rPr>
        <w:t>hozzáférhetővé válnak</w:t>
      </w:r>
      <w:r w:rsidRPr="00DC6C83">
        <w:rPr>
          <w:rFonts w:asciiTheme="majorHAnsi" w:hAnsiTheme="majorHAnsi" w:cstheme="majorHAnsi"/>
        </w:rPr>
        <w:t xml:space="preserve"> a tanuszodák és minden köznevelési intézményben adottak lesznek a körülmények a mindennapos testnevelés megvalósításához, a felújításra szoruló állami </w:t>
      </w:r>
      <w:r w:rsidR="008E4901">
        <w:rPr>
          <w:rFonts w:asciiTheme="majorHAnsi" w:hAnsiTheme="majorHAnsi" w:cstheme="majorHAnsi"/>
        </w:rPr>
        <w:t>fenntartású köznevelési feladat</w:t>
      </w:r>
      <w:r w:rsidRPr="00DC6C83">
        <w:rPr>
          <w:rFonts w:asciiTheme="majorHAnsi" w:hAnsiTheme="majorHAnsi" w:cstheme="majorHAnsi"/>
        </w:rPr>
        <w:t xml:space="preserve">ellátási helyek aránya pedig </w:t>
      </w:r>
      <w:r w:rsidR="0079111E">
        <w:rPr>
          <w:rFonts w:asciiTheme="majorHAnsi" w:hAnsiTheme="majorHAnsi" w:cstheme="majorHAnsi"/>
        </w:rPr>
        <w:t xml:space="preserve">tovább </w:t>
      </w:r>
      <w:r w:rsidRPr="00DC6C83">
        <w:rPr>
          <w:rFonts w:asciiTheme="majorHAnsi" w:hAnsiTheme="majorHAnsi" w:cstheme="majorHAnsi"/>
        </w:rPr>
        <w:t xml:space="preserve">csökken. </w:t>
      </w:r>
    </w:p>
    <w:p w14:paraId="4721A4EB" w14:textId="77777777" w:rsidR="006F7AF3" w:rsidRDefault="006F7AF3" w:rsidP="006F7AF3">
      <w:pPr>
        <w:pStyle w:val="Cmsor2"/>
        <w:rPr>
          <w:rFonts w:asciiTheme="majorHAnsi" w:hAnsiTheme="majorHAnsi" w:cstheme="majorHAnsi"/>
        </w:rPr>
      </w:pPr>
      <w:bookmarkStart w:id="105" w:name="_Toc35596156"/>
      <w:bookmarkStart w:id="106" w:name="_Toc46822733"/>
      <w:r w:rsidRPr="006F7AF3">
        <w:rPr>
          <w:rFonts w:asciiTheme="majorHAnsi" w:hAnsiTheme="majorHAnsi" w:cstheme="majorHAnsi"/>
        </w:rPr>
        <w:lastRenderedPageBreak/>
        <w:t>Külhoni magyarok – magyarországi nemzetiségek oktatásának-nevelésének fejlesztése</w:t>
      </w:r>
      <w:bookmarkEnd w:id="105"/>
      <w:bookmarkEnd w:id="106"/>
    </w:p>
    <w:p w14:paraId="70C09BC4" w14:textId="77777777" w:rsidR="00BE3BE6" w:rsidRDefault="00BE3BE6" w:rsidP="00BE3BE6">
      <w:r>
        <w:t>A külhoni magyarok és a magyarországi nemzetiségek oktatásának-nevelésének fejlesztése</w:t>
      </w:r>
      <w:r w:rsidR="001C2AB0">
        <w:t xml:space="preserve"> az egységes Kárpát-medencei oktatási tér megvalósításának egymással</w:t>
      </w:r>
      <w:r>
        <w:t xml:space="preserve"> szorosan összekapcsolód</w:t>
      </w:r>
      <w:r w:rsidR="001C2AB0">
        <w:t xml:space="preserve">ó </w:t>
      </w:r>
      <w:r w:rsidR="003E4F0C">
        <w:t>elemei</w:t>
      </w:r>
      <w:r w:rsidR="001C2AB0">
        <w:t>. A külhoni magyarok</w:t>
      </w:r>
      <w:r w:rsidR="003E4F0C">
        <w:t>kal kapcsolatban</w:t>
      </w:r>
      <w:r w:rsidR="001C2AB0">
        <w:t xml:space="preserve"> fontos az egységes magyar nemzeti köznevelés megközelítésének érvényesítés</w:t>
      </w:r>
      <w:r w:rsidR="00A84BEA">
        <w:t>e</w:t>
      </w:r>
      <w:r w:rsidR="001C2AB0">
        <w:t xml:space="preserve">, emellett kiemelkedő jelentősége van a hazai nemzetiségek </w:t>
      </w:r>
      <w:r w:rsidR="00125A09">
        <w:t xml:space="preserve">nevelésének, </w:t>
      </w:r>
      <w:r w:rsidR="001C2AB0">
        <w:t>oktatásának is, amelyből az egész közösség gazdagodik.</w:t>
      </w:r>
    </w:p>
    <w:p w14:paraId="2824AA96" w14:textId="77777777" w:rsidR="001C2AB0" w:rsidRPr="00BE5AF7" w:rsidRDefault="001C2AB0" w:rsidP="001C2AB0">
      <w:pPr>
        <w:spacing w:line="276" w:lineRule="auto"/>
        <w:rPr>
          <w:rFonts w:asciiTheme="majorHAnsi" w:hAnsiTheme="majorHAnsi" w:cstheme="majorHAnsi"/>
          <w:u w:val="single"/>
        </w:rPr>
      </w:pPr>
      <w:r>
        <w:rPr>
          <w:rFonts w:asciiTheme="majorHAnsi" w:hAnsiTheme="majorHAnsi" w:cstheme="majorHAnsi"/>
          <w:u w:val="single"/>
        </w:rPr>
        <w:t>A külhoni magyarok és a magyarországi nemzetiségek oktatásához-neveléséhez kapcsolódó legfontosabb fejlesztési irányok</w:t>
      </w:r>
      <w:r w:rsidRPr="00BE5AF7">
        <w:rPr>
          <w:rFonts w:asciiTheme="majorHAnsi" w:hAnsiTheme="majorHAnsi" w:cstheme="majorHAnsi"/>
          <w:u w:val="single"/>
        </w:rPr>
        <w:t>:</w:t>
      </w:r>
    </w:p>
    <w:p w14:paraId="21B1040D" w14:textId="77777777" w:rsidR="001C2AB0" w:rsidRDefault="001C2AB0"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külhoni magyar intézményrendszer fejlesztése;</w:t>
      </w:r>
    </w:p>
    <w:p w14:paraId="1EF52C1C" w14:textId="77777777" w:rsidR="001C2AB0" w:rsidRDefault="001C2AB0"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határokon átívelő tanulmányi versenyek, tehetséggondozó és közösségépítő programok megvalósítása</w:t>
      </w:r>
    </w:p>
    <w:p w14:paraId="3EA9E94A" w14:textId="77777777" w:rsidR="001C2AB0" w:rsidRPr="001C2AB0" w:rsidRDefault="001C2AB0" w:rsidP="00E6751A">
      <w:pPr>
        <w:pStyle w:val="Listaszerbekezds"/>
        <w:numPr>
          <w:ilvl w:val="0"/>
          <w:numId w:val="7"/>
        </w:numPr>
        <w:spacing w:line="276" w:lineRule="auto"/>
        <w:rPr>
          <w:rFonts w:asciiTheme="majorHAnsi" w:hAnsiTheme="majorHAnsi" w:cstheme="majorHAnsi"/>
        </w:rPr>
      </w:pPr>
      <w:r>
        <w:rPr>
          <w:rFonts w:asciiTheme="majorHAnsi" w:hAnsiTheme="majorHAnsi" w:cstheme="majorHAnsi"/>
        </w:rPr>
        <w:t>pedagógusok közötti szakmai együttműködés elősegítése.</w:t>
      </w:r>
    </w:p>
    <w:p w14:paraId="1767A1CA" w14:textId="77777777" w:rsidR="00B86FE8" w:rsidRPr="00DC6C83" w:rsidRDefault="00B86FE8" w:rsidP="006F7AF3">
      <w:pPr>
        <w:pStyle w:val="Cmsor3"/>
      </w:pPr>
      <w:bookmarkStart w:id="107" w:name="_Toc35596157"/>
      <w:bookmarkStart w:id="108" w:name="_Toc46822734"/>
      <w:r w:rsidRPr="00DC6C83">
        <w:t>A Kárpát-medencei oktatási térség</w:t>
      </w:r>
      <w:r w:rsidR="001854C8">
        <w:t xml:space="preserve"> megvalósítása</w:t>
      </w:r>
      <w:bookmarkEnd w:id="107"/>
      <w:bookmarkEnd w:id="108"/>
    </w:p>
    <w:p w14:paraId="7DB6770E" w14:textId="77777777" w:rsidR="004A1EB9" w:rsidRDefault="00A634E7" w:rsidP="00B86FE8">
      <w:pPr>
        <w:rPr>
          <w:rFonts w:asciiTheme="majorHAnsi" w:hAnsiTheme="majorHAnsi" w:cstheme="majorHAnsi"/>
        </w:rPr>
      </w:pPr>
      <w:r w:rsidRPr="00AD6641">
        <w:rPr>
          <w:rFonts w:asciiTheme="majorHAnsi" w:hAnsiTheme="majorHAnsi" w:cstheme="majorHAnsi"/>
        </w:rPr>
        <w:t xml:space="preserve">A magyar nyelvű köznevelés </w:t>
      </w:r>
      <w:r w:rsidR="004A1EB9">
        <w:rPr>
          <w:rFonts w:asciiTheme="majorHAnsi" w:hAnsiTheme="majorHAnsi" w:cstheme="majorHAnsi"/>
        </w:rPr>
        <w:t>intézmény</w:t>
      </w:r>
      <w:r w:rsidRPr="00AD6641">
        <w:rPr>
          <w:rFonts w:asciiTheme="majorHAnsi" w:hAnsiTheme="majorHAnsi" w:cstheme="majorHAnsi"/>
        </w:rPr>
        <w:t>rendszere nem áll meg az országhatároknál, hanem jelen van a Kárpát-medence magyarok lakta településein</w:t>
      </w:r>
      <w:r w:rsidR="00325B60">
        <w:rPr>
          <w:rFonts w:asciiTheme="majorHAnsi" w:hAnsiTheme="majorHAnsi" w:cstheme="majorHAnsi"/>
        </w:rPr>
        <w:t xml:space="preserve"> is</w:t>
      </w:r>
      <w:r w:rsidRPr="00AD6641">
        <w:rPr>
          <w:rFonts w:asciiTheme="majorHAnsi" w:hAnsiTheme="majorHAnsi" w:cstheme="majorHAnsi"/>
        </w:rPr>
        <w:t xml:space="preserve">. </w:t>
      </w:r>
      <w:r w:rsidR="00325B60">
        <w:rPr>
          <w:rFonts w:asciiTheme="majorHAnsi" w:hAnsiTheme="majorHAnsi" w:cstheme="majorHAnsi"/>
        </w:rPr>
        <w:t>B</w:t>
      </w:r>
      <w:r w:rsidR="00325B60" w:rsidRPr="00AD6641">
        <w:rPr>
          <w:rFonts w:asciiTheme="majorHAnsi" w:hAnsiTheme="majorHAnsi" w:cstheme="majorHAnsi"/>
        </w:rPr>
        <w:t xml:space="preserve">ár eltérő </w:t>
      </w:r>
      <w:r w:rsidR="00325B60">
        <w:rPr>
          <w:rFonts w:asciiTheme="majorHAnsi" w:hAnsiTheme="majorHAnsi" w:cstheme="majorHAnsi"/>
        </w:rPr>
        <w:t>a</w:t>
      </w:r>
      <w:r w:rsidRPr="00AD6641">
        <w:rPr>
          <w:rFonts w:asciiTheme="majorHAnsi" w:hAnsiTheme="majorHAnsi" w:cstheme="majorHAnsi"/>
        </w:rPr>
        <w:t>z egyes országok köznevelési rendszere, szabályozási háttere, struktúrája, a határok átjárhatóvá válásának</w:t>
      </w:r>
      <w:r w:rsidR="004A1EB9">
        <w:rPr>
          <w:rFonts w:asciiTheme="majorHAnsi" w:hAnsiTheme="majorHAnsi" w:cstheme="majorHAnsi"/>
        </w:rPr>
        <w:t xml:space="preserve">, a pedagógusok elkötelezettségének </w:t>
      </w:r>
      <w:r w:rsidRPr="00AD6641">
        <w:rPr>
          <w:rFonts w:asciiTheme="majorHAnsi" w:hAnsiTheme="majorHAnsi" w:cstheme="majorHAnsi"/>
        </w:rPr>
        <w:t xml:space="preserve">és a magyar kormány nemzetpolitikai tevékenységének köszönhetően ma </w:t>
      </w:r>
      <w:r w:rsidR="004A1EB9">
        <w:rPr>
          <w:rFonts w:asciiTheme="majorHAnsi" w:hAnsiTheme="majorHAnsi" w:cstheme="majorHAnsi"/>
        </w:rPr>
        <w:t xml:space="preserve">már </w:t>
      </w:r>
      <w:r w:rsidRPr="00AD6641">
        <w:rPr>
          <w:rFonts w:asciiTheme="majorHAnsi" w:hAnsiTheme="majorHAnsi" w:cstheme="majorHAnsi"/>
        </w:rPr>
        <w:t xml:space="preserve">élő kapcsolat létezik az anyaországi és a külhoni magyarok köznevelési intézményei között. </w:t>
      </w:r>
      <w:r w:rsidR="00C42E6E">
        <w:rPr>
          <w:rFonts w:asciiTheme="majorHAnsi" w:hAnsiTheme="majorHAnsi" w:cstheme="majorHAnsi"/>
        </w:rPr>
        <w:t>M</w:t>
      </w:r>
      <w:r w:rsidR="00C42E6E" w:rsidRPr="00C42E6E">
        <w:rPr>
          <w:rFonts w:asciiTheme="majorHAnsi" w:hAnsiTheme="majorHAnsi" w:cstheme="majorHAnsi"/>
        </w:rPr>
        <w:t xml:space="preserve">eggyőződésünk, hogy a </w:t>
      </w:r>
      <w:r w:rsidR="002B33BA">
        <w:rPr>
          <w:rFonts w:asciiTheme="majorHAnsi" w:hAnsiTheme="majorHAnsi" w:cstheme="majorHAnsi"/>
        </w:rPr>
        <w:t>külhoni</w:t>
      </w:r>
      <w:r w:rsidR="00C42E6E" w:rsidRPr="00C42E6E">
        <w:rPr>
          <w:rFonts w:asciiTheme="majorHAnsi" w:hAnsiTheme="majorHAnsi" w:cstheme="majorHAnsi"/>
        </w:rPr>
        <w:t xml:space="preserve"> magyar </w:t>
      </w:r>
      <w:r w:rsidR="00125A09">
        <w:rPr>
          <w:rFonts w:asciiTheme="majorHAnsi" w:hAnsiTheme="majorHAnsi" w:cstheme="majorHAnsi"/>
        </w:rPr>
        <w:t>nevelés-</w:t>
      </w:r>
      <w:r w:rsidR="00C42E6E" w:rsidRPr="00C42E6E">
        <w:rPr>
          <w:rFonts w:asciiTheme="majorHAnsi" w:hAnsiTheme="majorHAnsi" w:cstheme="majorHAnsi"/>
        </w:rPr>
        <w:t xml:space="preserve">oktatást is az egységes magyar nemzeti </w:t>
      </w:r>
      <w:r w:rsidR="00125A09">
        <w:rPr>
          <w:rFonts w:asciiTheme="majorHAnsi" w:hAnsiTheme="majorHAnsi" w:cstheme="majorHAnsi"/>
        </w:rPr>
        <w:t>nevelés-</w:t>
      </w:r>
      <w:r w:rsidR="00C42E6E" w:rsidRPr="00C42E6E">
        <w:rPr>
          <w:rFonts w:asciiTheme="majorHAnsi" w:hAnsiTheme="majorHAnsi" w:cstheme="majorHAnsi"/>
        </w:rPr>
        <w:t xml:space="preserve">oktatás dimenziójában, az egységes Kárpát-medencei oktatási térben kell szemlélnünk, fejlesztenünk. Ez alapján azonos mennyiségi és minőségi elvárásokat kell figyelembe vennünk, </w:t>
      </w:r>
      <w:r w:rsidR="00325B60">
        <w:rPr>
          <w:rFonts w:asciiTheme="majorHAnsi" w:hAnsiTheme="majorHAnsi" w:cstheme="majorHAnsi"/>
        </w:rPr>
        <w:t>a</w:t>
      </w:r>
      <w:r w:rsidR="00C42E6E" w:rsidRPr="00C42E6E">
        <w:rPr>
          <w:rFonts w:asciiTheme="majorHAnsi" w:hAnsiTheme="majorHAnsi" w:cstheme="majorHAnsi"/>
        </w:rPr>
        <w:t xml:space="preserve">melyeket érvényesnek tartunk a magyarországi </w:t>
      </w:r>
      <w:r w:rsidR="00125A09">
        <w:rPr>
          <w:rFonts w:asciiTheme="majorHAnsi" w:hAnsiTheme="majorHAnsi" w:cstheme="majorHAnsi"/>
        </w:rPr>
        <w:t>nevelés-</w:t>
      </w:r>
      <w:r w:rsidR="00C42E6E" w:rsidRPr="00C42E6E">
        <w:rPr>
          <w:rFonts w:asciiTheme="majorHAnsi" w:hAnsiTheme="majorHAnsi" w:cstheme="majorHAnsi"/>
        </w:rPr>
        <w:t xml:space="preserve">oktatásban is, ezáltal biztosítva azt, hogy a magyar nemzet tagjainak ugyanazon esélye </w:t>
      </w:r>
      <w:r w:rsidR="00325B60">
        <w:rPr>
          <w:rFonts w:asciiTheme="majorHAnsi" w:hAnsiTheme="majorHAnsi" w:cstheme="majorHAnsi"/>
        </w:rPr>
        <w:t>legyen</w:t>
      </w:r>
      <w:r w:rsidR="00C42E6E" w:rsidRPr="00C42E6E">
        <w:rPr>
          <w:rFonts w:asciiTheme="majorHAnsi" w:hAnsiTheme="majorHAnsi" w:cstheme="majorHAnsi"/>
        </w:rPr>
        <w:t xml:space="preserve"> a tudás megszerzéséhez, az egyéni érvényesüléséhez, a közössége fennmaradásához és fejlesztéséhez, éljen akár szomszédos államok valamelyikében, a diaszpórában vagy az anyaországban.</w:t>
      </w:r>
    </w:p>
    <w:p w14:paraId="5C024886" w14:textId="1FAD52E2" w:rsidR="00A76537" w:rsidRDefault="00796CB1" w:rsidP="00B86FE8">
      <w:pPr>
        <w:rPr>
          <w:rFonts w:asciiTheme="majorHAnsi" w:hAnsiTheme="majorHAnsi" w:cstheme="majorHAnsi"/>
        </w:rPr>
      </w:pPr>
      <w:r>
        <w:rPr>
          <w:rFonts w:asciiTheme="majorHAnsi" w:hAnsiTheme="majorHAnsi" w:cstheme="majorHAnsi"/>
        </w:rPr>
        <w:t xml:space="preserve">A külhoni magyar közösségekben született gyermekek </w:t>
      </w:r>
      <w:r w:rsidR="00325B60">
        <w:rPr>
          <w:rFonts w:asciiTheme="majorHAnsi" w:hAnsiTheme="majorHAnsi" w:cstheme="majorHAnsi"/>
        </w:rPr>
        <w:t xml:space="preserve">száma </w:t>
      </w:r>
      <w:r>
        <w:rPr>
          <w:rFonts w:asciiTheme="majorHAnsi" w:hAnsiTheme="majorHAnsi" w:cstheme="majorHAnsi"/>
        </w:rPr>
        <w:t>jelentős: csaknem 50</w:t>
      </w:r>
      <w:r w:rsidR="00E36144">
        <w:rPr>
          <w:rFonts w:asciiTheme="majorHAnsi" w:hAnsiTheme="majorHAnsi" w:cstheme="majorHAnsi"/>
        </w:rPr>
        <w:t xml:space="preserve"> 000 óvodás, több mint 150 </w:t>
      </w:r>
      <w:r>
        <w:rPr>
          <w:rFonts w:asciiTheme="majorHAnsi" w:hAnsiTheme="majorHAnsi" w:cstheme="majorHAnsi"/>
        </w:rPr>
        <w:t xml:space="preserve">000 általános iskolás és </w:t>
      </w:r>
      <w:r w:rsidR="001F5BB7">
        <w:rPr>
          <w:rFonts w:asciiTheme="majorHAnsi" w:hAnsiTheme="majorHAnsi" w:cstheme="majorHAnsi"/>
        </w:rPr>
        <w:t>több mint 12</w:t>
      </w:r>
      <w:r>
        <w:rPr>
          <w:rFonts w:asciiTheme="majorHAnsi" w:hAnsiTheme="majorHAnsi" w:cstheme="majorHAnsi"/>
        </w:rPr>
        <w:t>6</w:t>
      </w:r>
      <w:r w:rsidR="00E36144">
        <w:rPr>
          <w:rFonts w:asciiTheme="majorHAnsi" w:hAnsiTheme="majorHAnsi" w:cstheme="majorHAnsi"/>
        </w:rPr>
        <w:t xml:space="preserve"> </w:t>
      </w:r>
      <w:r>
        <w:rPr>
          <w:rFonts w:asciiTheme="majorHAnsi" w:hAnsiTheme="majorHAnsi" w:cstheme="majorHAnsi"/>
        </w:rPr>
        <w:t xml:space="preserve">000 középiskolás látogatja </w:t>
      </w:r>
      <w:r w:rsidR="00142ED9">
        <w:rPr>
          <w:rFonts w:asciiTheme="majorHAnsi" w:hAnsiTheme="majorHAnsi" w:cstheme="majorHAnsi"/>
        </w:rPr>
        <w:t xml:space="preserve">a határainkon kívül a </w:t>
      </w:r>
      <w:proofErr w:type="gramStart"/>
      <w:r w:rsidR="00142ED9">
        <w:rPr>
          <w:rFonts w:asciiTheme="majorHAnsi" w:hAnsiTheme="majorHAnsi" w:cstheme="majorHAnsi"/>
        </w:rPr>
        <w:t>magyar tanítási</w:t>
      </w:r>
      <w:proofErr w:type="gramEnd"/>
      <w:r w:rsidR="00142ED9">
        <w:rPr>
          <w:rFonts w:asciiTheme="majorHAnsi" w:hAnsiTheme="majorHAnsi" w:cstheme="majorHAnsi"/>
        </w:rPr>
        <w:t xml:space="preserve"> </w:t>
      </w:r>
      <w:r>
        <w:rPr>
          <w:rFonts w:asciiTheme="majorHAnsi" w:hAnsiTheme="majorHAnsi" w:cstheme="majorHAnsi"/>
        </w:rPr>
        <w:t xml:space="preserve">nyelvű intézményeket. </w:t>
      </w:r>
    </w:p>
    <w:p w14:paraId="5EA52102" w14:textId="77777777" w:rsidR="004203BA" w:rsidRDefault="004203BA" w:rsidP="00B86FE8">
      <w:pPr>
        <w:rPr>
          <w:rFonts w:asciiTheme="majorHAnsi" w:hAnsiTheme="majorHAnsi" w:cstheme="majorHAnsi"/>
        </w:rPr>
      </w:pPr>
    </w:p>
    <w:p w14:paraId="7FF02BE1" w14:textId="77777777" w:rsidR="004203BA" w:rsidRDefault="004203BA" w:rsidP="00B86FE8">
      <w:pPr>
        <w:rPr>
          <w:rFonts w:asciiTheme="majorHAnsi" w:hAnsiTheme="majorHAnsi" w:cstheme="majorHAnsi"/>
        </w:rPr>
      </w:pPr>
    </w:p>
    <w:p w14:paraId="0A9DA82B" w14:textId="77777777" w:rsidR="00D10D45" w:rsidRDefault="00D10D45" w:rsidP="00B86FE8">
      <w:pPr>
        <w:rPr>
          <w:rFonts w:asciiTheme="majorHAnsi" w:hAnsiTheme="majorHAnsi" w:cstheme="majorHAnsi"/>
        </w:rPr>
      </w:pPr>
    </w:p>
    <w:p w14:paraId="5D493C3B" w14:textId="77777777" w:rsidR="00D10D45" w:rsidRDefault="00D10D45" w:rsidP="00B86FE8">
      <w:pPr>
        <w:rPr>
          <w:rFonts w:asciiTheme="majorHAnsi" w:hAnsiTheme="majorHAnsi" w:cstheme="majorHAnsi"/>
        </w:rPr>
      </w:pPr>
    </w:p>
    <w:p w14:paraId="3BD054FE" w14:textId="2FD716F4" w:rsidR="00FE077E" w:rsidRPr="00FE077E" w:rsidRDefault="00FE077E" w:rsidP="00D10D45">
      <w:pPr>
        <w:pStyle w:val="Tblacm"/>
        <w:ind w:left="426"/>
        <w:jc w:val="center"/>
      </w:pPr>
      <w:r w:rsidRPr="00FE077E">
        <w:lastRenderedPageBreak/>
        <w:t xml:space="preserve">Táblázat: A külhoni </w:t>
      </w:r>
      <w:proofErr w:type="gramStart"/>
      <w:r w:rsidR="00EA021E">
        <w:t xml:space="preserve">magyar </w:t>
      </w:r>
      <w:r w:rsidR="00142ED9">
        <w:t>tanítási</w:t>
      </w:r>
      <w:proofErr w:type="gramEnd"/>
      <w:r w:rsidR="00142ED9">
        <w:t xml:space="preserve"> </w:t>
      </w:r>
      <w:r w:rsidRPr="00FE077E">
        <w:t xml:space="preserve">nyelvű </w:t>
      </w:r>
      <w:r w:rsidR="00E77DB7">
        <w:t>és Magyarország területén nevelésben</w:t>
      </w:r>
      <w:r w:rsidR="00EA021E">
        <w:t xml:space="preserve"> és nappali rendszerű </w:t>
      </w:r>
      <w:r w:rsidRPr="00FE077E">
        <w:t>oktatásban résztvevők adatai</w:t>
      </w:r>
    </w:p>
    <w:tbl>
      <w:tblPr>
        <w:tblStyle w:val="Tblzatrcsos6tarka3jellszn1"/>
        <w:tblW w:w="0" w:type="auto"/>
        <w:tblLook w:val="04A0" w:firstRow="1" w:lastRow="0" w:firstColumn="1" w:lastColumn="0" w:noHBand="0" w:noVBand="1"/>
      </w:tblPr>
      <w:tblGrid>
        <w:gridCol w:w="2264"/>
        <w:gridCol w:w="2266"/>
        <w:gridCol w:w="2266"/>
        <w:gridCol w:w="2266"/>
      </w:tblGrid>
      <w:tr w:rsidR="00FE077E" w14:paraId="322459CB" w14:textId="77777777" w:rsidTr="006C0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vAlign w:val="center"/>
          </w:tcPr>
          <w:p w14:paraId="425970A9" w14:textId="77777777" w:rsidR="00562884" w:rsidRPr="001F5BB7" w:rsidRDefault="00562884" w:rsidP="00FE077E">
            <w:pPr>
              <w:rPr>
                <w:rFonts w:asciiTheme="majorHAnsi" w:hAnsiTheme="majorHAnsi" w:cstheme="majorHAnsi"/>
                <w:color w:val="auto"/>
              </w:rPr>
            </w:pPr>
          </w:p>
        </w:tc>
        <w:tc>
          <w:tcPr>
            <w:tcW w:w="2266" w:type="dxa"/>
            <w:vAlign w:val="center"/>
          </w:tcPr>
          <w:p w14:paraId="7C43DBCE" w14:textId="77777777" w:rsidR="00FE077E" w:rsidRDefault="00FE077E" w:rsidP="00FE077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66B0C">
              <w:rPr>
                <w:rFonts w:asciiTheme="majorHAnsi" w:hAnsiTheme="majorHAnsi" w:cstheme="majorHAnsi"/>
                <w:sz w:val="22"/>
              </w:rPr>
              <w:t>Óvoda</w:t>
            </w:r>
          </w:p>
        </w:tc>
        <w:tc>
          <w:tcPr>
            <w:tcW w:w="2266" w:type="dxa"/>
            <w:vAlign w:val="center"/>
          </w:tcPr>
          <w:p w14:paraId="52547AED" w14:textId="77777777" w:rsidR="00FE077E" w:rsidRDefault="00FE077E" w:rsidP="00FE077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66B0C">
              <w:rPr>
                <w:rFonts w:asciiTheme="majorHAnsi" w:hAnsiTheme="majorHAnsi" w:cstheme="majorHAnsi"/>
                <w:sz w:val="22"/>
              </w:rPr>
              <w:t>Általános iskola</w:t>
            </w:r>
          </w:p>
        </w:tc>
        <w:tc>
          <w:tcPr>
            <w:tcW w:w="2266" w:type="dxa"/>
            <w:vAlign w:val="center"/>
          </w:tcPr>
          <w:p w14:paraId="0DFCB124" w14:textId="77777777" w:rsidR="00FE077E" w:rsidRDefault="00FE077E" w:rsidP="00FE077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E66B0C">
              <w:rPr>
                <w:rFonts w:asciiTheme="majorHAnsi" w:hAnsiTheme="majorHAnsi" w:cstheme="majorHAnsi"/>
                <w:sz w:val="22"/>
              </w:rPr>
              <w:t>Középiskola</w:t>
            </w:r>
          </w:p>
        </w:tc>
      </w:tr>
      <w:tr w:rsidR="00FE077E" w14:paraId="31721907" w14:textId="77777777" w:rsidTr="006C0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vAlign w:val="center"/>
          </w:tcPr>
          <w:p w14:paraId="37957E90" w14:textId="77777777" w:rsidR="00FE077E" w:rsidRDefault="00FE077E" w:rsidP="00FE077E">
            <w:pPr>
              <w:rPr>
                <w:rFonts w:asciiTheme="majorHAnsi" w:hAnsiTheme="majorHAnsi" w:cstheme="majorHAnsi"/>
              </w:rPr>
            </w:pPr>
          </w:p>
        </w:tc>
        <w:tc>
          <w:tcPr>
            <w:tcW w:w="2266" w:type="dxa"/>
            <w:vAlign w:val="center"/>
          </w:tcPr>
          <w:p w14:paraId="7D252E87" w14:textId="77777777" w:rsidR="00FE077E"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66B0C">
              <w:rPr>
                <w:rFonts w:asciiTheme="majorHAnsi" w:hAnsiTheme="majorHAnsi" w:cstheme="majorHAnsi"/>
                <w:sz w:val="18"/>
              </w:rPr>
              <w:t>Gyermekek száma</w:t>
            </w:r>
          </w:p>
        </w:tc>
        <w:tc>
          <w:tcPr>
            <w:tcW w:w="2266" w:type="dxa"/>
            <w:vAlign w:val="center"/>
          </w:tcPr>
          <w:p w14:paraId="1676F78B" w14:textId="77777777" w:rsidR="00FE077E"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66B0C">
              <w:rPr>
                <w:rFonts w:asciiTheme="majorHAnsi" w:hAnsiTheme="majorHAnsi" w:cstheme="majorHAnsi"/>
                <w:sz w:val="18"/>
              </w:rPr>
              <w:t>Gyermekek száma</w:t>
            </w:r>
          </w:p>
        </w:tc>
        <w:tc>
          <w:tcPr>
            <w:tcW w:w="2266" w:type="dxa"/>
            <w:vAlign w:val="center"/>
          </w:tcPr>
          <w:p w14:paraId="6D0344C5" w14:textId="77777777" w:rsidR="00FE077E"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66B0C">
              <w:rPr>
                <w:rFonts w:asciiTheme="majorHAnsi" w:hAnsiTheme="majorHAnsi" w:cstheme="majorHAnsi"/>
                <w:sz w:val="18"/>
              </w:rPr>
              <w:t>Gyermekek száma</w:t>
            </w:r>
          </w:p>
        </w:tc>
      </w:tr>
      <w:tr w:rsidR="00FE077E" w14:paraId="47D8D128" w14:textId="77777777" w:rsidTr="00FE077E">
        <w:tc>
          <w:tcPr>
            <w:cnfStyle w:val="001000000000" w:firstRow="0" w:lastRow="0" w:firstColumn="1" w:lastColumn="0" w:oddVBand="0" w:evenVBand="0" w:oddHBand="0" w:evenHBand="0" w:firstRowFirstColumn="0" w:firstRowLastColumn="0" w:lastRowFirstColumn="0" w:lastRowLastColumn="0"/>
            <w:tcW w:w="2264" w:type="dxa"/>
          </w:tcPr>
          <w:p w14:paraId="0136E4E8" w14:textId="77777777" w:rsidR="00FE077E" w:rsidRDefault="00FE077E" w:rsidP="006C0E60">
            <w:pPr>
              <w:jc w:val="left"/>
              <w:rPr>
                <w:rFonts w:asciiTheme="majorHAnsi" w:hAnsiTheme="majorHAnsi" w:cstheme="majorHAnsi"/>
              </w:rPr>
            </w:pPr>
            <w:r w:rsidRPr="00A04165">
              <w:rPr>
                <w:rFonts w:asciiTheme="majorHAnsi" w:hAnsiTheme="majorHAnsi" w:cstheme="majorHAnsi"/>
                <w:sz w:val="20"/>
              </w:rPr>
              <w:t>Erdély</w:t>
            </w:r>
          </w:p>
        </w:tc>
        <w:tc>
          <w:tcPr>
            <w:tcW w:w="2266" w:type="dxa"/>
          </w:tcPr>
          <w:p w14:paraId="31F85713" w14:textId="77777777" w:rsidR="00FE077E" w:rsidRDefault="00FE077E" w:rsidP="00FE077E">
            <w:pPr>
              <w:ind w:firstLine="708"/>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32 000</w:t>
            </w:r>
          </w:p>
        </w:tc>
        <w:tc>
          <w:tcPr>
            <w:tcW w:w="2266" w:type="dxa"/>
          </w:tcPr>
          <w:p w14:paraId="1F312FA0" w14:textId="77777777" w:rsidR="00FE077E" w:rsidRDefault="00FE077E" w:rsidP="00FE077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90 000</w:t>
            </w:r>
          </w:p>
        </w:tc>
        <w:tc>
          <w:tcPr>
            <w:tcW w:w="2266" w:type="dxa"/>
          </w:tcPr>
          <w:p w14:paraId="3CFCC330" w14:textId="77777777" w:rsidR="00FE077E" w:rsidRDefault="00FE077E" w:rsidP="00FE077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30 000</w:t>
            </w:r>
          </w:p>
        </w:tc>
      </w:tr>
      <w:tr w:rsidR="00FE077E" w14:paraId="5E9D484C" w14:textId="77777777" w:rsidTr="00FE0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14:paraId="63DCBD0D" w14:textId="77777777" w:rsidR="00FE077E" w:rsidRDefault="00FE077E" w:rsidP="006C0E60">
            <w:pPr>
              <w:jc w:val="left"/>
              <w:rPr>
                <w:rFonts w:asciiTheme="majorHAnsi" w:hAnsiTheme="majorHAnsi" w:cstheme="majorHAnsi"/>
              </w:rPr>
            </w:pPr>
            <w:r w:rsidRPr="00A04165">
              <w:rPr>
                <w:rFonts w:asciiTheme="majorHAnsi" w:hAnsiTheme="majorHAnsi" w:cstheme="majorHAnsi"/>
                <w:sz w:val="20"/>
              </w:rPr>
              <w:t>Felvidék</w:t>
            </w:r>
          </w:p>
        </w:tc>
        <w:tc>
          <w:tcPr>
            <w:tcW w:w="2266" w:type="dxa"/>
          </w:tcPr>
          <w:p w14:paraId="264D8D8A" w14:textId="77777777" w:rsidR="00FE077E"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8 000</w:t>
            </w:r>
          </w:p>
        </w:tc>
        <w:tc>
          <w:tcPr>
            <w:tcW w:w="2266" w:type="dxa"/>
          </w:tcPr>
          <w:p w14:paraId="083BBD9B" w14:textId="77777777" w:rsidR="00FE077E"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30 000</w:t>
            </w:r>
          </w:p>
        </w:tc>
        <w:tc>
          <w:tcPr>
            <w:tcW w:w="2266" w:type="dxa"/>
          </w:tcPr>
          <w:p w14:paraId="76E587F2" w14:textId="77777777" w:rsidR="00FE077E"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90 000</w:t>
            </w:r>
          </w:p>
        </w:tc>
      </w:tr>
      <w:tr w:rsidR="00FE077E" w14:paraId="2322734B" w14:textId="77777777" w:rsidTr="00FE077E">
        <w:tc>
          <w:tcPr>
            <w:cnfStyle w:val="001000000000" w:firstRow="0" w:lastRow="0" w:firstColumn="1" w:lastColumn="0" w:oddVBand="0" w:evenVBand="0" w:oddHBand="0" w:evenHBand="0" w:firstRowFirstColumn="0" w:firstRowLastColumn="0" w:lastRowFirstColumn="0" w:lastRowLastColumn="0"/>
            <w:tcW w:w="2264" w:type="dxa"/>
          </w:tcPr>
          <w:p w14:paraId="52EB6F57" w14:textId="77777777" w:rsidR="00FE077E" w:rsidRDefault="00FE077E" w:rsidP="006C0E60">
            <w:pPr>
              <w:jc w:val="left"/>
              <w:rPr>
                <w:rFonts w:asciiTheme="majorHAnsi" w:hAnsiTheme="majorHAnsi" w:cstheme="majorHAnsi"/>
              </w:rPr>
            </w:pPr>
            <w:r w:rsidRPr="00A04165">
              <w:rPr>
                <w:rFonts w:asciiTheme="majorHAnsi" w:hAnsiTheme="majorHAnsi" w:cstheme="majorHAnsi"/>
                <w:sz w:val="20"/>
              </w:rPr>
              <w:t>Délvidék</w:t>
            </w:r>
          </w:p>
        </w:tc>
        <w:tc>
          <w:tcPr>
            <w:tcW w:w="2266" w:type="dxa"/>
          </w:tcPr>
          <w:p w14:paraId="2D1B2D61" w14:textId="77777777" w:rsidR="00FE077E" w:rsidRDefault="00FE077E" w:rsidP="00FE077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5 000</w:t>
            </w:r>
          </w:p>
        </w:tc>
        <w:tc>
          <w:tcPr>
            <w:tcW w:w="2266" w:type="dxa"/>
          </w:tcPr>
          <w:p w14:paraId="06A8B4BD" w14:textId="77777777" w:rsidR="00FE077E" w:rsidRDefault="00FE077E" w:rsidP="00FE077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16 000</w:t>
            </w:r>
          </w:p>
        </w:tc>
        <w:tc>
          <w:tcPr>
            <w:tcW w:w="2266" w:type="dxa"/>
          </w:tcPr>
          <w:p w14:paraId="112A699D" w14:textId="77777777" w:rsidR="00FE077E" w:rsidRDefault="00FE077E" w:rsidP="00FE077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5 000</w:t>
            </w:r>
          </w:p>
        </w:tc>
      </w:tr>
      <w:tr w:rsidR="00FE077E" w14:paraId="6817FE79" w14:textId="77777777" w:rsidTr="00FE0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14:paraId="7BADD41E" w14:textId="77777777" w:rsidR="00FE077E" w:rsidRDefault="00FE077E" w:rsidP="006C0E60">
            <w:pPr>
              <w:jc w:val="left"/>
              <w:rPr>
                <w:rFonts w:asciiTheme="majorHAnsi" w:hAnsiTheme="majorHAnsi" w:cstheme="majorHAnsi"/>
              </w:rPr>
            </w:pPr>
            <w:r w:rsidRPr="00A04165">
              <w:rPr>
                <w:rFonts w:asciiTheme="majorHAnsi" w:hAnsiTheme="majorHAnsi" w:cstheme="majorHAnsi"/>
                <w:sz w:val="20"/>
              </w:rPr>
              <w:t>Kárpátalja</w:t>
            </w:r>
          </w:p>
        </w:tc>
        <w:tc>
          <w:tcPr>
            <w:tcW w:w="2266" w:type="dxa"/>
          </w:tcPr>
          <w:p w14:paraId="56AF74DD" w14:textId="77777777" w:rsidR="00FE077E"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4 700</w:t>
            </w:r>
          </w:p>
        </w:tc>
        <w:tc>
          <w:tcPr>
            <w:tcW w:w="2266" w:type="dxa"/>
          </w:tcPr>
          <w:p w14:paraId="242326C4" w14:textId="77777777" w:rsidR="00FE077E"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16 000</w:t>
            </w:r>
          </w:p>
        </w:tc>
        <w:tc>
          <w:tcPr>
            <w:tcW w:w="2266" w:type="dxa"/>
          </w:tcPr>
          <w:p w14:paraId="7392F6EE" w14:textId="77777777" w:rsidR="00FE077E"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1 700</w:t>
            </w:r>
          </w:p>
        </w:tc>
      </w:tr>
      <w:tr w:rsidR="00FE077E" w14:paraId="5C5F0957" w14:textId="77777777" w:rsidTr="00FE077E">
        <w:tc>
          <w:tcPr>
            <w:cnfStyle w:val="001000000000" w:firstRow="0" w:lastRow="0" w:firstColumn="1" w:lastColumn="0" w:oddVBand="0" w:evenVBand="0" w:oddHBand="0" w:evenHBand="0" w:firstRowFirstColumn="0" w:firstRowLastColumn="0" w:lastRowFirstColumn="0" w:lastRowLastColumn="0"/>
            <w:tcW w:w="2264" w:type="dxa"/>
          </w:tcPr>
          <w:p w14:paraId="7B8A4517" w14:textId="77777777" w:rsidR="00FE077E" w:rsidRPr="00A04165" w:rsidRDefault="00FE077E" w:rsidP="006C0E60">
            <w:pPr>
              <w:jc w:val="left"/>
              <w:rPr>
                <w:rFonts w:asciiTheme="majorHAnsi" w:hAnsiTheme="majorHAnsi" w:cstheme="majorHAnsi"/>
                <w:sz w:val="20"/>
              </w:rPr>
            </w:pPr>
            <w:r w:rsidRPr="00A04165">
              <w:rPr>
                <w:rFonts w:asciiTheme="majorHAnsi" w:hAnsiTheme="majorHAnsi" w:cstheme="majorHAnsi"/>
                <w:sz w:val="20"/>
              </w:rPr>
              <w:t>Horvátország</w:t>
            </w:r>
          </w:p>
        </w:tc>
        <w:tc>
          <w:tcPr>
            <w:tcW w:w="2266" w:type="dxa"/>
          </w:tcPr>
          <w:p w14:paraId="02897B18" w14:textId="77777777" w:rsidR="00FE077E" w:rsidRDefault="00FE077E" w:rsidP="00FE077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120</w:t>
            </w:r>
          </w:p>
        </w:tc>
        <w:tc>
          <w:tcPr>
            <w:tcW w:w="2266" w:type="dxa"/>
          </w:tcPr>
          <w:p w14:paraId="6F440562" w14:textId="77777777" w:rsidR="00FE077E" w:rsidRDefault="00FE077E" w:rsidP="00FE077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820</w:t>
            </w:r>
          </w:p>
        </w:tc>
        <w:tc>
          <w:tcPr>
            <w:tcW w:w="2266" w:type="dxa"/>
          </w:tcPr>
          <w:p w14:paraId="1F8F6D41" w14:textId="77777777" w:rsidR="00FE077E" w:rsidRDefault="00FE077E" w:rsidP="00FE077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A04165">
              <w:rPr>
                <w:rFonts w:asciiTheme="majorHAnsi" w:hAnsiTheme="majorHAnsi" w:cstheme="majorHAnsi"/>
                <w:sz w:val="20"/>
              </w:rPr>
              <w:t>44</w:t>
            </w:r>
          </w:p>
        </w:tc>
      </w:tr>
      <w:tr w:rsidR="00FE077E" w14:paraId="0B64933D" w14:textId="77777777" w:rsidTr="00FE07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4" w:type="dxa"/>
          </w:tcPr>
          <w:p w14:paraId="44F62752" w14:textId="77777777" w:rsidR="00FE077E" w:rsidRPr="00A04165" w:rsidRDefault="00FE077E" w:rsidP="006C0E60">
            <w:pPr>
              <w:jc w:val="left"/>
              <w:rPr>
                <w:rFonts w:asciiTheme="majorHAnsi" w:hAnsiTheme="majorHAnsi" w:cstheme="majorHAnsi"/>
                <w:sz w:val="20"/>
              </w:rPr>
            </w:pPr>
            <w:r>
              <w:rPr>
                <w:rFonts w:asciiTheme="majorHAnsi" w:hAnsiTheme="majorHAnsi" w:cstheme="majorHAnsi"/>
                <w:sz w:val="20"/>
              </w:rPr>
              <w:t>Magyarország</w:t>
            </w:r>
            <w:r>
              <w:rPr>
                <w:rStyle w:val="Lbjegyzet-hivatkozs"/>
                <w:rFonts w:asciiTheme="majorHAnsi" w:hAnsiTheme="majorHAnsi" w:cstheme="majorHAnsi"/>
                <w:sz w:val="20"/>
              </w:rPr>
              <w:footnoteReference w:id="30"/>
            </w:r>
          </w:p>
        </w:tc>
        <w:tc>
          <w:tcPr>
            <w:tcW w:w="2266" w:type="dxa"/>
          </w:tcPr>
          <w:p w14:paraId="324F5107" w14:textId="77777777" w:rsidR="00FE077E" w:rsidRPr="00A04165"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330 539</w:t>
            </w:r>
          </w:p>
        </w:tc>
        <w:tc>
          <w:tcPr>
            <w:tcW w:w="2266" w:type="dxa"/>
          </w:tcPr>
          <w:p w14:paraId="27E44406" w14:textId="77777777" w:rsidR="00FE077E" w:rsidRPr="00A04165"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720 329</w:t>
            </w:r>
          </w:p>
        </w:tc>
        <w:tc>
          <w:tcPr>
            <w:tcW w:w="2266" w:type="dxa"/>
          </w:tcPr>
          <w:p w14:paraId="7B1262C8" w14:textId="77777777" w:rsidR="00FE077E" w:rsidRPr="00A04165" w:rsidRDefault="00FE077E" w:rsidP="00FE077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Pr>
                <w:rFonts w:asciiTheme="majorHAnsi" w:hAnsiTheme="majorHAnsi" w:cstheme="majorHAnsi"/>
                <w:sz w:val="20"/>
              </w:rPr>
              <w:t>410 835</w:t>
            </w:r>
          </w:p>
        </w:tc>
      </w:tr>
    </w:tbl>
    <w:p w14:paraId="2C7132F3" w14:textId="77777777" w:rsidR="00FE077E" w:rsidRDefault="004203BA" w:rsidP="00DA54E4">
      <w:pPr>
        <w:pStyle w:val="Forrs"/>
        <w:jc w:val="center"/>
      </w:pPr>
      <w:r>
        <w:t>Forrás: EMMI</w:t>
      </w:r>
    </w:p>
    <w:p w14:paraId="0DBC5911" w14:textId="77777777" w:rsidR="00142ED9" w:rsidRDefault="00142ED9" w:rsidP="00B86FE8">
      <w:pPr>
        <w:rPr>
          <w:rFonts w:asciiTheme="majorHAnsi" w:hAnsiTheme="majorHAnsi" w:cstheme="majorHAnsi"/>
        </w:rPr>
      </w:pPr>
      <w:r>
        <w:rPr>
          <w:rFonts w:asciiTheme="majorHAnsi" w:hAnsiTheme="majorHAnsi" w:cstheme="majorHAnsi"/>
        </w:rPr>
        <w:t xml:space="preserve">A határokon kívül működő magyar oktatási intézményrendszer sajátos részét képezi a diaszpórában mintegy 200 helyszínen működő ún. </w:t>
      </w:r>
      <w:proofErr w:type="gramStart"/>
      <w:r>
        <w:rPr>
          <w:rFonts w:asciiTheme="majorHAnsi" w:hAnsiTheme="majorHAnsi" w:cstheme="majorHAnsi"/>
        </w:rPr>
        <w:t>vasárnapi</w:t>
      </w:r>
      <w:proofErr w:type="gramEnd"/>
      <w:r>
        <w:rPr>
          <w:rFonts w:asciiTheme="majorHAnsi" w:hAnsiTheme="majorHAnsi" w:cstheme="majorHAnsi"/>
        </w:rPr>
        <w:t xml:space="preserve"> iskolák hálózata, </w:t>
      </w:r>
      <w:r w:rsidR="00325B60">
        <w:rPr>
          <w:rFonts w:asciiTheme="majorHAnsi" w:hAnsiTheme="majorHAnsi" w:cstheme="majorHAnsi"/>
        </w:rPr>
        <w:t>a</w:t>
      </w:r>
      <w:r>
        <w:rPr>
          <w:rFonts w:asciiTheme="majorHAnsi" w:hAnsiTheme="majorHAnsi" w:cstheme="majorHAnsi"/>
        </w:rPr>
        <w:t>melyek elsősorban a hagyományőrzés</w:t>
      </w:r>
      <w:r w:rsidR="00325B60">
        <w:rPr>
          <w:rFonts w:asciiTheme="majorHAnsi" w:hAnsiTheme="majorHAnsi" w:cstheme="majorHAnsi"/>
        </w:rPr>
        <w:t>ben</w:t>
      </w:r>
      <w:r>
        <w:rPr>
          <w:rFonts w:asciiTheme="majorHAnsi" w:hAnsiTheme="majorHAnsi" w:cstheme="majorHAnsi"/>
        </w:rPr>
        <w:t xml:space="preserve"> és a magyar nyelv tanítás</w:t>
      </w:r>
      <w:r w:rsidR="00325B60">
        <w:rPr>
          <w:rFonts w:asciiTheme="majorHAnsi" w:hAnsiTheme="majorHAnsi" w:cstheme="majorHAnsi"/>
        </w:rPr>
        <w:t>ában</w:t>
      </w:r>
      <w:r>
        <w:rPr>
          <w:rFonts w:asciiTheme="majorHAnsi" w:hAnsiTheme="majorHAnsi" w:cstheme="majorHAnsi"/>
        </w:rPr>
        <w:t xml:space="preserve"> végeznek rendkívül elkötelezett munkát. </w:t>
      </w:r>
    </w:p>
    <w:p w14:paraId="0DB18AEA" w14:textId="77777777" w:rsidR="002B12EB" w:rsidRDefault="002B12EB" w:rsidP="00B86FE8">
      <w:pPr>
        <w:rPr>
          <w:rFonts w:asciiTheme="majorHAnsi" w:hAnsiTheme="majorHAnsi" w:cstheme="majorHAnsi"/>
        </w:rPr>
      </w:pPr>
      <w:r>
        <w:rPr>
          <w:rFonts w:asciiTheme="majorHAnsi" w:hAnsiTheme="majorHAnsi" w:cstheme="majorHAnsi"/>
        </w:rPr>
        <w:t xml:space="preserve">A külhoni magyar nyelvű oktatási intézményrendszer támogatottsága az egyes szomszédos országokban más és más, és időben is változik az egyes kormányok irányultságának, illetve a Magyarország kormányával fennálló viszonyok függvényében, </w:t>
      </w:r>
      <w:r w:rsidR="00325B60">
        <w:rPr>
          <w:rFonts w:asciiTheme="majorHAnsi" w:hAnsiTheme="majorHAnsi" w:cstheme="majorHAnsi"/>
        </w:rPr>
        <w:t>a</w:t>
      </w:r>
      <w:r>
        <w:rPr>
          <w:rFonts w:asciiTheme="majorHAnsi" w:hAnsiTheme="majorHAnsi" w:cstheme="majorHAnsi"/>
        </w:rPr>
        <w:t>melynek keretében a magyar kormány minden lehetséges támogatást megad a külhoni magyar intézményrendszer fejlesztés</w:t>
      </w:r>
      <w:r w:rsidR="00325B60">
        <w:rPr>
          <w:rFonts w:asciiTheme="majorHAnsi" w:hAnsiTheme="majorHAnsi" w:cstheme="majorHAnsi"/>
        </w:rPr>
        <w:t>éhez</w:t>
      </w:r>
      <w:r>
        <w:rPr>
          <w:rFonts w:asciiTheme="majorHAnsi" w:hAnsiTheme="majorHAnsi" w:cstheme="majorHAnsi"/>
        </w:rPr>
        <w:t xml:space="preserve">. </w:t>
      </w:r>
      <w:r w:rsidR="00754938">
        <w:rPr>
          <w:rFonts w:asciiTheme="majorHAnsi" w:hAnsiTheme="majorHAnsi" w:cstheme="majorHAnsi"/>
        </w:rPr>
        <w:t xml:space="preserve">Ezen támogatás egy speciális területét képezi a külhoni magyar óvodafejlesztési program, </w:t>
      </w:r>
      <w:r w:rsidR="00325B60">
        <w:rPr>
          <w:rFonts w:asciiTheme="majorHAnsi" w:hAnsiTheme="majorHAnsi" w:cstheme="majorHAnsi"/>
        </w:rPr>
        <w:t>a</w:t>
      </w:r>
      <w:r w:rsidR="00754938">
        <w:rPr>
          <w:rFonts w:asciiTheme="majorHAnsi" w:hAnsiTheme="majorHAnsi" w:cstheme="majorHAnsi"/>
        </w:rPr>
        <w:t xml:space="preserve">melynek révén a magyar gyermekek felkészültebben kezdhetik meg iskolai tanulmányaikat, és a megfelelő felkészítés esetén növekedhet a magyar nyelvű intézményeket választók aránya, ami kulcsfontosságú a magyar oktatási intézményrendszer megőrzése szempontjából. Az óvodafejlesztésre fordított jelentős anyaországi támogatásoknak köszönhetően emelkedhet a magyar óvodákba járók száma és aránya is. </w:t>
      </w:r>
    </w:p>
    <w:p w14:paraId="6F2AED26" w14:textId="77777777" w:rsidR="00A11279" w:rsidRDefault="00A76537" w:rsidP="00B86FE8">
      <w:pPr>
        <w:rPr>
          <w:rFonts w:asciiTheme="majorHAnsi" w:hAnsiTheme="majorHAnsi" w:cstheme="majorHAnsi"/>
        </w:rPr>
      </w:pPr>
      <w:r>
        <w:rPr>
          <w:rFonts w:asciiTheme="majorHAnsi" w:hAnsiTheme="majorHAnsi" w:cstheme="majorHAnsi"/>
        </w:rPr>
        <w:t>A</w:t>
      </w:r>
      <w:r w:rsidR="002B12EB">
        <w:rPr>
          <w:rFonts w:asciiTheme="majorHAnsi" w:hAnsiTheme="majorHAnsi" w:cstheme="majorHAnsi"/>
        </w:rPr>
        <w:t xml:space="preserve"> hazai és külhoni magyar intézmények, pedagógusok</w:t>
      </w:r>
      <w:r>
        <w:rPr>
          <w:rFonts w:asciiTheme="majorHAnsi" w:hAnsiTheme="majorHAnsi" w:cstheme="majorHAnsi"/>
        </w:rPr>
        <w:t xml:space="preserve"> újra egymásra találás</w:t>
      </w:r>
      <w:r w:rsidR="002B12EB">
        <w:rPr>
          <w:rFonts w:asciiTheme="majorHAnsi" w:hAnsiTheme="majorHAnsi" w:cstheme="majorHAnsi"/>
        </w:rPr>
        <w:t>ának, együttműködésének</w:t>
      </w:r>
      <w:r>
        <w:rPr>
          <w:rFonts w:asciiTheme="majorHAnsi" w:hAnsiTheme="majorHAnsi" w:cstheme="majorHAnsi"/>
        </w:rPr>
        <w:t xml:space="preserve"> folyamatát számos szakmai pályázat, egyes nyári táborok, a Határtalanul! Program lehetősége, a határokon átívelő tanulmányi versenyek és tehetséggondozó </w:t>
      </w:r>
      <w:r w:rsidR="00152195">
        <w:rPr>
          <w:rFonts w:asciiTheme="majorHAnsi" w:hAnsiTheme="majorHAnsi" w:cstheme="majorHAnsi"/>
        </w:rPr>
        <w:t>programok egyre</w:t>
      </w:r>
      <w:r>
        <w:rPr>
          <w:rFonts w:asciiTheme="majorHAnsi" w:hAnsiTheme="majorHAnsi" w:cstheme="majorHAnsi"/>
        </w:rPr>
        <w:t xml:space="preserve"> szélesebb körű elérhetősége</w:t>
      </w:r>
      <w:r w:rsidR="002B12EB">
        <w:rPr>
          <w:rFonts w:asciiTheme="majorHAnsi" w:hAnsiTheme="majorHAnsi" w:cstheme="majorHAnsi"/>
        </w:rPr>
        <w:t xml:space="preserve"> támogatja</w:t>
      </w:r>
      <w:r>
        <w:rPr>
          <w:rFonts w:asciiTheme="majorHAnsi" w:hAnsiTheme="majorHAnsi" w:cstheme="majorHAnsi"/>
        </w:rPr>
        <w:t xml:space="preserve">. </w:t>
      </w:r>
      <w:r w:rsidR="00A73E7C">
        <w:rPr>
          <w:rFonts w:asciiTheme="majorHAnsi" w:hAnsiTheme="majorHAnsi" w:cstheme="majorHAnsi"/>
        </w:rPr>
        <w:t xml:space="preserve">Az elmúlt három évtizedben – az oktatásért és a nemzetpolitikáért felelős mindenkori kormányzati támogatásnak is köszönhetően – kiváló szakmai együttműködés alakult ki a Kárpát-medence magyar pedagógus szervezetei között, </w:t>
      </w:r>
      <w:r w:rsidR="00325B60">
        <w:rPr>
          <w:rFonts w:asciiTheme="majorHAnsi" w:hAnsiTheme="majorHAnsi" w:cstheme="majorHAnsi"/>
        </w:rPr>
        <w:t>a</w:t>
      </w:r>
      <w:r w:rsidR="00A80A7F">
        <w:rPr>
          <w:rFonts w:asciiTheme="majorHAnsi" w:hAnsiTheme="majorHAnsi" w:cstheme="majorHAnsi"/>
        </w:rPr>
        <w:t>melybe</w:t>
      </w:r>
      <w:r w:rsidR="00127557">
        <w:rPr>
          <w:rFonts w:asciiTheme="majorHAnsi" w:hAnsiTheme="majorHAnsi" w:cstheme="majorHAnsi"/>
        </w:rPr>
        <w:t>n</w:t>
      </w:r>
      <w:r w:rsidR="00325B60">
        <w:rPr>
          <w:rFonts w:asciiTheme="majorHAnsi" w:hAnsiTheme="majorHAnsi" w:cstheme="majorHAnsi"/>
        </w:rPr>
        <w:t>−</w:t>
      </w:r>
      <w:r w:rsidR="00A80A7F">
        <w:rPr>
          <w:rFonts w:asciiTheme="majorHAnsi" w:hAnsiTheme="majorHAnsi" w:cstheme="majorHAnsi"/>
        </w:rPr>
        <w:t xml:space="preserve"> létrehozását követően</w:t>
      </w:r>
      <w:r w:rsidR="00325B60">
        <w:rPr>
          <w:rFonts w:asciiTheme="majorHAnsi" w:hAnsiTheme="majorHAnsi" w:cstheme="majorHAnsi"/>
        </w:rPr>
        <w:t xml:space="preserve"> −</w:t>
      </w:r>
      <w:r w:rsidR="00A80A7F">
        <w:rPr>
          <w:rFonts w:asciiTheme="majorHAnsi" w:hAnsiTheme="majorHAnsi" w:cstheme="majorHAnsi"/>
        </w:rPr>
        <w:t xml:space="preserve"> a Nemzeti Pedagógus Kar is aktív szerepet vállalt. A Kárpát-medence magyar nyelvű oktatási intézményeinek szakmai támogatása leginkább ez</w:t>
      </w:r>
      <w:r w:rsidR="00325B60">
        <w:rPr>
          <w:rFonts w:asciiTheme="majorHAnsi" w:hAnsiTheme="majorHAnsi" w:cstheme="majorHAnsi"/>
        </w:rPr>
        <w:t>eken a</w:t>
      </w:r>
      <w:r w:rsidR="00A80A7F">
        <w:rPr>
          <w:rFonts w:asciiTheme="majorHAnsi" w:hAnsiTheme="majorHAnsi" w:cstheme="majorHAnsi"/>
        </w:rPr>
        <w:t xml:space="preserve"> szakmai szervezeteken keresztül </w:t>
      </w:r>
      <w:r w:rsidR="00A80A7F">
        <w:rPr>
          <w:rFonts w:asciiTheme="majorHAnsi" w:hAnsiTheme="majorHAnsi" w:cstheme="majorHAnsi"/>
        </w:rPr>
        <w:lastRenderedPageBreak/>
        <w:t xml:space="preserve">valósulhat meg. Ennek keretében érdemes valamennyi szakmai innováció és jó gyakorlat elterjedését ösztönözni, szakmai programokkal, rendezvényekkel, továbbképzésekkel ösztönözni a már kialakult szakmai együttműködéseket elsősorban a pedagógusok körében. </w:t>
      </w:r>
      <w:r w:rsidR="00325B60">
        <w:rPr>
          <w:rFonts w:asciiTheme="majorHAnsi" w:hAnsiTheme="majorHAnsi" w:cstheme="majorHAnsi"/>
        </w:rPr>
        <w:t>Az</w:t>
      </w:r>
      <w:r w:rsidR="00A80A7F">
        <w:rPr>
          <w:rFonts w:asciiTheme="majorHAnsi" w:hAnsiTheme="majorHAnsi" w:cstheme="majorHAnsi"/>
        </w:rPr>
        <w:t xml:space="preserve"> együttműködés során nem csak a magyarországi jó gyakorlatok átadása a cél, hanem az egymástól tanulás jóval tágabb összefüggéseit érdemes megvalósítani, hiszen a kihívások a szomszédos országok oktatási rendszereiben is hasonlóak, a válaszok azonban egyes esetekben eltérőek lehetnek, így számos kérdésben máshol már kipróbált intézkedések</w:t>
      </w:r>
      <w:r w:rsidR="00127557">
        <w:rPr>
          <w:rFonts w:asciiTheme="majorHAnsi" w:hAnsiTheme="majorHAnsi" w:cstheme="majorHAnsi"/>
        </w:rPr>
        <w:t xml:space="preserve"> valóságos tárháza áll rendelkezésre</w:t>
      </w:r>
      <w:r w:rsidR="00A80A7F">
        <w:rPr>
          <w:rFonts w:asciiTheme="majorHAnsi" w:hAnsiTheme="majorHAnsi" w:cstheme="majorHAnsi"/>
        </w:rPr>
        <w:t xml:space="preserve">. </w:t>
      </w:r>
    </w:p>
    <w:p w14:paraId="5CD8C935" w14:textId="77777777" w:rsidR="00A11279" w:rsidRDefault="00A11279" w:rsidP="00A11279">
      <w:pPr>
        <w:rPr>
          <w:rFonts w:asciiTheme="majorHAnsi" w:hAnsiTheme="majorHAnsi" w:cstheme="majorHAnsi"/>
        </w:rPr>
      </w:pPr>
      <w:r>
        <w:rPr>
          <w:rFonts w:asciiTheme="majorHAnsi" w:hAnsiTheme="majorHAnsi" w:cstheme="majorHAnsi"/>
        </w:rPr>
        <w:t>Ezen együttműködéshez kedvező feltételeket teremtenek a szerte a</w:t>
      </w:r>
      <w:r w:rsidRPr="00A11279">
        <w:rPr>
          <w:rFonts w:asciiTheme="majorHAnsi" w:hAnsiTheme="majorHAnsi" w:cstheme="majorHAnsi"/>
        </w:rPr>
        <w:t xml:space="preserve"> Kárpát-medencében megrendezett szülőföldi évközi továbbképzések, </w:t>
      </w:r>
      <w:r>
        <w:rPr>
          <w:rFonts w:asciiTheme="majorHAnsi" w:hAnsiTheme="majorHAnsi" w:cstheme="majorHAnsi"/>
        </w:rPr>
        <w:t xml:space="preserve">a módszertani központokban folyó szakmai rendezvények, </w:t>
      </w:r>
      <w:r w:rsidRPr="00A11279">
        <w:rPr>
          <w:rFonts w:asciiTheme="majorHAnsi" w:hAnsiTheme="majorHAnsi" w:cstheme="majorHAnsi"/>
        </w:rPr>
        <w:t>illetve az Erdélyben, Felvidéken, Kárpátalján és Vajdaságban évente megrendez</w:t>
      </w:r>
      <w:r w:rsidR="00325B60">
        <w:rPr>
          <w:rFonts w:asciiTheme="majorHAnsi" w:hAnsiTheme="majorHAnsi" w:cstheme="majorHAnsi"/>
        </w:rPr>
        <w:t>ett</w:t>
      </w:r>
      <w:r w:rsidRPr="00A11279">
        <w:rPr>
          <w:rFonts w:asciiTheme="majorHAnsi" w:hAnsiTheme="majorHAnsi" w:cstheme="majorHAnsi"/>
        </w:rPr>
        <w:t xml:space="preserve"> Kárpát-medencei nyári akadémiák</w:t>
      </w:r>
      <w:r>
        <w:rPr>
          <w:rFonts w:asciiTheme="majorHAnsi" w:hAnsiTheme="majorHAnsi" w:cstheme="majorHAnsi"/>
        </w:rPr>
        <w:t xml:space="preserve"> is, </w:t>
      </w:r>
      <w:r w:rsidR="00325B60">
        <w:rPr>
          <w:rFonts w:asciiTheme="majorHAnsi" w:hAnsiTheme="majorHAnsi" w:cstheme="majorHAnsi"/>
        </w:rPr>
        <w:t>a</w:t>
      </w:r>
      <w:r>
        <w:rPr>
          <w:rFonts w:asciiTheme="majorHAnsi" w:hAnsiTheme="majorHAnsi" w:cstheme="majorHAnsi"/>
        </w:rPr>
        <w:t xml:space="preserve">melyek </w:t>
      </w:r>
      <w:r w:rsidRPr="00A11279">
        <w:rPr>
          <w:rFonts w:asciiTheme="majorHAnsi" w:hAnsiTheme="majorHAnsi" w:cstheme="majorHAnsi"/>
        </w:rPr>
        <w:t xml:space="preserve">ezer szállal kötődnek a Magyarországon felhalmozott pedagógiai- és módszertani ismeretekhez, formákhoz azzal együtt, hogy kapcsolódnak valamennyi régió saját oktatási rendszeréhez is. </w:t>
      </w:r>
    </w:p>
    <w:p w14:paraId="03ABE095" w14:textId="77777777" w:rsidR="00A94045" w:rsidRPr="00AD6641" w:rsidRDefault="00325B60" w:rsidP="00B86FE8">
      <w:pPr>
        <w:rPr>
          <w:rFonts w:asciiTheme="majorHAnsi" w:hAnsiTheme="majorHAnsi" w:cstheme="majorHAnsi"/>
        </w:rPr>
      </w:pPr>
      <w:r>
        <w:rPr>
          <w:rFonts w:asciiTheme="majorHAnsi" w:hAnsiTheme="majorHAnsi" w:cstheme="majorHAnsi"/>
        </w:rPr>
        <w:t>Az</w:t>
      </w:r>
      <w:r w:rsidR="00A80A7F">
        <w:rPr>
          <w:rFonts w:asciiTheme="majorHAnsi" w:hAnsiTheme="majorHAnsi" w:cstheme="majorHAnsi"/>
        </w:rPr>
        <w:t xml:space="preserve"> együttműködési folyamatok</w:t>
      </w:r>
      <w:r>
        <w:rPr>
          <w:rFonts w:asciiTheme="majorHAnsi" w:hAnsiTheme="majorHAnsi" w:cstheme="majorHAnsi"/>
        </w:rPr>
        <w:t>ban</w:t>
      </w:r>
      <w:r w:rsidR="00A80A7F">
        <w:rPr>
          <w:rFonts w:asciiTheme="majorHAnsi" w:hAnsiTheme="majorHAnsi" w:cstheme="majorHAnsi"/>
        </w:rPr>
        <w:t xml:space="preserve"> kiemelkedő jelentősége van a magyar nyelvű tankönyvek és más taneszközök, illetve a jövőre nézve a digitális tartalmak lehető legszélesebb körű </w:t>
      </w:r>
      <w:r>
        <w:rPr>
          <w:rFonts w:asciiTheme="majorHAnsi" w:hAnsiTheme="majorHAnsi" w:cstheme="majorHAnsi"/>
        </w:rPr>
        <w:t>elterjesztésének</w:t>
      </w:r>
      <w:r w:rsidR="00B1571B">
        <w:rPr>
          <w:rFonts w:asciiTheme="majorHAnsi" w:hAnsiTheme="majorHAnsi" w:cstheme="majorHAnsi"/>
        </w:rPr>
        <w:t xml:space="preserve"> valamennyi külhoni </w:t>
      </w:r>
      <w:proofErr w:type="gramStart"/>
      <w:r w:rsidR="00B1571B">
        <w:rPr>
          <w:rFonts w:asciiTheme="majorHAnsi" w:hAnsiTheme="majorHAnsi" w:cstheme="majorHAnsi"/>
        </w:rPr>
        <w:t>magyar tanítási</w:t>
      </w:r>
      <w:proofErr w:type="gramEnd"/>
      <w:r w:rsidR="00B1571B">
        <w:rPr>
          <w:rFonts w:asciiTheme="majorHAnsi" w:hAnsiTheme="majorHAnsi" w:cstheme="majorHAnsi"/>
        </w:rPr>
        <w:t xml:space="preserve"> nyelvű intézmény</w:t>
      </w:r>
      <w:r>
        <w:rPr>
          <w:rFonts w:asciiTheme="majorHAnsi" w:hAnsiTheme="majorHAnsi" w:cstheme="majorHAnsi"/>
        </w:rPr>
        <w:t>ben.</w:t>
      </w:r>
    </w:p>
    <w:p w14:paraId="73D35DF0" w14:textId="77777777" w:rsidR="00B86FE8" w:rsidRPr="00DC6C83" w:rsidRDefault="00BE288F" w:rsidP="006F7AF3">
      <w:pPr>
        <w:pStyle w:val="Cmsor3"/>
      </w:pPr>
      <w:hyperlink w:anchor="_Toc24753500" w:history="1">
        <w:bookmarkStart w:id="109" w:name="_Toc35596158"/>
        <w:bookmarkStart w:id="110" w:name="_Toc46822735"/>
        <w:r w:rsidR="00B86FE8" w:rsidRPr="00DC6C83">
          <w:t xml:space="preserve">A Magyarországon élő nemzetiségek </w:t>
        </w:r>
        <w:r w:rsidR="002B33BA">
          <w:t>nevelésének-</w:t>
        </w:r>
        <w:r w:rsidR="00B86FE8" w:rsidRPr="00DC6C83">
          <w:t xml:space="preserve">oktatásának </w:t>
        </w:r>
        <w:r w:rsidR="001854C8">
          <w:t>támogatása</w:t>
        </w:r>
        <w:bookmarkEnd w:id="109"/>
        <w:bookmarkEnd w:id="110"/>
      </w:hyperlink>
    </w:p>
    <w:p w14:paraId="0EC7A7AB" w14:textId="77777777"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w:t>
      </w:r>
      <w:r w:rsidR="002B12EB">
        <w:rPr>
          <w:rFonts w:asciiTheme="majorHAnsi" w:hAnsiTheme="majorHAnsi" w:cstheme="majorHAnsi"/>
        </w:rPr>
        <w:t xml:space="preserve">magyarországi </w:t>
      </w:r>
      <w:r w:rsidRPr="00DC6C83">
        <w:rPr>
          <w:rFonts w:asciiTheme="majorHAnsi" w:hAnsiTheme="majorHAnsi" w:cstheme="majorHAnsi"/>
        </w:rPr>
        <w:t xml:space="preserve">nemzetiségi közneveléssel kapcsolatos feladatokat a </w:t>
      </w:r>
      <w:r w:rsidR="001D2AEF">
        <w:rPr>
          <w:rFonts w:asciiTheme="majorHAnsi" w:hAnsiTheme="majorHAnsi" w:cstheme="majorHAnsi"/>
        </w:rPr>
        <w:t>K</w:t>
      </w:r>
      <w:r w:rsidR="001D2AEF" w:rsidRPr="00DC6C83">
        <w:rPr>
          <w:rFonts w:asciiTheme="majorHAnsi" w:hAnsiTheme="majorHAnsi" w:cstheme="majorHAnsi"/>
        </w:rPr>
        <w:t xml:space="preserve">ormány </w:t>
      </w:r>
      <w:r w:rsidRPr="00DC6C83">
        <w:rPr>
          <w:rFonts w:asciiTheme="majorHAnsi" w:hAnsiTheme="majorHAnsi" w:cstheme="majorHAnsi"/>
        </w:rPr>
        <w:t>kiemelten kezeli, az országos nemzetiségi önkormányzatokkal, az Országos Nemzetiségi Tanáccsal és az Országgyűlés Magyarországi nemzetiségek bizottságával együttműködve látja el. Kiemelt figyelmet fordítunk arra is, hogy a hazai nemzetiségek oktatási jogai maradéktalanul érvényesüljenek</w:t>
      </w:r>
      <w:r w:rsidR="004B490B">
        <w:rPr>
          <w:rFonts w:asciiTheme="majorHAnsi" w:hAnsiTheme="majorHAnsi" w:cstheme="majorHAnsi"/>
        </w:rPr>
        <w:t xml:space="preserve">, meggyőződésünk szerint a közös munka és a </w:t>
      </w:r>
      <w:r w:rsidR="001D2AEF">
        <w:rPr>
          <w:rFonts w:asciiTheme="majorHAnsi" w:hAnsiTheme="majorHAnsi" w:cstheme="majorHAnsi"/>
        </w:rPr>
        <w:t>K</w:t>
      </w:r>
      <w:r w:rsidR="004B490B">
        <w:rPr>
          <w:rFonts w:asciiTheme="majorHAnsi" w:hAnsiTheme="majorHAnsi" w:cstheme="majorHAnsi"/>
        </w:rPr>
        <w:t xml:space="preserve">ormány kiemelt támogatása szolgálhatja leginkább a nemzetiségi oktatás megerősítését, </w:t>
      </w:r>
      <w:r w:rsidR="00325B60">
        <w:rPr>
          <w:rFonts w:asciiTheme="majorHAnsi" w:hAnsiTheme="majorHAnsi" w:cstheme="majorHAnsi"/>
        </w:rPr>
        <w:t>a</w:t>
      </w:r>
      <w:r w:rsidR="004B490B">
        <w:rPr>
          <w:rFonts w:asciiTheme="majorHAnsi" w:hAnsiTheme="majorHAnsi" w:cstheme="majorHAnsi"/>
        </w:rPr>
        <w:t xml:space="preserve">melyből Magyarország egész oktatási rendszere és nemzeti közössége is profitál. </w:t>
      </w:r>
    </w:p>
    <w:p w14:paraId="1C77F8C1" w14:textId="77777777" w:rsidR="00B86FE8" w:rsidRDefault="00B86FE8" w:rsidP="00E60C83">
      <w:pPr>
        <w:rPr>
          <w:rFonts w:asciiTheme="majorHAnsi" w:hAnsiTheme="majorHAnsi" w:cstheme="majorHAnsi"/>
        </w:rPr>
      </w:pPr>
      <w:r w:rsidRPr="00DC6C83">
        <w:rPr>
          <w:rFonts w:asciiTheme="majorHAnsi" w:hAnsiTheme="majorHAnsi" w:cstheme="majorHAnsi"/>
        </w:rPr>
        <w:t xml:space="preserve">A nemzetiségi nevelésnek, oktatásnak e népcsoportok képviseleti szerveivel együttműködésben történő alakítása is a nemzetiségi autonómia egyfajta megnyilvánulása. A hatályos szabályozás szerint a helyi nemzetiségi önkormányzatoknak a nemzetiségi neveléssel, oktatással összefüggő meghatározó kérdésben egyetértési joguk van. Az országos nemzetiségi önkormányzatok a nevelés, oktatás tartalmával kapcsolatban egyetértési joggal rendelkeznek. Az oktatásért felelős miniszter tanácsadó testületeként működő </w:t>
      </w:r>
      <w:r w:rsidRPr="000310B4">
        <w:rPr>
          <w:rFonts w:asciiTheme="majorHAnsi" w:hAnsiTheme="majorHAnsi" w:cstheme="majorHAnsi"/>
        </w:rPr>
        <w:t xml:space="preserve">Országos Nemzetiségi Tanács </w:t>
      </w:r>
      <w:r w:rsidRPr="00DC6C83">
        <w:rPr>
          <w:rFonts w:asciiTheme="majorHAnsi" w:hAnsiTheme="majorHAnsi" w:cstheme="majorHAnsi"/>
        </w:rPr>
        <w:t>véleményt formál</w:t>
      </w:r>
      <w:r w:rsidR="002C12CB">
        <w:rPr>
          <w:rFonts w:asciiTheme="majorHAnsi" w:hAnsiTheme="majorHAnsi" w:cstheme="majorHAnsi"/>
        </w:rPr>
        <w:t xml:space="preserve"> </w:t>
      </w:r>
      <w:r w:rsidRPr="00DC6C83">
        <w:rPr>
          <w:rFonts w:asciiTheme="majorHAnsi" w:hAnsiTheme="majorHAnsi" w:cstheme="majorHAnsi"/>
        </w:rPr>
        <w:t xml:space="preserve">minden olyan kérdésről, előterjesztésről, intézkedésről, amely érinti a nemzetiségi nevelést, oktatást. </w:t>
      </w:r>
      <w:r w:rsidRPr="000310B4">
        <w:rPr>
          <w:rFonts w:asciiTheme="majorHAnsi" w:hAnsiTheme="majorHAnsi" w:cstheme="majorHAnsi"/>
        </w:rPr>
        <w:t>A kormányzat</w:t>
      </w:r>
      <w:r w:rsidRPr="00DC6C83">
        <w:rPr>
          <w:rFonts w:asciiTheme="majorHAnsi" w:hAnsiTheme="majorHAnsi" w:cstheme="majorHAnsi"/>
        </w:rPr>
        <w:t xml:space="preserve"> a szervezeti változások során is </w:t>
      </w:r>
      <w:r w:rsidRPr="000310B4">
        <w:rPr>
          <w:rFonts w:asciiTheme="majorHAnsi" w:hAnsiTheme="majorHAnsi" w:cstheme="majorHAnsi"/>
        </w:rPr>
        <w:t xml:space="preserve">fontosnak tartotta, hogy a nemzetiségek a nevelés-oktatást érintő testületekben </w:t>
      </w:r>
      <w:r w:rsidR="00325B60">
        <w:rPr>
          <w:rFonts w:asciiTheme="majorHAnsi" w:hAnsiTheme="majorHAnsi" w:cstheme="majorHAnsi"/>
        </w:rPr>
        <w:t>képviselve legyenek</w:t>
      </w:r>
      <w:r w:rsidR="00A40ED7">
        <w:rPr>
          <w:rFonts w:asciiTheme="majorHAnsi" w:hAnsiTheme="majorHAnsi" w:cstheme="majorHAnsi"/>
        </w:rPr>
        <w:t>, e</w:t>
      </w:r>
      <w:r w:rsidRPr="00DC6C83">
        <w:rPr>
          <w:rFonts w:asciiTheme="majorHAnsi" w:hAnsiTheme="majorHAnsi" w:cstheme="majorHAnsi"/>
        </w:rPr>
        <w:t xml:space="preserve">nnek jegyében az újonnan szerveződő </w:t>
      </w:r>
      <w:r w:rsidRPr="000310B4">
        <w:rPr>
          <w:rFonts w:asciiTheme="majorHAnsi" w:hAnsiTheme="majorHAnsi" w:cstheme="majorHAnsi"/>
        </w:rPr>
        <w:t>Tankerületi Tanácsok</w:t>
      </w:r>
      <w:r w:rsidRPr="00DC6C83">
        <w:rPr>
          <w:rFonts w:asciiTheme="majorHAnsi" w:hAnsiTheme="majorHAnsi" w:cstheme="majorHAnsi"/>
        </w:rPr>
        <w:t xml:space="preserve"> munkájában is helyet kaptak a nemzetiségek képviselői</w:t>
      </w:r>
      <w:r w:rsidR="00A40ED7">
        <w:rPr>
          <w:rFonts w:asciiTheme="majorHAnsi" w:hAnsiTheme="majorHAnsi" w:cstheme="majorHAnsi"/>
        </w:rPr>
        <w:t xml:space="preserve">, illetve létrejött az Oktatási </w:t>
      </w:r>
      <w:r w:rsidR="00A40ED7">
        <w:rPr>
          <w:rFonts w:asciiTheme="majorHAnsi" w:hAnsiTheme="majorHAnsi" w:cstheme="majorHAnsi"/>
        </w:rPr>
        <w:lastRenderedPageBreak/>
        <w:t xml:space="preserve">Hivatalban a Nemzetiségi Pedagógiai Oktatási Központ, </w:t>
      </w:r>
      <w:r w:rsidR="00325B60">
        <w:rPr>
          <w:rFonts w:asciiTheme="majorHAnsi" w:hAnsiTheme="majorHAnsi" w:cstheme="majorHAnsi"/>
        </w:rPr>
        <w:t>a</w:t>
      </w:r>
      <w:r w:rsidR="00A40ED7">
        <w:rPr>
          <w:rFonts w:asciiTheme="majorHAnsi" w:hAnsiTheme="majorHAnsi" w:cstheme="majorHAnsi"/>
        </w:rPr>
        <w:t>mely jelentős szakmai támogatást nyújt a nemzetiségi köznevelési intézmények</w:t>
      </w:r>
      <w:r w:rsidR="00325B60">
        <w:rPr>
          <w:rFonts w:asciiTheme="majorHAnsi" w:hAnsiTheme="majorHAnsi" w:cstheme="majorHAnsi"/>
        </w:rPr>
        <w:t>nek</w:t>
      </w:r>
      <w:r w:rsidR="00A40ED7">
        <w:rPr>
          <w:rFonts w:asciiTheme="majorHAnsi" w:hAnsiTheme="majorHAnsi" w:cstheme="majorHAnsi"/>
        </w:rPr>
        <w:t xml:space="preserve"> és pedagógusaik</w:t>
      </w:r>
      <w:r w:rsidR="00325B60">
        <w:rPr>
          <w:rFonts w:asciiTheme="majorHAnsi" w:hAnsiTheme="majorHAnsi" w:cstheme="majorHAnsi"/>
        </w:rPr>
        <w:t>nak</w:t>
      </w:r>
      <w:r w:rsidRPr="00DC6C83">
        <w:rPr>
          <w:rFonts w:asciiTheme="majorHAnsi" w:hAnsiTheme="majorHAnsi" w:cstheme="majorHAnsi"/>
        </w:rPr>
        <w:t xml:space="preserve">. </w:t>
      </w:r>
    </w:p>
    <w:p w14:paraId="418ECF57" w14:textId="7EB42046" w:rsidR="00B86FE8" w:rsidRPr="00DC6C83" w:rsidRDefault="00B86FE8" w:rsidP="00D10D45">
      <w:pPr>
        <w:pStyle w:val="Tblacm"/>
        <w:ind w:left="426"/>
        <w:jc w:val="center"/>
        <w:rPr>
          <w:rFonts w:asciiTheme="majorHAnsi" w:hAnsiTheme="majorHAnsi" w:cstheme="majorHAnsi"/>
        </w:rPr>
      </w:pPr>
      <w:r w:rsidRPr="00DC6C83">
        <w:rPr>
          <w:rFonts w:asciiTheme="majorHAnsi" w:hAnsiTheme="majorHAnsi" w:cstheme="majorHAnsi"/>
        </w:rPr>
        <w:t>táblázat: A nemzetiségi</w:t>
      </w:r>
      <w:r w:rsidR="009C1DFE">
        <w:rPr>
          <w:rFonts w:asciiTheme="majorHAnsi" w:hAnsiTheme="majorHAnsi" w:cstheme="majorHAnsi"/>
        </w:rPr>
        <w:t xml:space="preserve"> köznevelési</w:t>
      </w:r>
      <w:r w:rsidR="00F11919">
        <w:rPr>
          <w:rFonts w:asciiTheme="majorHAnsi" w:hAnsiTheme="majorHAnsi" w:cstheme="majorHAnsi"/>
        </w:rPr>
        <w:t xml:space="preserve"> </w:t>
      </w:r>
      <w:r w:rsidR="009C1DFE">
        <w:rPr>
          <w:rFonts w:asciiTheme="majorHAnsi" w:hAnsiTheme="majorHAnsi" w:cstheme="majorHAnsi"/>
        </w:rPr>
        <w:t>intézmények</w:t>
      </w:r>
      <w:r w:rsidRPr="00DC6C83">
        <w:rPr>
          <w:rFonts w:asciiTheme="majorHAnsi" w:hAnsiTheme="majorHAnsi" w:cstheme="majorHAnsi"/>
        </w:rPr>
        <w:t xml:space="preserve"> adatai</w:t>
      </w:r>
      <w:r w:rsidR="009C1DFE">
        <w:rPr>
          <w:rFonts w:asciiTheme="majorHAnsi" w:hAnsiTheme="majorHAnsi" w:cstheme="majorHAnsi"/>
        </w:rPr>
        <w:t xml:space="preserve"> összes fenntartóra számítva</w:t>
      </w:r>
      <w:r w:rsidR="008D3B68">
        <w:rPr>
          <w:rFonts w:asciiTheme="majorHAnsi" w:hAnsiTheme="majorHAnsi" w:cstheme="majorHAnsi"/>
        </w:rPr>
        <w:t xml:space="preserve">, </w:t>
      </w:r>
      <w:r w:rsidR="008D3B68">
        <w:t>2019/2010. nevelési év, tanév</w:t>
      </w:r>
    </w:p>
    <w:tbl>
      <w:tblPr>
        <w:tblStyle w:val="Tblzatrcsos43jellszn1"/>
        <w:tblW w:w="0" w:type="auto"/>
        <w:tblLook w:val="04A0" w:firstRow="1" w:lastRow="0" w:firstColumn="1" w:lastColumn="0" w:noHBand="0" w:noVBand="1"/>
      </w:tblPr>
      <w:tblGrid>
        <w:gridCol w:w="882"/>
        <w:gridCol w:w="922"/>
        <w:gridCol w:w="765"/>
        <w:gridCol w:w="923"/>
        <w:gridCol w:w="854"/>
        <w:gridCol w:w="923"/>
        <w:gridCol w:w="720"/>
        <w:gridCol w:w="923"/>
        <w:gridCol w:w="720"/>
        <w:gridCol w:w="933"/>
        <w:gridCol w:w="723"/>
      </w:tblGrid>
      <w:tr w:rsidR="00C851E4" w:rsidRPr="00C851E4" w14:paraId="3235F66B" w14:textId="77777777" w:rsidTr="00C851E4">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0" w:type="auto"/>
            <w:vMerge w:val="restart"/>
            <w:textDirection w:val="btLr"/>
            <w:vAlign w:val="center"/>
            <w:hideMark/>
          </w:tcPr>
          <w:p w14:paraId="1EB52489" w14:textId="77777777" w:rsidR="00C851E4" w:rsidRPr="00C851E4" w:rsidRDefault="00C851E4" w:rsidP="00C851E4">
            <w:pPr>
              <w:ind w:left="113" w:right="113"/>
              <w:jc w:val="center"/>
              <w:rPr>
                <w:rFonts w:ascii="Times New Roman" w:hAnsi="Times New Roman"/>
                <w:sz w:val="18"/>
                <w:szCs w:val="18"/>
              </w:rPr>
            </w:pPr>
            <w:r w:rsidRPr="00C851E4">
              <w:rPr>
                <w:rFonts w:ascii="Times New Roman" w:hAnsi="Times New Roman"/>
                <w:sz w:val="18"/>
                <w:szCs w:val="18"/>
              </w:rPr>
              <w:t>Nemzetiség</w:t>
            </w:r>
          </w:p>
        </w:tc>
        <w:tc>
          <w:tcPr>
            <w:tcW w:w="0" w:type="auto"/>
            <w:gridSpan w:val="2"/>
            <w:vAlign w:val="center"/>
            <w:hideMark/>
          </w:tcPr>
          <w:p w14:paraId="26474CC6" w14:textId="77777777" w:rsidR="00C851E4" w:rsidRPr="00C851E4" w:rsidRDefault="00C851E4" w:rsidP="00C851E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Óvoda</w:t>
            </w:r>
          </w:p>
        </w:tc>
        <w:tc>
          <w:tcPr>
            <w:tcW w:w="0" w:type="auto"/>
            <w:gridSpan w:val="2"/>
            <w:vAlign w:val="center"/>
            <w:hideMark/>
          </w:tcPr>
          <w:p w14:paraId="185919D4" w14:textId="77777777" w:rsidR="00C851E4" w:rsidRPr="00C851E4" w:rsidRDefault="00C851E4" w:rsidP="00C851E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Általános iskola</w:t>
            </w:r>
          </w:p>
        </w:tc>
        <w:tc>
          <w:tcPr>
            <w:tcW w:w="0" w:type="auto"/>
            <w:gridSpan w:val="2"/>
            <w:vAlign w:val="center"/>
            <w:hideMark/>
          </w:tcPr>
          <w:p w14:paraId="2D40A1F3" w14:textId="77777777" w:rsidR="00C851E4" w:rsidRPr="00C851E4" w:rsidRDefault="00C851E4" w:rsidP="00C851E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Gimnázium</w:t>
            </w:r>
          </w:p>
        </w:tc>
        <w:tc>
          <w:tcPr>
            <w:tcW w:w="0" w:type="auto"/>
            <w:gridSpan w:val="2"/>
            <w:vAlign w:val="center"/>
            <w:hideMark/>
          </w:tcPr>
          <w:p w14:paraId="2391A924" w14:textId="77777777" w:rsidR="00C851E4" w:rsidRPr="00C851E4" w:rsidRDefault="00C851E4" w:rsidP="00C851E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Szakgimnázium</w:t>
            </w:r>
          </w:p>
        </w:tc>
        <w:tc>
          <w:tcPr>
            <w:tcW w:w="0" w:type="auto"/>
            <w:gridSpan w:val="2"/>
            <w:vAlign w:val="center"/>
            <w:hideMark/>
          </w:tcPr>
          <w:p w14:paraId="261296F5" w14:textId="77777777" w:rsidR="00C851E4" w:rsidRPr="00C851E4" w:rsidRDefault="00C851E4" w:rsidP="00C851E4">
            <w:pPr>
              <w:spacing w:before="40" w:after="4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Szakközépiskola</w:t>
            </w:r>
          </w:p>
        </w:tc>
      </w:tr>
      <w:tr w:rsidR="00C851E4" w:rsidRPr="00C851E4" w14:paraId="71D0DF0B" w14:textId="77777777" w:rsidTr="00C851E4">
        <w:trPr>
          <w:cnfStyle w:val="000000100000" w:firstRow="0" w:lastRow="0" w:firstColumn="0" w:lastColumn="0" w:oddVBand="0" w:evenVBand="0" w:oddHBand="1" w:evenHBand="0" w:firstRowFirstColumn="0" w:firstRowLastColumn="0" w:lastRowFirstColumn="0" w:lastRowLastColumn="0"/>
          <w:trHeight w:val="946"/>
        </w:trPr>
        <w:tc>
          <w:tcPr>
            <w:cnfStyle w:val="001000000000" w:firstRow="0" w:lastRow="0" w:firstColumn="1" w:lastColumn="0" w:oddVBand="0" w:evenVBand="0" w:oddHBand="0" w:evenHBand="0" w:firstRowFirstColumn="0" w:firstRowLastColumn="0" w:lastRowFirstColumn="0" w:lastRowLastColumn="0"/>
            <w:tcW w:w="0" w:type="auto"/>
            <w:vMerge/>
            <w:hideMark/>
          </w:tcPr>
          <w:p w14:paraId="5B3B304D" w14:textId="77777777" w:rsidR="00C851E4" w:rsidRPr="00C851E4" w:rsidRDefault="00C851E4" w:rsidP="0093108E">
            <w:pPr>
              <w:rPr>
                <w:rFonts w:ascii="Times New Roman" w:hAnsi="Times New Roman"/>
                <w:sz w:val="18"/>
                <w:szCs w:val="18"/>
              </w:rPr>
            </w:pPr>
          </w:p>
        </w:tc>
        <w:tc>
          <w:tcPr>
            <w:tcW w:w="0" w:type="auto"/>
            <w:vAlign w:val="center"/>
            <w:hideMark/>
          </w:tcPr>
          <w:p w14:paraId="08B8D41D"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Feladat-ellátási helyek száma</w:t>
            </w:r>
          </w:p>
        </w:tc>
        <w:tc>
          <w:tcPr>
            <w:tcW w:w="0" w:type="auto"/>
            <w:vAlign w:val="center"/>
            <w:hideMark/>
          </w:tcPr>
          <w:p w14:paraId="35AE23B8"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roofErr w:type="spellStart"/>
            <w:r w:rsidRPr="00C851E4">
              <w:rPr>
                <w:rFonts w:ascii="Times New Roman" w:hAnsi="Times New Roman"/>
                <w:sz w:val="18"/>
                <w:szCs w:val="18"/>
              </w:rPr>
              <w:t>Gyer-mekek</w:t>
            </w:r>
            <w:proofErr w:type="spellEnd"/>
            <w:r w:rsidRPr="00C851E4">
              <w:rPr>
                <w:rFonts w:ascii="Times New Roman" w:hAnsi="Times New Roman"/>
                <w:sz w:val="18"/>
                <w:szCs w:val="18"/>
              </w:rPr>
              <w:t xml:space="preserve"> száma</w:t>
            </w:r>
          </w:p>
        </w:tc>
        <w:tc>
          <w:tcPr>
            <w:tcW w:w="0" w:type="auto"/>
            <w:vAlign w:val="center"/>
            <w:hideMark/>
          </w:tcPr>
          <w:p w14:paraId="749D12BF"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Feladat-ellátási helyek száma</w:t>
            </w:r>
          </w:p>
        </w:tc>
        <w:tc>
          <w:tcPr>
            <w:tcW w:w="0" w:type="auto"/>
            <w:vAlign w:val="center"/>
            <w:hideMark/>
          </w:tcPr>
          <w:p w14:paraId="48E51F79"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Tanulók száma</w:t>
            </w:r>
          </w:p>
        </w:tc>
        <w:tc>
          <w:tcPr>
            <w:tcW w:w="0" w:type="auto"/>
            <w:vAlign w:val="center"/>
            <w:hideMark/>
          </w:tcPr>
          <w:p w14:paraId="18F548FD"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Feladat-ellátási helyek száma</w:t>
            </w:r>
          </w:p>
        </w:tc>
        <w:tc>
          <w:tcPr>
            <w:tcW w:w="0" w:type="auto"/>
            <w:vAlign w:val="center"/>
            <w:hideMark/>
          </w:tcPr>
          <w:p w14:paraId="14FDD832"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roofErr w:type="spellStart"/>
            <w:r w:rsidRPr="00C851E4">
              <w:rPr>
                <w:rFonts w:ascii="Times New Roman" w:hAnsi="Times New Roman"/>
                <w:sz w:val="18"/>
                <w:szCs w:val="18"/>
              </w:rPr>
              <w:t>Tanu-lók</w:t>
            </w:r>
            <w:proofErr w:type="spellEnd"/>
            <w:r w:rsidRPr="00C851E4">
              <w:rPr>
                <w:rFonts w:ascii="Times New Roman" w:hAnsi="Times New Roman"/>
                <w:sz w:val="18"/>
                <w:szCs w:val="18"/>
              </w:rPr>
              <w:t xml:space="preserve"> száma</w:t>
            </w:r>
          </w:p>
        </w:tc>
        <w:tc>
          <w:tcPr>
            <w:tcW w:w="0" w:type="auto"/>
            <w:vAlign w:val="center"/>
            <w:hideMark/>
          </w:tcPr>
          <w:p w14:paraId="695BB82C"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Feladat-ellátási helyek száma</w:t>
            </w:r>
          </w:p>
        </w:tc>
        <w:tc>
          <w:tcPr>
            <w:tcW w:w="0" w:type="auto"/>
            <w:vAlign w:val="center"/>
            <w:hideMark/>
          </w:tcPr>
          <w:p w14:paraId="7EB57128"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Tanú-lók száma</w:t>
            </w:r>
          </w:p>
        </w:tc>
        <w:tc>
          <w:tcPr>
            <w:tcW w:w="0" w:type="auto"/>
            <w:vAlign w:val="center"/>
            <w:hideMark/>
          </w:tcPr>
          <w:p w14:paraId="11C3116E"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Feladat-ellátási helyek száma</w:t>
            </w:r>
          </w:p>
        </w:tc>
        <w:tc>
          <w:tcPr>
            <w:tcW w:w="0" w:type="auto"/>
            <w:vAlign w:val="center"/>
            <w:hideMark/>
          </w:tcPr>
          <w:p w14:paraId="03807338" w14:textId="77777777" w:rsidR="00C851E4" w:rsidRPr="00C851E4" w:rsidRDefault="00C851E4" w:rsidP="00C851E4">
            <w:pPr>
              <w:spacing w:before="40" w:after="4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C851E4">
              <w:rPr>
                <w:rFonts w:ascii="Times New Roman" w:hAnsi="Times New Roman"/>
                <w:sz w:val="18"/>
                <w:szCs w:val="18"/>
              </w:rPr>
              <w:t>Tanú-lók száma</w:t>
            </w:r>
          </w:p>
        </w:tc>
      </w:tr>
      <w:tr w:rsidR="00C851E4" w:rsidRPr="00C851E4" w14:paraId="3960E3B3" w14:textId="77777777" w:rsidTr="00C851E4">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5098F92"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magyar nyelvű roma</w:t>
            </w:r>
          </w:p>
        </w:tc>
        <w:tc>
          <w:tcPr>
            <w:tcW w:w="0" w:type="auto"/>
            <w:vAlign w:val="center"/>
            <w:hideMark/>
          </w:tcPr>
          <w:p w14:paraId="0AD5C782"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217</w:t>
            </w:r>
          </w:p>
        </w:tc>
        <w:tc>
          <w:tcPr>
            <w:tcW w:w="0" w:type="auto"/>
            <w:vAlign w:val="center"/>
            <w:hideMark/>
          </w:tcPr>
          <w:p w14:paraId="46537641"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8 653</w:t>
            </w:r>
          </w:p>
        </w:tc>
        <w:tc>
          <w:tcPr>
            <w:tcW w:w="0" w:type="auto"/>
            <w:vAlign w:val="center"/>
            <w:hideMark/>
          </w:tcPr>
          <w:p w14:paraId="0AEC8604"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203</w:t>
            </w:r>
          </w:p>
        </w:tc>
        <w:tc>
          <w:tcPr>
            <w:tcW w:w="0" w:type="auto"/>
            <w:vAlign w:val="center"/>
            <w:hideMark/>
          </w:tcPr>
          <w:p w14:paraId="2EDDF83C"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19 619</w:t>
            </w:r>
          </w:p>
        </w:tc>
        <w:tc>
          <w:tcPr>
            <w:tcW w:w="0" w:type="auto"/>
            <w:vAlign w:val="center"/>
            <w:hideMark/>
          </w:tcPr>
          <w:p w14:paraId="1488D2CB"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8</w:t>
            </w:r>
          </w:p>
        </w:tc>
        <w:tc>
          <w:tcPr>
            <w:tcW w:w="0" w:type="auto"/>
            <w:vAlign w:val="center"/>
            <w:hideMark/>
          </w:tcPr>
          <w:p w14:paraId="600B63AD"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493</w:t>
            </w:r>
          </w:p>
        </w:tc>
        <w:tc>
          <w:tcPr>
            <w:tcW w:w="0" w:type="auto"/>
            <w:vAlign w:val="center"/>
            <w:hideMark/>
          </w:tcPr>
          <w:p w14:paraId="2FFBCAF3"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6</w:t>
            </w:r>
          </w:p>
        </w:tc>
        <w:tc>
          <w:tcPr>
            <w:tcW w:w="0" w:type="auto"/>
            <w:vAlign w:val="center"/>
            <w:hideMark/>
          </w:tcPr>
          <w:p w14:paraId="69A5A3B7"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282</w:t>
            </w:r>
          </w:p>
        </w:tc>
        <w:tc>
          <w:tcPr>
            <w:tcW w:w="0" w:type="auto"/>
            <w:vAlign w:val="center"/>
            <w:hideMark/>
          </w:tcPr>
          <w:p w14:paraId="1286A2B6"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11</w:t>
            </w:r>
          </w:p>
        </w:tc>
        <w:tc>
          <w:tcPr>
            <w:tcW w:w="0" w:type="auto"/>
            <w:vAlign w:val="center"/>
            <w:hideMark/>
          </w:tcPr>
          <w:p w14:paraId="521CE3ED"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846</w:t>
            </w:r>
          </w:p>
        </w:tc>
      </w:tr>
      <w:tr w:rsidR="00C851E4" w:rsidRPr="00C851E4" w14:paraId="15674087" w14:textId="77777777" w:rsidTr="00C8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50C1362"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bolgár</w:t>
            </w:r>
          </w:p>
        </w:tc>
        <w:tc>
          <w:tcPr>
            <w:tcW w:w="0" w:type="auto"/>
            <w:vAlign w:val="center"/>
            <w:hideMark/>
          </w:tcPr>
          <w:p w14:paraId="4B5069C6"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66F69C3B"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17</w:t>
            </w:r>
          </w:p>
        </w:tc>
        <w:tc>
          <w:tcPr>
            <w:tcW w:w="0" w:type="auto"/>
            <w:vAlign w:val="center"/>
            <w:hideMark/>
          </w:tcPr>
          <w:p w14:paraId="1DD47254"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4</w:t>
            </w:r>
          </w:p>
        </w:tc>
        <w:tc>
          <w:tcPr>
            <w:tcW w:w="0" w:type="auto"/>
            <w:vAlign w:val="center"/>
            <w:hideMark/>
          </w:tcPr>
          <w:p w14:paraId="7A32D3C2"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138</w:t>
            </w:r>
          </w:p>
        </w:tc>
        <w:tc>
          <w:tcPr>
            <w:tcW w:w="0" w:type="auto"/>
            <w:vAlign w:val="center"/>
          </w:tcPr>
          <w:p w14:paraId="0AF2B21D"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1BA7C719"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0E8DC547"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6FD5FB4C"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7F168FE3"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1F9AEC48"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r>
      <w:tr w:rsidR="00C851E4" w:rsidRPr="00C851E4" w14:paraId="6E49DB79" w14:textId="77777777" w:rsidTr="00C851E4">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52341A0"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görög</w:t>
            </w:r>
          </w:p>
        </w:tc>
        <w:tc>
          <w:tcPr>
            <w:tcW w:w="0" w:type="auto"/>
            <w:vAlign w:val="center"/>
            <w:hideMark/>
          </w:tcPr>
          <w:p w14:paraId="24997503"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2E2ABE6C"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29</w:t>
            </w:r>
          </w:p>
        </w:tc>
        <w:tc>
          <w:tcPr>
            <w:tcW w:w="0" w:type="auto"/>
            <w:vAlign w:val="center"/>
            <w:hideMark/>
          </w:tcPr>
          <w:p w14:paraId="38D7EFE7"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16</w:t>
            </w:r>
          </w:p>
        </w:tc>
        <w:tc>
          <w:tcPr>
            <w:tcW w:w="0" w:type="auto"/>
            <w:vAlign w:val="center"/>
            <w:hideMark/>
          </w:tcPr>
          <w:p w14:paraId="4F1B5360"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308</w:t>
            </w:r>
          </w:p>
        </w:tc>
        <w:tc>
          <w:tcPr>
            <w:tcW w:w="0" w:type="auto"/>
            <w:vAlign w:val="center"/>
          </w:tcPr>
          <w:p w14:paraId="665A5746"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32D30A9F"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654B48B5"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14312485"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3C52B0D9"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4B5746F4"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r>
      <w:tr w:rsidR="00C851E4" w:rsidRPr="00C851E4" w14:paraId="7D243F21" w14:textId="77777777" w:rsidTr="00C8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275B32F"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horvát</w:t>
            </w:r>
          </w:p>
        </w:tc>
        <w:tc>
          <w:tcPr>
            <w:tcW w:w="0" w:type="auto"/>
            <w:vAlign w:val="center"/>
            <w:hideMark/>
          </w:tcPr>
          <w:p w14:paraId="1867E03A"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29</w:t>
            </w:r>
          </w:p>
        </w:tc>
        <w:tc>
          <w:tcPr>
            <w:tcW w:w="0" w:type="auto"/>
            <w:vAlign w:val="center"/>
            <w:hideMark/>
          </w:tcPr>
          <w:p w14:paraId="6411D5DA"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1 113</w:t>
            </w:r>
          </w:p>
        </w:tc>
        <w:tc>
          <w:tcPr>
            <w:tcW w:w="0" w:type="auto"/>
            <w:vAlign w:val="center"/>
            <w:hideMark/>
          </w:tcPr>
          <w:p w14:paraId="1B4602A9"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35</w:t>
            </w:r>
          </w:p>
        </w:tc>
        <w:tc>
          <w:tcPr>
            <w:tcW w:w="0" w:type="auto"/>
            <w:vAlign w:val="center"/>
            <w:hideMark/>
          </w:tcPr>
          <w:p w14:paraId="67E0C789"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2 011</w:t>
            </w:r>
          </w:p>
        </w:tc>
        <w:tc>
          <w:tcPr>
            <w:tcW w:w="0" w:type="auto"/>
            <w:vAlign w:val="center"/>
            <w:hideMark/>
          </w:tcPr>
          <w:p w14:paraId="3553D12D"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w:t>
            </w:r>
          </w:p>
        </w:tc>
        <w:tc>
          <w:tcPr>
            <w:tcW w:w="0" w:type="auto"/>
            <w:vAlign w:val="center"/>
            <w:hideMark/>
          </w:tcPr>
          <w:p w14:paraId="6B8C6F3B"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191</w:t>
            </w:r>
          </w:p>
        </w:tc>
        <w:tc>
          <w:tcPr>
            <w:tcW w:w="0" w:type="auto"/>
            <w:vAlign w:val="center"/>
          </w:tcPr>
          <w:p w14:paraId="05941A01"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1DB65DAD"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783469FF"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0DD345AA"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r>
      <w:tr w:rsidR="00C851E4" w:rsidRPr="00C851E4" w14:paraId="5F8CF5B2" w14:textId="77777777" w:rsidTr="00C851E4">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296D3EA" w14:textId="77777777" w:rsidR="00C851E4" w:rsidRPr="00C851E4" w:rsidRDefault="00C851E4" w:rsidP="003A38E6">
            <w:pPr>
              <w:spacing w:beforeLines="20" w:before="48" w:afterLines="20" w:after="48" w:line="240" w:lineRule="auto"/>
              <w:jc w:val="center"/>
              <w:rPr>
                <w:rFonts w:ascii="Times New Roman" w:hAnsi="Times New Roman"/>
                <w:sz w:val="18"/>
                <w:szCs w:val="18"/>
                <w:lang w:eastAsia="hu-HU"/>
              </w:rPr>
            </w:pPr>
            <w:r w:rsidRPr="00C851E4">
              <w:rPr>
                <w:rFonts w:ascii="Times New Roman" w:hAnsi="Times New Roman"/>
                <w:sz w:val="18"/>
                <w:szCs w:val="18"/>
                <w:lang w:eastAsia="hu-HU"/>
              </w:rPr>
              <w:t>lengyel</w:t>
            </w:r>
          </w:p>
        </w:tc>
        <w:tc>
          <w:tcPr>
            <w:tcW w:w="0" w:type="auto"/>
            <w:vAlign w:val="center"/>
          </w:tcPr>
          <w:p w14:paraId="1F4CACD3"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5B8ED505"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hideMark/>
          </w:tcPr>
          <w:p w14:paraId="118F0DC4"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10</w:t>
            </w:r>
          </w:p>
        </w:tc>
        <w:tc>
          <w:tcPr>
            <w:tcW w:w="0" w:type="auto"/>
            <w:vAlign w:val="center"/>
            <w:hideMark/>
          </w:tcPr>
          <w:p w14:paraId="380FCFBA"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190</w:t>
            </w:r>
          </w:p>
        </w:tc>
        <w:tc>
          <w:tcPr>
            <w:tcW w:w="0" w:type="auto"/>
            <w:vAlign w:val="center"/>
          </w:tcPr>
          <w:p w14:paraId="51A0DCE6"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23474497"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001F10F4"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42DA07AE"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41656A0A"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6AA1E2F6"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r>
      <w:tr w:rsidR="00C851E4" w:rsidRPr="00C851E4" w14:paraId="74674956" w14:textId="77777777" w:rsidTr="00C8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DBA90F2"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német</w:t>
            </w:r>
          </w:p>
        </w:tc>
        <w:tc>
          <w:tcPr>
            <w:tcW w:w="0" w:type="auto"/>
            <w:vAlign w:val="center"/>
            <w:hideMark/>
          </w:tcPr>
          <w:p w14:paraId="3957613E"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289</w:t>
            </w:r>
          </w:p>
        </w:tc>
        <w:tc>
          <w:tcPr>
            <w:tcW w:w="0" w:type="auto"/>
            <w:vAlign w:val="center"/>
            <w:hideMark/>
          </w:tcPr>
          <w:p w14:paraId="683A4C61"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14 662</w:t>
            </w:r>
          </w:p>
        </w:tc>
        <w:tc>
          <w:tcPr>
            <w:tcW w:w="0" w:type="auto"/>
            <w:vAlign w:val="center"/>
            <w:hideMark/>
          </w:tcPr>
          <w:p w14:paraId="1F9122AC"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398</w:t>
            </w:r>
          </w:p>
        </w:tc>
        <w:tc>
          <w:tcPr>
            <w:tcW w:w="0" w:type="auto"/>
            <w:vAlign w:val="center"/>
            <w:hideMark/>
          </w:tcPr>
          <w:p w14:paraId="1DEBD683"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49 410</w:t>
            </w:r>
          </w:p>
        </w:tc>
        <w:tc>
          <w:tcPr>
            <w:tcW w:w="0" w:type="auto"/>
            <w:vAlign w:val="center"/>
            <w:hideMark/>
          </w:tcPr>
          <w:p w14:paraId="7B9111A3"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17</w:t>
            </w:r>
          </w:p>
        </w:tc>
        <w:tc>
          <w:tcPr>
            <w:tcW w:w="0" w:type="auto"/>
            <w:vAlign w:val="center"/>
            <w:hideMark/>
          </w:tcPr>
          <w:p w14:paraId="075EA74F"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2 843</w:t>
            </w:r>
          </w:p>
        </w:tc>
        <w:tc>
          <w:tcPr>
            <w:tcW w:w="0" w:type="auto"/>
            <w:vAlign w:val="center"/>
            <w:hideMark/>
          </w:tcPr>
          <w:p w14:paraId="5545365F"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5B43CEF3"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102</w:t>
            </w:r>
          </w:p>
        </w:tc>
        <w:tc>
          <w:tcPr>
            <w:tcW w:w="0" w:type="auto"/>
            <w:vAlign w:val="center"/>
          </w:tcPr>
          <w:p w14:paraId="53672475"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36EE70B9"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r>
      <w:tr w:rsidR="00C851E4" w:rsidRPr="00C851E4" w14:paraId="5F3F0223" w14:textId="77777777" w:rsidTr="00C851E4">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756A2B"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roma - beás</w:t>
            </w:r>
          </w:p>
        </w:tc>
        <w:tc>
          <w:tcPr>
            <w:tcW w:w="0" w:type="auto"/>
            <w:vAlign w:val="center"/>
            <w:hideMark/>
          </w:tcPr>
          <w:p w14:paraId="6876CC42"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3086FB9C"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79</w:t>
            </w:r>
          </w:p>
        </w:tc>
        <w:tc>
          <w:tcPr>
            <w:tcW w:w="0" w:type="auto"/>
            <w:vAlign w:val="center"/>
            <w:hideMark/>
          </w:tcPr>
          <w:p w14:paraId="456F5E46"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5</w:t>
            </w:r>
          </w:p>
        </w:tc>
        <w:tc>
          <w:tcPr>
            <w:tcW w:w="0" w:type="auto"/>
            <w:vAlign w:val="center"/>
            <w:hideMark/>
          </w:tcPr>
          <w:p w14:paraId="5C806BA9"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192</w:t>
            </w:r>
          </w:p>
        </w:tc>
        <w:tc>
          <w:tcPr>
            <w:tcW w:w="0" w:type="auto"/>
            <w:vAlign w:val="center"/>
            <w:hideMark/>
          </w:tcPr>
          <w:p w14:paraId="45AF1021"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5</w:t>
            </w:r>
          </w:p>
        </w:tc>
        <w:tc>
          <w:tcPr>
            <w:tcW w:w="0" w:type="auto"/>
            <w:vAlign w:val="center"/>
            <w:hideMark/>
          </w:tcPr>
          <w:p w14:paraId="680AA4BE"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403</w:t>
            </w:r>
          </w:p>
        </w:tc>
        <w:tc>
          <w:tcPr>
            <w:tcW w:w="0" w:type="auto"/>
            <w:vAlign w:val="center"/>
          </w:tcPr>
          <w:p w14:paraId="7B5EF64B"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051BA352"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10552EE0"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2EF3EFB0"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r>
      <w:tr w:rsidR="00C851E4" w:rsidRPr="00C851E4" w14:paraId="4DE6DEB1" w14:textId="77777777" w:rsidTr="00C8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F41D255"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 xml:space="preserve">roma - </w:t>
            </w:r>
            <w:proofErr w:type="spellStart"/>
            <w:r w:rsidRPr="00C851E4">
              <w:rPr>
                <w:rFonts w:ascii="Times New Roman" w:hAnsi="Times New Roman"/>
                <w:sz w:val="18"/>
                <w:szCs w:val="18"/>
                <w:lang w:eastAsia="hu-HU"/>
              </w:rPr>
              <w:t>romani</w:t>
            </w:r>
            <w:proofErr w:type="spellEnd"/>
          </w:p>
        </w:tc>
        <w:tc>
          <w:tcPr>
            <w:tcW w:w="0" w:type="auto"/>
            <w:vAlign w:val="center"/>
            <w:hideMark/>
          </w:tcPr>
          <w:p w14:paraId="6B2EC3A5"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7C1476B1"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121</w:t>
            </w:r>
          </w:p>
        </w:tc>
        <w:tc>
          <w:tcPr>
            <w:tcW w:w="0" w:type="auto"/>
            <w:vAlign w:val="center"/>
            <w:hideMark/>
          </w:tcPr>
          <w:p w14:paraId="381A57EA"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13</w:t>
            </w:r>
          </w:p>
        </w:tc>
        <w:tc>
          <w:tcPr>
            <w:tcW w:w="0" w:type="auto"/>
            <w:vAlign w:val="center"/>
            <w:hideMark/>
          </w:tcPr>
          <w:p w14:paraId="65AB9056"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746</w:t>
            </w:r>
          </w:p>
        </w:tc>
        <w:tc>
          <w:tcPr>
            <w:tcW w:w="0" w:type="auto"/>
            <w:vAlign w:val="center"/>
            <w:hideMark/>
          </w:tcPr>
          <w:p w14:paraId="01CD1567"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33BAC1F2"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86</w:t>
            </w:r>
          </w:p>
        </w:tc>
        <w:tc>
          <w:tcPr>
            <w:tcW w:w="0" w:type="auto"/>
            <w:vAlign w:val="center"/>
          </w:tcPr>
          <w:p w14:paraId="1EAF3D3B"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43CCC285"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214F4A1A"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79DA7C7E"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r>
      <w:tr w:rsidR="00C851E4" w:rsidRPr="00C851E4" w14:paraId="3BA3C6C6" w14:textId="77777777" w:rsidTr="00C851E4">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F9FBF3"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román</w:t>
            </w:r>
          </w:p>
        </w:tc>
        <w:tc>
          <w:tcPr>
            <w:tcW w:w="0" w:type="auto"/>
            <w:vAlign w:val="center"/>
            <w:hideMark/>
          </w:tcPr>
          <w:p w14:paraId="0D437657"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8</w:t>
            </w:r>
          </w:p>
        </w:tc>
        <w:tc>
          <w:tcPr>
            <w:tcW w:w="0" w:type="auto"/>
            <w:vAlign w:val="center"/>
            <w:hideMark/>
          </w:tcPr>
          <w:p w14:paraId="701FB202"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303</w:t>
            </w:r>
          </w:p>
        </w:tc>
        <w:tc>
          <w:tcPr>
            <w:tcW w:w="0" w:type="auto"/>
            <w:vAlign w:val="center"/>
            <w:hideMark/>
          </w:tcPr>
          <w:p w14:paraId="0AFCDEBB"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17</w:t>
            </w:r>
          </w:p>
        </w:tc>
        <w:tc>
          <w:tcPr>
            <w:tcW w:w="0" w:type="auto"/>
            <w:vAlign w:val="center"/>
            <w:hideMark/>
          </w:tcPr>
          <w:p w14:paraId="21F963E8"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1 324</w:t>
            </w:r>
          </w:p>
        </w:tc>
        <w:tc>
          <w:tcPr>
            <w:tcW w:w="0" w:type="auto"/>
            <w:vAlign w:val="center"/>
            <w:hideMark/>
          </w:tcPr>
          <w:p w14:paraId="777A890E"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32E8CCC2"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197</w:t>
            </w:r>
          </w:p>
        </w:tc>
        <w:tc>
          <w:tcPr>
            <w:tcW w:w="0" w:type="auto"/>
            <w:vAlign w:val="center"/>
          </w:tcPr>
          <w:p w14:paraId="2803ECE5"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39A3CC6E"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5BE67D7D"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346902F8"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r>
      <w:tr w:rsidR="00C851E4" w:rsidRPr="00C851E4" w14:paraId="75F545A7" w14:textId="77777777" w:rsidTr="00C8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0D7C3D"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ruszin</w:t>
            </w:r>
          </w:p>
        </w:tc>
        <w:tc>
          <w:tcPr>
            <w:tcW w:w="0" w:type="auto"/>
            <w:vAlign w:val="center"/>
            <w:hideMark/>
          </w:tcPr>
          <w:p w14:paraId="4163EFA0"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31ECA132"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8</w:t>
            </w:r>
          </w:p>
        </w:tc>
        <w:tc>
          <w:tcPr>
            <w:tcW w:w="0" w:type="auto"/>
            <w:vAlign w:val="center"/>
            <w:hideMark/>
          </w:tcPr>
          <w:p w14:paraId="5DF0CD5C"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w:t>
            </w:r>
          </w:p>
        </w:tc>
        <w:tc>
          <w:tcPr>
            <w:tcW w:w="0" w:type="auto"/>
            <w:vAlign w:val="center"/>
            <w:hideMark/>
          </w:tcPr>
          <w:p w14:paraId="7A032639"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27</w:t>
            </w:r>
          </w:p>
        </w:tc>
        <w:tc>
          <w:tcPr>
            <w:tcW w:w="0" w:type="auto"/>
            <w:vAlign w:val="center"/>
          </w:tcPr>
          <w:p w14:paraId="65DE56CF"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1DB53804"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4C32ABBF"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4EF3A45D"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73F565CA"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284EE6B4"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r>
      <w:tr w:rsidR="00C851E4" w:rsidRPr="00C851E4" w14:paraId="53398ECF" w14:textId="77777777" w:rsidTr="00C851E4">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D7E15B2"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szerb</w:t>
            </w:r>
          </w:p>
        </w:tc>
        <w:tc>
          <w:tcPr>
            <w:tcW w:w="0" w:type="auto"/>
            <w:vAlign w:val="center"/>
            <w:hideMark/>
          </w:tcPr>
          <w:p w14:paraId="49133B95"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7</w:t>
            </w:r>
          </w:p>
        </w:tc>
        <w:tc>
          <w:tcPr>
            <w:tcW w:w="0" w:type="auto"/>
            <w:vAlign w:val="center"/>
            <w:hideMark/>
          </w:tcPr>
          <w:p w14:paraId="01E1AEE1"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216</w:t>
            </w:r>
          </w:p>
        </w:tc>
        <w:tc>
          <w:tcPr>
            <w:tcW w:w="0" w:type="auto"/>
            <w:vAlign w:val="center"/>
            <w:hideMark/>
          </w:tcPr>
          <w:p w14:paraId="49FEA8DB"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10</w:t>
            </w:r>
          </w:p>
        </w:tc>
        <w:tc>
          <w:tcPr>
            <w:tcW w:w="0" w:type="auto"/>
            <w:vAlign w:val="center"/>
            <w:hideMark/>
          </w:tcPr>
          <w:p w14:paraId="49A0BF77"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343</w:t>
            </w:r>
          </w:p>
        </w:tc>
        <w:tc>
          <w:tcPr>
            <w:tcW w:w="0" w:type="auto"/>
            <w:vAlign w:val="center"/>
            <w:hideMark/>
          </w:tcPr>
          <w:p w14:paraId="36DE03E9"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w:t>
            </w:r>
          </w:p>
        </w:tc>
        <w:tc>
          <w:tcPr>
            <w:tcW w:w="0" w:type="auto"/>
            <w:vAlign w:val="center"/>
            <w:hideMark/>
          </w:tcPr>
          <w:p w14:paraId="7E48C6A6"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333</w:t>
            </w:r>
          </w:p>
        </w:tc>
        <w:tc>
          <w:tcPr>
            <w:tcW w:w="0" w:type="auto"/>
            <w:vAlign w:val="center"/>
          </w:tcPr>
          <w:p w14:paraId="48F9D9AC"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34206FA1"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5B674CA7"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24F4825A"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r>
      <w:tr w:rsidR="00C851E4" w:rsidRPr="00C851E4" w14:paraId="21F660AD" w14:textId="77777777" w:rsidTr="00C8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2288C6A"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szlovák</w:t>
            </w:r>
          </w:p>
        </w:tc>
        <w:tc>
          <w:tcPr>
            <w:tcW w:w="0" w:type="auto"/>
            <w:vAlign w:val="center"/>
            <w:hideMark/>
          </w:tcPr>
          <w:p w14:paraId="489FA9F4"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47</w:t>
            </w:r>
          </w:p>
        </w:tc>
        <w:tc>
          <w:tcPr>
            <w:tcW w:w="0" w:type="auto"/>
            <w:vAlign w:val="center"/>
            <w:hideMark/>
          </w:tcPr>
          <w:p w14:paraId="3047E19D"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1 905</w:t>
            </w:r>
          </w:p>
        </w:tc>
        <w:tc>
          <w:tcPr>
            <w:tcW w:w="0" w:type="auto"/>
            <w:vAlign w:val="center"/>
            <w:hideMark/>
          </w:tcPr>
          <w:p w14:paraId="50A7140F"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47</w:t>
            </w:r>
          </w:p>
        </w:tc>
        <w:tc>
          <w:tcPr>
            <w:tcW w:w="0" w:type="auto"/>
            <w:vAlign w:val="center"/>
            <w:hideMark/>
          </w:tcPr>
          <w:p w14:paraId="34B95CFD"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3 375</w:t>
            </w:r>
          </w:p>
        </w:tc>
        <w:tc>
          <w:tcPr>
            <w:tcW w:w="0" w:type="auto"/>
            <w:vAlign w:val="center"/>
            <w:hideMark/>
          </w:tcPr>
          <w:p w14:paraId="46313212"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2</w:t>
            </w:r>
          </w:p>
        </w:tc>
        <w:tc>
          <w:tcPr>
            <w:tcW w:w="0" w:type="auto"/>
            <w:vAlign w:val="center"/>
            <w:hideMark/>
          </w:tcPr>
          <w:p w14:paraId="685AC669"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105</w:t>
            </w:r>
          </w:p>
        </w:tc>
        <w:tc>
          <w:tcPr>
            <w:tcW w:w="0" w:type="auto"/>
            <w:vAlign w:val="center"/>
          </w:tcPr>
          <w:p w14:paraId="7D7A9D3B"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63EEE0A2"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5E2C9EF6"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70DB23B9" w14:textId="77777777" w:rsidR="00C851E4" w:rsidRPr="00C851E4" w:rsidRDefault="00C851E4" w:rsidP="003A38E6">
            <w:pPr>
              <w:spacing w:beforeLines="20" w:before="48" w:afterLines="20" w:after="48"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18"/>
                <w:szCs w:val="18"/>
              </w:rPr>
            </w:pPr>
          </w:p>
        </w:tc>
      </w:tr>
      <w:tr w:rsidR="00C851E4" w:rsidRPr="00C851E4" w14:paraId="47C4AB0C" w14:textId="77777777" w:rsidTr="00C851E4">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E7990E" w14:textId="77777777" w:rsidR="00C851E4" w:rsidRPr="00C851E4" w:rsidRDefault="00C851E4" w:rsidP="003A38E6">
            <w:pPr>
              <w:spacing w:beforeLines="20" w:before="48" w:afterLines="20" w:after="48" w:line="240" w:lineRule="auto"/>
              <w:jc w:val="center"/>
              <w:rPr>
                <w:rFonts w:ascii="Times New Roman" w:hAnsi="Times New Roman"/>
                <w:sz w:val="18"/>
                <w:szCs w:val="18"/>
              </w:rPr>
            </w:pPr>
            <w:r w:rsidRPr="00C851E4">
              <w:rPr>
                <w:rFonts w:ascii="Times New Roman" w:hAnsi="Times New Roman"/>
                <w:sz w:val="18"/>
                <w:szCs w:val="18"/>
                <w:lang w:eastAsia="hu-HU"/>
              </w:rPr>
              <w:t>szlovén</w:t>
            </w:r>
          </w:p>
        </w:tc>
        <w:tc>
          <w:tcPr>
            <w:tcW w:w="0" w:type="auto"/>
            <w:vAlign w:val="center"/>
            <w:hideMark/>
          </w:tcPr>
          <w:p w14:paraId="66E75725"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3</w:t>
            </w:r>
          </w:p>
        </w:tc>
        <w:tc>
          <w:tcPr>
            <w:tcW w:w="0" w:type="auto"/>
            <w:vAlign w:val="center"/>
            <w:hideMark/>
          </w:tcPr>
          <w:p w14:paraId="540714F6"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71</w:t>
            </w:r>
          </w:p>
        </w:tc>
        <w:tc>
          <w:tcPr>
            <w:tcW w:w="0" w:type="auto"/>
            <w:vAlign w:val="center"/>
            <w:hideMark/>
          </w:tcPr>
          <w:p w14:paraId="2EBBF823"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4</w:t>
            </w:r>
          </w:p>
        </w:tc>
        <w:tc>
          <w:tcPr>
            <w:tcW w:w="0" w:type="auto"/>
            <w:vAlign w:val="center"/>
            <w:hideMark/>
          </w:tcPr>
          <w:p w14:paraId="7C2B173A"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121</w:t>
            </w:r>
          </w:p>
        </w:tc>
        <w:tc>
          <w:tcPr>
            <w:tcW w:w="0" w:type="auto"/>
            <w:vAlign w:val="center"/>
            <w:hideMark/>
          </w:tcPr>
          <w:p w14:paraId="1C26F4F9"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1D90B353"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13</w:t>
            </w:r>
          </w:p>
        </w:tc>
        <w:tc>
          <w:tcPr>
            <w:tcW w:w="0" w:type="auto"/>
            <w:vAlign w:val="center"/>
            <w:hideMark/>
          </w:tcPr>
          <w:p w14:paraId="533C39D6"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1</w:t>
            </w:r>
          </w:p>
        </w:tc>
        <w:tc>
          <w:tcPr>
            <w:tcW w:w="0" w:type="auto"/>
            <w:vAlign w:val="center"/>
            <w:hideMark/>
          </w:tcPr>
          <w:p w14:paraId="4883B9E8"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r w:rsidRPr="00C851E4">
              <w:rPr>
                <w:rFonts w:ascii="Times New Roman" w:hAnsi="Times New Roman"/>
                <w:b/>
                <w:bCs/>
                <w:color w:val="000000"/>
                <w:sz w:val="18"/>
                <w:szCs w:val="18"/>
              </w:rPr>
              <w:t>3</w:t>
            </w:r>
          </w:p>
        </w:tc>
        <w:tc>
          <w:tcPr>
            <w:tcW w:w="0" w:type="auto"/>
            <w:vAlign w:val="center"/>
          </w:tcPr>
          <w:p w14:paraId="007FDA18"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c>
          <w:tcPr>
            <w:tcW w:w="0" w:type="auto"/>
            <w:vAlign w:val="center"/>
          </w:tcPr>
          <w:p w14:paraId="43DE71E8" w14:textId="77777777" w:rsidR="00C851E4" w:rsidRPr="00C851E4" w:rsidRDefault="00C851E4" w:rsidP="003A38E6">
            <w:pPr>
              <w:spacing w:beforeLines="20" w:before="48" w:afterLines="20" w:after="48"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18"/>
                <w:szCs w:val="18"/>
              </w:rPr>
            </w:pPr>
          </w:p>
        </w:tc>
      </w:tr>
    </w:tbl>
    <w:p w14:paraId="5EE2C186" w14:textId="7C674D1F" w:rsidR="00B86FE8" w:rsidRPr="00DC6C83" w:rsidRDefault="00B86FE8" w:rsidP="00DA54E4">
      <w:pPr>
        <w:pStyle w:val="Forrs"/>
        <w:jc w:val="center"/>
      </w:pPr>
      <w:r w:rsidRPr="00DC6C83">
        <w:t>Forrás: EMMI</w:t>
      </w:r>
      <w:r w:rsidR="00304D4D">
        <w:t xml:space="preserve"> (az adatok tartalmazzák a </w:t>
      </w:r>
      <w:r w:rsidR="00304D4D" w:rsidRPr="00304D4D">
        <w:t>táblázatban szereplő adatokból a kiegészítő nyelvoktatásban részt vevők</w:t>
      </w:r>
      <w:r w:rsidR="00304D4D">
        <w:t xml:space="preserve"> számát is)</w:t>
      </w:r>
    </w:p>
    <w:p w14:paraId="3C272D89" w14:textId="60BFB0A7"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kulturális autonómia jegyében </w:t>
      </w:r>
      <w:r w:rsidRPr="000310B4">
        <w:rPr>
          <w:rFonts w:asciiTheme="majorHAnsi" w:hAnsiTheme="majorHAnsi" w:cstheme="majorHAnsi"/>
        </w:rPr>
        <w:t>a nemzetiségi önkormányzatok nevelési-oktatási intézményeket alapíthatnak és működtethetnek</w:t>
      </w:r>
      <w:r w:rsidRPr="00DC6C83">
        <w:rPr>
          <w:rFonts w:asciiTheme="majorHAnsi" w:hAnsiTheme="majorHAnsi" w:cstheme="majorHAnsi"/>
        </w:rPr>
        <w:t xml:space="preserve">, valamint </w:t>
      </w:r>
      <w:r w:rsidRPr="000310B4">
        <w:rPr>
          <w:rFonts w:asciiTheme="majorHAnsi" w:hAnsiTheme="majorHAnsi" w:cstheme="majorHAnsi"/>
        </w:rPr>
        <w:t>átvehetik más fenntartóktól a nemzetiségi nevelési, oktatási intézmények fenntartását</w:t>
      </w:r>
      <w:r w:rsidRPr="00DC6C83">
        <w:rPr>
          <w:rFonts w:asciiTheme="majorHAnsi" w:hAnsiTheme="majorHAnsi" w:cstheme="majorHAnsi"/>
        </w:rPr>
        <w:t xml:space="preserve">. </w:t>
      </w:r>
      <w:r w:rsidR="00325B60">
        <w:rPr>
          <w:rFonts w:asciiTheme="majorHAnsi" w:hAnsiTheme="majorHAnsi" w:cstheme="majorHAnsi"/>
        </w:rPr>
        <w:t>Az</w:t>
      </w:r>
      <w:r w:rsidRPr="00DC6C83">
        <w:rPr>
          <w:rFonts w:asciiTheme="majorHAnsi" w:hAnsiTheme="majorHAnsi" w:cstheme="majorHAnsi"/>
        </w:rPr>
        <w:t xml:space="preserve"> elmúlt évek során 10 országos nemzetiségi önkormányzat 28, illetve 48 települési nemzetiségi önkormányzat 62 köznevelési intézményt vett át, ill</w:t>
      </w:r>
      <w:r w:rsidR="003B3C2F">
        <w:rPr>
          <w:rFonts w:asciiTheme="majorHAnsi" w:hAnsiTheme="majorHAnsi" w:cstheme="majorHAnsi"/>
        </w:rPr>
        <w:t>etve</w:t>
      </w:r>
      <w:r w:rsidRPr="00DC6C83">
        <w:rPr>
          <w:rFonts w:asciiTheme="majorHAnsi" w:hAnsiTheme="majorHAnsi" w:cstheme="majorHAnsi"/>
        </w:rPr>
        <w:t xml:space="preserve"> alapított</w:t>
      </w:r>
      <w:r w:rsidR="002C12CB">
        <w:rPr>
          <w:rFonts w:asciiTheme="majorHAnsi" w:hAnsiTheme="majorHAnsi" w:cstheme="majorHAnsi"/>
        </w:rPr>
        <w:t>, amely a fenti táblázatban szereplő intézmények egy részét teszik ki</w:t>
      </w:r>
      <w:r w:rsidRPr="00DC6C83">
        <w:rPr>
          <w:rFonts w:asciiTheme="majorHAnsi" w:hAnsiTheme="majorHAnsi" w:cstheme="majorHAnsi"/>
        </w:rPr>
        <w:t>. Az általuk fenntartott intézm</w:t>
      </w:r>
      <w:r w:rsidR="00110A32">
        <w:rPr>
          <w:rFonts w:asciiTheme="majorHAnsi" w:hAnsiTheme="majorHAnsi" w:cstheme="majorHAnsi"/>
        </w:rPr>
        <w:t xml:space="preserve">ényekben 3 </w:t>
      </w:r>
      <w:r w:rsidRPr="00DC6C83">
        <w:rPr>
          <w:rFonts w:asciiTheme="majorHAnsi" w:hAnsiTheme="majorHAnsi" w:cstheme="majorHAnsi"/>
        </w:rPr>
        <w:t>6</w:t>
      </w:r>
      <w:r w:rsidR="00110A32">
        <w:rPr>
          <w:rFonts w:asciiTheme="majorHAnsi" w:hAnsiTheme="majorHAnsi" w:cstheme="majorHAnsi"/>
        </w:rPr>
        <w:t xml:space="preserve">71 óvodás gyermeket, illetve 11 859 általános iskolás, 1 </w:t>
      </w:r>
      <w:r w:rsidRPr="00DC6C83">
        <w:rPr>
          <w:rFonts w:asciiTheme="majorHAnsi" w:hAnsiTheme="majorHAnsi" w:cstheme="majorHAnsi"/>
        </w:rPr>
        <w:t xml:space="preserve">935 gimnazista és 35 szakközépiskolás tanulót látnak el. </w:t>
      </w:r>
      <w:r w:rsidR="006C3C5C" w:rsidRPr="006C3C5C">
        <w:rPr>
          <w:rFonts w:asciiTheme="majorHAnsi" w:hAnsiTheme="majorHAnsi" w:cstheme="majorHAnsi"/>
        </w:rPr>
        <w:t>Ezeken a létszámokon túl az országos nemzetiségi önkormányzat által fenntartott 3 intézményben összesen 524 tanuló vesz részt kiegészítő nemzetiségi nyelvoktatásban.</w:t>
      </w:r>
    </w:p>
    <w:p w14:paraId="460AC446" w14:textId="77777777" w:rsidR="00B86FE8" w:rsidRPr="00DC6C83" w:rsidRDefault="00B86FE8" w:rsidP="00B86FE8">
      <w:pPr>
        <w:rPr>
          <w:rFonts w:asciiTheme="majorHAnsi" w:hAnsiTheme="majorHAnsi" w:cstheme="majorHAnsi"/>
          <w:vertAlign w:val="superscript"/>
        </w:rPr>
      </w:pPr>
      <w:r w:rsidRPr="00DC6C83">
        <w:rPr>
          <w:rFonts w:asciiTheme="majorHAnsi" w:hAnsiTheme="majorHAnsi" w:cstheme="majorHAnsi"/>
        </w:rPr>
        <w:t xml:space="preserve">A nevelési-oktatási intézményt fenntartó nemzetiségi önkormányzatokat a költségvetés kiemelten támogatja. Az átlagosnál alacsonyabb tanulólétszám, 12 fő helyett 8 fő esetén vehetik igénybe az átlagbér-támogatást, és az egyházi fenntartókkal egyezően gyermekenként, tanulónként </w:t>
      </w:r>
      <w:r w:rsidR="00E64FEB">
        <w:rPr>
          <w:rFonts w:asciiTheme="majorHAnsi" w:hAnsiTheme="majorHAnsi" w:cstheme="majorHAnsi"/>
        </w:rPr>
        <w:t xml:space="preserve">további </w:t>
      </w:r>
      <w:r w:rsidRPr="00DC6C83">
        <w:rPr>
          <w:rFonts w:asciiTheme="majorHAnsi" w:hAnsiTheme="majorHAnsi" w:cstheme="majorHAnsi"/>
        </w:rPr>
        <w:t>működési támogatás igénybevételére is jogosultak</w:t>
      </w:r>
      <w:r w:rsidR="00325B60">
        <w:rPr>
          <w:rFonts w:asciiTheme="majorHAnsi" w:hAnsiTheme="majorHAnsi" w:cstheme="majorHAnsi"/>
        </w:rPr>
        <w:t>. Egyes</w:t>
      </w:r>
      <w:r w:rsidR="00E64FEB">
        <w:rPr>
          <w:rFonts w:asciiTheme="majorHAnsi" w:hAnsiTheme="majorHAnsi" w:cstheme="majorHAnsi"/>
        </w:rPr>
        <w:t xml:space="preserve"> indokolt esetekben </w:t>
      </w:r>
      <w:r w:rsidRPr="00DC6C83">
        <w:rPr>
          <w:rFonts w:asciiTheme="majorHAnsi" w:hAnsiTheme="majorHAnsi" w:cstheme="majorHAnsi"/>
        </w:rPr>
        <w:t xml:space="preserve">köznevelési szerződés keretében további kiegészítő támogatást </w:t>
      </w:r>
      <w:r w:rsidRPr="00DC6C83">
        <w:rPr>
          <w:rFonts w:asciiTheme="majorHAnsi" w:hAnsiTheme="majorHAnsi" w:cstheme="majorHAnsi"/>
        </w:rPr>
        <w:lastRenderedPageBreak/>
        <w:t>kaphatnak a nemzetiségi köznevelési intézményt fenntartó nemzetiségi önkormányzati és más nem állami fenntartók</w:t>
      </w:r>
      <w:r w:rsidR="003B3C2F">
        <w:rPr>
          <w:rFonts w:asciiTheme="majorHAnsi" w:hAnsiTheme="majorHAnsi" w:cstheme="majorHAnsi"/>
        </w:rPr>
        <w:t>.</w:t>
      </w:r>
      <w:r w:rsidR="004E1A1B">
        <w:rPr>
          <w:rFonts w:asciiTheme="majorHAnsi" w:hAnsiTheme="majorHAnsi" w:cstheme="majorHAnsi"/>
        </w:rPr>
        <w:t xml:space="preserve"> </w:t>
      </w:r>
      <w:r w:rsidR="003B3C2F">
        <w:rPr>
          <w:rFonts w:asciiTheme="majorHAnsi" w:hAnsiTheme="majorHAnsi" w:cstheme="majorHAnsi"/>
        </w:rPr>
        <w:t>J</w:t>
      </w:r>
      <w:r w:rsidRPr="00DC6C83">
        <w:rPr>
          <w:rFonts w:asciiTheme="majorHAnsi" w:hAnsiTheme="majorHAnsi" w:cstheme="majorHAnsi"/>
        </w:rPr>
        <w:t xml:space="preserve">elenleg öt nemzetiségi önkormányzat és két közalapítvány kap az általuk fenntartott nemzetiségi köznevelési intézmények működtetésére </w:t>
      </w:r>
      <w:r w:rsidR="00E64FEB">
        <w:rPr>
          <w:rFonts w:asciiTheme="majorHAnsi" w:hAnsiTheme="majorHAnsi" w:cstheme="majorHAnsi"/>
        </w:rPr>
        <w:t xml:space="preserve">évi </w:t>
      </w:r>
      <w:r w:rsidRPr="00DC6C83">
        <w:rPr>
          <w:rFonts w:asciiTheme="majorHAnsi" w:hAnsiTheme="majorHAnsi" w:cstheme="majorHAnsi"/>
        </w:rPr>
        <w:t>1</w:t>
      </w:r>
      <w:r w:rsidR="00E64FEB">
        <w:rPr>
          <w:rFonts w:asciiTheme="majorHAnsi" w:hAnsiTheme="majorHAnsi" w:cstheme="majorHAnsi"/>
        </w:rPr>
        <w:t>,</w:t>
      </w:r>
      <w:r w:rsidRPr="00DC6C83">
        <w:rPr>
          <w:rFonts w:asciiTheme="majorHAnsi" w:hAnsiTheme="majorHAnsi" w:cstheme="majorHAnsi"/>
        </w:rPr>
        <w:t>3</w:t>
      </w:r>
      <w:r w:rsidR="00894F62">
        <w:rPr>
          <w:rFonts w:asciiTheme="majorHAnsi" w:hAnsiTheme="majorHAnsi" w:cstheme="majorHAnsi"/>
        </w:rPr>
        <w:t xml:space="preserve"> </w:t>
      </w:r>
      <w:r w:rsidR="00D63746">
        <w:rPr>
          <w:rFonts w:asciiTheme="majorHAnsi" w:hAnsiTheme="majorHAnsi" w:cstheme="majorHAnsi"/>
        </w:rPr>
        <w:t>milliárd</w:t>
      </w:r>
      <w:r w:rsidR="00894F62">
        <w:rPr>
          <w:rFonts w:asciiTheme="majorHAnsi" w:hAnsiTheme="majorHAnsi" w:cstheme="majorHAnsi"/>
        </w:rPr>
        <w:t xml:space="preserve"> </w:t>
      </w:r>
      <w:r w:rsidRPr="00DC6C83">
        <w:rPr>
          <w:rFonts w:asciiTheme="majorHAnsi" w:hAnsiTheme="majorHAnsi" w:cstheme="majorHAnsi"/>
        </w:rPr>
        <w:t>Ft</w:t>
      </w:r>
      <w:r w:rsidR="00E64FEB">
        <w:rPr>
          <w:rFonts w:asciiTheme="majorHAnsi" w:hAnsiTheme="majorHAnsi" w:cstheme="majorHAnsi"/>
        </w:rPr>
        <w:t xml:space="preserve"> többlettámogatást</w:t>
      </w:r>
      <w:r w:rsidRPr="00DC6C83">
        <w:rPr>
          <w:rFonts w:asciiTheme="majorHAnsi" w:hAnsiTheme="majorHAnsi" w:cstheme="majorHAnsi"/>
        </w:rPr>
        <w:t>.</w:t>
      </w:r>
    </w:p>
    <w:p w14:paraId="261893AA" w14:textId="797668F1"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Az Országgyűlés Magyarországi nemzetiségek bizottsága, együttműködve az </w:t>
      </w:r>
      <w:r w:rsidR="00EF5342">
        <w:rPr>
          <w:rFonts w:asciiTheme="majorHAnsi" w:hAnsiTheme="majorHAnsi" w:cstheme="majorHAnsi"/>
        </w:rPr>
        <w:t>Emberi Erőforrások Minisztér</w:t>
      </w:r>
      <w:r w:rsidR="007B3C0F">
        <w:rPr>
          <w:rFonts w:asciiTheme="majorHAnsi" w:hAnsiTheme="majorHAnsi" w:cstheme="majorHAnsi"/>
        </w:rPr>
        <w:t>i</w:t>
      </w:r>
      <w:r w:rsidR="00EF5342">
        <w:rPr>
          <w:rFonts w:asciiTheme="majorHAnsi" w:hAnsiTheme="majorHAnsi" w:cstheme="majorHAnsi"/>
        </w:rPr>
        <w:t>umával</w:t>
      </w:r>
      <w:r w:rsidRPr="00DC6C83">
        <w:rPr>
          <w:rFonts w:asciiTheme="majorHAnsi" w:hAnsiTheme="majorHAnsi" w:cstheme="majorHAnsi"/>
        </w:rPr>
        <w:t xml:space="preserve">, </w:t>
      </w:r>
      <w:r w:rsidRPr="000310B4">
        <w:rPr>
          <w:rFonts w:asciiTheme="majorHAnsi" w:hAnsiTheme="majorHAnsi" w:cstheme="majorHAnsi"/>
        </w:rPr>
        <w:t>2017-ben nemzetiségi óvodafejlesztési programot dolgozott ki</w:t>
      </w:r>
      <w:r w:rsidRPr="00DC6C83">
        <w:rPr>
          <w:rFonts w:asciiTheme="majorHAnsi" w:hAnsiTheme="majorHAnsi" w:cstheme="majorHAnsi"/>
        </w:rPr>
        <w:t xml:space="preserve">, amelyet 2018-ban a nemzetiségi tanítókra és tanárokra is kiterjesztett. </w:t>
      </w:r>
      <w:r w:rsidRPr="000310B4">
        <w:rPr>
          <w:rFonts w:asciiTheme="majorHAnsi" w:hAnsiTheme="majorHAnsi" w:cstheme="majorHAnsi"/>
        </w:rPr>
        <w:t xml:space="preserve">A program a nemzetiségi pedagógus pályát választó fiatalok számának és a nemzetiségi pedagógusképzés színvonalának emelését, a nyelvi képzés hatékonyabbá tételét, továbbá a pályán lévő nemzetiségi pedagógusok megtartását és megbecsülésük javítását célozta. </w:t>
      </w:r>
      <w:r w:rsidRPr="00DC6C83">
        <w:rPr>
          <w:rFonts w:asciiTheme="majorHAnsi" w:hAnsiTheme="majorHAnsi" w:cstheme="majorHAnsi"/>
        </w:rPr>
        <w:t>E program része a nemzetisé</w:t>
      </w:r>
      <w:r w:rsidR="004E1A1B">
        <w:rPr>
          <w:rFonts w:asciiTheme="majorHAnsi" w:hAnsiTheme="majorHAnsi" w:cstheme="majorHAnsi"/>
        </w:rPr>
        <w:t>gi pedagógusképzésben részt</w:t>
      </w:r>
      <w:r w:rsidR="00635D36">
        <w:rPr>
          <w:rFonts w:asciiTheme="majorHAnsi" w:hAnsiTheme="majorHAnsi" w:cstheme="majorHAnsi"/>
        </w:rPr>
        <w:t xml:space="preserve"> </w:t>
      </w:r>
      <w:r w:rsidR="004E1A1B">
        <w:rPr>
          <w:rFonts w:asciiTheme="majorHAnsi" w:hAnsiTheme="majorHAnsi" w:cstheme="majorHAnsi"/>
        </w:rPr>
        <w:t xml:space="preserve">vevő </w:t>
      </w:r>
      <w:r w:rsidRPr="00DC6C83">
        <w:rPr>
          <w:rFonts w:asciiTheme="majorHAnsi" w:hAnsiTheme="majorHAnsi" w:cstheme="majorHAnsi"/>
        </w:rPr>
        <w:t>hallgatók ösztöndíjazása és a nemzetiségi pedagógusképző helyek pályázati támogatása mellett a jelentős mértékű nemzetiségi pótlékemelés is.</w:t>
      </w:r>
      <w:r w:rsidR="00F11919">
        <w:rPr>
          <w:rFonts w:asciiTheme="majorHAnsi" w:hAnsiTheme="majorHAnsi" w:cstheme="majorHAnsi"/>
        </w:rPr>
        <w:t xml:space="preserve"> </w:t>
      </w:r>
      <w:r w:rsidRPr="000310B4">
        <w:rPr>
          <w:rFonts w:asciiTheme="majorHAnsi" w:hAnsiTheme="majorHAnsi" w:cstheme="majorHAnsi"/>
        </w:rPr>
        <w:t>A</w:t>
      </w:r>
      <w:r w:rsidR="00E64FEB" w:rsidRPr="000310B4">
        <w:rPr>
          <w:rFonts w:asciiTheme="majorHAnsi" w:hAnsiTheme="majorHAnsi" w:cstheme="majorHAnsi"/>
        </w:rPr>
        <w:t xml:space="preserve"> program keretében</w:t>
      </w:r>
      <w:r w:rsidR="00F11919">
        <w:rPr>
          <w:rFonts w:asciiTheme="majorHAnsi" w:hAnsiTheme="majorHAnsi" w:cstheme="majorHAnsi"/>
        </w:rPr>
        <w:t xml:space="preserve"> </w:t>
      </w:r>
      <w:r w:rsidR="00E64FEB" w:rsidRPr="000310B4">
        <w:rPr>
          <w:rFonts w:asciiTheme="majorHAnsi" w:hAnsiTheme="majorHAnsi" w:cstheme="majorHAnsi"/>
        </w:rPr>
        <w:t xml:space="preserve">a </w:t>
      </w:r>
      <w:r w:rsidRPr="000310B4">
        <w:rPr>
          <w:rFonts w:asciiTheme="majorHAnsi" w:hAnsiTheme="majorHAnsi" w:cstheme="majorHAnsi"/>
        </w:rPr>
        <w:t>nemzetiségi pótlék mértéke 3 év alatt, 2020-ra</w:t>
      </w:r>
      <w:r w:rsidR="00653F24">
        <w:rPr>
          <w:rFonts w:asciiTheme="majorHAnsi" w:hAnsiTheme="majorHAnsi" w:cstheme="majorHAnsi"/>
        </w:rPr>
        <w:t>,</w:t>
      </w:r>
      <w:r w:rsidRPr="000310B4">
        <w:rPr>
          <w:rFonts w:asciiTheme="majorHAnsi" w:hAnsiTheme="majorHAnsi" w:cstheme="majorHAnsi"/>
        </w:rPr>
        <w:t xml:space="preserve"> fokozatosan a négyszeresére emelkedett</w:t>
      </w:r>
      <w:r w:rsidR="00B10E8F">
        <w:rPr>
          <w:rFonts w:asciiTheme="majorHAnsi" w:hAnsiTheme="majorHAnsi" w:cstheme="majorHAnsi"/>
        </w:rPr>
        <w:t>. Emellett</w:t>
      </w:r>
      <w:r w:rsidR="00E64FEB">
        <w:rPr>
          <w:rFonts w:asciiTheme="majorHAnsi" w:hAnsiTheme="majorHAnsi" w:cstheme="majorHAnsi"/>
        </w:rPr>
        <w:t xml:space="preserve"> az eddig</w:t>
      </w:r>
      <w:r w:rsidRPr="00DC6C83">
        <w:rPr>
          <w:rFonts w:asciiTheme="majorHAnsi" w:hAnsiTheme="majorHAnsi" w:cstheme="majorHAnsi"/>
        </w:rPr>
        <w:t xml:space="preserve"> nemzetiségi pótlékban nem részesülő nemzetiségi pedagógusok is jogosultak lesznek differenciált mértékű pótlékra.</w:t>
      </w:r>
    </w:p>
    <w:p w14:paraId="17E59942" w14:textId="77777777"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w:t>
      </w:r>
      <w:r w:rsidRPr="000310B4">
        <w:rPr>
          <w:rFonts w:asciiTheme="majorHAnsi" w:hAnsiTheme="majorHAnsi" w:cstheme="majorHAnsi"/>
        </w:rPr>
        <w:t>Nemzetiségi Óvodapedagógus Tanulmányi Ösztöndíjprogram</w:t>
      </w:r>
      <w:r w:rsidRPr="00DC6C83">
        <w:rPr>
          <w:rFonts w:asciiTheme="majorHAnsi" w:hAnsiTheme="majorHAnsi" w:cstheme="majorHAnsi"/>
        </w:rPr>
        <w:t xml:space="preserve"> alapján az induláskor a 2018/2019</w:t>
      </w:r>
      <w:r w:rsidR="00653F24">
        <w:rPr>
          <w:rFonts w:asciiTheme="majorHAnsi" w:hAnsiTheme="majorHAnsi" w:cstheme="majorHAnsi"/>
        </w:rPr>
        <w:t>-es</w:t>
      </w:r>
      <w:r w:rsidRPr="00DC6C83">
        <w:rPr>
          <w:rFonts w:asciiTheme="majorHAnsi" w:hAnsiTheme="majorHAnsi" w:cstheme="majorHAnsi"/>
        </w:rPr>
        <w:t xml:space="preserve"> tanévben 87 első évfolyamos nemzetiségi óvodapedagógus nyert el mindösszesen 41,6 millió Ft ösztöndíjat (20,8 millió Ft/</w:t>
      </w:r>
      <w:r w:rsidR="00E64FEB">
        <w:rPr>
          <w:rFonts w:asciiTheme="majorHAnsi" w:hAnsiTheme="majorHAnsi" w:cstheme="majorHAnsi"/>
        </w:rPr>
        <w:t>félév</w:t>
      </w:r>
      <w:r w:rsidRPr="00DC6C83">
        <w:rPr>
          <w:rFonts w:asciiTheme="majorHAnsi" w:hAnsiTheme="majorHAnsi" w:cstheme="majorHAnsi"/>
        </w:rPr>
        <w:t>). A 2019/2020</w:t>
      </w:r>
      <w:r w:rsidR="00653F24">
        <w:rPr>
          <w:rFonts w:asciiTheme="majorHAnsi" w:hAnsiTheme="majorHAnsi" w:cstheme="majorHAnsi"/>
        </w:rPr>
        <w:t>-as</w:t>
      </w:r>
      <w:r w:rsidRPr="00DC6C83">
        <w:rPr>
          <w:rFonts w:asciiTheme="majorHAnsi" w:hAnsiTheme="majorHAnsi" w:cstheme="majorHAnsi"/>
        </w:rPr>
        <w:t xml:space="preserve"> tanév első </w:t>
      </w:r>
      <w:r w:rsidR="00E64FEB">
        <w:rPr>
          <w:rFonts w:asciiTheme="majorHAnsi" w:hAnsiTheme="majorHAnsi" w:cstheme="majorHAnsi"/>
        </w:rPr>
        <w:t>félévében</w:t>
      </w:r>
      <w:r w:rsidR="004E1A1B">
        <w:rPr>
          <w:rFonts w:asciiTheme="majorHAnsi" w:hAnsiTheme="majorHAnsi" w:cstheme="majorHAnsi"/>
        </w:rPr>
        <w:t xml:space="preserve"> </w:t>
      </w:r>
      <w:r w:rsidRPr="00DC6C83">
        <w:rPr>
          <w:rFonts w:asciiTheme="majorHAnsi" w:hAnsiTheme="majorHAnsi" w:cstheme="majorHAnsi"/>
        </w:rPr>
        <w:t>már az 1-3. évfolyamos nemzetiségi óvodapedagógus hallgatók és az 1. évfolyamos nemzetiségi tanító és tanár szakos hallgatók pályázhattak, az általuk elnyert öszt</w:t>
      </w:r>
      <w:r w:rsidR="00B10E8F">
        <w:rPr>
          <w:rFonts w:asciiTheme="majorHAnsi" w:hAnsiTheme="majorHAnsi" w:cstheme="majorHAnsi"/>
        </w:rPr>
        <w:t xml:space="preserve">öndíj összege 78,6 millió Ft. Az ösztöndíj </w:t>
      </w:r>
      <w:r w:rsidRPr="00DC6C83">
        <w:rPr>
          <w:rFonts w:asciiTheme="majorHAnsi" w:hAnsiTheme="majorHAnsi" w:cstheme="majorHAnsi"/>
        </w:rPr>
        <w:t>adatait az alábbi táblázat tartalmazza:</w:t>
      </w:r>
    </w:p>
    <w:p w14:paraId="5E352ACD" w14:textId="77777777" w:rsidR="00B86FE8" w:rsidRPr="00DC6C83" w:rsidRDefault="00B86FE8" w:rsidP="00A87CC0">
      <w:pPr>
        <w:pStyle w:val="Tblacm"/>
        <w:ind w:left="426"/>
        <w:jc w:val="center"/>
        <w:rPr>
          <w:rFonts w:asciiTheme="majorHAnsi" w:hAnsiTheme="majorHAnsi" w:cstheme="majorHAnsi"/>
        </w:rPr>
      </w:pPr>
      <w:r w:rsidRPr="00DC6C83">
        <w:rPr>
          <w:rFonts w:asciiTheme="majorHAnsi" w:hAnsiTheme="majorHAnsi" w:cstheme="majorHAnsi"/>
        </w:rPr>
        <w:t>táblázat: Az érvényesen pályázók száma 2019/2020. tanév I. szemeszterében</w:t>
      </w:r>
    </w:p>
    <w:tbl>
      <w:tblPr>
        <w:tblStyle w:val="Tblzatrcsos1vilgos2jellszn1"/>
        <w:tblW w:w="0" w:type="auto"/>
        <w:jc w:val="center"/>
        <w:tblLayout w:type="fixed"/>
        <w:tblLook w:val="0000" w:firstRow="0" w:lastRow="0" w:firstColumn="0" w:lastColumn="0" w:noHBand="0" w:noVBand="0"/>
      </w:tblPr>
      <w:tblGrid>
        <w:gridCol w:w="1418"/>
        <w:gridCol w:w="1417"/>
        <w:gridCol w:w="1418"/>
        <w:gridCol w:w="1134"/>
        <w:gridCol w:w="1134"/>
        <w:gridCol w:w="992"/>
        <w:gridCol w:w="931"/>
      </w:tblGrid>
      <w:tr w:rsidR="00B86FE8" w:rsidRPr="00DC6C83" w14:paraId="079E332C" w14:textId="77777777" w:rsidTr="00AD28F0">
        <w:trPr>
          <w:trHeight w:val="120"/>
          <w:jc w:val="center"/>
        </w:trPr>
        <w:tc>
          <w:tcPr>
            <w:tcW w:w="1418" w:type="dxa"/>
            <w:shd w:val="clear" w:color="auto" w:fill="D9C7BC" w:themeFill="accent2" w:themeFillTint="40"/>
            <w:vAlign w:val="center"/>
          </w:tcPr>
          <w:p w14:paraId="38B7F2A9" w14:textId="77777777" w:rsidR="00B86FE8" w:rsidRPr="00DC6C83" w:rsidRDefault="00B86FE8" w:rsidP="007B3C0F">
            <w:pPr>
              <w:pStyle w:val="Default"/>
              <w:jc w:val="center"/>
              <w:rPr>
                <w:rFonts w:asciiTheme="majorHAnsi" w:hAnsiTheme="majorHAnsi" w:cstheme="majorHAnsi"/>
                <w:b/>
                <w:color w:val="auto"/>
                <w:sz w:val="20"/>
                <w:szCs w:val="20"/>
              </w:rPr>
            </w:pPr>
          </w:p>
        </w:tc>
        <w:tc>
          <w:tcPr>
            <w:tcW w:w="1417" w:type="dxa"/>
            <w:shd w:val="clear" w:color="auto" w:fill="D9C7BC" w:themeFill="accent2" w:themeFillTint="40"/>
            <w:vAlign w:val="center"/>
          </w:tcPr>
          <w:p w14:paraId="03E4FE5D" w14:textId="77777777" w:rsidR="00B86FE8" w:rsidRPr="00DC6C83" w:rsidRDefault="00B86FE8" w:rsidP="007B3C0F">
            <w:pPr>
              <w:pStyle w:val="Default"/>
              <w:jc w:val="center"/>
              <w:rPr>
                <w:rFonts w:asciiTheme="majorHAnsi" w:hAnsiTheme="majorHAnsi" w:cstheme="majorHAnsi"/>
                <w:b/>
                <w:color w:val="auto"/>
                <w:sz w:val="20"/>
                <w:szCs w:val="20"/>
              </w:rPr>
            </w:pPr>
            <w:r w:rsidRPr="00DC6C83">
              <w:rPr>
                <w:rFonts w:asciiTheme="majorHAnsi" w:hAnsiTheme="majorHAnsi" w:cstheme="majorHAnsi"/>
                <w:b/>
                <w:color w:val="auto"/>
                <w:sz w:val="20"/>
                <w:szCs w:val="20"/>
              </w:rPr>
              <w:t>Nemzetiségi tanító</w:t>
            </w:r>
          </w:p>
        </w:tc>
        <w:tc>
          <w:tcPr>
            <w:tcW w:w="1418" w:type="dxa"/>
            <w:shd w:val="clear" w:color="auto" w:fill="D9C7BC" w:themeFill="accent2" w:themeFillTint="40"/>
            <w:vAlign w:val="center"/>
          </w:tcPr>
          <w:p w14:paraId="02FED569" w14:textId="77777777" w:rsidR="00B86FE8" w:rsidRPr="00DC6C83" w:rsidRDefault="00B86FE8" w:rsidP="007B3C0F">
            <w:pPr>
              <w:pStyle w:val="Default"/>
              <w:jc w:val="center"/>
              <w:rPr>
                <w:rFonts w:asciiTheme="majorHAnsi" w:hAnsiTheme="majorHAnsi" w:cstheme="majorHAnsi"/>
                <w:b/>
                <w:color w:val="auto"/>
                <w:sz w:val="20"/>
                <w:szCs w:val="20"/>
              </w:rPr>
            </w:pPr>
            <w:r w:rsidRPr="00DC6C83">
              <w:rPr>
                <w:rFonts w:asciiTheme="majorHAnsi" w:hAnsiTheme="majorHAnsi" w:cstheme="majorHAnsi"/>
                <w:b/>
                <w:color w:val="auto"/>
                <w:sz w:val="20"/>
                <w:szCs w:val="20"/>
              </w:rPr>
              <w:t>Nemzetiségi tanár</w:t>
            </w:r>
          </w:p>
        </w:tc>
        <w:tc>
          <w:tcPr>
            <w:tcW w:w="3260" w:type="dxa"/>
            <w:gridSpan w:val="3"/>
            <w:shd w:val="clear" w:color="auto" w:fill="D9C7BC" w:themeFill="accent2" w:themeFillTint="40"/>
            <w:vAlign w:val="center"/>
          </w:tcPr>
          <w:p w14:paraId="054DC349" w14:textId="77777777" w:rsidR="00B86FE8" w:rsidRPr="00DC6C83" w:rsidRDefault="00B86FE8" w:rsidP="007B3C0F">
            <w:pPr>
              <w:pStyle w:val="Default"/>
              <w:jc w:val="center"/>
              <w:rPr>
                <w:rFonts w:asciiTheme="majorHAnsi" w:hAnsiTheme="majorHAnsi" w:cstheme="majorHAnsi"/>
                <w:b/>
                <w:color w:val="auto"/>
                <w:sz w:val="20"/>
                <w:szCs w:val="20"/>
              </w:rPr>
            </w:pPr>
            <w:r w:rsidRPr="00DC6C83">
              <w:rPr>
                <w:rFonts w:asciiTheme="majorHAnsi" w:hAnsiTheme="majorHAnsi" w:cstheme="majorHAnsi"/>
                <w:b/>
                <w:color w:val="auto"/>
                <w:sz w:val="20"/>
                <w:szCs w:val="20"/>
              </w:rPr>
              <w:t>Nemzetiségi óvodapedagógus</w:t>
            </w:r>
          </w:p>
        </w:tc>
        <w:tc>
          <w:tcPr>
            <w:tcW w:w="931" w:type="dxa"/>
            <w:shd w:val="clear" w:color="auto" w:fill="D9C7BC" w:themeFill="accent2" w:themeFillTint="40"/>
            <w:vAlign w:val="center"/>
          </w:tcPr>
          <w:p w14:paraId="13498C75" w14:textId="77777777" w:rsidR="00B86FE8" w:rsidRPr="00DC6C83" w:rsidRDefault="00B86FE8" w:rsidP="007B3C0F">
            <w:pPr>
              <w:pStyle w:val="Default"/>
              <w:jc w:val="center"/>
              <w:rPr>
                <w:rFonts w:asciiTheme="majorHAnsi" w:hAnsiTheme="majorHAnsi" w:cstheme="majorHAnsi"/>
                <w:b/>
                <w:color w:val="auto"/>
                <w:sz w:val="20"/>
                <w:szCs w:val="20"/>
              </w:rPr>
            </w:pPr>
            <w:r w:rsidRPr="00DC6C83">
              <w:rPr>
                <w:rFonts w:asciiTheme="majorHAnsi" w:hAnsiTheme="majorHAnsi" w:cstheme="majorHAnsi"/>
                <w:b/>
                <w:color w:val="auto"/>
                <w:sz w:val="20"/>
                <w:szCs w:val="20"/>
              </w:rPr>
              <w:t>Σ</w:t>
            </w:r>
          </w:p>
        </w:tc>
      </w:tr>
      <w:tr w:rsidR="00B86FE8" w:rsidRPr="00AD28F0" w14:paraId="61864483" w14:textId="77777777" w:rsidTr="007B3C0F">
        <w:trPr>
          <w:trHeight w:val="120"/>
          <w:jc w:val="center"/>
        </w:trPr>
        <w:tc>
          <w:tcPr>
            <w:tcW w:w="1418" w:type="dxa"/>
          </w:tcPr>
          <w:p w14:paraId="5B1DDEEF" w14:textId="77777777" w:rsidR="00B86FE8" w:rsidRPr="00AD28F0" w:rsidRDefault="00B86FE8" w:rsidP="00AD28F0">
            <w:pPr>
              <w:pStyle w:val="Default"/>
              <w:jc w:val="center"/>
              <w:rPr>
                <w:rFonts w:asciiTheme="majorHAnsi" w:hAnsiTheme="majorHAnsi" w:cstheme="majorHAnsi"/>
                <w:b/>
                <w:color w:val="auto"/>
                <w:sz w:val="20"/>
                <w:szCs w:val="20"/>
              </w:rPr>
            </w:pPr>
          </w:p>
        </w:tc>
        <w:tc>
          <w:tcPr>
            <w:tcW w:w="1417" w:type="dxa"/>
          </w:tcPr>
          <w:p w14:paraId="23FE6502" w14:textId="77777777" w:rsidR="00B86FE8" w:rsidRPr="00AD28F0" w:rsidRDefault="00B86FE8" w:rsidP="00AD28F0">
            <w:pPr>
              <w:pStyle w:val="Default"/>
              <w:jc w:val="center"/>
              <w:rPr>
                <w:rFonts w:asciiTheme="majorHAnsi" w:hAnsiTheme="majorHAnsi" w:cstheme="majorHAnsi"/>
                <w:b/>
                <w:color w:val="auto"/>
                <w:sz w:val="20"/>
                <w:szCs w:val="20"/>
              </w:rPr>
            </w:pPr>
            <w:r w:rsidRPr="00AD28F0">
              <w:rPr>
                <w:rFonts w:asciiTheme="majorHAnsi" w:hAnsiTheme="majorHAnsi" w:cstheme="majorHAnsi"/>
                <w:b/>
                <w:color w:val="auto"/>
                <w:sz w:val="20"/>
                <w:szCs w:val="20"/>
              </w:rPr>
              <w:t>1. évf.</w:t>
            </w:r>
          </w:p>
        </w:tc>
        <w:tc>
          <w:tcPr>
            <w:tcW w:w="1418" w:type="dxa"/>
          </w:tcPr>
          <w:p w14:paraId="7175C85A" w14:textId="77777777" w:rsidR="00B86FE8" w:rsidRPr="00AD28F0" w:rsidRDefault="00B86FE8" w:rsidP="00AD28F0">
            <w:pPr>
              <w:pStyle w:val="Default"/>
              <w:jc w:val="center"/>
              <w:rPr>
                <w:rFonts w:asciiTheme="majorHAnsi" w:hAnsiTheme="majorHAnsi" w:cstheme="majorHAnsi"/>
                <w:b/>
                <w:color w:val="auto"/>
                <w:sz w:val="20"/>
                <w:szCs w:val="20"/>
              </w:rPr>
            </w:pPr>
            <w:r w:rsidRPr="00AD28F0">
              <w:rPr>
                <w:rFonts w:asciiTheme="majorHAnsi" w:hAnsiTheme="majorHAnsi" w:cstheme="majorHAnsi"/>
                <w:b/>
                <w:color w:val="auto"/>
                <w:sz w:val="20"/>
                <w:szCs w:val="20"/>
              </w:rPr>
              <w:t>1. évf.</w:t>
            </w:r>
          </w:p>
        </w:tc>
        <w:tc>
          <w:tcPr>
            <w:tcW w:w="1134" w:type="dxa"/>
          </w:tcPr>
          <w:p w14:paraId="4E94219A" w14:textId="77777777" w:rsidR="00B86FE8" w:rsidRPr="00AD28F0" w:rsidRDefault="00B86FE8" w:rsidP="00AD28F0">
            <w:pPr>
              <w:pStyle w:val="Default"/>
              <w:jc w:val="center"/>
              <w:rPr>
                <w:rFonts w:asciiTheme="majorHAnsi" w:hAnsiTheme="majorHAnsi" w:cstheme="majorHAnsi"/>
                <w:b/>
                <w:color w:val="auto"/>
                <w:sz w:val="20"/>
                <w:szCs w:val="20"/>
              </w:rPr>
            </w:pPr>
            <w:r w:rsidRPr="00AD28F0">
              <w:rPr>
                <w:rFonts w:asciiTheme="majorHAnsi" w:hAnsiTheme="majorHAnsi" w:cstheme="majorHAnsi"/>
                <w:b/>
                <w:color w:val="auto"/>
                <w:sz w:val="20"/>
                <w:szCs w:val="20"/>
              </w:rPr>
              <w:t>1. évf.</w:t>
            </w:r>
          </w:p>
        </w:tc>
        <w:tc>
          <w:tcPr>
            <w:tcW w:w="1134" w:type="dxa"/>
          </w:tcPr>
          <w:p w14:paraId="23D9E2FE" w14:textId="77777777" w:rsidR="00B86FE8" w:rsidRPr="00AD28F0" w:rsidRDefault="00B86FE8" w:rsidP="00AD28F0">
            <w:pPr>
              <w:pStyle w:val="Default"/>
              <w:jc w:val="center"/>
              <w:rPr>
                <w:rFonts w:asciiTheme="majorHAnsi" w:hAnsiTheme="majorHAnsi" w:cstheme="majorHAnsi"/>
                <w:b/>
                <w:color w:val="auto"/>
                <w:sz w:val="20"/>
                <w:szCs w:val="20"/>
              </w:rPr>
            </w:pPr>
            <w:r w:rsidRPr="00AD28F0">
              <w:rPr>
                <w:rFonts w:asciiTheme="majorHAnsi" w:hAnsiTheme="majorHAnsi" w:cstheme="majorHAnsi"/>
                <w:b/>
                <w:color w:val="auto"/>
                <w:sz w:val="20"/>
                <w:szCs w:val="20"/>
              </w:rPr>
              <w:t>2. évf.</w:t>
            </w:r>
          </w:p>
        </w:tc>
        <w:tc>
          <w:tcPr>
            <w:tcW w:w="992" w:type="dxa"/>
          </w:tcPr>
          <w:p w14:paraId="78E60023" w14:textId="77777777" w:rsidR="00B86FE8" w:rsidRPr="00AD28F0" w:rsidRDefault="00B86FE8" w:rsidP="00AD28F0">
            <w:pPr>
              <w:pStyle w:val="Default"/>
              <w:jc w:val="center"/>
              <w:rPr>
                <w:rFonts w:asciiTheme="majorHAnsi" w:hAnsiTheme="majorHAnsi" w:cstheme="majorHAnsi"/>
                <w:b/>
                <w:color w:val="auto"/>
                <w:sz w:val="20"/>
                <w:szCs w:val="20"/>
              </w:rPr>
            </w:pPr>
            <w:r w:rsidRPr="00AD28F0">
              <w:rPr>
                <w:rFonts w:asciiTheme="majorHAnsi" w:hAnsiTheme="majorHAnsi" w:cstheme="majorHAnsi"/>
                <w:b/>
                <w:color w:val="auto"/>
                <w:sz w:val="20"/>
                <w:szCs w:val="20"/>
              </w:rPr>
              <w:t>3. évf</w:t>
            </w:r>
            <w:r w:rsidR="004E1A1B">
              <w:rPr>
                <w:rFonts w:asciiTheme="majorHAnsi" w:hAnsiTheme="majorHAnsi" w:cstheme="majorHAnsi"/>
                <w:b/>
                <w:color w:val="auto"/>
                <w:sz w:val="20"/>
                <w:szCs w:val="20"/>
              </w:rPr>
              <w:t>.</w:t>
            </w:r>
          </w:p>
        </w:tc>
        <w:tc>
          <w:tcPr>
            <w:tcW w:w="931" w:type="dxa"/>
          </w:tcPr>
          <w:p w14:paraId="2AA04510" w14:textId="77777777" w:rsidR="00B86FE8" w:rsidRPr="00AD28F0" w:rsidRDefault="00B86FE8" w:rsidP="00AD28F0">
            <w:pPr>
              <w:pStyle w:val="Default"/>
              <w:jc w:val="center"/>
              <w:rPr>
                <w:rFonts w:asciiTheme="majorHAnsi" w:hAnsiTheme="majorHAnsi" w:cstheme="majorHAnsi"/>
                <w:b/>
                <w:color w:val="auto"/>
                <w:sz w:val="20"/>
                <w:szCs w:val="20"/>
              </w:rPr>
            </w:pPr>
          </w:p>
        </w:tc>
      </w:tr>
      <w:tr w:rsidR="00B86FE8" w:rsidRPr="00DC6C83" w14:paraId="383C3D30" w14:textId="77777777" w:rsidTr="007B3C0F">
        <w:trPr>
          <w:trHeight w:val="120"/>
          <w:jc w:val="center"/>
        </w:trPr>
        <w:tc>
          <w:tcPr>
            <w:tcW w:w="1418" w:type="dxa"/>
          </w:tcPr>
          <w:p w14:paraId="76FF3D4A" w14:textId="77777777" w:rsidR="00B86FE8" w:rsidRPr="00DC6C83" w:rsidRDefault="00B86FE8" w:rsidP="0037289F">
            <w:pPr>
              <w:pStyle w:val="Default"/>
              <w:jc w:val="both"/>
              <w:rPr>
                <w:rFonts w:asciiTheme="majorHAnsi" w:hAnsiTheme="majorHAnsi" w:cstheme="majorHAnsi"/>
                <w:b/>
                <w:color w:val="auto"/>
                <w:sz w:val="20"/>
                <w:szCs w:val="20"/>
              </w:rPr>
            </w:pPr>
            <w:r w:rsidRPr="00DC6C83">
              <w:rPr>
                <w:rFonts w:asciiTheme="majorHAnsi" w:hAnsiTheme="majorHAnsi" w:cstheme="majorHAnsi"/>
                <w:b/>
                <w:color w:val="auto"/>
                <w:sz w:val="20"/>
                <w:szCs w:val="20"/>
              </w:rPr>
              <w:t>horvát</w:t>
            </w:r>
          </w:p>
        </w:tc>
        <w:tc>
          <w:tcPr>
            <w:tcW w:w="1417" w:type="dxa"/>
          </w:tcPr>
          <w:p w14:paraId="38DF28B5"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7</w:t>
            </w:r>
          </w:p>
        </w:tc>
        <w:tc>
          <w:tcPr>
            <w:tcW w:w="1418" w:type="dxa"/>
          </w:tcPr>
          <w:p w14:paraId="64298616"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w:t>
            </w:r>
          </w:p>
        </w:tc>
        <w:tc>
          <w:tcPr>
            <w:tcW w:w="1134" w:type="dxa"/>
          </w:tcPr>
          <w:p w14:paraId="2809EE22"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6</w:t>
            </w:r>
          </w:p>
        </w:tc>
        <w:tc>
          <w:tcPr>
            <w:tcW w:w="1134" w:type="dxa"/>
          </w:tcPr>
          <w:p w14:paraId="200156A9"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w:t>
            </w:r>
          </w:p>
        </w:tc>
        <w:tc>
          <w:tcPr>
            <w:tcW w:w="992" w:type="dxa"/>
          </w:tcPr>
          <w:p w14:paraId="6E664FBB"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0</w:t>
            </w:r>
          </w:p>
        </w:tc>
        <w:tc>
          <w:tcPr>
            <w:tcW w:w="931" w:type="dxa"/>
          </w:tcPr>
          <w:p w14:paraId="660DBDEE"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15</w:t>
            </w:r>
          </w:p>
        </w:tc>
      </w:tr>
      <w:tr w:rsidR="00B86FE8" w:rsidRPr="00DC6C83" w14:paraId="1A35C9E6" w14:textId="77777777" w:rsidTr="007B3C0F">
        <w:trPr>
          <w:trHeight w:val="129"/>
          <w:jc w:val="center"/>
        </w:trPr>
        <w:tc>
          <w:tcPr>
            <w:tcW w:w="1418" w:type="dxa"/>
          </w:tcPr>
          <w:p w14:paraId="7A041939" w14:textId="77777777" w:rsidR="00B86FE8" w:rsidRPr="00DC6C83" w:rsidRDefault="00B86FE8" w:rsidP="0037289F">
            <w:pPr>
              <w:pStyle w:val="Default"/>
              <w:jc w:val="both"/>
              <w:rPr>
                <w:rFonts w:asciiTheme="majorHAnsi" w:hAnsiTheme="majorHAnsi" w:cstheme="majorHAnsi"/>
                <w:b/>
                <w:color w:val="auto"/>
                <w:sz w:val="20"/>
                <w:szCs w:val="20"/>
              </w:rPr>
            </w:pPr>
            <w:r w:rsidRPr="00DC6C83">
              <w:rPr>
                <w:rFonts w:asciiTheme="majorHAnsi" w:hAnsiTheme="majorHAnsi" w:cstheme="majorHAnsi"/>
                <w:b/>
                <w:color w:val="auto"/>
                <w:sz w:val="20"/>
                <w:szCs w:val="20"/>
              </w:rPr>
              <w:t>német</w:t>
            </w:r>
          </w:p>
        </w:tc>
        <w:tc>
          <w:tcPr>
            <w:tcW w:w="1417" w:type="dxa"/>
          </w:tcPr>
          <w:p w14:paraId="0A48A828"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26</w:t>
            </w:r>
          </w:p>
        </w:tc>
        <w:tc>
          <w:tcPr>
            <w:tcW w:w="1418" w:type="dxa"/>
          </w:tcPr>
          <w:p w14:paraId="2067B12B"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282</w:t>
            </w:r>
          </w:p>
        </w:tc>
        <w:tc>
          <w:tcPr>
            <w:tcW w:w="1134" w:type="dxa"/>
          </w:tcPr>
          <w:p w14:paraId="45047FA9"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82</w:t>
            </w:r>
          </w:p>
        </w:tc>
        <w:tc>
          <w:tcPr>
            <w:tcW w:w="1134" w:type="dxa"/>
          </w:tcPr>
          <w:p w14:paraId="58A24358"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71</w:t>
            </w:r>
          </w:p>
        </w:tc>
        <w:tc>
          <w:tcPr>
            <w:tcW w:w="992" w:type="dxa"/>
          </w:tcPr>
          <w:p w14:paraId="63FE75B6"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37</w:t>
            </w:r>
          </w:p>
        </w:tc>
        <w:tc>
          <w:tcPr>
            <w:tcW w:w="931" w:type="dxa"/>
          </w:tcPr>
          <w:p w14:paraId="33F6B2CA"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244</w:t>
            </w:r>
          </w:p>
        </w:tc>
      </w:tr>
      <w:tr w:rsidR="00B86FE8" w:rsidRPr="00DC6C83" w14:paraId="388FBD14" w14:textId="77777777" w:rsidTr="007B3C0F">
        <w:trPr>
          <w:trHeight w:val="120"/>
          <w:jc w:val="center"/>
        </w:trPr>
        <w:tc>
          <w:tcPr>
            <w:tcW w:w="1418" w:type="dxa"/>
          </w:tcPr>
          <w:p w14:paraId="1C8F4038" w14:textId="77777777" w:rsidR="00B86FE8" w:rsidRPr="00DC6C83" w:rsidRDefault="00B86FE8" w:rsidP="0037289F">
            <w:pPr>
              <w:pStyle w:val="Default"/>
              <w:jc w:val="both"/>
              <w:rPr>
                <w:rFonts w:asciiTheme="majorHAnsi" w:hAnsiTheme="majorHAnsi" w:cstheme="majorHAnsi"/>
                <w:b/>
                <w:color w:val="auto"/>
                <w:sz w:val="20"/>
                <w:szCs w:val="20"/>
              </w:rPr>
            </w:pPr>
            <w:r w:rsidRPr="00DC6C83">
              <w:rPr>
                <w:rFonts w:asciiTheme="majorHAnsi" w:hAnsiTheme="majorHAnsi" w:cstheme="majorHAnsi"/>
                <w:b/>
                <w:color w:val="auto"/>
                <w:sz w:val="20"/>
                <w:szCs w:val="20"/>
              </w:rPr>
              <w:t>roma/cigány</w:t>
            </w:r>
          </w:p>
        </w:tc>
        <w:tc>
          <w:tcPr>
            <w:tcW w:w="1417" w:type="dxa"/>
          </w:tcPr>
          <w:p w14:paraId="3E9F58A5"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w:t>
            </w:r>
          </w:p>
        </w:tc>
        <w:tc>
          <w:tcPr>
            <w:tcW w:w="1418" w:type="dxa"/>
          </w:tcPr>
          <w:p w14:paraId="0218838B"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w:t>
            </w:r>
          </w:p>
        </w:tc>
        <w:tc>
          <w:tcPr>
            <w:tcW w:w="1134" w:type="dxa"/>
          </w:tcPr>
          <w:p w14:paraId="017B178F"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11</w:t>
            </w:r>
          </w:p>
        </w:tc>
        <w:tc>
          <w:tcPr>
            <w:tcW w:w="1134" w:type="dxa"/>
          </w:tcPr>
          <w:p w14:paraId="6A4374EF"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6</w:t>
            </w:r>
          </w:p>
        </w:tc>
        <w:tc>
          <w:tcPr>
            <w:tcW w:w="992" w:type="dxa"/>
          </w:tcPr>
          <w:p w14:paraId="38E9D733"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5</w:t>
            </w:r>
          </w:p>
        </w:tc>
        <w:tc>
          <w:tcPr>
            <w:tcW w:w="931" w:type="dxa"/>
          </w:tcPr>
          <w:p w14:paraId="7DF19937"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24</w:t>
            </w:r>
          </w:p>
        </w:tc>
      </w:tr>
      <w:tr w:rsidR="00B86FE8" w:rsidRPr="00DC6C83" w14:paraId="630B5E53" w14:textId="77777777" w:rsidTr="007B3C0F">
        <w:trPr>
          <w:trHeight w:val="120"/>
          <w:jc w:val="center"/>
        </w:trPr>
        <w:tc>
          <w:tcPr>
            <w:tcW w:w="1418" w:type="dxa"/>
          </w:tcPr>
          <w:p w14:paraId="7D5589E5" w14:textId="77777777" w:rsidR="00B86FE8" w:rsidRPr="00DC6C83" w:rsidRDefault="00B86FE8" w:rsidP="0037289F">
            <w:pPr>
              <w:pStyle w:val="Default"/>
              <w:jc w:val="both"/>
              <w:rPr>
                <w:rFonts w:asciiTheme="majorHAnsi" w:hAnsiTheme="majorHAnsi" w:cstheme="majorHAnsi"/>
                <w:b/>
                <w:color w:val="auto"/>
                <w:sz w:val="20"/>
                <w:szCs w:val="20"/>
              </w:rPr>
            </w:pPr>
            <w:r w:rsidRPr="00DC6C83">
              <w:rPr>
                <w:rFonts w:asciiTheme="majorHAnsi" w:hAnsiTheme="majorHAnsi" w:cstheme="majorHAnsi"/>
                <w:b/>
                <w:color w:val="auto"/>
                <w:sz w:val="20"/>
                <w:szCs w:val="20"/>
              </w:rPr>
              <w:t>román</w:t>
            </w:r>
          </w:p>
        </w:tc>
        <w:tc>
          <w:tcPr>
            <w:tcW w:w="1417" w:type="dxa"/>
          </w:tcPr>
          <w:p w14:paraId="55980A08"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3</w:t>
            </w:r>
          </w:p>
        </w:tc>
        <w:tc>
          <w:tcPr>
            <w:tcW w:w="1418" w:type="dxa"/>
          </w:tcPr>
          <w:p w14:paraId="44C5A7DA"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5</w:t>
            </w:r>
          </w:p>
        </w:tc>
        <w:tc>
          <w:tcPr>
            <w:tcW w:w="1134" w:type="dxa"/>
          </w:tcPr>
          <w:p w14:paraId="6DC532F4"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2</w:t>
            </w:r>
          </w:p>
        </w:tc>
        <w:tc>
          <w:tcPr>
            <w:tcW w:w="1134" w:type="dxa"/>
          </w:tcPr>
          <w:p w14:paraId="4140B5E6"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5</w:t>
            </w:r>
          </w:p>
        </w:tc>
        <w:tc>
          <w:tcPr>
            <w:tcW w:w="992" w:type="dxa"/>
          </w:tcPr>
          <w:p w14:paraId="6A8F0AC0"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4</w:t>
            </w:r>
          </w:p>
        </w:tc>
        <w:tc>
          <w:tcPr>
            <w:tcW w:w="931" w:type="dxa"/>
          </w:tcPr>
          <w:p w14:paraId="0C9C4B8F"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19</w:t>
            </w:r>
          </w:p>
        </w:tc>
      </w:tr>
      <w:tr w:rsidR="00B86FE8" w:rsidRPr="00DC6C83" w14:paraId="54CE6CE2" w14:textId="77777777" w:rsidTr="007B3C0F">
        <w:trPr>
          <w:trHeight w:val="120"/>
          <w:jc w:val="center"/>
        </w:trPr>
        <w:tc>
          <w:tcPr>
            <w:tcW w:w="1418" w:type="dxa"/>
          </w:tcPr>
          <w:p w14:paraId="462E8AE4" w14:textId="77777777" w:rsidR="00B86FE8" w:rsidRPr="00DC6C83" w:rsidRDefault="00B86FE8" w:rsidP="0037289F">
            <w:pPr>
              <w:pStyle w:val="Default"/>
              <w:jc w:val="both"/>
              <w:rPr>
                <w:rFonts w:asciiTheme="majorHAnsi" w:hAnsiTheme="majorHAnsi" w:cstheme="majorHAnsi"/>
                <w:b/>
                <w:color w:val="auto"/>
                <w:sz w:val="20"/>
                <w:szCs w:val="20"/>
              </w:rPr>
            </w:pPr>
            <w:r w:rsidRPr="00DC6C83">
              <w:rPr>
                <w:rFonts w:asciiTheme="majorHAnsi" w:hAnsiTheme="majorHAnsi" w:cstheme="majorHAnsi"/>
                <w:b/>
                <w:color w:val="auto"/>
                <w:sz w:val="20"/>
                <w:szCs w:val="20"/>
              </w:rPr>
              <w:t>szlovák</w:t>
            </w:r>
          </w:p>
        </w:tc>
        <w:tc>
          <w:tcPr>
            <w:tcW w:w="1417" w:type="dxa"/>
          </w:tcPr>
          <w:p w14:paraId="02932685"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2</w:t>
            </w:r>
          </w:p>
        </w:tc>
        <w:tc>
          <w:tcPr>
            <w:tcW w:w="1418" w:type="dxa"/>
          </w:tcPr>
          <w:p w14:paraId="6239800D"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w:t>
            </w:r>
          </w:p>
        </w:tc>
        <w:tc>
          <w:tcPr>
            <w:tcW w:w="1134" w:type="dxa"/>
          </w:tcPr>
          <w:p w14:paraId="52F2545B"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4</w:t>
            </w:r>
          </w:p>
        </w:tc>
        <w:tc>
          <w:tcPr>
            <w:tcW w:w="1134" w:type="dxa"/>
          </w:tcPr>
          <w:p w14:paraId="359B0B8A"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5</w:t>
            </w:r>
          </w:p>
        </w:tc>
        <w:tc>
          <w:tcPr>
            <w:tcW w:w="992" w:type="dxa"/>
          </w:tcPr>
          <w:p w14:paraId="181676DD"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2</w:t>
            </w:r>
          </w:p>
        </w:tc>
        <w:tc>
          <w:tcPr>
            <w:tcW w:w="931" w:type="dxa"/>
          </w:tcPr>
          <w:p w14:paraId="30DACBEF"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14</w:t>
            </w:r>
          </w:p>
        </w:tc>
      </w:tr>
      <w:tr w:rsidR="00B86FE8" w:rsidRPr="00DC6C83" w14:paraId="5F115529" w14:textId="77777777" w:rsidTr="007B3C0F">
        <w:trPr>
          <w:trHeight w:val="120"/>
          <w:jc w:val="center"/>
        </w:trPr>
        <w:tc>
          <w:tcPr>
            <w:tcW w:w="1418" w:type="dxa"/>
          </w:tcPr>
          <w:p w14:paraId="0E340ADF" w14:textId="77777777" w:rsidR="00B86FE8" w:rsidRPr="00DC6C83" w:rsidRDefault="00B86FE8" w:rsidP="0037289F">
            <w:pPr>
              <w:pStyle w:val="Default"/>
              <w:jc w:val="both"/>
              <w:rPr>
                <w:rFonts w:asciiTheme="majorHAnsi" w:hAnsiTheme="majorHAnsi" w:cstheme="majorHAnsi"/>
                <w:b/>
                <w:color w:val="auto"/>
                <w:sz w:val="20"/>
                <w:szCs w:val="20"/>
              </w:rPr>
            </w:pPr>
            <w:r w:rsidRPr="00DC6C83">
              <w:rPr>
                <w:rFonts w:asciiTheme="majorHAnsi" w:hAnsiTheme="majorHAnsi" w:cstheme="majorHAnsi"/>
                <w:b/>
                <w:color w:val="auto"/>
                <w:sz w:val="20"/>
                <w:szCs w:val="20"/>
              </w:rPr>
              <w:t>szerb</w:t>
            </w:r>
          </w:p>
        </w:tc>
        <w:tc>
          <w:tcPr>
            <w:tcW w:w="1417" w:type="dxa"/>
          </w:tcPr>
          <w:p w14:paraId="7D91CEA5"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w:t>
            </w:r>
          </w:p>
        </w:tc>
        <w:tc>
          <w:tcPr>
            <w:tcW w:w="1418" w:type="dxa"/>
          </w:tcPr>
          <w:p w14:paraId="5DB194A3"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0</w:t>
            </w:r>
          </w:p>
        </w:tc>
        <w:tc>
          <w:tcPr>
            <w:tcW w:w="1134" w:type="dxa"/>
          </w:tcPr>
          <w:p w14:paraId="00A0256F"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0</w:t>
            </w:r>
          </w:p>
        </w:tc>
        <w:tc>
          <w:tcPr>
            <w:tcW w:w="1134" w:type="dxa"/>
          </w:tcPr>
          <w:p w14:paraId="1AC8BC3D"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0</w:t>
            </w:r>
          </w:p>
        </w:tc>
        <w:tc>
          <w:tcPr>
            <w:tcW w:w="992" w:type="dxa"/>
          </w:tcPr>
          <w:p w14:paraId="21EA2A62"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0</w:t>
            </w:r>
          </w:p>
        </w:tc>
        <w:tc>
          <w:tcPr>
            <w:tcW w:w="931" w:type="dxa"/>
          </w:tcPr>
          <w:p w14:paraId="2F68B5C0"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w:t>
            </w:r>
          </w:p>
        </w:tc>
      </w:tr>
      <w:tr w:rsidR="00B86FE8" w:rsidRPr="00DC6C83" w14:paraId="7E15A724" w14:textId="77777777" w:rsidTr="007B3C0F">
        <w:trPr>
          <w:trHeight w:val="140"/>
          <w:jc w:val="center"/>
        </w:trPr>
        <w:tc>
          <w:tcPr>
            <w:tcW w:w="1418" w:type="dxa"/>
          </w:tcPr>
          <w:p w14:paraId="36FCF640" w14:textId="77777777" w:rsidR="00B86FE8" w:rsidRPr="00DC6C83" w:rsidRDefault="00B86FE8" w:rsidP="0037289F">
            <w:pPr>
              <w:pStyle w:val="Default"/>
              <w:jc w:val="both"/>
              <w:rPr>
                <w:rFonts w:asciiTheme="majorHAnsi" w:hAnsiTheme="majorHAnsi" w:cstheme="majorHAnsi"/>
                <w:b/>
                <w:color w:val="auto"/>
                <w:sz w:val="20"/>
                <w:szCs w:val="20"/>
              </w:rPr>
            </w:pPr>
            <w:r w:rsidRPr="00DC6C83">
              <w:rPr>
                <w:rFonts w:asciiTheme="majorHAnsi" w:hAnsiTheme="majorHAnsi" w:cstheme="majorHAnsi"/>
                <w:b/>
                <w:color w:val="auto"/>
                <w:sz w:val="20"/>
                <w:szCs w:val="20"/>
              </w:rPr>
              <w:t>Σ</w:t>
            </w:r>
          </w:p>
        </w:tc>
        <w:tc>
          <w:tcPr>
            <w:tcW w:w="1417" w:type="dxa"/>
          </w:tcPr>
          <w:p w14:paraId="217FCA12"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40</w:t>
            </w:r>
          </w:p>
        </w:tc>
        <w:tc>
          <w:tcPr>
            <w:tcW w:w="1418" w:type="dxa"/>
          </w:tcPr>
          <w:p w14:paraId="3E77DFB1"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36</w:t>
            </w:r>
          </w:p>
        </w:tc>
        <w:tc>
          <w:tcPr>
            <w:tcW w:w="1134" w:type="dxa"/>
          </w:tcPr>
          <w:p w14:paraId="17CD6A43"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105</w:t>
            </w:r>
          </w:p>
        </w:tc>
        <w:tc>
          <w:tcPr>
            <w:tcW w:w="1134" w:type="dxa"/>
          </w:tcPr>
          <w:p w14:paraId="3E724177"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88</w:t>
            </w:r>
          </w:p>
        </w:tc>
        <w:tc>
          <w:tcPr>
            <w:tcW w:w="992" w:type="dxa"/>
          </w:tcPr>
          <w:p w14:paraId="404643C1"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48</w:t>
            </w:r>
          </w:p>
        </w:tc>
        <w:tc>
          <w:tcPr>
            <w:tcW w:w="931" w:type="dxa"/>
          </w:tcPr>
          <w:p w14:paraId="62A20E90" w14:textId="77777777" w:rsidR="00B86FE8" w:rsidRPr="00DC6C83" w:rsidRDefault="00B86FE8" w:rsidP="00F05112">
            <w:pPr>
              <w:pStyle w:val="Default"/>
              <w:jc w:val="right"/>
              <w:rPr>
                <w:rFonts w:asciiTheme="majorHAnsi" w:hAnsiTheme="majorHAnsi" w:cstheme="majorHAnsi"/>
                <w:color w:val="auto"/>
                <w:sz w:val="20"/>
                <w:szCs w:val="20"/>
              </w:rPr>
            </w:pPr>
            <w:r w:rsidRPr="00DC6C83">
              <w:rPr>
                <w:rFonts w:asciiTheme="majorHAnsi" w:hAnsiTheme="majorHAnsi" w:cstheme="majorHAnsi"/>
                <w:color w:val="auto"/>
                <w:sz w:val="20"/>
                <w:szCs w:val="20"/>
              </w:rPr>
              <w:t>317</w:t>
            </w:r>
          </w:p>
        </w:tc>
      </w:tr>
      <w:tr w:rsidR="00B86FE8" w:rsidRPr="00DC6C83" w14:paraId="410AFFB4" w14:textId="77777777" w:rsidTr="00333746">
        <w:trPr>
          <w:trHeight w:val="140"/>
          <w:jc w:val="center"/>
        </w:trPr>
        <w:tc>
          <w:tcPr>
            <w:tcW w:w="1418" w:type="dxa"/>
          </w:tcPr>
          <w:p w14:paraId="1FBA0172" w14:textId="77777777" w:rsidR="00B86FE8" w:rsidRPr="00DC6C83" w:rsidRDefault="00B86FE8" w:rsidP="0037289F">
            <w:pPr>
              <w:pStyle w:val="Default"/>
              <w:jc w:val="both"/>
              <w:rPr>
                <w:rFonts w:asciiTheme="majorHAnsi" w:hAnsiTheme="majorHAnsi" w:cstheme="majorHAnsi"/>
                <w:color w:val="auto"/>
                <w:sz w:val="20"/>
                <w:szCs w:val="20"/>
              </w:rPr>
            </w:pPr>
          </w:p>
        </w:tc>
        <w:tc>
          <w:tcPr>
            <w:tcW w:w="1417" w:type="dxa"/>
          </w:tcPr>
          <w:p w14:paraId="3DD64583" w14:textId="77777777" w:rsidR="00B86FE8" w:rsidRPr="00DC6C83" w:rsidRDefault="00B86FE8" w:rsidP="0037289F">
            <w:pPr>
              <w:pStyle w:val="Default"/>
              <w:jc w:val="both"/>
              <w:rPr>
                <w:rFonts w:asciiTheme="majorHAnsi" w:hAnsiTheme="majorHAnsi" w:cstheme="majorHAnsi"/>
                <w:color w:val="auto"/>
                <w:sz w:val="20"/>
                <w:szCs w:val="20"/>
              </w:rPr>
            </w:pPr>
          </w:p>
        </w:tc>
        <w:tc>
          <w:tcPr>
            <w:tcW w:w="1418" w:type="dxa"/>
          </w:tcPr>
          <w:p w14:paraId="603576EC" w14:textId="77777777" w:rsidR="00B86FE8" w:rsidRPr="00DC6C83" w:rsidRDefault="00B86FE8" w:rsidP="0037289F">
            <w:pPr>
              <w:pStyle w:val="Default"/>
              <w:jc w:val="both"/>
              <w:rPr>
                <w:rFonts w:asciiTheme="majorHAnsi" w:hAnsiTheme="majorHAnsi" w:cstheme="majorHAnsi"/>
                <w:color w:val="auto"/>
                <w:sz w:val="20"/>
                <w:szCs w:val="20"/>
              </w:rPr>
            </w:pPr>
          </w:p>
        </w:tc>
        <w:tc>
          <w:tcPr>
            <w:tcW w:w="3260" w:type="dxa"/>
            <w:gridSpan w:val="3"/>
            <w:vAlign w:val="center"/>
          </w:tcPr>
          <w:p w14:paraId="7E202EBF" w14:textId="77777777" w:rsidR="00B86FE8" w:rsidRPr="00DC6C83" w:rsidRDefault="00B86FE8" w:rsidP="00F05112">
            <w:pPr>
              <w:pStyle w:val="Default"/>
              <w:jc w:val="right"/>
              <w:rPr>
                <w:rFonts w:asciiTheme="majorHAnsi" w:hAnsiTheme="majorHAnsi" w:cstheme="majorHAnsi"/>
                <w:b/>
                <w:color w:val="auto"/>
                <w:sz w:val="20"/>
                <w:szCs w:val="20"/>
              </w:rPr>
            </w:pPr>
            <w:r w:rsidRPr="00DC6C83">
              <w:rPr>
                <w:rFonts w:asciiTheme="majorHAnsi" w:hAnsiTheme="majorHAnsi" w:cstheme="majorHAnsi"/>
                <w:b/>
                <w:color w:val="auto"/>
                <w:sz w:val="20"/>
                <w:szCs w:val="20"/>
              </w:rPr>
              <w:t>241</w:t>
            </w:r>
          </w:p>
        </w:tc>
        <w:tc>
          <w:tcPr>
            <w:tcW w:w="931" w:type="dxa"/>
          </w:tcPr>
          <w:p w14:paraId="33AE4E9F" w14:textId="77777777" w:rsidR="00B86FE8" w:rsidRPr="00DC6C83" w:rsidRDefault="00B86FE8" w:rsidP="0037289F">
            <w:pPr>
              <w:pStyle w:val="Default"/>
              <w:jc w:val="both"/>
              <w:rPr>
                <w:rFonts w:asciiTheme="majorHAnsi" w:hAnsiTheme="majorHAnsi" w:cstheme="majorHAnsi"/>
                <w:color w:val="auto"/>
                <w:sz w:val="20"/>
                <w:szCs w:val="20"/>
              </w:rPr>
            </w:pPr>
          </w:p>
        </w:tc>
      </w:tr>
    </w:tbl>
    <w:p w14:paraId="5E008357" w14:textId="77777777" w:rsidR="00B86FE8" w:rsidRPr="00DC6C83" w:rsidRDefault="00B86FE8" w:rsidP="00DA54E4">
      <w:pPr>
        <w:jc w:val="center"/>
        <w:rPr>
          <w:rFonts w:asciiTheme="majorHAnsi" w:hAnsiTheme="majorHAnsi" w:cstheme="majorHAnsi"/>
          <w:i/>
          <w:sz w:val="20"/>
        </w:rPr>
      </w:pPr>
      <w:r w:rsidRPr="00DC6C83">
        <w:rPr>
          <w:rFonts w:asciiTheme="majorHAnsi" w:hAnsiTheme="majorHAnsi" w:cstheme="majorHAnsi"/>
          <w:i/>
          <w:sz w:val="20"/>
        </w:rPr>
        <w:t>Forrás: EMMI</w:t>
      </w:r>
    </w:p>
    <w:p w14:paraId="54BB9079" w14:textId="77777777" w:rsidR="00B86FE8" w:rsidRPr="00DC6C83" w:rsidRDefault="00B86FE8" w:rsidP="00B86FE8">
      <w:pPr>
        <w:rPr>
          <w:rFonts w:asciiTheme="majorHAnsi" w:hAnsiTheme="majorHAnsi" w:cstheme="majorHAnsi"/>
        </w:rPr>
      </w:pPr>
      <w:r w:rsidRPr="00DC6C83">
        <w:rPr>
          <w:rFonts w:asciiTheme="majorHAnsi" w:hAnsiTheme="majorHAnsi" w:cstheme="majorHAnsi"/>
        </w:rPr>
        <w:t xml:space="preserve">A program harmadik eleme </w:t>
      </w:r>
      <w:r w:rsidRPr="000310B4">
        <w:rPr>
          <w:rFonts w:asciiTheme="majorHAnsi" w:hAnsiTheme="majorHAnsi" w:cstheme="majorHAnsi"/>
        </w:rPr>
        <w:t>a nemzetiségi pedagógusképzés céltámogatása</w:t>
      </w:r>
      <w:r w:rsidRPr="00DC6C83">
        <w:rPr>
          <w:rFonts w:asciiTheme="majorHAnsi" w:hAnsiTheme="majorHAnsi" w:cstheme="majorHAnsi"/>
        </w:rPr>
        <w:t xml:space="preserve">. A támogatást 2019-ben nyolc nemzetiségi óvóképzést </w:t>
      </w:r>
      <w:r w:rsidR="00653F24">
        <w:rPr>
          <w:rFonts w:asciiTheme="majorHAnsi" w:hAnsiTheme="majorHAnsi" w:cstheme="majorHAnsi"/>
        </w:rPr>
        <w:t>nyújtó</w:t>
      </w:r>
      <w:r w:rsidRPr="00DC6C83">
        <w:rPr>
          <w:rFonts w:asciiTheme="majorHAnsi" w:hAnsiTheme="majorHAnsi" w:cstheme="majorHAnsi"/>
        </w:rPr>
        <w:t xml:space="preserve"> felsőoktatási intézmény vehette igénybe, a mindösszesen 100 millió forint támogatás a nemzetiségi óvóképzés minőségének javítását szolgál</w:t>
      </w:r>
      <w:r w:rsidR="00653F24">
        <w:rPr>
          <w:rFonts w:asciiTheme="majorHAnsi" w:hAnsiTheme="majorHAnsi" w:cstheme="majorHAnsi"/>
        </w:rPr>
        <w:t>ta</w:t>
      </w:r>
      <w:r w:rsidRPr="00DC6C83">
        <w:rPr>
          <w:rFonts w:asciiTheme="majorHAnsi" w:hAnsiTheme="majorHAnsi" w:cstheme="majorHAnsi"/>
        </w:rPr>
        <w:t xml:space="preserve">. 2020-tól a nemzetiségi tanító- és tanárképzést biztosító felsőoktatási intézmények is igénybe vehetik ezt a támogatást. </w:t>
      </w:r>
      <w:r w:rsidR="00E64FEB">
        <w:rPr>
          <w:rFonts w:asciiTheme="majorHAnsi" w:hAnsiTheme="majorHAnsi" w:cstheme="majorHAnsi"/>
        </w:rPr>
        <w:t>Az érintett intézmények átvétele, a többlettámogatások és a szakember</w:t>
      </w:r>
      <w:r w:rsidR="008D5D96">
        <w:rPr>
          <w:rFonts w:asciiTheme="majorHAnsi" w:hAnsiTheme="majorHAnsi" w:cstheme="majorHAnsi"/>
        </w:rPr>
        <w:t>-</w:t>
      </w:r>
      <w:r w:rsidR="00E64FEB">
        <w:rPr>
          <w:rFonts w:asciiTheme="majorHAnsi" w:hAnsiTheme="majorHAnsi" w:cstheme="majorHAnsi"/>
        </w:rPr>
        <w:t xml:space="preserve">utánpótlás reményeink szerint fenntartható, gyarapodó pályára állítják a </w:t>
      </w:r>
      <w:r w:rsidR="00E64FEB">
        <w:rPr>
          <w:rFonts w:asciiTheme="majorHAnsi" w:hAnsiTheme="majorHAnsi" w:cstheme="majorHAnsi"/>
        </w:rPr>
        <w:lastRenderedPageBreak/>
        <w:t xml:space="preserve">nemzetiségi oktatást, hagyományőrzést, és eredményesen szolgálják majd a nemzetiségek identitásának megőrzését.  </w:t>
      </w:r>
    </w:p>
    <w:p w14:paraId="3AA25311" w14:textId="7A039148" w:rsidR="00B86FE8" w:rsidRPr="00DC6C83" w:rsidRDefault="00A11279" w:rsidP="0051027E">
      <w:pPr>
        <w:pStyle w:val="Cmsor1"/>
      </w:pPr>
      <w:bookmarkStart w:id="111" w:name="_Toc35596159"/>
      <w:bookmarkStart w:id="112" w:name="_Toc46822736"/>
      <w:r>
        <w:lastRenderedPageBreak/>
        <w:t>A</w:t>
      </w:r>
      <w:r w:rsidR="0051027E">
        <w:t>z</w:t>
      </w:r>
      <w:r>
        <w:t xml:space="preserve"> </w:t>
      </w:r>
      <w:r w:rsidR="0051027E" w:rsidRPr="0051027E">
        <w:rPr>
          <w:rFonts w:asciiTheme="majorHAnsi" w:hAnsiTheme="majorHAnsi" w:cstheme="majorHAnsi"/>
        </w:rPr>
        <w:t xml:space="preserve">Európai Unió számára készített </w:t>
      </w:r>
      <w:r>
        <w:t xml:space="preserve">köznevelési stratégia </w:t>
      </w:r>
      <w:r w:rsidR="00522D2B">
        <w:t>megvalósítása</w:t>
      </w:r>
      <w:bookmarkEnd w:id="111"/>
      <w:bookmarkEnd w:id="112"/>
    </w:p>
    <w:p w14:paraId="0059763E" w14:textId="3020E824" w:rsidR="006F7AF3" w:rsidRDefault="00522D2B" w:rsidP="00B86FE8">
      <w:pPr>
        <w:rPr>
          <w:rFonts w:asciiTheme="majorHAnsi" w:hAnsiTheme="majorHAnsi" w:cstheme="majorHAnsi"/>
        </w:rPr>
      </w:pPr>
      <w:r>
        <w:rPr>
          <w:rFonts w:asciiTheme="majorHAnsi" w:hAnsiTheme="majorHAnsi" w:cstheme="majorHAnsi"/>
        </w:rPr>
        <w:t>A</w:t>
      </w:r>
      <w:r w:rsidR="0051027E">
        <w:rPr>
          <w:rFonts w:asciiTheme="majorHAnsi" w:hAnsiTheme="majorHAnsi" w:cstheme="majorHAnsi"/>
        </w:rPr>
        <w:t xml:space="preserve">z </w:t>
      </w:r>
      <w:r w:rsidR="0051027E" w:rsidRPr="0051027E">
        <w:rPr>
          <w:rFonts w:asciiTheme="majorHAnsi" w:hAnsiTheme="majorHAnsi" w:cstheme="majorHAnsi"/>
        </w:rPr>
        <w:t>Európai Unió számára készített</w:t>
      </w:r>
      <w:r>
        <w:rPr>
          <w:rFonts w:asciiTheme="majorHAnsi" w:hAnsiTheme="majorHAnsi" w:cstheme="majorHAnsi"/>
        </w:rPr>
        <w:t xml:space="preserve"> köznevelési stratégia jellegénél fogva elsősorban a közép, illetve közép- és hosszú</w:t>
      </w:r>
      <w:r w:rsidR="00635D36">
        <w:rPr>
          <w:rFonts w:asciiTheme="majorHAnsi" w:hAnsiTheme="majorHAnsi" w:cstheme="majorHAnsi"/>
        </w:rPr>
        <w:t xml:space="preserve"> </w:t>
      </w:r>
      <w:r>
        <w:rPr>
          <w:rFonts w:asciiTheme="majorHAnsi" w:hAnsiTheme="majorHAnsi" w:cstheme="majorHAnsi"/>
        </w:rPr>
        <w:t xml:space="preserve">távú szakmai fejlesztési irányok meghatározására szolgál, az egyes intézkedések részletes kidolgozása, a </w:t>
      </w:r>
      <w:r w:rsidR="00FE6C07">
        <w:rPr>
          <w:rFonts w:asciiTheme="majorHAnsi" w:hAnsiTheme="majorHAnsi" w:cstheme="majorHAnsi"/>
        </w:rPr>
        <w:t xml:space="preserve">kapcsolódó </w:t>
      </w:r>
      <w:r>
        <w:rPr>
          <w:rFonts w:asciiTheme="majorHAnsi" w:hAnsiTheme="majorHAnsi" w:cstheme="majorHAnsi"/>
        </w:rPr>
        <w:t xml:space="preserve">finanszírozási </w:t>
      </w:r>
      <w:r w:rsidR="00FE6C07">
        <w:rPr>
          <w:rFonts w:asciiTheme="majorHAnsi" w:hAnsiTheme="majorHAnsi" w:cstheme="majorHAnsi"/>
        </w:rPr>
        <w:t>keret</w:t>
      </w:r>
      <w:r>
        <w:rPr>
          <w:rFonts w:asciiTheme="majorHAnsi" w:hAnsiTheme="majorHAnsi" w:cstheme="majorHAnsi"/>
        </w:rPr>
        <w:t xml:space="preserve"> az egyes konkrét szakmai fejlesztési dokumentumokban (pl. az európai uniós operatív progr</w:t>
      </w:r>
      <w:r w:rsidR="00FE6C07">
        <w:rPr>
          <w:rFonts w:asciiTheme="majorHAnsi" w:hAnsiTheme="majorHAnsi" w:cstheme="majorHAnsi"/>
        </w:rPr>
        <w:t>amok alapdokumentumaiban) jeleni</w:t>
      </w:r>
      <w:r>
        <w:rPr>
          <w:rFonts w:asciiTheme="majorHAnsi" w:hAnsiTheme="majorHAnsi" w:cstheme="majorHAnsi"/>
        </w:rPr>
        <w:t>k meg. Jelen fejezetben a megvalósításban érintett szervezetrendszer szereplőit, az intézkedések eredmény</w:t>
      </w:r>
      <w:r w:rsidR="00FE6C07">
        <w:rPr>
          <w:rFonts w:asciiTheme="majorHAnsi" w:hAnsiTheme="majorHAnsi" w:cstheme="majorHAnsi"/>
        </w:rPr>
        <w:t>ességét meghatározó mutatókat,</w:t>
      </w:r>
      <w:r>
        <w:rPr>
          <w:rFonts w:asciiTheme="majorHAnsi" w:hAnsiTheme="majorHAnsi" w:cstheme="majorHAnsi"/>
        </w:rPr>
        <w:t xml:space="preserve"> indikátorokat, valamint a stratégia megvalósításának nyomon követését és értékelését (monitoring) lehetővé tevő eszközrendszert rögzítjük. </w:t>
      </w:r>
    </w:p>
    <w:p w14:paraId="0319CB72" w14:textId="77777777" w:rsidR="006F7AF3" w:rsidRDefault="006F7AF3" w:rsidP="006F7AF3">
      <w:r>
        <w:t>Mivel a stratégia magas szinten, átfogóan fogalmazza meg a fejlesztési irányokat, az operatív szintű beavatkozásokat, azok ütemezését külön Intézkedési Terv tartalmazza.</w:t>
      </w:r>
    </w:p>
    <w:p w14:paraId="0F9E7A42" w14:textId="77777777" w:rsidR="00FE6C07" w:rsidRPr="00421CD2" w:rsidRDefault="00FE6C07" w:rsidP="00421CD2">
      <w:pPr>
        <w:pStyle w:val="Cmsor2"/>
      </w:pPr>
      <w:bookmarkStart w:id="113" w:name="_Toc35596160"/>
      <w:bookmarkStart w:id="114" w:name="_Toc46822737"/>
      <w:r w:rsidRPr="00421CD2">
        <w:t>Szereplők</w:t>
      </w:r>
      <w:bookmarkEnd w:id="113"/>
      <w:bookmarkEnd w:id="114"/>
    </w:p>
    <w:p w14:paraId="4DC4ED69" w14:textId="77777777" w:rsidR="00FE6C07" w:rsidRDefault="00F77D2C" w:rsidP="00F77D2C">
      <w:r>
        <w:t>A stratégia megvalósításáért az Emberi Erőforrások Minisztérium</w:t>
      </w:r>
      <w:r w:rsidR="00A83518">
        <w:t>a</w:t>
      </w:r>
      <w:r w:rsidR="007D7994">
        <w:t xml:space="preserve"> felel. A m</w:t>
      </w:r>
      <w:r>
        <w:t xml:space="preserve">inisztérium kijelöli a stratégia fő céljait és eszközrendszerét, valamint </w:t>
      </w:r>
      <w:r w:rsidR="0064296D">
        <w:t>rendszeresen nyomon követi</w:t>
      </w:r>
      <w:r>
        <w:t xml:space="preserve"> a </w:t>
      </w:r>
      <w:r w:rsidR="0064296D">
        <w:t xml:space="preserve">célkitűzések megvalósulását. </w:t>
      </w:r>
      <w:r>
        <w:t>A megvalósításban a minisztériumi háttérintézmények, központi és/vagy helyi közigazgatási szervek</w:t>
      </w:r>
      <w:r w:rsidR="00C42A56">
        <w:t xml:space="preserve"> (kiemelten az Oktatási Hivatal, a Klebelsberg Központ és a tankerületi központok)</w:t>
      </w:r>
      <w:r>
        <w:t xml:space="preserve">, valamint egyéb állami intézmények és </w:t>
      </w:r>
      <w:r w:rsidR="00927EA2">
        <w:t>magán</w:t>
      </w:r>
      <w:r>
        <w:t>szervezetek vesznek részt.</w:t>
      </w:r>
    </w:p>
    <w:p w14:paraId="16D4BEFC" w14:textId="77777777" w:rsidR="00522D2B" w:rsidRDefault="00C714D2" w:rsidP="00421CD2">
      <w:pPr>
        <w:pStyle w:val="Cmsor2"/>
      </w:pPr>
      <w:bookmarkStart w:id="115" w:name="_Toc35596161"/>
      <w:bookmarkStart w:id="116" w:name="_Toc46822738"/>
      <w:r>
        <w:t>I</w:t>
      </w:r>
      <w:r w:rsidR="00522D2B" w:rsidRPr="00421CD2">
        <w:t>ndikátorok</w:t>
      </w:r>
      <w:bookmarkEnd w:id="115"/>
      <w:bookmarkEnd w:id="116"/>
    </w:p>
    <w:p w14:paraId="7AAF7FA4" w14:textId="77777777" w:rsidR="00AA5B17" w:rsidRDefault="006B2679" w:rsidP="009C7885">
      <w:r>
        <w:t>A stratégia megvalósulásának nyomon követését</w:t>
      </w:r>
      <w:r w:rsidR="006F7AF3">
        <w:t>, eredményességé</w:t>
      </w:r>
      <w:r w:rsidR="00653F24">
        <w:t>t</w:t>
      </w:r>
      <w:r>
        <w:t xml:space="preserve"> leginkább kézzelfogható formában</w:t>
      </w:r>
      <w:r w:rsidR="00653F24">
        <w:t>,</w:t>
      </w:r>
      <w:r>
        <w:t xml:space="preserve"> a köznevelés teljesítmén</w:t>
      </w:r>
      <w:r w:rsidR="00750207">
        <w:t>yét számszerű formában láthatóvá tevő mutatók, indikátorok teszik lehetővé. Az indikátorok meghatározása</w:t>
      </w:r>
      <w:r w:rsidR="00653F24">
        <w:t>kor</w:t>
      </w:r>
      <w:r w:rsidR="005630E2">
        <w:t xml:space="preserve"> </w:t>
      </w:r>
      <w:r w:rsidR="009C7885">
        <w:t xml:space="preserve">arra törekedtünk, hogy </w:t>
      </w:r>
      <w:r w:rsidR="006F7AF3">
        <w:t xml:space="preserve">a stratégia célrendszerében megfogalmazott 5 </w:t>
      </w:r>
      <w:r w:rsidR="00884426">
        <w:t xml:space="preserve">specifikus célkitűzés mindegyikéhez kapcsolódjon legalább 1 alap </w:t>
      </w:r>
      <w:r w:rsidR="0015605E">
        <w:t>indikátor.</w:t>
      </w:r>
      <w:r w:rsidR="00AA5B17">
        <w:t xml:space="preserve"> Az indikátorok kiválasztásakor fontos szempont volt továbbá, hogy minél inkább a fejlesztések hatásait mérjék (hatás, illetve eredmény indikátorok).</w:t>
      </w:r>
    </w:p>
    <w:p w14:paraId="39C0BC53" w14:textId="77777777" w:rsidR="00AA5B17" w:rsidRDefault="00AA5B17" w:rsidP="009C7885">
      <w:r>
        <w:t xml:space="preserve">Az indikátorok keretében mért adatok adatforrásai az általánosan elfogadott, hiteles hazai vagy nemzetközi mérések, statisztikai gyűjtések (pl. KIR-STAT, Országos Kompetenciamérés, </w:t>
      </w:r>
      <w:proofErr w:type="spellStart"/>
      <w:r>
        <w:t>Eurostat</w:t>
      </w:r>
      <w:proofErr w:type="spellEnd"/>
      <w:r>
        <w:t xml:space="preserve"> stb.).</w:t>
      </w:r>
    </w:p>
    <w:p w14:paraId="6EEAA666" w14:textId="77777777" w:rsidR="004203BA" w:rsidRDefault="004203BA" w:rsidP="009C7885"/>
    <w:p w14:paraId="3AFE917D" w14:textId="77777777" w:rsidR="009C7885" w:rsidRDefault="009C7885" w:rsidP="009C7885"/>
    <w:p w14:paraId="229DC589" w14:textId="77777777" w:rsidR="006452CF" w:rsidRDefault="006452CF" w:rsidP="009C7885"/>
    <w:p w14:paraId="19AFE50D" w14:textId="77777777" w:rsidR="006452CF" w:rsidRDefault="006452CF" w:rsidP="009C7885"/>
    <w:tbl>
      <w:tblPr>
        <w:tblStyle w:val="Tblzatrcsos1vilgos2jellszn1"/>
        <w:tblW w:w="9040" w:type="dxa"/>
        <w:tblLayout w:type="fixed"/>
        <w:tblLook w:val="04A0" w:firstRow="1" w:lastRow="0" w:firstColumn="1" w:lastColumn="0" w:noHBand="0" w:noVBand="1"/>
      </w:tblPr>
      <w:tblGrid>
        <w:gridCol w:w="392"/>
        <w:gridCol w:w="1701"/>
        <w:gridCol w:w="567"/>
        <w:gridCol w:w="425"/>
        <w:gridCol w:w="1134"/>
        <w:gridCol w:w="1134"/>
        <w:gridCol w:w="1275"/>
        <w:gridCol w:w="709"/>
        <w:gridCol w:w="1277"/>
        <w:gridCol w:w="426"/>
      </w:tblGrid>
      <w:tr w:rsidR="004E2AC4" w:rsidRPr="008851D3" w14:paraId="6089B1D0" w14:textId="77777777" w:rsidTr="006B51A1">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392" w:type="dxa"/>
            <w:shd w:val="clear" w:color="auto" w:fill="E5DBD4" w:themeFill="accent3" w:themeFillTint="33"/>
            <w:noWrap/>
            <w:textDirection w:val="btLr"/>
            <w:hideMark/>
          </w:tcPr>
          <w:p w14:paraId="53203AC1" w14:textId="77777777" w:rsidR="008745B8" w:rsidRPr="008851D3" w:rsidRDefault="008745B8" w:rsidP="00421CD2">
            <w:pPr>
              <w:spacing w:after="0" w:line="240" w:lineRule="auto"/>
              <w:jc w:val="center"/>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Sorszám</w:t>
            </w:r>
          </w:p>
        </w:tc>
        <w:tc>
          <w:tcPr>
            <w:tcW w:w="1701" w:type="dxa"/>
            <w:shd w:val="clear" w:color="auto" w:fill="E5DBD4" w:themeFill="accent3" w:themeFillTint="33"/>
            <w:textDirection w:val="btLr"/>
            <w:vAlign w:val="center"/>
            <w:hideMark/>
          </w:tcPr>
          <w:p w14:paraId="167AEFDB" w14:textId="77777777" w:rsidR="008745B8" w:rsidRPr="008851D3" w:rsidRDefault="008745B8" w:rsidP="00421C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Mutató</w:t>
            </w:r>
          </w:p>
        </w:tc>
        <w:tc>
          <w:tcPr>
            <w:tcW w:w="567" w:type="dxa"/>
            <w:shd w:val="clear" w:color="auto" w:fill="E5DBD4" w:themeFill="accent3" w:themeFillTint="33"/>
            <w:textDirection w:val="btLr"/>
          </w:tcPr>
          <w:p w14:paraId="01CBB72F" w14:textId="77777777" w:rsidR="009509B2" w:rsidRDefault="008745B8" w:rsidP="00D908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 xml:space="preserve">Kapcsolódó </w:t>
            </w:r>
          </w:p>
          <w:p w14:paraId="05507410" w14:textId="7F3F3E6B" w:rsidR="008745B8" w:rsidRPr="008851D3" w:rsidRDefault="008745B8" w:rsidP="00D908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specifikus cél</w:t>
            </w:r>
          </w:p>
        </w:tc>
        <w:tc>
          <w:tcPr>
            <w:tcW w:w="425" w:type="dxa"/>
            <w:shd w:val="clear" w:color="auto" w:fill="E5DBD4" w:themeFill="accent3" w:themeFillTint="33"/>
            <w:noWrap/>
            <w:textDirection w:val="btLr"/>
            <w:vAlign w:val="center"/>
            <w:hideMark/>
          </w:tcPr>
          <w:p w14:paraId="7A813292" w14:textId="77777777" w:rsidR="008745B8" w:rsidRPr="008851D3" w:rsidRDefault="008745B8" w:rsidP="00D908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Mértékegység</w:t>
            </w:r>
          </w:p>
        </w:tc>
        <w:tc>
          <w:tcPr>
            <w:tcW w:w="1134" w:type="dxa"/>
            <w:shd w:val="clear" w:color="auto" w:fill="E5DBD4" w:themeFill="accent3" w:themeFillTint="33"/>
            <w:noWrap/>
            <w:textDirection w:val="btLr"/>
            <w:vAlign w:val="center"/>
            <w:hideMark/>
          </w:tcPr>
          <w:p w14:paraId="497E040C" w14:textId="77777777" w:rsidR="008745B8" w:rsidRPr="008851D3" w:rsidRDefault="008745B8" w:rsidP="00D908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Bázisév</w:t>
            </w:r>
          </w:p>
        </w:tc>
        <w:tc>
          <w:tcPr>
            <w:tcW w:w="1134" w:type="dxa"/>
            <w:shd w:val="clear" w:color="auto" w:fill="E5DBD4" w:themeFill="accent3" w:themeFillTint="33"/>
            <w:noWrap/>
            <w:textDirection w:val="btLr"/>
            <w:vAlign w:val="center"/>
            <w:hideMark/>
          </w:tcPr>
          <w:p w14:paraId="026E27B1" w14:textId="77777777" w:rsidR="008745B8" w:rsidRPr="008851D3" w:rsidRDefault="008745B8" w:rsidP="00D908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 xml:space="preserve">Bázisérték  </w:t>
            </w:r>
          </w:p>
        </w:tc>
        <w:tc>
          <w:tcPr>
            <w:tcW w:w="1275" w:type="dxa"/>
            <w:shd w:val="clear" w:color="auto" w:fill="E5DBD4" w:themeFill="accent3" w:themeFillTint="33"/>
            <w:noWrap/>
            <w:textDirection w:val="btLr"/>
            <w:vAlign w:val="center"/>
            <w:hideMark/>
          </w:tcPr>
          <w:p w14:paraId="56F550EB" w14:textId="77777777" w:rsidR="008745B8" w:rsidRPr="008851D3" w:rsidRDefault="008745B8" w:rsidP="00D908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 xml:space="preserve">Célérték </w:t>
            </w:r>
          </w:p>
        </w:tc>
        <w:tc>
          <w:tcPr>
            <w:tcW w:w="709" w:type="dxa"/>
            <w:shd w:val="clear" w:color="auto" w:fill="E5DBD4" w:themeFill="accent3" w:themeFillTint="33"/>
            <w:textDirection w:val="btLr"/>
            <w:vAlign w:val="center"/>
            <w:hideMark/>
          </w:tcPr>
          <w:p w14:paraId="1C2E3A3E" w14:textId="77777777" w:rsidR="008745B8" w:rsidRPr="008851D3" w:rsidRDefault="008745B8" w:rsidP="00D908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Célérték elérése (év)</w:t>
            </w:r>
          </w:p>
        </w:tc>
        <w:tc>
          <w:tcPr>
            <w:tcW w:w="1277" w:type="dxa"/>
            <w:shd w:val="clear" w:color="auto" w:fill="E5DBD4" w:themeFill="accent3" w:themeFillTint="33"/>
            <w:noWrap/>
            <w:textDirection w:val="btLr"/>
            <w:vAlign w:val="center"/>
            <w:hideMark/>
          </w:tcPr>
          <w:p w14:paraId="347D1219" w14:textId="77777777" w:rsidR="008745B8" w:rsidRPr="008851D3" w:rsidRDefault="008745B8" w:rsidP="00D908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Adat forrása</w:t>
            </w:r>
          </w:p>
        </w:tc>
        <w:tc>
          <w:tcPr>
            <w:tcW w:w="426" w:type="dxa"/>
            <w:shd w:val="clear" w:color="auto" w:fill="E5DBD4" w:themeFill="accent3" w:themeFillTint="33"/>
            <w:noWrap/>
            <w:textDirection w:val="btLr"/>
            <w:vAlign w:val="center"/>
            <w:hideMark/>
          </w:tcPr>
          <w:p w14:paraId="3D2C1E0D" w14:textId="77777777" w:rsidR="008745B8" w:rsidRPr="008851D3" w:rsidRDefault="008745B8" w:rsidP="00D9086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color w:val="3F3F3F"/>
                <w:sz w:val="16"/>
                <w:szCs w:val="16"/>
                <w:lang w:eastAsia="hu-HU"/>
              </w:rPr>
            </w:pPr>
            <w:r w:rsidRPr="008851D3">
              <w:rPr>
                <w:rFonts w:asciiTheme="majorHAnsi" w:hAnsiTheme="majorHAnsi" w:cstheme="majorHAnsi"/>
                <w:bCs w:val="0"/>
                <w:color w:val="3F3F3F"/>
                <w:sz w:val="16"/>
                <w:szCs w:val="16"/>
                <w:lang w:eastAsia="hu-HU"/>
              </w:rPr>
              <w:t>Gyakoriság</w:t>
            </w:r>
          </w:p>
        </w:tc>
      </w:tr>
      <w:tr w:rsidR="008D5D96" w:rsidRPr="008851D3" w14:paraId="7E927C5B" w14:textId="77777777" w:rsidTr="006B51A1">
        <w:trPr>
          <w:trHeight w:val="759"/>
        </w:trPr>
        <w:tc>
          <w:tcPr>
            <w:cnfStyle w:val="001000000000" w:firstRow="0" w:lastRow="0" w:firstColumn="1" w:lastColumn="0" w:oddVBand="0" w:evenVBand="0" w:oddHBand="0" w:evenHBand="0" w:firstRowFirstColumn="0" w:firstRowLastColumn="0" w:lastRowFirstColumn="0" w:lastRowLastColumn="0"/>
            <w:tcW w:w="392" w:type="dxa"/>
            <w:vAlign w:val="center"/>
          </w:tcPr>
          <w:p w14:paraId="1D775148" w14:textId="77777777" w:rsidR="008D5D96" w:rsidRPr="00985B33" w:rsidRDefault="008D5D96" w:rsidP="00B17466">
            <w:pPr>
              <w:spacing w:after="0" w:line="240" w:lineRule="auto"/>
              <w:jc w:val="center"/>
              <w:rPr>
                <w:rFonts w:asciiTheme="majorHAnsi" w:hAnsiTheme="majorHAnsi" w:cstheme="majorHAnsi"/>
                <w:b w:val="0"/>
                <w:color w:val="3F3F3F"/>
                <w:sz w:val="16"/>
                <w:szCs w:val="16"/>
                <w:lang w:eastAsia="hu-HU"/>
              </w:rPr>
            </w:pPr>
            <w:r w:rsidRPr="00985B33">
              <w:rPr>
                <w:rFonts w:asciiTheme="majorHAnsi" w:hAnsiTheme="majorHAnsi" w:cstheme="majorHAnsi"/>
                <w:b w:val="0"/>
                <w:color w:val="3F3F3F"/>
                <w:sz w:val="16"/>
                <w:szCs w:val="16"/>
                <w:lang w:eastAsia="hu-HU"/>
              </w:rPr>
              <w:t>1</w:t>
            </w:r>
          </w:p>
        </w:tc>
        <w:tc>
          <w:tcPr>
            <w:tcW w:w="1701" w:type="dxa"/>
            <w:vAlign w:val="center"/>
          </w:tcPr>
          <w:p w14:paraId="0575ED09" w14:textId="04A7339C" w:rsidR="008D5D96" w:rsidRPr="00985B33" w:rsidRDefault="00D72666" w:rsidP="00D726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4-5 éves gyermekek</w:t>
            </w:r>
            <w:r w:rsidR="00BE1A4E" w:rsidRPr="00985B33">
              <w:rPr>
                <w:rFonts w:asciiTheme="majorHAnsi" w:hAnsiTheme="majorHAnsi" w:cstheme="majorHAnsi"/>
                <w:color w:val="3F3F3F"/>
                <w:sz w:val="16"/>
                <w:szCs w:val="16"/>
                <w:lang w:eastAsia="hu-HU"/>
              </w:rPr>
              <w:t xml:space="preserve"> részvételének aránya az óvodai nevelésben</w:t>
            </w:r>
          </w:p>
        </w:tc>
        <w:tc>
          <w:tcPr>
            <w:tcW w:w="567" w:type="dxa"/>
            <w:vAlign w:val="center"/>
          </w:tcPr>
          <w:p w14:paraId="18131663" w14:textId="77777777" w:rsidR="008D5D96" w:rsidRPr="008851D3" w:rsidRDefault="008D5D96"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1.</w:t>
            </w:r>
          </w:p>
        </w:tc>
        <w:tc>
          <w:tcPr>
            <w:tcW w:w="425" w:type="dxa"/>
            <w:vAlign w:val="center"/>
          </w:tcPr>
          <w:p w14:paraId="2F4E9C92" w14:textId="77777777" w:rsidR="008D5D96" w:rsidRPr="008851D3" w:rsidRDefault="008D5D96"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w:t>
            </w:r>
          </w:p>
        </w:tc>
        <w:tc>
          <w:tcPr>
            <w:tcW w:w="1134" w:type="dxa"/>
            <w:vAlign w:val="center"/>
          </w:tcPr>
          <w:p w14:paraId="75D96740" w14:textId="77819DBC" w:rsidR="008D5D96" w:rsidRPr="008851D3" w:rsidRDefault="00B84B20" w:rsidP="009403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201</w:t>
            </w:r>
            <w:r w:rsidR="0094038B">
              <w:rPr>
                <w:rFonts w:asciiTheme="majorHAnsi" w:hAnsiTheme="majorHAnsi" w:cstheme="majorHAnsi"/>
                <w:color w:val="3F3F3F"/>
                <w:sz w:val="16"/>
                <w:szCs w:val="16"/>
                <w:lang w:eastAsia="hu-HU"/>
              </w:rPr>
              <w:t>9</w:t>
            </w:r>
          </w:p>
        </w:tc>
        <w:tc>
          <w:tcPr>
            <w:tcW w:w="1134" w:type="dxa"/>
            <w:vAlign w:val="center"/>
          </w:tcPr>
          <w:p w14:paraId="305AF6C4" w14:textId="2C726E11" w:rsidR="008D5D96" w:rsidRPr="008851D3" w:rsidRDefault="00B84B20" w:rsidP="009403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9</w:t>
            </w:r>
            <w:r w:rsidR="00D72666">
              <w:rPr>
                <w:rFonts w:asciiTheme="majorHAnsi" w:hAnsiTheme="majorHAnsi" w:cstheme="majorHAnsi"/>
                <w:color w:val="3F3F3F"/>
                <w:sz w:val="16"/>
                <w:szCs w:val="16"/>
                <w:lang w:eastAsia="hu-HU"/>
              </w:rPr>
              <w:t>5</w:t>
            </w:r>
            <w:r>
              <w:rPr>
                <w:rFonts w:asciiTheme="majorHAnsi" w:hAnsiTheme="majorHAnsi" w:cstheme="majorHAnsi"/>
                <w:color w:val="3F3F3F"/>
                <w:sz w:val="16"/>
                <w:szCs w:val="16"/>
                <w:lang w:eastAsia="hu-HU"/>
              </w:rPr>
              <w:t>,</w:t>
            </w:r>
            <w:r w:rsidR="00D72666">
              <w:rPr>
                <w:rFonts w:asciiTheme="majorHAnsi" w:hAnsiTheme="majorHAnsi" w:cstheme="majorHAnsi"/>
                <w:color w:val="3F3F3F"/>
                <w:sz w:val="16"/>
                <w:szCs w:val="16"/>
                <w:lang w:eastAsia="hu-HU"/>
              </w:rPr>
              <w:t>5</w:t>
            </w:r>
            <w:r w:rsidR="00511FEB">
              <w:rPr>
                <w:rFonts w:asciiTheme="majorHAnsi" w:hAnsiTheme="majorHAnsi" w:cstheme="majorHAnsi"/>
                <w:color w:val="3F3F3F"/>
                <w:sz w:val="16"/>
                <w:szCs w:val="16"/>
                <w:lang w:eastAsia="hu-HU"/>
              </w:rPr>
              <w:t>0</w:t>
            </w:r>
          </w:p>
        </w:tc>
        <w:tc>
          <w:tcPr>
            <w:tcW w:w="1275" w:type="dxa"/>
            <w:vAlign w:val="center"/>
          </w:tcPr>
          <w:p w14:paraId="2CB98210" w14:textId="77777777" w:rsidR="008D5D96" w:rsidRPr="008851D3" w:rsidRDefault="00BE1A4E"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 xml:space="preserve">az EU </w:t>
            </w:r>
            <w:r w:rsidR="00E3678B">
              <w:rPr>
                <w:rFonts w:asciiTheme="majorHAnsi" w:hAnsiTheme="majorHAnsi" w:cstheme="majorHAnsi"/>
                <w:color w:val="3F3F3F"/>
                <w:sz w:val="16"/>
                <w:szCs w:val="16"/>
                <w:lang w:eastAsia="hu-HU"/>
              </w:rPr>
              <w:t>célkitűzésének megfelelően</w:t>
            </w:r>
          </w:p>
        </w:tc>
        <w:tc>
          <w:tcPr>
            <w:tcW w:w="709" w:type="dxa"/>
            <w:vAlign w:val="center"/>
          </w:tcPr>
          <w:p w14:paraId="63BF76E1" w14:textId="0C32B09A" w:rsidR="008D5D96" w:rsidRPr="008851D3" w:rsidRDefault="006B51A1"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2030</w:t>
            </w:r>
          </w:p>
        </w:tc>
        <w:tc>
          <w:tcPr>
            <w:tcW w:w="1277" w:type="dxa"/>
            <w:vAlign w:val="center"/>
          </w:tcPr>
          <w:p w14:paraId="43407220" w14:textId="77777777" w:rsidR="008D5D96" w:rsidRPr="008851D3" w:rsidRDefault="005F7892"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KIR-</w:t>
            </w:r>
            <w:r w:rsidR="00B95C5C" w:rsidRPr="008851D3">
              <w:rPr>
                <w:rFonts w:asciiTheme="majorHAnsi" w:hAnsiTheme="majorHAnsi" w:cstheme="majorHAnsi"/>
                <w:color w:val="3F3F3F"/>
                <w:sz w:val="16"/>
                <w:szCs w:val="16"/>
                <w:lang w:eastAsia="hu-HU"/>
              </w:rPr>
              <w:t>STAT</w:t>
            </w:r>
          </w:p>
        </w:tc>
        <w:tc>
          <w:tcPr>
            <w:tcW w:w="426" w:type="dxa"/>
            <w:textDirection w:val="btLr"/>
          </w:tcPr>
          <w:p w14:paraId="1A670E0B" w14:textId="77777777" w:rsidR="008D5D96" w:rsidRPr="008851D3" w:rsidRDefault="008D5D96" w:rsidP="00D9086E">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évente</w:t>
            </w:r>
          </w:p>
        </w:tc>
      </w:tr>
      <w:tr w:rsidR="004761D0" w:rsidRPr="008851D3" w14:paraId="57BC443E" w14:textId="77777777" w:rsidTr="006B51A1">
        <w:trPr>
          <w:trHeight w:val="1258"/>
        </w:trPr>
        <w:tc>
          <w:tcPr>
            <w:cnfStyle w:val="001000000000" w:firstRow="0" w:lastRow="0" w:firstColumn="1" w:lastColumn="0" w:oddVBand="0" w:evenVBand="0" w:oddHBand="0" w:evenHBand="0" w:firstRowFirstColumn="0" w:firstRowLastColumn="0" w:lastRowFirstColumn="0" w:lastRowLastColumn="0"/>
            <w:tcW w:w="392" w:type="dxa"/>
            <w:vAlign w:val="center"/>
            <w:hideMark/>
          </w:tcPr>
          <w:p w14:paraId="54B9B062" w14:textId="77777777" w:rsidR="004761D0" w:rsidRPr="00985B33" w:rsidRDefault="004761D0" w:rsidP="00B17466">
            <w:pPr>
              <w:spacing w:after="0" w:line="240" w:lineRule="auto"/>
              <w:jc w:val="center"/>
              <w:rPr>
                <w:rFonts w:asciiTheme="majorHAnsi" w:hAnsiTheme="majorHAnsi" w:cstheme="majorHAnsi"/>
                <w:b w:val="0"/>
                <w:color w:val="3F3F3F"/>
                <w:sz w:val="16"/>
                <w:szCs w:val="16"/>
                <w:lang w:eastAsia="hu-HU"/>
              </w:rPr>
            </w:pPr>
            <w:r w:rsidRPr="00985B33">
              <w:rPr>
                <w:rFonts w:asciiTheme="majorHAnsi" w:hAnsiTheme="majorHAnsi" w:cstheme="majorHAnsi"/>
                <w:b w:val="0"/>
                <w:color w:val="3F3F3F"/>
                <w:sz w:val="16"/>
                <w:szCs w:val="16"/>
                <w:lang w:eastAsia="hu-HU"/>
              </w:rPr>
              <w:t>2</w:t>
            </w:r>
          </w:p>
        </w:tc>
        <w:tc>
          <w:tcPr>
            <w:tcW w:w="1701" w:type="dxa"/>
            <w:vAlign w:val="center"/>
            <w:hideMark/>
          </w:tcPr>
          <w:p w14:paraId="72B08D38" w14:textId="77777777" w:rsidR="004761D0" w:rsidRPr="00985B33" w:rsidRDefault="002A1D54"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Országos kompetencia-mérésben az a</w:t>
            </w:r>
            <w:r w:rsidRPr="002A1D54">
              <w:rPr>
                <w:rFonts w:asciiTheme="majorHAnsi" w:hAnsiTheme="majorHAnsi" w:cstheme="majorHAnsi"/>
                <w:color w:val="3F3F3F"/>
                <w:sz w:val="16"/>
                <w:szCs w:val="16"/>
                <w:lang w:eastAsia="hu-HU"/>
              </w:rPr>
              <w:t>la</w:t>
            </w:r>
            <w:r>
              <w:rPr>
                <w:rFonts w:asciiTheme="majorHAnsi" w:hAnsiTheme="majorHAnsi" w:cstheme="majorHAnsi"/>
                <w:color w:val="3F3F3F"/>
                <w:sz w:val="16"/>
                <w:szCs w:val="16"/>
                <w:lang w:eastAsia="hu-HU"/>
              </w:rPr>
              <w:t>pszintet (4. szint) elérő 8. évfolyamos tanulók aránya</w:t>
            </w:r>
          </w:p>
        </w:tc>
        <w:tc>
          <w:tcPr>
            <w:tcW w:w="567" w:type="dxa"/>
            <w:vAlign w:val="center"/>
          </w:tcPr>
          <w:p w14:paraId="7A269394"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1.</w:t>
            </w:r>
          </w:p>
        </w:tc>
        <w:tc>
          <w:tcPr>
            <w:tcW w:w="425" w:type="dxa"/>
            <w:vAlign w:val="center"/>
            <w:hideMark/>
          </w:tcPr>
          <w:p w14:paraId="34F886E2"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w:t>
            </w:r>
          </w:p>
        </w:tc>
        <w:tc>
          <w:tcPr>
            <w:tcW w:w="1134" w:type="dxa"/>
            <w:vAlign w:val="center"/>
            <w:hideMark/>
          </w:tcPr>
          <w:p w14:paraId="3D5B5827"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2018</w:t>
            </w:r>
          </w:p>
        </w:tc>
        <w:tc>
          <w:tcPr>
            <w:tcW w:w="1134" w:type="dxa"/>
            <w:vAlign w:val="center"/>
          </w:tcPr>
          <w:p w14:paraId="7451B804" w14:textId="77777777" w:rsidR="002A1D54" w:rsidRDefault="002A1D54"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szövegértés: 71,1</w:t>
            </w:r>
          </w:p>
          <w:p w14:paraId="7E0D6836" w14:textId="77777777" w:rsidR="002A1D54" w:rsidRDefault="002A1D54"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matematika: 58,4</w:t>
            </w:r>
          </w:p>
          <w:p w14:paraId="6363DC12"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p>
        </w:tc>
        <w:tc>
          <w:tcPr>
            <w:tcW w:w="1275" w:type="dxa"/>
            <w:vAlign w:val="center"/>
          </w:tcPr>
          <w:p w14:paraId="08FE9381" w14:textId="77777777" w:rsidR="007C6207" w:rsidRDefault="007C6207"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p>
          <w:p w14:paraId="296D8419" w14:textId="77777777" w:rsidR="002A1D54" w:rsidRDefault="002A1D54"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s</w:t>
            </w:r>
            <w:r w:rsidR="0087525D">
              <w:rPr>
                <w:rFonts w:asciiTheme="majorHAnsi" w:hAnsiTheme="majorHAnsi" w:cstheme="majorHAnsi"/>
                <w:color w:val="3F3F3F"/>
                <w:sz w:val="16"/>
                <w:szCs w:val="16"/>
                <w:lang w:eastAsia="hu-HU"/>
              </w:rPr>
              <w:t>zövegértés: 75,0</w:t>
            </w:r>
          </w:p>
          <w:p w14:paraId="69716A74" w14:textId="77777777" w:rsidR="002A1D54" w:rsidRDefault="0087525D"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 xml:space="preserve">matematika: 65,0 </w:t>
            </w:r>
          </w:p>
          <w:p w14:paraId="3F0DC6E6" w14:textId="77777777" w:rsidR="002A1D54" w:rsidRDefault="002A1D54"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p>
          <w:p w14:paraId="0E942878"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p>
        </w:tc>
        <w:tc>
          <w:tcPr>
            <w:tcW w:w="709" w:type="dxa"/>
            <w:vAlign w:val="center"/>
            <w:hideMark/>
          </w:tcPr>
          <w:p w14:paraId="64E13EEF"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2030</w:t>
            </w:r>
          </w:p>
        </w:tc>
        <w:tc>
          <w:tcPr>
            <w:tcW w:w="1277" w:type="dxa"/>
            <w:vAlign w:val="center"/>
            <w:hideMark/>
          </w:tcPr>
          <w:p w14:paraId="303851A2" w14:textId="66DFDF44"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Országos Kompetencia</w:t>
            </w:r>
            <w:r w:rsidR="006B51A1">
              <w:rPr>
                <w:rFonts w:asciiTheme="majorHAnsi" w:hAnsiTheme="majorHAnsi" w:cstheme="majorHAnsi"/>
                <w:color w:val="3F3F3F"/>
                <w:sz w:val="16"/>
                <w:szCs w:val="16"/>
                <w:lang w:eastAsia="hu-HU"/>
              </w:rPr>
              <w:t>-</w:t>
            </w:r>
            <w:r>
              <w:rPr>
                <w:rFonts w:asciiTheme="majorHAnsi" w:hAnsiTheme="majorHAnsi" w:cstheme="majorHAnsi"/>
                <w:color w:val="3F3F3F"/>
                <w:sz w:val="16"/>
                <w:szCs w:val="16"/>
                <w:lang w:eastAsia="hu-HU"/>
              </w:rPr>
              <w:t>mérés</w:t>
            </w:r>
          </w:p>
        </w:tc>
        <w:tc>
          <w:tcPr>
            <w:tcW w:w="426" w:type="dxa"/>
            <w:textDirection w:val="btLr"/>
            <w:hideMark/>
          </w:tcPr>
          <w:p w14:paraId="7BA08286" w14:textId="77777777" w:rsidR="004761D0" w:rsidRPr="008851D3" w:rsidRDefault="004761D0" w:rsidP="001C2AB0">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háromévente</w:t>
            </w:r>
          </w:p>
        </w:tc>
      </w:tr>
      <w:tr w:rsidR="00C23C2D" w:rsidRPr="00511FEB" w14:paraId="6C0F9DF7" w14:textId="77777777" w:rsidTr="006B51A1">
        <w:trPr>
          <w:trHeight w:val="1134"/>
        </w:trPr>
        <w:tc>
          <w:tcPr>
            <w:cnfStyle w:val="001000000000" w:firstRow="0" w:lastRow="0" w:firstColumn="1" w:lastColumn="0" w:oddVBand="0" w:evenVBand="0" w:oddHBand="0" w:evenHBand="0" w:firstRowFirstColumn="0" w:firstRowLastColumn="0" w:lastRowFirstColumn="0" w:lastRowLastColumn="0"/>
            <w:tcW w:w="392" w:type="dxa"/>
            <w:vAlign w:val="center"/>
          </w:tcPr>
          <w:p w14:paraId="6C92D836" w14:textId="44C14145" w:rsidR="00C23C2D" w:rsidRDefault="00E21601" w:rsidP="003A38E6">
            <w:pPr>
              <w:spacing w:after="0" w:line="240" w:lineRule="auto"/>
              <w:jc w:val="center"/>
              <w:rPr>
                <w:rFonts w:asciiTheme="majorHAnsi" w:hAnsiTheme="majorHAnsi" w:cstheme="majorHAnsi"/>
                <w:b w:val="0"/>
                <w:color w:val="3F3F3F"/>
                <w:sz w:val="16"/>
                <w:szCs w:val="16"/>
                <w:lang w:eastAsia="hu-HU"/>
              </w:rPr>
            </w:pPr>
            <w:r>
              <w:rPr>
                <w:rFonts w:asciiTheme="majorHAnsi" w:hAnsiTheme="majorHAnsi" w:cstheme="majorHAnsi"/>
                <w:b w:val="0"/>
                <w:color w:val="3F3F3F"/>
                <w:sz w:val="16"/>
                <w:szCs w:val="16"/>
                <w:lang w:eastAsia="hu-HU"/>
              </w:rPr>
              <w:t>3</w:t>
            </w:r>
          </w:p>
        </w:tc>
        <w:tc>
          <w:tcPr>
            <w:tcW w:w="1701" w:type="dxa"/>
            <w:vAlign w:val="center"/>
          </w:tcPr>
          <w:p w14:paraId="587D79B7" w14:textId="77777777" w:rsidR="00C23C2D" w:rsidRPr="00511FEB" w:rsidRDefault="00C23C2D" w:rsidP="003A38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AF0CA0">
              <w:rPr>
                <w:rFonts w:asciiTheme="majorHAnsi" w:hAnsiTheme="majorHAnsi" w:cstheme="majorHAnsi"/>
                <w:color w:val="3F3F3F"/>
                <w:sz w:val="16"/>
                <w:szCs w:val="16"/>
                <w:lang w:eastAsia="hu-HU"/>
              </w:rPr>
              <w:t>Nemzeti Egységes Tanulói Fittségi Teszt (NETFIT) fokozott fejlesztési zónába sorolt tanulók aránya</w:t>
            </w:r>
          </w:p>
        </w:tc>
        <w:tc>
          <w:tcPr>
            <w:tcW w:w="567" w:type="dxa"/>
            <w:vAlign w:val="center"/>
          </w:tcPr>
          <w:p w14:paraId="60B3431C" w14:textId="77777777" w:rsidR="00C23C2D" w:rsidRPr="00511FEB" w:rsidRDefault="00C23C2D" w:rsidP="003A38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1.</w:t>
            </w:r>
          </w:p>
        </w:tc>
        <w:tc>
          <w:tcPr>
            <w:tcW w:w="425" w:type="dxa"/>
            <w:noWrap/>
            <w:vAlign w:val="center"/>
          </w:tcPr>
          <w:p w14:paraId="58227D03" w14:textId="77777777" w:rsidR="00C23C2D" w:rsidRPr="00511FEB" w:rsidRDefault="00C23C2D" w:rsidP="003A38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w:t>
            </w:r>
          </w:p>
        </w:tc>
        <w:tc>
          <w:tcPr>
            <w:tcW w:w="1134" w:type="dxa"/>
            <w:noWrap/>
            <w:vAlign w:val="center"/>
          </w:tcPr>
          <w:p w14:paraId="3E22AEE3" w14:textId="77777777" w:rsidR="00C23C2D" w:rsidRPr="00511FEB" w:rsidRDefault="00C23C2D" w:rsidP="003A38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2018-2019</w:t>
            </w:r>
          </w:p>
        </w:tc>
        <w:tc>
          <w:tcPr>
            <w:tcW w:w="1134" w:type="dxa"/>
            <w:noWrap/>
            <w:vAlign w:val="center"/>
          </w:tcPr>
          <w:p w14:paraId="539C094A" w14:textId="77777777" w:rsidR="00C23C2D" w:rsidRDefault="00C23C2D" w:rsidP="003A38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27,7</w:t>
            </w:r>
          </w:p>
        </w:tc>
        <w:tc>
          <w:tcPr>
            <w:tcW w:w="1275" w:type="dxa"/>
            <w:noWrap/>
            <w:vAlign w:val="center"/>
          </w:tcPr>
          <w:p w14:paraId="241D3905" w14:textId="77777777" w:rsidR="00C23C2D" w:rsidRDefault="00C23C2D" w:rsidP="003A38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15</w:t>
            </w:r>
          </w:p>
        </w:tc>
        <w:tc>
          <w:tcPr>
            <w:tcW w:w="709" w:type="dxa"/>
            <w:noWrap/>
            <w:vAlign w:val="center"/>
          </w:tcPr>
          <w:p w14:paraId="10214631" w14:textId="77777777" w:rsidR="00C23C2D" w:rsidRPr="00511FEB" w:rsidRDefault="00C23C2D" w:rsidP="003A38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2030</w:t>
            </w:r>
          </w:p>
        </w:tc>
        <w:tc>
          <w:tcPr>
            <w:tcW w:w="1277" w:type="dxa"/>
            <w:vAlign w:val="center"/>
          </w:tcPr>
          <w:p w14:paraId="678E8351" w14:textId="77777777" w:rsidR="00C23C2D" w:rsidRPr="00511FEB" w:rsidRDefault="00B52B1F" w:rsidP="003A38E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NETFIT</w:t>
            </w:r>
            <w:r w:rsidR="00C23C2D" w:rsidRPr="00C23C2D">
              <w:rPr>
                <w:rFonts w:asciiTheme="majorHAnsi" w:hAnsiTheme="majorHAnsi" w:cstheme="majorHAnsi"/>
                <w:color w:val="3F3F3F"/>
                <w:sz w:val="16"/>
                <w:szCs w:val="16"/>
                <w:lang w:eastAsia="hu-HU"/>
              </w:rPr>
              <w:t xml:space="preserve"> informatikai rendszer</w:t>
            </w:r>
          </w:p>
        </w:tc>
        <w:tc>
          <w:tcPr>
            <w:tcW w:w="426" w:type="dxa"/>
            <w:noWrap/>
            <w:textDirection w:val="btLr"/>
          </w:tcPr>
          <w:p w14:paraId="61509922" w14:textId="77777777" w:rsidR="00C23C2D" w:rsidRPr="00511FEB" w:rsidRDefault="00C23C2D" w:rsidP="003A38E6">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511FEB">
              <w:rPr>
                <w:rFonts w:asciiTheme="majorHAnsi" w:hAnsiTheme="majorHAnsi" w:cstheme="majorHAnsi"/>
                <w:color w:val="3F3F3F"/>
                <w:sz w:val="16"/>
                <w:szCs w:val="16"/>
                <w:lang w:eastAsia="hu-HU"/>
              </w:rPr>
              <w:t>évente</w:t>
            </w:r>
          </w:p>
        </w:tc>
      </w:tr>
      <w:tr w:rsidR="004761D0" w:rsidRPr="008851D3" w14:paraId="775473AE" w14:textId="77777777" w:rsidTr="006B51A1">
        <w:trPr>
          <w:trHeight w:val="1134"/>
        </w:trPr>
        <w:tc>
          <w:tcPr>
            <w:cnfStyle w:val="001000000000" w:firstRow="0" w:lastRow="0" w:firstColumn="1" w:lastColumn="0" w:oddVBand="0" w:evenVBand="0" w:oddHBand="0" w:evenHBand="0" w:firstRowFirstColumn="0" w:firstRowLastColumn="0" w:lastRowFirstColumn="0" w:lastRowLastColumn="0"/>
            <w:tcW w:w="392" w:type="dxa"/>
            <w:vAlign w:val="center"/>
          </w:tcPr>
          <w:p w14:paraId="2E2C0D29" w14:textId="0DBC94B4" w:rsidR="004761D0" w:rsidRPr="00985B33" w:rsidRDefault="00E21601" w:rsidP="00B17466">
            <w:pPr>
              <w:spacing w:after="0" w:line="240" w:lineRule="auto"/>
              <w:jc w:val="center"/>
              <w:rPr>
                <w:rFonts w:asciiTheme="majorHAnsi" w:hAnsiTheme="majorHAnsi" w:cstheme="majorHAnsi"/>
                <w:b w:val="0"/>
                <w:color w:val="3F3F3F"/>
                <w:sz w:val="16"/>
                <w:szCs w:val="16"/>
                <w:lang w:eastAsia="hu-HU"/>
              </w:rPr>
            </w:pPr>
            <w:r>
              <w:rPr>
                <w:rFonts w:asciiTheme="majorHAnsi" w:hAnsiTheme="majorHAnsi" w:cstheme="majorHAnsi"/>
                <w:b w:val="0"/>
                <w:color w:val="3F3F3F"/>
                <w:sz w:val="16"/>
                <w:szCs w:val="16"/>
                <w:lang w:eastAsia="hu-HU"/>
              </w:rPr>
              <w:t>4</w:t>
            </w:r>
          </w:p>
        </w:tc>
        <w:tc>
          <w:tcPr>
            <w:tcW w:w="1701" w:type="dxa"/>
            <w:vAlign w:val="center"/>
          </w:tcPr>
          <w:p w14:paraId="6B019E41" w14:textId="77777777" w:rsidR="004761D0" w:rsidRPr="00985B3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985B33">
              <w:rPr>
                <w:rFonts w:asciiTheme="majorHAnsi" w:hAnsiTheme="majorHAnsi" w:cstheme="majorHAnsi"/>
                <w:color w:val="3F3F3F"/>
                <w:sz w:val="16"/>
                <w:szCs w:val="16"/>
                <w:lang w:eastAsia="hu-HU"/>
              </w:rPr>
              <w:t>IKT eszközöket a tanóráik legalább 40 %-ában használó pedagógusok</w:t>
            </w:r>
            <w:r w:rsidR="007C6207">
              <w:rPr>
                <w:rFonts w:asciiTheme="majorHAnsi" w:hAnsiTheme="majorHAnsi" w:cstheme="majorHAnsi"/>
                <w:color w:val="3F3F3F"/>
                <w:sz w:val="16"/>
                <w:szCs w:val="16"/>
                <w:lang w:eastAsia="hu-HU"/>
              </w:rPr>
              <w:t xml:space="preserve"> aránya</w:t>
            </w:r>
          </w:p>
        </w:tc>
        <w:tc>
          <w:tcPr>
            <w:tcW w:w="567" w:type="dxa"/>
            <w:vAlign w:val="center"/>
          </w:tcPr>
          <w:p w14:paraId="382124F1"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2.</w:t>
            </w:r>
          </w:p>
        </w:tc>
        <w:tc>
          <w:tcPr>
            <w:tcW w:w="425" w:type="dxa"/>
            <w:vAlign w:val="center"/>
          </w:tcPr>
          <w:p w14:paraId="6A92F8CE"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w:t>
            </w:r>
          </w:p>
        </w:tc>
        <w:tc>
          <w:tcPr>
            <w:tcW w:w="1134" w:type="dxa"/>
            <w:vAlign w:val="center"/>
          </w:tcPr>
          <w:p w14:paraId="235FED13"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2019</w:t>
            </w:r>
          </w:p>
        </w:tc>
        <w:tc>
          <w:tcPr>
            <w:tcW w:w="1134" w:type="dxa"/>
            <w:vAlign w:val="center"/>
          </w:tcPr>
          <w:p w14:paraId="3216BD82" w14:textId="77777777" w:rsidR="004761D0" w:rsidRPr="008851D3" w:rsidRDefault="00064D0B"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33,12</w:t>
            </w:r>
          </w:p>
        </w:tc>
        <w:tc>
          <w:tcPr>
            <w:tcW w:w="1275" w:type="dxa"/>
            <w:vAlign w:val="center"/>
          </w:tcPr>
          <w:p w14:paraId="2D70E245" w14:textId="77777777" w:rsidR="004761D0" w:rsidRPr="008851D3" w:rsidRDefault="0087525D"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5</w:t>
            </w:r>
            <w:r w:rsidR="00064D0B">
              <w:rPr>
                <w:rFonts w:asciiTheme="majorHAnsi" w:hAnsiTheme="majorHAnsi" w:cstheme="majorHAnsi"/>
                <w:color w:val="3F3F3F"/>
                <w:sz w:val="16"/>
                <w:szCs w:val="16"/>
                <w:lang w:eastAsia="hu-HU"/>
              </w:rPr>
              <w:t>0,00</w:t>
            </w:r>
          </w:p>
        </w:tc>
        <w:tc>
          <w:tcPr>
            <w:tcW w:w="709" w:type="dxa"/>
            <w:vAlign w:val="center"/>
          </w:tcPr>
          <w:p w14:paraId="5EA533D3"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2030</w:t>
            </w:r>
          </w:p>
        </w:tc>
        <w:tc>
          <w:tcPr>
            <w:tcW w:w="1277" w:type="dxa"/>
            <w:vAlign w:val="center"/>
          </w:tcPr>
          <w:p w14:paraId="02C21FCA"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KIR-STAT</w:t>
            </w:r>
          </w:p>
        </w:tc>
        <w:tc>
          <w:tcPr>
            <w:tcW w:w="426" w:type="dxa"/>
            <w:textDirection w:val="btLr"/>
          </w:tcPr>
          <w:p w14:paraId="6C4A3EB4" w14:textId="77777777" w:rsidR="004761D0" w:rsidRPr="008851D3" w:rsidRDefault="004761D0" w:rsidP="00D9086E">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évente</w:t>
            </w:r>
          </w:p>
        </w:tc>
      </w:tr>
      <w:tr w:rsidR="004761D0" w:rsidRPr="008851D3" w14:paraId="3C4572FC" w14:textId="77777777" w:rsidTr="006B51A1">
        <w:trPr>
          <w:trHeight w:val="795"/>
        </w:trPr>
        <w:tc>
          <w:tcPr>
            <w:cnfStyle w:val="001000000000" w:firstRow="0" w:lastRow="0" w:firstColumn="1" w:lastColumn="0" w:oddVBand="0" w:evenVBand="0" w:oddHBand="0" w:evenHBand="0" w:firstRowFirstColumn="0" w:firstRowLastColumn="0" w:lastRowFirstColumn="0" w:lastRowLastColumn="0"/>
            <w:tcW w:w="392" w:type="dxa"/>
            <w:vAlign w:val="center"/>
            <w:hideMark/>
          </w:tcPr>
          <w:p w14:paraId="7DE6C787" w14:textId="4B7F1A4B" w:rsidR="004761D0" w:rsidRPr="00985B33" w:rsidRDefault="00E21601" w:rsidP="00B17466">
            <w:pPr>
              <w:spacing w:after="0" w:line="240" w:lineRule="auto"/>
              <w:jc w:val="center"/>
              <w:rPr>
                <w:rFonts w:asciiTheme="majorHAnsi" w:hAnsiTheme="majorHAnsi" w:cstheme="majorHAnsi"/>
                <w:b w:val="0"/>
                <w:color w:val="3F3F3F"/>
                <w:sz w:val="16"/>
                <w:szCs w:val="16"/>
                <w:lang w:eastAsia="hu-HU"/>
              </w:rPr>
            </w:pPr>
            <w:r>
              <w:rPr>
                <w:rFonts w:asciiTheme="majorHAnsi" w:hAnsiTheme="majorHAnsi" w:cstheme="majorHAnsi"/>
                <w:b w:val="0"/>
                <w:color w:val="3F3F3F"/>
                <w:sz w:val="16"/>
                <w:szCs w:val="16"/>
                <w:lang w:eastAsia="hu-HU"/>
              </w:rPr>
              <w:t>5</w:t>
            </w:r>
          </w:p>
        </w:tc>
        <w:tc>
          <w:tcPr>
            <w:tcW w:w="1701" w:type="dxa"/>
            <w:vAlign w:val="center"/>
            <w:hideMark/>
          </w:tcPr>
          <w:p w14:paraId="198186D9" w14:textId="77777777" w:rsidR="004761D0" w:rsidRPr="00985B33" w:rsidRDefault="004E4DA1"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Végzettség nélküli iskolaelhagyás</w:t>
            </w:r>
            <w:r w:rsidR="004761D0" w:rsidRPr="00985B33">
              <w:rPr>
                <w:rFonts w:asciiTheme="majorHAnsi" w:hAnsiTheme="majorHAnsi" w:cstheme="majorHAnsi"/>
                <w:color w:val="3F3F3F"/>
                <w:sz w:val="16"/>
                <w:szCs w:val="16"/>
                <w:lang w:eastAsia="hu-HU"/>
              </w:rPr>
              <w:t xml:space="preserve"> mértéke</w:t>
            </w:r>
          </w:p>
        </w:tc>
        <w:tc>
          <w:tcPr>
            <w:tcW w:w="567" w:type="dxa"/>
            <w:vAlign w:val="center"/>
          </w:tcPr>
          <w:p w14:paraId="191EEF9A"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3.</w:t>
            </w:r>
          </w:p>
        </w:tc>
        <w:tc>
          <w:tcPr>
            <w:tcW w:w="425" w:type="dxa"/>
            <w:vAlign w:val="center"/>
            <w:hideMark/>
          </w:tcPr>
          <w:p w14:paraId="52DAA655"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w:t>
            </w:r>
          </w:p>
        </w:tc>
        <w:tc>
          <w:tcPr>
            <w:tcW w:w="1134" w:type="dxa"/>
            <w:vAlign w:val="center"/>
            <w:hideMark/>
          </w:tcPr>
          <w:p w14:paraId="292BFE58" w14:textId="21CDD9B1" w:rsidR="004761D0" w:rsidRPr="008851D3" w:rsidRDefault="004761D0" w:rsidP="009403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201</w:t>
            </w:r>
            <w:r w:rsidR="0094038B">
              <w:rPr>
                <w:rFonts w:asciiTheme="majorHAnsi" w:hAnsiTheme="majorHAnsi" w:cstheme="majorHAnsi"/>
                <w:color w:val="3F3F3F"/>
                <w:sz w:val="16"/>
                <w:szCs w:val="16"/>
                <w:lang w:eastAsia="hu-HU"/>
              </w:rPr>
              <w:t>9</w:t>
            </w:r>
          </w:p>
        </w:tc>
        <w:tc>
          <w:tcPr>
            <w:tcW w:w="1134" w:type="dxa"/>
            <w:vAlign w:val="center"/>
            <w:hideMark/>
          </w:tcPr>
          <w:p w14:paraId="17C94C4A" w14:textId="57ECECD9" w:rsidR="004761D0" w:rsidRPr="008851D3" w:rsidRDefault="004761D0" w:rsidP="00A87B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1</w:t>
            </w:r>
            <w:r w:rsidR="00A87B26">
              <w:rPr>
                <w:rFonts w:asciiTheme="majorHAnsi" w:hAnsiTheme="majorHAnsi" w:cstheme="majorHAnsi"/>
                <w:color w:val="3F3F3F"/>
                <w:sz w:val="16"/>
                <w:szCs w:val="16"/>
                <w:lang w:eastAsia="hu-HU"/>
              </w:rPr>
              <w:t>1</w:t>
            </w:r>
            <w:r w:rsidRPr="008851D3">
              <w:rPr>
                <w:rFonts w:asciiTheme="majorHAnsi" w:hAnsiTheme="majorHAnsi" w:cstheme="majorHAnsi"/>
                <w:color w:val="3F3F3F"/>
                <w:sz w:val="16"/>
                <w:szCs w:val="16"/>
                <w:lang w:eastAsia="hu-HU"/>
              </w:rPr>
              <w:t>,</w:t>
            </w:r>
            <w:r w:rsidR="00A87B26">
              <w:rPr>
                <w:rFonts w:asciiTheme="majorHAnsi" w:hAnsiTheme="majorHAnsi" w:cstheme="majorHAnsi"/>
                <w:color w:val="3F3F3F"/>
                <w:sz w:val="16"/>
                <w:szCs w:val="16"/>
                <w:lang w:eastAsia="hu-HU"/>
              </w:rPr>
              <w:t>8</w:t>
            </w:r>
            <w:r>
              <w:rPr>
                <w:rFonts w:asciiTheme="majorHAnsi" w:hAnsiTheme="majorHAnsi" w:cstheme="majorHAnsi"/>
                <w:color w:val="3F3F3F"/>
                <w:sz w:val="16"/>
                <w:szCs w:val="16"/>
                <w:lang w:eastAsia="hu-HU"/>
              </w:rPr>
              <w:t>0</w:t>
            </w:r>
          </w:p>
        </w:tc>
        <w:tc>
          <w:tcPr>
            <w:tcW w:w="1275" w:type="dxa"/>
            <w:vAlign w:val="center"/>
          </w:tcPr>
          <w:p w14:paraId="20806FF4"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az EU célkitűzésének megfelelően</w:t>
            </w:r>
          </w:p>
        </w:tc>
        <w:tc>
          <w:tcPr>
            <w:tcW w:w="709" w:type="dxa"/>
            <w:vAlign w:val="center"/>
            <w:hideMark/>
          </w:tcPr>
          <w:p w14:paraId="7A539889" w14:textId="77777777" w:rsidR="004761D0" w:rsidRPr="008851D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2030</w:t>
            </w:r>
          </w:p>
        </w:tc>
        <w:tc>
          <w:tcPr>
            <w:tcW w:w="1277" w:type="dxa"/>
            <w:vAlign w:val="center"/>
            <w:hideMark/>
          </w:tcPr>
          <w:p w14:paraId="740FC91C" w14:textId="33977AB0" w:rsidR="004761D0" w:rsidRPr="008851D3" w:rsidRDefault="00A87B26"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KSH</w:t>
            </w:r>
          </w:p>
        </w:tc>
        <w:tc>
          <w:tcPr>
            <w:tcW w:w="426" w:type="dxa"/>
            <w:textDirection w:val="btLr"/>
            <w:hideMark/>
          </w:tcPr>
          <w:p w14:paraId="1CA3356E" w14:textId="77777777" w:rsidR="004761D0" w:rsidRPr="008851D3" w:rsidRDefault="004761D0" w:rsidP="00D9086E">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8851D3">
              <w:rPr>
                <w:rFonts w:asciiTheme="majorHAnsi" w:hAnsiTheme="majorHAnsi" w:cstheme="majorHAnsi"/>
                <w:color w:val="3F3F3F"/>
                <w:sz w:val="16"/>
                <w:szCs w:val="16"/>
                <w:lang w:eastAsia="hu-HU"/>
              </w:rPr>
              <w:t>évente</w:t>
            </w:r>
          </w:p>
        </w:tc>
      </w:tr>
      <w:tr w:rsidR="004761D0" w:rsidRPr="00D86BEE" w14:paraId="2FBB50BB" w14:textId="77777777" w:rsidTr="006B51A1">
        <w:trPr>
          <w:trHeight w:val="1168"/>
        </w:trPr>
        <w:tc>
          <w:tcPr>
            <w:cnfStyle w:val="001000000000" w:firstRow="0" w:lastRow="0" w:firstColumn="1" w:lastColumn="0" w:oddVBand="0" w:evenVBand="0" w:oddHBand="0" w:evenHBand="0" w:firstRowFirstColumn="0" w:firstRowLastColumn="0" w:lastRowFirstColumn="0" w:lastRowLastColumn="0"/>
            <w:tcW w:w="392" w:type="dxa"/>
            <w:vAlign w:val="center"/>
            <w:hideMark/>
          </w:tcPr>
          <w:p w14:paraId="4F5905F6" w14:textId="093502CC" w:rsidR="004761D0" w:rsidRPr="00D86BEE" w:rsidRDefault="00E21601" w:rsidP="00B17466">
            <w:pPr>
              <w:spacing w:after="0" w:line="240" w:lineRule="auto"/>
              <w:jc w:val="center"/>
              <w:rPr>
                <w:rFonts w:asciiTheme="majorHAnsi" w:hAnsiTheme="majorHAnsi" w:cstheme="majorHAnsi"/>
                <w:b w:val="0"/>
                <w:color w:val="3F3F3F"/>
                <w:sz w:val="16"/>
                <w:szCs w:val="16"/>
                <w:lang w:eastAsia="hu-HU"/>
              </w:rPr>
            </w:pPr>
            <w:r>
              <w:rPr>
                <w:rFonts w:asciiTheme="majorHAnsi" w:hAnsiTheme="majorHAnsi" w:cstheme="majorHAnsi"/>
                <w:b w:val="0"/>
                <w:color w:val="3F3F3F"/>
                <w:sz w:val="16"/>
                <w:szCs w:val="16"/>
                <w:lang w:eastAsia="hu-HU"/>
              </w:rPr>
              <w:t>6</w:t>
            </w:r>
          </w:p>
        </w:tc>
        <w:tc>
          <w:tcPr>
            <w:tcW w:w="1701" w:type="dxa"/>
            <w:vAlign w:val="center"/>
            <w:hideMark/>
          </w:tcPr>
          <w:p w14:paraId="25469519" w14:textId="15F64F6A" w:rsidR="004761D0" w:rsidRPr="00D86BEE"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D86BEE">
              <w:rPr>
                <w:rFonts w:asciiTheme="majorHAnsi" w:hAnsiTheme="majorHAnsi" w:cstheme="majorHAnsi"/>
                <w:color w:val="3F3F3F"/>
                <w:sz w:val="16"/>
                <w:szCs w:val="16"/>
                <w:lang w:eastAsia="hu-HU"/>
              </w:rPr>
              <w:t>Korai jelző- és támogatórendszerben szereplő, lemorzsolódással veszélyeztetett tanulók aránya</w:t>
            </w:r>
            <w:r w:rsidR="006974C4">
              <w:rPr>
                <w:rFonts w:asciiTheme="majorHAnsi" w:hAnsiTheme="majorHAnsi" w:cstheme="majorHAnsi"/>
                <w:color w:val="3F3F3F"/>
                <w:sz w:val="16"/>
                <w:szCs w:val="16"/>
                <w:lang w:eastAsia="hu-HU"/>
              </w:rPr>
              <w:t xml:space="preserve"> (országos adat)</w:t>
            </w:r>
          </w:p>
        </w:tc>
        <w:tc>
          <w:tcPr>
            <w:tcW w:w="567" w:type="dxa"/>
            <w:vAlign w:val="center"/>
          </w:tcPr>
          <w:p w14:paraId="1FD294AF" w14:textId="77777777" w:rsidR="004761D0" w:rsidRPr="00D86BEE"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D86BEE">
              <w:rPr>
                <w:rFonts w:asciiTheme="majorHAnsi" w:hAnsiTheme="majorHAnsi" w:cstheme="majorHAnsi"/>
                <w:color w:val="3F3F3F"/>
                <w:sz w:val="16"/>
                <w:szCs w:val="16"/>
                <w:lang w:eastAsia="hu-HU"/>
              </w:rPr>
              <w:t>3.</w:t>
            </w:r>
          </w:p>
        </w:tc>
        <w:tc>
          <w:tcPr>
            <w:tcW w:w="425" w:type="dxa"/>
            <w:vAlign w:val="center"/>
            <w:hideMark/>
          </w:tcPr>
          <w:p w14:paraId="6C9EC4AE" w14:textId="77777777" w:rsidR="004761D0" w:rsidRPr="00D86BEE"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D86BEE">
              <w:rPr>
                <w:rFonts w:asciiTheme="majorHAnsi" w:hAnsiTheme="majorHAnsi" w:cstheme="majorHAnsi"/>
                <w:color w:val="3F3F3F"/>
                <w:sz w:val="16"/>
                <w:szCs w:val="16"/>
                <w:lang w:eastAsia="hu-HU"/>
              </w:rPr>
              <w:t>%</w:t>
            </w:r>
          </w:p>
        </w:tc>
        <w:tc>
          <w:tcPr>
            <w:tcW w:w="1134" w:type="dxa"/>
            <w:vAlign w:val="center"/>
            <w:hideMark/>
          </w:tcPr>
          <w:p w14:paraId="21EC2F83" w14:textId="77777777" w:rsidR="004761D0" w:rsidRPr="00D86BEE"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2019</w:t>
            </w:r>
          </w:p>
        </w:tc>
        <w:tc>
          <w:tcPr>
            <w:tcW w:w="1134" w:type="dxa"/>
            <w:vAlign w:val="center"/>
            <w:hideMark/>
          </w:tcPr>
          <w:p w14:paraId="7CE7886E" w14:textId="77777777" w:rsidR="004761D0" w:rsidRPr="00D86BEE"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7,46</w:t>
            </w:r>
          </w:p>
        </w:tc>
        <w:tc>
          <w:tcPr>
            <w:tcW w:w="1275" w:type="dxa"/>
            <w:vAlign w:val="center"/>
          </w:tcPr>
          <w:p w14:paraId="5969EDFA" w14:textId="77777777" w:rsidR="004761D0" w:rsidRPr="00D86BEE"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6,50</w:t>
            </w:r>
          </w:p>
        </w:tc>
        <w:tc>
          <w:tcPr>
            <w:tcW w:w="709" w:type="dxa"/>
            <w:vAlign w:val="center"/>
            <w:hideMark/>
          </w:tcPr>
          <w:p w14:paraId="4FDB8023" w14:textId="77777777" w:rsidR="004761D0" w:rsidRPr="00D86BEE"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D86BEE">
              <w:rPr>
                <w:rFonts w:asciiTheme="majorHAnsi" w:hAnsiTheme="majorHAnsi" w:cstheme="majorHAnsi"/>
                <w:color w:val="3F3F3F"/>
                <w:sz w:val="16"/>
                <w:szCs w:val="16"/>
                <w:lang w:eastAsia="hu-HU"/>
              </w:rPr>
              <w:t>2030</w:t>
            </w:r>
          </w:p>
        </w:tc>
        <w:tc>
          <w:tcPr>
            <w:tcW w:w="1277" w:type="dxa"/>
            <w:vAlign w:val="center"/>
            <w:hideMark/>
          </w:tcPr>
          <w:p w14:paraId="32CFA345" w14:textId="77777777" w:rsidR="004761D0" w:rsidRPr="00D86BEE"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KIR</w:t>
            </w:r>
          </w:p>
        </w:tc>
        <w:tc>
          <w:tcPr>
            <w:tcW w:w="426" w:type="dxa"/>
            <w:shd w:val="clear" w:color="auto" w:fill="auto"/>
            <w:textDirection w:val="btLr"/>
            <w:hideMark/>
          </w:tcPr>
          <w:p w14:paraId="62B75EC3" w14:textId="77777777" w:rsidR="004761D0" w:rsidRPr="00D86BEE" w:rsidRDefault="004761D0" w:rsidP="00D9086E">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D86BEE">
              <w:rPr>
                <w:rFonts w:asciiTheme="majorHAnsi" w:hAnsiTheme="majorHAnsi" w:cstheme="majorHAnsi"/>
                <w:color w:val="3F3F3F"/>
                <w:sz w:val="16"/>
                <w:szCs w:val="16"/>
                <w:lang w:eastAsia="hu-HU"/>
              </w:rPr>
              <w:t>évente</w:t>
            </w:r>
          </w:p>
        </w:tc>
      </w:tr>
      <w:tr w:rsidR="004761D0" w:rsidRPr="00985B33" w14:paraId="1112F245" w14:textId="77777777" w:rsidTr="006B51A1">
        <w:trPr>
          <w:trHeight w:val="1140"/>
        </w:trPr>
        <w:tc>
          <w:tcPr>
            <w:cnfStyle w:val="001000000000" w:firstRow="0" w:lastRow="0" w:firstColumn="1" w:lastColumn="0" w:oddVBand="0" w:evenVBand="0" w:oddHBand="0" w:evenHBand="0" w:firstRowFirstColumn="0" w:firstRowLastColumn="0" w:lastRowFirstColumn="0" w:lastRowLastColumn="0"/>
            <w:tcW w:w="392" w:type="dxa"/>
            <w:vAlign w:val="center"/>
          </w:tcPr>
          <w:p w14:paraId="4014F35F" w14:textId="41BEC8D4" w:rsidR="004761D0" w:rsidRPr="00985B33" w:rsidRDefault="00E21601" w:rsidP="00B17466">
            <w:pPr>
              <w:spacing w:after="0" w:line="240" w:lineRule="auto"/>
              <w:jc w:val="center"/>
              <w:rPr>
                <w:rFonts w:asciiTheme="majorHAnsi" w:hAnsiTheme="majorHAnsi" w:cstheme="majorHAnsi"/>
                <w:b w:val="0"/>
                <w:bCs w:val="0"/>
                <w:color w:val="3F3F3F"/>
                <w:sz w:val="16"/>
                <w:szCs w:val="16"/>
                <w:lang w:eastAsia="hu-HU"/>
              </w:rPr>
            </w:pPr>
            <w:r>
              <w:rPr>
                <w:rFonts w:asciiTheme="majorHAnsi" w:hAnsiTheme="majorHAnsi" w:cstheme="majorHAnsi"/>
                <w:b w:val="0"/>
                <w:bCs w:val="0"/>
                <w:color w:val="3F3F3F"/>
                <w:sz w:val="16"/>
                <w:szCs w:val="16"/>
                <w:lang w:eastAsia="hu-HU"/>
              </w:rPr>
              <w:t>7</w:t>
            </w:r>
          </w:p>
        </w:tc>
        <w:tc>
          <w:tcPr>
            <w:tcW w:w="1701" w:type="dxa"/>
            <w:vAlign w:val="center"/>
          </w:tcPr>
          <w:p w14:paraId="7EC94A64" w14:textId="77777777" w:rsidR="004761D0" w:rsidRPr="00985B3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985B33">
              <w:rPr>
                <w:rFonts w:asciiTheme="majorHAnsi" w:hAnsiTheme="majorHAnsi" w:cstheme="majorHAnsi"/>
                <w:color w:val="3F3F3F"/>
                <w:sz w:val="16"/>
                <w:szCs w:val="16"/>
                <w:lang w:eastAsia="hu-HU"/>
              </w:rPr>
              <w:t>Legalább e</w:t>
            </w:r>
            <w:r w:rsidR="00E02C7B">
              <w:rPr>
                <w:rFonts w:asciiTheme="majorHAnsi" w:hAnsiTheme="majorHAnsi" w:cstheme="majorHAnsi"/>
                <w:color w:val="3F3F3F"/>
                <w:sz w:val="16"/>
                <w:szCs w:val="16"/>
                <w:lang w:eastAsia="hu-HU"/>
              </w:rPr>
              <w:t xml:space="preserve">gy idegen nyelvből használható </w:t>
            </w:r>
            <w:r w:rsidRPr="00985B33">
              <w:rPr>
                <w:rFonts w:asciiTheme="majorHAnsi" w:hAnsiTheme="majorHAnsi" w:cstheme="majorHAnsi"/>
                <w:color w:val="3F3F3F"/>
                <w:sz w:val="16"/>
                <w:szCs w:val="16"/>
                <w:lang w:eastAsia="hu-HU"/>
              </w:rPr>
              <w:t>nyelvtudással rendelkez</w:t>
            </w:r>
            <w:r>
              <w:rPr>
                <w:rFonts w:asciiTheme="majorHAnsi" w:hAnsiTheme="majorHAnsi" w:cstheme="majorHAnsi"/>
                <w:color w:val="3F3F3F"/>
                <w:sz w:val="16"/>
                <w:szCs w:val="16"/>
                <w:lang w:eastAsia="hu-HU"/>
              </w:rPr>
              <w:t>ők</w:t>
            </w:r>
            <w:r w:rsidRPr="00985B33">
              <w:rPr>
                <w:rFonts w:asciiTheme="majorHAnsi" w:hAnsiTheme="majorHAnsi" w:cstheme="majorHAnsi"/>
                <w:color w:val="3F3F3F"/>
                <w:sz w:val="16"/>
                <w:szCs w:val="16"/>
                <w:lang w:eastAsia="hu-HU"/>
              </w:rPr>
              <w:t xml:space="preserve"> aránya</w:t>
            </w:r>
          </w:p>
        </w:tc>
        <w:tc>
          <w:tcPr>
            <w:tcW w:w="567" w:type="dxa"/>
            <w:vAlign w:val="center"/>
          </w:tcPr>
          <w:p w14:paraId="0B37D817" w14:textId="77777777" w:rsidR="004761D0" w:rsidRPr="00985B3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4.</w:t>
            </w:r>
          </w:p>
        </w:tc>
        <w:tc>
          <w:tcPr>
            <w:tcW w:w="425" w:type="dxa"/>
            <w:vAlign w:val="center"/>
          </w:tcPr>
          <w:p w14:paraId="7869A446" w14:textId="77777777" w:rsidR="004761D0" w:rsidRPr="00985B33"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w:t>
            </w:r>
          </w:p>
        </w:tc>
        <w:tc>
          <w:tcPr>
            <w:tcW w:w="1134" w:type="dxa"/>
            <w:vAlign w:val="center"/>
          </w:tcPr>
          <w:p w14:paraId="07CFFAEF" w14:textId="77777777" w:rsidR="004761D0" w:rsidRPr="00985B33" w:rsidRDefault="009A5DA9"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2016</w:t>
            </w:r>
          </w:p>
        </w:tc>
        <w:tc>
          <w:tcPr>
            <w:tcW w:w="1134" w:type="dxa"/>
            <w:vAlign w:val="center"/>
          </w:tcPr>
          <w:p w14:paraId="50DA4CB5" w14:textId="5B7B811B" w:rsidR="004761D0" w:rsidRPr="00985B33" w:rsidRDefault="0094038B"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42,4</w:t>
            </w:r>
            <w:r w:rsidR="004761D0">
              <w:rPr>
                <w:rFonts w:asciiTheme="majorHAnsi" w:hAnsiTheme="majorHAnsi" w:cstheme="majorHAnsi"/>
                <w:color w:val="3F3F3F"/>
                <w:sz w:val="16"/>
                <w:szCs w:val="16"/>
                <w:lang w:eastAsia="hu-HU"/>
              </w:rPr>
              <w:t>0</w:t>
            </w:r>
          </w:p>
        </w:tc>
        <w:tc>
          <w:tcPr>
            <w:tcW w:w="1275" w:type="dxa"/>
            <w:vAlign w:val="center"/>
          </w:tcPr>
          <w:p w14:paraId="61BDAA32" w14:textId="77777777" w:rsidR="004761D0" w:rsidRPr="00985B33" w:rsidRDefault="0087525D"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6</w:t>
            </w:r>
            <w:r w:rsidR="004761D0">
              <w:rPr>
                <w:rFonts w:asciiTheme="majorHAnsi" w:hAnsiTheme="majorHAnsi" w:cstheme="majorHAnsi"/>
                <w:color w:val="3F3F3F"/>
                <w:sz w:val="16"/>
                <w:szCs w:val="16"/>
                <w:lang w:eastAsia="hu-HU"/>
              </w:rPr>
              <w:t>0,00</w:t>
            </w:r>
          </w:p>
        </w:tc>
        <w:tc>
          <w:tcPr>
            <w:tcW w:w="709" w:type="dxa"/>
            <w:vAlign w:val="center"/>
          </w:tcPr>
          <w:p w14:paraId="44373653" w14:textId="1759B0C9" w:rsidR="004761D0" w:rsidRPr="00985B33" w:rsidRDefault="006B51A1"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2030</w:t>
            </w:r>
          </w:p>
        </w:tc>
        <w:tc>
          <w:tcPr>
            <w:tcW w:w="1277" w:type="dxa"/>
            <w:vAlign w:val="center"/>
          </w:tcPr>
          <w:p w14:paraId="152BF927" w14:textId="411E4096" w:rsidR="004761D0" w:rsidRPr="00985B33" w:rsidRDefault="00A87B26" w:rsidP="00A87B2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KSH</w:t>
            </w:r>
          </w:p>
        </w:tc>
        <w:tc>
          <w:tcPr>
            <w:tcW w:w="426" w:type="dxa"/>
            <w:textDirection w:val="btLr"/>
            <w:vAlign w:val="center"/>
          </w:tcPr>
          <w:p w14:paraId="53020F54" w14:textId="77777777" w:rsidR="004761D0" w:rsidRPr="00985B33" w:rsidRDefault="004761D0" w:rsidP="00D9086E">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5 évente</w:t>
            </w:r>
          </w:p>
        </w:tc>
      </w:tr>
      <w:tr w:rsidR="004761D0" w:rsidRPr="00AE6E26" w14:paraId="09B5211F" w14:textId="77777777" w:rsidTr="006B51A1">
        <w:trPr>
          <w:trHeight w:val="941"/>
        </w:trPr>
        <w:tc>
          <w:tcPr>
            <w:cnfStyle w:val="001000000000" w:firstRow="0" w:lastRow="0" w:firstColumn="1" w:lastColumn="0" w:oddVBand="0" w:evenVBand="0" w:oddHBand="0" w:evenHBand="0" w:firstRowFirstColumn="0" w:firstRowLastColumn="0" w:lastRowFirstColumn="0" w:lastRowLastColumn="0"/>
            <w:tcW w:w="392" w:type="dxa"/>
            <w:vAlign w:val="center"/>
          </w:tcPr>
          <w:p w14:paraId="1EE4F1FF" w14:textId="48B4C377" w:rsidR="004761D0" w:rsidRPr="00AE6E26" w:rsidRDefault="00E21601" w:rsidP="00B17466">
            <w:pPr>
              <w:spacing w:after="0" w:line="240" w:lineRule="auto"/>
              <w:jc w:val="center"/>
              <w:rPr>
                <w:rFonts w:asciiTheme="majorHAnsi" w:hAnsiTheme="majorHAnsi" w:cstheme="majorHAnsi"/>
                <w:b w:val="0"/>
                <w:bCs w:val="0"/>
                <w:color w:val="3F3F3F"/>
                <w:sz w:val="16"/>
                <w:szCs w:val="16"/>
                <w:lang w:eastAsia="hu-HU"/>
              </w:rPr>
            </w:pPr>
            <w:r>
              <w:rPr>
                <w:rFonts w:asciiTheme="majorHAnsi" w:hAnsiTheme="majorHAnsi" w:cstheme="majorHAnsi"/>
                <w:b w:val="0"/>
                <w:bCs w:val="0"/>
                <w:color w:val="3F3F3F"/>
                <w:sz w:val="16"/>
                <w:szCs w:val="16"/>
                <w:lang w:eastAsia="hu-HU"/>
              </w:rPr>
              <w:t>8</w:t>
            </w:r>
          </w:p>
        </w:tc>
        <w:tc>
          <w:tcPr>
            <w:tcW w:w="1701" w:type="dxa"/>
            <w:vAlign w:val="center"/>
          </w:tcPr>
          <w:p w14:paraId="50248E90" w14:textId="77777777" w:rsidR="004761D0" w:rsidRPr="00AE6E26" w:rsidRDefault="00BE7BF8"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Infrastrukturális fejlesztéssel érintett feladat-ellátási helyek száma</w:t>
            </w:r>
          </w:p>
        </w:tc>
        <w:tc>
          <w:tcPr>
            <w:tcW w:w="567" w:type="dxa"/>
            <w:vAlign w:val="center"/>
          </w:tcPr>
          <w:p w14:paraId="257E1CBB" w14:textId="77777777" w:rsidR="004761D0" w:rsidRPr="00AE6E26"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AE6E26">
              <w:rPr>
                <w:rFonts w:asciiTheme="majorHAnsi" w:hAnsiTheme="majorHAnsi" w:cstheme="majorHAnsi"/>
                <w:color w:val="3F3F3F"/>
                <w:sz w:val="16"/>
                <w:szCs w:val="16"/>
                <w:lang w:eastAsia="hu-HU"/>
              </w:rPr>
              <w:t>4.</w:t>
            </w:r>
          </w:p>
        </w:tc>
        <w:tc>
          <w:tcPr>
            <w:tcW w:w="425" w:type="dxa"/>
            <w:vAlign w:val="center"/>
          </w:tcPr>
          <w:p w14:paraId="7220F36B" w14:textId="77777777" w:rsidR="004761D0" w:rsidRPr="00AE6E26" w:rsidRDefault="00BE7BF8"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db</w:t>
            </w:r>
          </w:p>
        </w:tc>
        <w:tc>
          <w:tcPr>
            <w:tcW w:w="1134" w:type="dxa"/>
            <w:vAlign w:val="center"/>
          </w:tcPr>
          <w:p w14:paraId="752746A1" w14:textId="4F7BDB9A" w:rsidR="004761D0" w:rsidRPr="00AE6E26" w:rsidRDefault="00BE7BF8"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nem értelmezhető</w:t>
            </w:r>
          </w:p>
        </w:tc>
        <w:tc>
          <w:tcPr>
            <w:tcW w:w="1134" w:type="dxa"/>
            <w:vAlign w:val="center"/>
          </w:tcPr>
          <w:p w14:paraId="7ECD8AF1" w14:textId="77777777" w:rsidR="004761D0" w:rsidRPr="00AE6E26" w:rsidRDefault="00BE7BF8"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nem értelmezhető</w:t>
            </w:r>
          </w:p>
        </w:tc>
        <w:tc>
          <w:tcPr>
            <w:tcW w:w="1275" w:type="dxa"/>
            <w:vAlign w:val="center"/>
          </w:tcPr>
          <w:p w14:paraId="2E583484" w14:textId="77777777" w:rsidR="004761D0" w:rsidRPr="00AE6E26" w:rsidRDefault="00BE7BF8"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1000</w:t>
            </w:r>
          </w:p>
        </w:tc>
        <w:tc>
          <w:tcPr>
            <w:tcW w:w="709" w:type="dxa"/>
            <w:vAlign w:val="center"/>
          </w:tcPr>
          <w:p w14:paraId="08E37443" w14:textId="77777777" w:rsidR="004761D0" w:rsidRPr="00AE6E26"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AE6E26">
              <w:rPr>
                <w:rFonts w:asciiTheme="majorHAnsi" w:hAnsiTheme="majorHAnsi" w:cstheme="majorHAnsi"/>
                <w:color w:val="3F3F3F"/>
                <w:sz w:val="16"/>
                <w:szCs w:val="16"/>
                <w:lang w:eastAsia="hu-HU"/>
              </w:rPr>
              <w:t>2030</w:t>
            </w:r>
          </w:p>
        </w:tc>
        <w:tc>
          <w:tcPr>
            <w:tcW w:w="1277" w:type="dxa"/>
            <w:vAlign w:val="center"/>
          </w:tcPr>
          <w:p w14:paraId="18EFECAF" w14:textId="77777777" w:rsidR="004761D0" w:rsidRPr="00AE6E26" w:rsidRDefault="00DB3EEC"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intézményi adatszolgáltatás</w:t>
            </w:r>
          </w:p>
        </w:tc>
        <w:tc>
          <w:tcPr>
            <w:tcW w:w="426" w:type="dxa"/>
            <w:textDirection w:val="btLr"/>
            <w:vAlign w:val="center"/>
          </w:tcPr>
          <w:p w14:paraId="4757ADD8" w14:textId="77777777" w:rsidR="004761D0" w:rsidRPr="00AE6E26" w:rsidRDefault="004761D0" w:rsidP="00D9086E">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AE6E26">
              <w:rPr>
                <w:rFonts w:asciiTheme="majorHAnsi" w:hAnsiTheme="majorHAnsi" w:cstheme="majorHAnsi"/>
                <w:color w:val="3F3F3F"/>
                <w:sz w:val="16"/>
                <w:szCs w:val="16"/>
                <w:lang w:eastAsia="hu-HU"/>
              </w:rPr>
              <w:t>évente</w:t>
            </w:r>
          </w:p>
        </w:tc>
      </w:tr>
      <w:tr w:rsidR="004761D0" w:rsidRPr="00AE6E26" w14:paraId="5E76C200" w14:textId="77777777" w:rsidTr="006B51A1">
        <w:trPr>
          <w:trHeight w:val="851"/>
        </w:trPr>
        <w:tc>
          <w:tcPr>
            <w:cnfStyle w:val="001000000000" w:firstRow="0" w:lastRow="0" w:firstColumn="1" w:lastColumn="0" w:oddVBand="0" w:evenVBand="0" w:oddHBand="0" w:evenHBand="0" w:firstRowFirstColumn="0" w:firstRowLastColumn="0" w:lastRowFirstColumn="0" w:lastRowLastColumn="0"/>
            <w:tcW w:w="392" w:type="dxa"/>
            <w:vAlign w:val="center"/>
            <w:hideMark/>
          </w:tcPr>
          <w:p w14:paraId="04C45A16" w14:textId="53FC87F1" w:rsidR="004761D0" w:rsidRPr="00AE6E26" w:rsidRDefault="00E21601" w:rsidP="00B17466">
            <w:pPr>
              <w:spacing w:after="0" w:line="240" w:lineRule="auto"/>
              <w:jc w:val="center"/>
              <w:rPr>
                <w:rFonts w:asciiTheme="majorHAnsi" w:hAnsiTheme="majorHAnsi" w:cstheme="majorHAnsi"/>
                <w:b w:val="0"/>
                <w:color w:val="3F3F3F"/>
                <w:sz w:val="16"/>
                <w:szCs w:val="16"/>
                <w:lang w:eastAsia="hu-HU"/>
              </w:rPr>
            </w:pPr>
            <w:r>
              <w:rPr>
                <w:rFonts w:asciiTheme="majorHAnsi" w:hAnsiTheme="majorHAnsi" w:cstheme="majorHAnsi"/>
                <w:b w:val="0"/>
                <w:color w:val="3F3F3F"/>
                <w:sz w:val="16"/>
                <w:szCs w:val="16"/>
                <w:lang w:eastAsia="hu-HU"/>
              </w:rPr>
              <w:t>9</w:t>
            </w:r>
          </w:p>
        </w:tc>
        <w:tc>
          <w:tcPr>
            <w:tcW w:w="1701" w:type="dxa"/>
            <w:vAlign w:val="center"/>
            <w:hideMark/>
          </w:tcPr>
          <w:p w14:paraId="7BC0BDD4" w14:textId="77777777" w:rsidR="004761D0" w:rsidRPr="00AE6E26" w:rsidRDefault="00B17466" w:rsidP="009A5D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I</w:t>
            </w:r>
            <w:r w:rsidRPr="00B17466">
              <w:rPr>
                <w:rFonts w:asciiTheme="majorHAnsi" w:hAnsiTheme="majorHAnsi" w:cstheme="majorHAnsi"/>
                <w:color w:val="3F3F3F"/>
                <w:sz w:val="16"/>
                <w:szCs w:val="16"/>
                <w:lang w:eastAsia="hu-HU"/>
              </w:rPr>
              <w:t xml:space="preserve">nteraktív táblával, kijelzővel, munkaállomással </w:t>
            </w:r>
            <w:r w:rsidR="004761D0" w:rsidRPr="00AE6E26">
              <w:rPr>
                <w:rFonts w:asciiTheme="majorHAnsi" w:hAnsiTheme="majorHAnsi" w:cstheme="majorHAnsi"/>
                <w:color w:val="3F3F3F"/>
                <w:sz w:val="16"/>
                <w:szCs w:val="16"/>
                <w:lang w:eastAsia="hu-HU"/>
              </w:rPr>
              <w:t xml:space="preserve">felszerelt tantermek </w:t>
            </w:r>
            <w:r w:rsidR="009A5DA9">
              <w:rPr>
                <w:rFonts w:asciiTheme="majorHAnsi" w:hAnsiTheme="majorHAnsi" w:cstheme="majorHAnsi"/>
                <w:color w:val="3F3F3F"/>
                <w:sz w:val="16"/>
                <w:szCs w:val="16"/>
                <w:lang w:eastAsia="hu-HU"/>
              </w:rPr>
              <w:t>aránya</w:t>
            </w:r>
          </w:p>
        </w:tc>
        <w:tc>
          <w:tcPr>
            <w:tcW w:w="567" w:type="dxa"/>
            <w:vAlign w:val="center"/>
          </w:tcPr>
          <w:p w14:paraId="2C3F64EE" w14:textId="77777777" w:rsidR="004761D0" w:rsidRPr="00AE6E26"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AE6E26">
              <w:rPr>
                <w:rFonts w:asciiTheme="majorHAnsi" w:hAnsiTheme="majorHAnsi" w:cstheme="majorHAnsi"/>
                <w:color w:val="3F3F3F"/>
                <w:sz w:val="16"/>
                <w:szCs w:val="16"/>
                <w:lang w:eastAsia="hu-HU"/>
              </w:rPr>
              <w:t>4.</w:t>
            </w:r>
          </w:p>
        </w:tc>
        <w:tc>
          <w:tcPr>
            <w:tcW w:w="425" w:type="dxa"/>
            <w:vAlign w:val="center"/>
            <w:hideMark/>
          </w:tcPr>
          <w:p w14:paraId="170FBC21" w14:textId="77777777" w:rsidR="004761D0" w:rsidRPr="00AE6E26" w:rsidRDefault="009A5DA9"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w:t>
            </w:r>
          </w:p>
        </w:tc>
        <w:tc>
          <w:tcPr>
            <w:tcW w:w="1134" w:type="dxa"/>
            <w:vAlign w:val="center"/>
          </w:tcPr>
          <w:p w14:paraId="51B10445" w14:textId="77777777" w:rsidR="004761D0" w:rsidRPr="00AE6E26"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AE6E26">
              <w:rPr>
                <w:rFonts w:asciiTheme="majorHAnsi" w:hAnsiTheme="majorHAnsi" w:cstheme="majorHAnsi"/>
                <w:color w:val="3F3F3F"/>
                <w:sz w:val="16"/>
                <w:szCs w:val="16"/>
                <w:lang w:eastAsia="hu-HU"/>
              </w:rPr>
              <w:t>2019</w:t>
            </w:r>
          </w:p>
        </w:tc>
        <w:tc>
          <w:tcPr>
            <w:tcW w:w="1134" w:type="dxa"/>
            <w:vAlign w:val="center"/>
          </w:tcPr>
          <w:p w14:paraId="0EFDB372" w14:textId="77777777" w:rsidR="004761D0" w:rsidRPr="00AE6E26" w:rsidRDefault="009A5DA9" w:rsidP="009A5D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50,19</w:t>
            </w:r>
          </w:p>
        </w:tc>
        <w:tc>
          <w:tcPr>
            <w:tcW w:w="1275" w:type="dxa"/>
            <w:vAlign w:val="center"/>
            <w:hideMark/>
          </w:tcPr>
          <w:p w14:paraId="35D9D0DD" w14:textId="77777777" w:rsidR="004761D0" w:rsidRPr="00AE6E26" w:rsidRDefault="009A5DA9"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60,00</w:t>
            </w:r>
          </w:p>
        </w:tc>
        <w:tc>
          <w:tcPr>
            <w:tcW w:w="709" w:type="dxa"/>
            <w:vAlign w:val="center"/>
            <w:hideMark/>
          </w:tcPr>
          <w:p w14:paraId="002E8DD3" w14:textId="77777777" w:rsidR="004761D0" w:rsidRPr="00AE6E26"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AE6E26">
              <w:rPr>
                <w:rFonts w:asciiTheme="majorHAnsi" w:hAnsiTheme="majorHAnsi" w:cstheme="majorHAnsi"/>
                <w:color w:val="3F3F3F"/>
                <w:sz w:val="16"/>
                <w:szCs w:val="16"/>
                <w:lang w:eastAsia="hu-HU"/>
              </w:rPr>
              <w:t>2030</w:t>
            </w:r>
          </w:p>
        </w:tc>
        <w:tc>
          <w:tcPr>
            <w:tcW w:w="1277" w:type="dxa"/>
            <w:vAlign w:val="center"/>
            <w:hideMark/>
          </w:tcPr>
          <w:p w14:paraId="15037B79" w14:textId="77777777" w:rsidR="004761D0" w:rsidRPr="00AE6E26"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AE6E26">
              <w:rPr>
                <w:rFonts w:asciiTheme="majorHAnsi" w:hAnsiTheme="majorHAnsi" w:cstheme="majorHAnsi"/>
                <w:color w:val="3F3F3F"/>
                <w:sz w:val="16"/>
                <w:szCs w:val="16"/>
                <w:lang w:eastAsia="hu-HU"/>
              </w:rPr>
              <w:t>KIR-STAT</w:t>
            </w:r>
          </w:p>
        </w:tc>
        <w:tc>
          <w:tcPr>
            <w:tcW w:w="426" w:type="dxa"/>
            <w:textDirection w:val="btLr"/>
            <w:hideMark/>
          </w:tcPr>
          <w:p w14:paraId="41A47DB1" w14:textId="77777777" w:rsidR="004761D0" w:rsidRPr="00AE6E26" w:rsidRDefault="004761D0" w:rsidP="00D9086E">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AE6E26">
              <w:rPr>
                <w:rFonts w:asciiTheme="majorHAnsi" w:hAnsiTheme="majorHAnsi" w:cstheme="majorHAnsi"/>
                <w:color w:val="3F3F3F"/>
                <w:sz w:val="16"/>
                <w:szCs w:val="16"/>
                <w:lang w:eastAsia="hu-HU"/>
              </w:rPr>
              <w:t>évente</w:t>
            </w:r>
          </w:p>
        </w:tc>
      </w:tr>
      <w:tr w:rsidR="004761D0" w:rsidRPr="00511FEB" w14:paraId="68B8C1A4" w14:textId="77777777" w:rsidTr="006B51A1">
        <w:trPr>
          <w:trHeight w:val="1134"/>
        </w:trPr>
        <w:tc>
          <w:tcPr>
            <w:cnfStyle w:val="001000000000" w:firstRow="0" w:lastRow="0" w:firstColumn="1" w:lastColumn="0" w:oddVBand="0" w:evenVBand="0" w:oddHBand="0" w:evenHBand="0" w:firstRowFirstColumn="0" w:firstRowLastColumn="0" w:lastRowFirstColumn="0" w:lastRowLastColumn="0"/>
            <w:tcW w:w="392" w:type="dxa"/>
            <w:vAlign w:val="center"/>
          </w:tcPr>
          <w:p w14:paraId="0CFD7017" w14:textId="5C385436" w:rsidR="004761D0" w:rsidRPr="00511FEB" w:rsidRDefault="004203BA" w:rsidP="00E21601">
            <w:pPr>
              <w:spacing w:after="0" w:line="240" w:lineRule="auto"/>
              <w:jc w:val="center"/>
              <w:rPr>
                <w:rFonts w:asciiTheme="majorHAnsi" w:hAnsiTheme="majorHAnsi" w:cstheme="majorHAnsi"/>
                <w:b w:val="0"/>
                <w:color w:val="3F3F3F"/>
                <w:sz w:val="16"/>
                <w:szCs w:val="16"/>
                <w:lang w:eastAsia="hu-HU"/>
              </w:rPr>
            </w:pPr>
            <w:r>
              <w:rPr>
                <w:rFonts w:asciiTheme="majorHAnsi" w:hAnsiTheme="majorHAnsi" w:cstheme="majorHAnsi"/>
                <w:b w:val="0"/>
                <w:color w:val="3F3F3F"/>
                <w:sz w:val="16"/>
                <w:szCs w:val="16"/>
                <w:lang w:eastAsia="hu-HU"/>
              </w:rPr>
              <w:t>1</w:t>
            </w:r>
            <w:r w:rsidR="00E21601">
              <w:rPr>
                <w:rFonts w:asciiTheme="majorHAnsi" w:hAnsiTheme="majorHAnsi" w:cstheme="majorHAnsi"/>
                <w:b w:val="0"/>
                <w:color w:val="3F3F3F"/>
                <w:sz w:val="16"/>
                <w:szCs w:val="16"/>
                <w:lang w:eastAsia="hu-HU"/>
              </w:rPr>
              <w:t>0</w:t>
            </w:r>
          </w:p>
        </w:tc>
        <w:tc>
          <w:tcPr>
            <w:tcW w:w="1701" w:type="dxa"/>
            <w:vAlign w:val="center"/>
          </w:tcPr>
          <w:p w14:paraId="71C1E005" w14:textId="77777777" w:rsidR="004761D0" w:rsidRPr="00511FEB"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511FEB">
              <w:rPr>
                <w:rFonts w:asciiTheme="majorHAnsi" w:hAnsiTheme="majorHAnsi" w:cstheme="majorHAnsi"/>
                <w:color w:val="3F3F3F"/>
                <w:sz w:val="16"/>
                <w:szCs w:val="16"/>
                <w:lang w:eastAsia="hu-HU"/>
              </w:rPr>
              <w:t>Magyar-magyar együttműködésekben résztvevő tanulók száma összesen</w:t>
            </w:r>
            <w:r w:rsidR="00DE5053">
              <w:rPr>
                <w:rFonts w:asciiTheme="majorHAnsi" w:hAnsiTheme="majorHAnsi" w:cstheme="majorHAnsi"/>
                <w:color w:val="3F3F3F"/>
                <w:sz w:val="16"/>
                <w:szCs w:val="16"/>
                <w:lang w:eastAsia="hu-HU"/>
              </w:rPr>
              <w:t xml:space="preserve"> 2014-2030</w:t>
            </w:r>
          </w:p>
        </w:tc>
        <w:tc>
          <w:tcPr>
            <w:tcW w:w="567" w:type="dxa"/>
            <w:vAlign w:val="center"/>
          </w:tcPr>
          <w:p w14:paraId="35BC0C77" w14:textId="77777777" w:rsidR="004761D0" w:rsidRPr="00511FEB"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511FEB">
              <w:rPr>
                <w:rFonts w:asciiTheme="majorHAnsi" w:hAnsiTheme="majorHAnsi" w:cstheme="majorHAnsi"/>
                <w:color w:val="3F3F3F"/>
                <w:sz w:val="16"/>
                <w:szCs w:val="16"/>
                <w:lang w:eastAsia="hu-HU"/>
              </w:rPr>
              <w:t>5.</w:t>
            </w:r>
          </w:p>
        </w:tc>
        <w:tc>
          <w:tcPr>
            <w:tcW w:w="425" w:type="dxa"/>
            <w:noWrap/>
            <w:vAlign w:val="center"/>
          </w:tcPr>
          <w:p w14:paraId="0A36F365" w14:textId="77777777" w:rsidR="004761D0" w:rsidRPr="00511FEB"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511FEB">
              <w:rPr>
                <w:rFonts w:asciiTheme="majorHAnsi" w:hAnsiTheme="majorHAnsi" w:cstheme="majorHAnsi"/>
                <w:color w:val="3F3F3F"/>
                <w:sz w:val="16"/>
                <w:szCs w:val="16"/>
                <w:lang w:eastAsia="hu-HU"/>
              </w:rPr>
              <w:t>fő</w:t>
            </w:r>
          </w:p>
        </w:tc>
        <w:tc>
          <w:tcPr>
            <w:tcW w:w="1134" w:type="dxa"/>
            <w:noWrap/>
            <w:vAlign w:val="center"/>
          </w:tcPr>
          <w:p w14:paraId="79242C13" w14:textId="77777777" w:rsidR="004761D0" w:rsidRPr="00511FEB"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511FEB">
              <w:rPr>
                <w:rFonts w:asciiTheme="majorHAnsi" w:hAnsiTheme="majorHAnsi" w:cstheme="majorHAnsi"/>
                <w:color w:val="3F3F3F"/>
                <w:sz w:val="16"/>
                <w:szCs w:val="16"/>
                <w:lang w:eastAsia="hu-HU"/>
              </w:rPr>
              <w:t>2014-2020 összesen</w:t>
            </w:r>
          </w:p>
        </w:tc>
        <w:tc>
          <w:tcPr>
            <w:tcW w:w="1134" w:type="dxa"/>
            <w:noWrap/>
            <w:vAlign w:val="center"/>
          </w:tcPr>
          <w:p w14:paraId="7BBBD28E" w14:textId="77777777" w:rsidR="004761D0" w:rsidRPr="00511FEB" w:rsidRDefault="00DE5053"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468.515</w:t>
            </w:r>
          </w:p>
        </w:tc>
        <w:tc>
          <w:tcPr>
            <w:tcW w:w="1275" w:type="dxa"/>
            <w:noWrap/>
            <w:vAlign w:val="center"/>
          </w:tcPr>
          <w:p w14:paraId="6F8982F3" w14:textId="77777777" w:rsidR="004761D0" w:rsidRPr="00511FEB" w:rsidRDefault="00DE5053"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Pr>
                <w:rFonts w:asciiTheme="majorHAnsi" w:hAnsiTheme="majorHAnsi" w:cstheme="majorHAnsi"/>
                <w:color w:val="3F3F3F"/>
                <w:sz w:val="16"/>
                <w:szCs w:val="16"/>
                <w:lang w:eastAsia="hu-HU"/>
              </w:rPr>
              <w:t>1.</w:t>
            </w:r>
            <w:r w:rsidR="00B37ACC">
              <w:rPr>
                <w:rFonts w:asciiTheme="majorHAnsi" w:hAnsiTheme="majorHAnsi" w:cstheme="majorHAnsi"/>
                <w:color w:val="3F3F3F"/>
                <w:sz w:val="16"/>
                <w:szCs w:val="16"/>
                <w:lang w:eastAsia="hu-HU"/>
              </w:rPr>
              <w:t>1</w:t>
            </w:r>
            <w:r>
              <w:rPr>
                <w:rFonts w:asciiTheme="majorHAnsi" w:hAnsiTheme="majorHAnsi" w:cstheme="majorHAnsi"/>
                <w:color w:val="3F3F3F"/>
                <w:sz w:val="16"/>
                <w:szCs w:val="16"/>
                <w:lang w:eastAsia="hu-HU"/>
              </w:rPr>
              <w:t>00.000</w:t>
            </w:r>
          </w:p>
        </w:tc>
        <w:tc>
          <w:tcPr>
            <w:tcW w:w="709" w:type="dxa"/>
            <w:noWrap/>
            <w:vAlign w:val="center"/>
          </w:tcPr>
          <w:p w14:paraId="09719DBD" w14:textId="77777777" w:rsidR="004761D0" w:rsidRPr="00511FEB"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511FEB">
              <w:rPr>
                <w:rFonts w:asciiTheme="majorHAnsi" w:hAnsiTheme="majorHAnsi" w:cstheme="majorHAnsi"/>
                <w:color w:val="3F3F3F"/>
                <w:sz w:val="16"/>
                <w:szCs w:val="16"/>
                <w:lang w:eastAsia="hu-HU"/>
              </w:rPr>
              <w:t>2030</w:t>
            </w:r>
          </w:p>
        </w:tc>
        <w:tc>
          <w:tcPr>
            <w:tcW w:w="1277" w:type="dxa"/>
            <w:vAlign w:val="center"/>
          </w:tcPr>
          <w:p w14:paraId="66BD2011" w14:textId="77777777" w:rsidR="004761D0" w:rsidRPr="00511FEB" w:rsidRDefault="004761D0" w:rsidP="00B1746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511FEB">
              <w:rPr>
                <w:rFonts w:asciiTheme="majorHAnsi" w:hAnsiTheme="majorHAnsi" w:cstheme="majorHAnsi"/>
                <w:color w:val="3F3F3F"/>
                <w:sz w:val="16"/>
                <w:szCs w:val="16"/>
                <w:lang w:eastAsia="hu-HU"/>
              </w:rPr>
              <w:t>Alapkezelői adatszolgáltatás</w:t>
            </w:r>
          </w:p>
        </w:tc>
        <w:tc>
          <w:tcPr>
            <w:tcW w:w="426" w:type="dxa"/>
            <w:noWrap/>
            <w:textDirection w:val="btLr"/>
          </w:tcPr>
          <w:p w14:paraId="0084262A" w14:textId="77777777" w:rsidR="004761D0" w:rsidRPr="00511FEB" w:rsidRDefault="004761D0" w:rsidP="00D9086E">
            <w:pPr>
              <w:spacing w:after="0" w:line="240" w:lineRule="auto"/>
              <w:ind w:left="113" w:right="113"/>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F3F3F"/>
                <w:sz w:val="16"/>
                <w:szCs w:val="16"/>
                <w:lang w:eastAsia="hu-HU"/>
              </w:rPr>
            </w:pPr>
            <w:r w:rsidRPr="00511FEB">
              <w:rPr>
                <w:rFonts w:asciiTheme="majorHAnsi" w:hAnsiTheme="majorHAnsi" w:cstheme="majorHAnsi"/>
                <w:color w:val="3F3F3F"/>
                <w:sz w:val="16"/>
                <w:szCs w:val="16"/>
                <w:lang w:eastAsia="hu-HU"/>
              </w:rPr>
              <w:t>évente</w:t>
            </w:r>
          </w:p>
        </w:tc>
      </w:tr>
    </w:tbl>
    <w:p w14:paraId="12E9AD1D" w14:textId="77777777" w:rsidR="00E367DF" w:rsidRDefault="00C714D2" w:rsidP="00AA5B17">
      <w:pPr>
        <w:pStyle w:val="Cmsor2"/>
        <w:numPr>
          <w:ilvl w:val="0"/>
          <w:numId w:val="0"/>
        </w:numPr>
      </w:pPr>
      <w:bookmarkStart w:id="117" w:name="_Toc35596162"/>
      <w:bookmarkStart w:id="118" w:name="_Toc46822739"/>
      <w:r>
        <w:lastRenderedPageBreak/>
        <w:t>6.3</w:t>
      </w:r>
      <w:r w:rsidR="00A25E05">
        <w:t xml:space="preserve"> </w:t>
      </w:r>
      <w:r w:rsidR="008A6582">
        <w:t>M</w:t>
      </w:r>
      <w:r w:rsidR="006B40DD">
        <w:t>onitoring</w:t>
      </w:r>
      <w:bookmarkEnd w:id="117"/>
      <w:bookmarkEnd w:id="118"/>
    </w:p>
    <w:p w14:paraId="29A2EC21" w14:textId="77777777" w:rsidR="006B40DD" w:rsidRDefault="00DB4FB2" w:rsidP="006B40DD">
      <w:r>
        <w:t xml:space="preserve">A monitoring </w:t>
      </w:r>
      <w:r w:rsidR="006B40DD">
        <w:t>rendszer célja a stratégia helyzetelemzésében megállapított problémákkal, hiányosságokkal, elmaradásokkal</w:t>
      </w:r>
      <w:r w:rsidR="005C623E">
        <w:t>, valamint fejlesztési lehetőségekkel</w:t>
      </w:r>
      <w:r w:rsidR="006B40DD">
        <w:t xml:space="preserve"> összefüggésben megfogalmazott stratégiai célok teljesülésének mérése, az egyes problémákra adott akciók eredményeként bekövetkező változások bemutatása. A monitoring</w:t>
      </w:r>
      <w:r>
        <w:t xml:space="preserve"> rendszer működtetése lehetővé teszi a </w:t>
      </w:r>
      <w:r w:rsidR="006B40DD">
        <w:t>beavatkozást azokon a területeken, ahol a kitűzött célok elérése nem a stratégiában megfogalmazott</w:t>
      </w:r>
      <w:r>
        <w:t xml:space="preserve">ak szerint </w:t>
      </w:r>
      <w:r w:rsidR="008F0CB0">
        <w:t>halad</w:t>
      </w:r>
      <w:r w:rsidR="006B40DD">
        <w:t xml:space="preserve">, vagy ahol az eredeti célokkal ellentétes irányú folyamatok tapasztalhatók. </w:t>
      </w:r>
    </w:p>
    <w:p w14:paraId="6A498979" w14:textId="77777777" w:rsidR="006B40DD" w:rsidRPr="00E44895" w:rsidRDefault="006B40DD" w:rsidP="006B40DD">
      <w:r>
        <w:t>A m</w:t>
      </w:r>
      <w:r w:rsidR="00DB4FB2">
        <w:t>onitoring r</w:t>
      </w:r>
      <w:r>
        <w:t xml:space="preserve">endszer módszertanával kapcsolatban különösen fontos, hogy bemutassa a stratégiai célok </w:t>
      </w:r>
      <w:r w:rsidR="009A2D19">
        <w:t>teljesülését. A nyomon követés alapvetően hivatalos közoktatási mérések eredményeire, országos statisztikai adatokra, valamint európai uniós és OECD mérések eredményeire támaszkodnak.</w:t>
      </w:r>
      <w:r w:rsidR="004E1A1B">
        <w:t xml:space="preserve"> </w:t>
      </w:r>
      <w:r w:rsidR="009A2D19">
        <w:t xml:space="preserve">Ahol ilyen adat nem áll rendelkezésre, ott </w:t>
      </w:r>
      <w:r>
        <w:t>a monitoring-jelentés</w:t>
      </w:r>
      <w:r w:rsidR="009A2D19">
        <w:t xml:space="preserve"> jellemzően</w:t>
      </w:r>
      <w:r>
        <w:t xml:space="preserve"> primer kutatások</w:t>
      </w:r>
      <w:r w:rsidR="008F0CB0">
        <w:t>, illetve</w:t>
      </w:r>
      <w:r w:rsidR="00395C4F">
        <w:t xml:space="preserve"> egyes, pontosan meghatározott és leírt adattípusok esetében az</w:t>
      </w:r>
      <w:r w:rsidR="008F0CB0">
        <w:t xml:space="preserve"> időszaki adatszolgáltatások</w:t>
      </w:r>
      <w:r>
        <w:t xml:space="preserve"> eredményeit veszi számba. A monitoring a stratégiában megfogalmazott összes beavatkozásra kiterjed, azzal egységes felépítésű (bizonyos esetekben további indikátorokkal bővíthető), így lehetőséget </w:t>
      </w:r>
      <w:r w:rsidR="00653F24">
        <w:t>ad</w:t>
      </w:r>
      <w:r>
        <w:t xml:space="preserve"> a kronológiai változások bemutatására, a célok</w:t>
      </w:r>
      <w:r w:rsidR="00884426">
        <w:t xml:space="preserve"> teljesülésének vagy a céloktól való elmaradásnak az azonosítására.</w:t>
      </w:r>
    </w:p>
    <w:p w14:paraId="222BDED8" w14:textId="77777777" w:rsidR="00AC2B55" w:rsidRDefault="00884426" w:rsidP="005E2583">
      <w:r>
        <w:t>A monitoring tevékenység alapja az évente elkészülő – a stratégia Intézkedési Tervéhez illeszkedő – beszámoló, amelyet a szakpolitikai felelős terület állít össze, és mutat be a Köznevelés-stratégiai Kerekasztal részére.</w:t>
      </w:r>
    </w:p>
    <w:p w14:paraId="0810CFED" w14:textId="4CC17DC7" w:rsidR="00884426" w:rsidRDefault="00884426" w:rsidP="005E2583">
      <w:r>
        <w:t xml:space="preserve">Emellett – igazodva a kormányzati stratégiai irányításról szóló 38/2012. Korm. rendeletben foglaltakhoz – indokolt a 10 éves időtávra szóló </w:t>
      </w:r>
      <w:r w:rsidR="00FC34C0">
        <w:t>stratégia közbenső</w:t>
      </w:r>
      <w:r>
        <w:t xml:space="preserve">, valamint utólagos értékelése. Az értékelések célja annak vizsgálata, hogy a stratégiai tervdokumentumban rögzített célkitűzések, megfogalmazott beavatkozások időarányosan hogyan teljesültek. A közbenső értékelés célja továbbá, hogy a nem vagy nem teljes mértékben teljesülő célok és hatások okait feltárva segítséget </w:t>
      </w:r>
      <w:r w:rsidR="00653F24">
        <w:t>nyújtson</w:t>
      </w:r>
      <w:r>
        <w:t xml:space="preserve"> a további</w:t>
      </w:r>
      <w:r w:rsidR="00653F24">
        <w:t>ak eredményes</w:t>
      </w:r>
      <w:r w:rsidR="00A25E05">
        <w:t xml:space="preserve"> </w:t>
      </w:r>
      <w:r>
        <w:t>megvalósítás</w:t>
      </w:r>
      <w:r w:rsidR="00653F24">
        <w:t>ához</w:t>
      </w:r>
      <w:r w:rsidR="008F0CB0">
        <w:t xml:space="preserve">, illetve lehetőséget </w:t>
      </w:r>
      <w:r w:rsidR="00653F24">
        <w:t>teremtsen</w:t>
      </w:r>
      <w:r w:rsidR="008F0CB0">
        <w:t xml:space="preserve"> a célkitűzések elérés</w:t>
      </w:r>
      <w:r w:rsidR="00653F24">
        <w:t>éhez</w:t>
      </w:r>
      <w:r w:rsidR="008F0CB0">
        <w:t xml:space="preserve"> ágazati intézkedések</w:t>
      </w:r>
      <w:r w:rsidR="00653F24">
        <w:t xml:space="preserve"> megtételé</w:t>
      </w:r>
      <w:r w:rsidR="008F0CB0">
        <w:t>re</w:t>
      </w:r>
      <w:r>
        <w:t>.</w:t>
      </w:r>
      <w:r w:rsidR="00FC34C0">
        <w:t xml:space="preserve"> A közbenső értékelést – különös tekintettel a stratégia 10 éves időtávjára, illetve a digitális oktatás kiemelt fókuszú fejlesztésére és az ebben bekövetkező gyors változásokra – </w:t>
      </w:r>
      <w:r w:rsidR="00BB38D4">
        <w:t xml:space="preserve">két </w:t>
      </w:r>
      <w:r w:rsidR="00FC34C0">
        <w:t>alkalommal, 2024-ben, illetve 2027-ben indokolt elvégezni.</w:t>
      </w:r>
    </w:p>
    <w:p w14:paraId="525500E5" w14:textId="77777777" w:rsidR="00D62C48" w:rsidRPr="005E2583" w:rsidRDefault="00D62C48" w:rsidP="005E2583"/>
    <w:sectPr w:rsidR="00D62C48" w:rsidRPr="005E2583" w:rsidSect="00CA4E4B">
      <w:footerReference w:type="default" r:id="rId21"/>
      <w:pgSz w:w="11906" w:h="16838"/>
      <w:pgMar w:top="1535"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3133C3" w15:done="0"/>
  <w15:commentEx w15:paraId="01B191DC" w15:done="0"/>
  <w15:commentEx w15:paraId="0962EA59" w15:done="0"/>
  <w15:commentEx w15:paraId="335C9306" w15:done="0"/>
  <w15:commentEx w15:paraId="255ACBDB" w15:done="0"/>
  <w15:commentEx w15:paraId="6755BA49" w15:done="0"/>
  <w15:commentEx w15:paraId="27BC8089" w15:done="0"/>
  <w15:commentEx w15:paraId="0926EAC3" w15:done="0"/>
  <w15:commentEx w15:paraId="34C2E2CB" w15:done="0"/>
  <w15:commentEx w15:paraId="0D11064B" w15:done="0"/>
  <w15:commentEx w15:paraId="1E4E0BD1" w15:done="0"/>
  <w15:commentEx w15:paraId="7C74E2CF" w15:done="0"/>
  <w15:commentEx w15:paraId="32059A6D" w15:done="0"/>
  <w15:commentEx w15:paraId="169703AE" w15:done="0"/>
  <w15:commentEx w15:paraId="05EB6536" w15:done="0"/>
  <w15:commentEx w15:paraId="3ACD966C" w15:done="0"/>
  <w15:commentEx w15:paraId="5A43A56F" w15:done="0"/>
  <w15:commentEx w15:paraId="685A6C5E" w15:done="0"/>
  <w15:commentEx w15:paraId="045F907E" w15:done="0"/>
  <w15:commentEx w15:paraId="187A95AC" w15:done="0"/>
  <w15:commentEx w15:paraId="25D6D149" w15:done="0"/>
  <w15:commentEx w15:paraId="08FFE351" w15:done="0"/>
  <w15:commentEx w15:paraId="552A8BD7" w15:done="0"/>
  <w15:commentEx w15:paraId="54D13DE1" w15:done="0"/>
  <w15:commentEx w15:paraId="5B8BC312" w15:done="0"/>
  <w15:commentEx w15:paraId="753D359B" w15:done="0"/>
  <w15:commentEx w15:paraId="133BEAC7" w15:done="0"/>
  <w15:commentEx w15:paraId="7F625CA9" w15:done="0"/>
  <w15:commentEx w15:paraId="0C203A1D" w15:done="0"/>
  <w15:commentEx w15:paraId="2037B9F9" w15:done="0"/>
  <w15:commentEx w15:paraId="3E376C24" w15:done="0"/>
  <w15:commentEx w15:paraId="70FBF03D" w15:done="0"/>
  <w15:commentEx w15:paraId="6AFA2EF5" w15:done="0"/>
  <w15:commentEx w15:paraId="4DB351C3" w15:done="0"/>
  <w15:commentEx w15:paraId="2AA579EB" w15:done="0"/>
  <w15:commentEx w15:paraId="3284E044" w15:done="0"/>
  <w15:commentEx w15:paraId="4FCEAB6C" w15:done="0"/>
  <w15:commentEx w15:paraId="05825118" w15:done="0"/>
  <w15:commentEx w15:paraId="267FFD0B" w15:done="0"/>
  <w15:commentEx w15:paraId="6D4F1C14" w15:done="0"/>
  <w15:commentEx w15:paraId="0CB0A0FF" w15:done="0"/>
  <w15:commentEx w15:paraId="1A60E146" w15:done="0"/>
  <w15:commentEx w15:paraId="21E9E691" w15:done="0"/>
  <w15:commentEx w15:paraId="0A0280D9" w15:done="0"/>
  <w15:commentEx w15:paraId="2EEC6D86" w15:done="0"/>
  <w15:commentEx w15:paraId="5A226A7C" w15:done="0"/>
  <w15:commentEx w15:paraId="1796DC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FF71C" w16cid:durableId="226FDAE2"/>
  <w16cid:commentId w16cid:paraId="0B6B4DB4" w16cid:durableId="226FE475"/>
  <w16cid:commentId w16cid:paraId="7D3E7851" w16cid:durableId="226FE4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463BC" w14:textId="77777777" w:rsidR="003C15F2" w:rsidRDefault="003C15F2" w:rsidP="00C3070F">
      <w:pPr>
        <w:spacing w:after="0" w:line="240" w:lineRule="auto"/>
      </w:pPr>
      <w:r>
        <w:separator/>
      </w:r>
    </w:p>
  </w:endnote>
  <w:endnote w:type="continuationSeparator" w:id="0">
    <w:p w14:paraId="24018F94" w14:textId="77777777" w:rsidR="003C15F2" w:rsidRDefault="003C15F2" w:rsidP="00C3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636889"/>
      <w:docPartObj>
        <w:docPartGallery w:val="Page Numbers (Bottom of Page)"/>
        <w:docPartUnique/>
      </w:docPartObj>
    </w:sdtPr>
    <w:sdtContent>
      <w:p w14:paraId="62459120" w14:textId="20AEB23D" w:rsidR="00BE288F" w:rsidRDefault="00BE288F" w:rsidP="0095580E">
        <w:pPr>
          <w:pStyle w:val="llb"/>
          <w:jc w:val="center"/>
        </w:pPr>
        <w:r>
          <w:fldChar w:fldCharType="begin"/>
        </w:r>
        <w:r>
          <w:instrText>PAGE   \* MERGEFORMAT</w:instrText>
        </w:r>
        <w:r>
          <w:fldChar w:fldCharType="separate"/>
        </w:r>
        <w:r w:rsidR="00C4697D">
          <w:rPr>
            <w:noProof/>
          </w:rPr>
          <w:t>82</w:t>
        </w:r>
        <w:r>
          <w:rPr>
            <w:noProof/>
          </w:rPr>
          <w:fldChar w:fldCharType="end"/>
        </w:r>
      </w:p>
    </w:sdtContent>
  </w:sdt>
  <w:p w14:paraId="21DD5816" w14:textId="77777777" w:rsidR="00BE288F" w:rsidRDefault="00BE28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05B9E" w14:textId="77777777" w:rsidR="003C15F2" w:rsidRDefault="003C15F2" w:rsidP="00C3070F">
      <w:pPr>
        <w:spacing w:after="0" w:line="240" w:lineRule="auto"/>
      </w:pPr>
      <w:r>
        <w:separator/>
      </w:r>
    </w:p>
  </w:footnote>
  <w:footnote w:type="continuationSeparator" w:id="0">
    <w:p w14:paraId="24AD7C0E" w14:textId="77777777" w:rsidR="003C15F2" w:rsidRDefault="003C15F2" w:rsidP="00C3070F">
      <w:pPr>
        <w:spacing w:after="0" w:line="240" w:lineRule="auto"/>
      </w:pPr>
      <w:r>
        <w:continuationSeparator/>
      </w:r>
    </w:p>
  </w:footnote>
  <w:footnote w:id="1">
    <w:p w14:paraId="6B5D4F21" w14:textId="25E63969" w:rsidR="00BE288F" w:rsidRDefault="00BE288F">
      <w:pPr>
        <w:pStyle w:val="Lbjegyzetszveg"/>
      </w:pPr>
      <w:r>
        <w:rPr>
          <w:rStyle w:val="Lbjegyzet-hivatkozs"/>
        </w:rPr>
        <w:footnoteRef/>
      </w:r>
      <w:r>
        <w:t xml:space="preserve"> Az Eur</w:t>
      </w:r>
      <w:r w:rsidR="00C4697D">
        <w:t>ópai Unió Tanácsa által kiadott „</w:t>
      </w:r>
      <w:proofErr w:type="spellStart"/>
      <w:r w:rsidRPr="00D80E8F">
        <w:t>Cohesion</w:t>
      </w:r>
      <w:proofErr w:type="spellEnd"/>
      <w:r w:rsidRPr="00D80E8F">
        <w:t xml:space="preserve"> policy </w:t>
      </w:r>
      <w:proofErr w:type="spellStart"/>
      <w:r w:rsidRPr="00D80E8F">
        <w:t>legislative</w:t>
      </w:r>
      <w:proofErr w:type="spellEnd"/>
      <w:r w:rsidRPr="00D80E8F">
        <w:t xml:space="preserve"> </w:t>
      </w:r>
      <w:proofErr w:type="spellStart"/>
      <w:r w:rsidRPr="00D80E8F">
        <w:t>package</w:t>
      </w:r>
      <w:proofErr w:type="spellEnd"/>
      <w:r w:rsidRPr="00D80E8F">
        <w:t xml:space="preserve"> 2021-2027</w:t>
      </w:r>
      <w:r>
        <w:t xml:space="preserve">” 2018. évi </w:t>
      </w:r>
      <w:r w:rsidRPr="00D80E8F">
        <w:t>CPR</w:t>
      </w:r>
      <w:r>
        <w:t xml:space="preserve"> (</w:t>
      </w:r>
      <w:proofErr w:type="spellStart"/>
      <w:r w:rsidRPr="00D80E8F">
        <w:t>Common</w:t>
      </w:r>
      <w:proofErr w:type="spellEnd"/>
      <w:r w:rsidRPr="00D80E8F">
        <w:t xml:space="preserve"> </w:t>
      </w:r>
      <w:proofErr w:type="spellStart"/>
      <w:r w:rsidRPr="00D80E8F">
        <w:t>Provisions</w:t>
      </w:r>
      <w:proofErr w:type="spellEnd"/>
      <w:r w:rsidRPr="00D80E8F">
        <w:t xml:space="preserve"> </w:t>
      </w:r>
      <w:proofErr w:type="spellStart"/>
      <w:r w:rsidRPr="00D80E8F">
        <w:t>Regulation</w:t>
      </w:r>
      <w:proofErr w:type="spellEnd"/>
      <w:r>
        <w:t>)</w:t>
      </w:r>
      <w:r w:rsidRPr="00D80E8F">
        <w:t xml:space="preserve"> 11. cikk és CPR III.-IV. </w:t>
      </w:r>
      <w:proofErr w:type="gramStart"/>
      <w:r>
        <w:t>m</w:t>
      </w:r>
      <w:r w:rsidRPr="00D80E8F">
        <w:t>ellékletei</w:t>
      </w:r>
      <w:proofErr w:type="gramEnd"/>
      <w:r>
        <w:t xml:space="preserve"> szerint.</w:t>
      </w:r>
    </w:p>
  </w:footnote>
  <w:footnote w:id="2">
    <w:p w14:paraId="124B8AAB" w14:textId="619979D4" w:rsidR="00BE288F" w:rsidRDefault="00BE288F">
      <w:pPr>
        <w:pStyle w:val="Lbjegyzetszveg"/>
      </w:pPr>
      <w:r>
        <w:rPr>
          <w:rStyle w:val="Lbjegyzet-hivatkozs"/>
        </w:rPr>
        <w:footnoteRef/>
      </w:r>
      <w:r>
        <w:t xml:space="preserve"> </w:t>
      </w:r>
      <w:r w:rsidRPr="0054059A">
        <w:t>Országos Fejlesztési és Területfejlesztési Koncepció</w:t>
      </w:r>
      <w:r>
        <w:t xml:space="preserve"> 12. o.</w:t>
      </w:r>
    </w:p>
    <w:p w14:paraId="235FC27F" w14:textId="44649448" w:rsidR="00BE288F" w:rsidRDefault="00BE288F">
      <w:pPr>
        <w:pStyle w:val="Lbjegyzetszveg"/>
      </w:pPr>
      <w:hyperlink r:id="rId1" w:history="1">
        <w:r>
          <w:rPr>
            <w:rStyle w:val="Hiperhivatkozs"/>
            <w:rFonts w:eastAsiaTheme="majorEastAsia"/>
          </w:rPr>
          <w:t>https://regionalispolitika.kormany.hu/download/a/c9/e0000/MK14001.pdf</w:t>
        </w:r>
      </w:hyperlink>
    </w:p>
  </w:footnote>
  <w:footnote w:id="3">
    <w:p w14:paraId="75B19B99" w14:textId="77777777" w:rsidR="00BE288F" w:rsidRPr="00E851A7" w:rsidRDefault="00BE288F" w:rsidP="00EF324E">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w:t>
      </w:r>
      <w:proofErr w:type="spellStart"/>
      <w:r w:rsidRPr="00E851A7">
        <w:rPr>
          <w:rFonts w:asciiTheme="majorHAnsi" w:hAnsiTheme="majorHAnsi" w:cstheme="majorHAnsi"/>
        </w:rPr>
        <w:t>Progress</w:t>
      </w:r>
      <w:proofErr w:type="spellEnd"/>
      <w:r w:rsidRPr="00E851A7">
        <w:rPr>
          <w:rFonts w:asciiTheme="majorHAnsi" w:hAnsiTheme="majorHAnsi" w:cstheme="majorHAnsi"/>
        </w:rPr>
        <w:t xml:space="preserve"> </w:t>
      </w:r>
      <w:proofErr w:type="spellStart"/>
      <w:r w:rsidRPr="00E851A7">
        <w:rPr>
          <w:rFonts w:asciiTheme="majorHAnsi" w:hAnsiTheme="majorHAnsi" w:cstheme="majorHAnsi"/>
        </w:rPr>
        <w:t>in</w:t>
      </w:r>
      <w:proofErr w:type="spellEnd"/>
      <w:r w:rsidRPr="00E851A7">
        <w:rPr>
          <w:rFonts w:asciiTheme="majorHAnsi" w:hAnsiTheme="majorHAnsi" w:cstheme="majorHAnsi"/>
        </w:rPr>
        <w:t xml:space="preserve"> International </w:t>
      </w:r>
      <w:proofErr w:type="spellStart"/>
      <w:r w:rsidRPr="00E851A7">
        <w:rPr>
          <w:rFonts w:asciiTheme="majorHAnsi" w:hAnsiTheme="majorHAnsi" w:cstheme="majorHAnsi"/>
        </w:rPr>
        <w:t>Reading</w:t>
      </w:r>
      <w:proofErr w:type="spellEnd"/>
      <w:r w:rsidRPr="00E851A7">
        <w:rPr>
          <w:rFonts w:asciiTheme="majorHAnsi" w:hAnsiTheme="majorHAnsi" w:cstheme="majorHAnsi"/>
        </w:rPr>
        <w:t xml:space="preserve"> </w:t>
      </w:r>
      <w:proofErr w:type="spellStart"/>
      <w:r w:rsidRPr="00E851A7">
        <w:rPr>
          <w:rFonts w:asciiTheme="majorHAnsi" w:hAnsiTheme="majorHAnsi" w:cstheme="majorHAnsi"/>
        </w:rPr>
        <w:t>Literacy</w:t>
      </w:r>
      <w:proofErr w:type="spellEnd"/>
      <w:r w:rsidRPr="00E851A7">
        <w:rPr>
          <w:rFonts w:asciiTheme="majorHAnsi" w:hAnsiTheme="majorHAnsi" w:cstheme="majorHAnsi"/>
        </w:rPr>
        <w:t xml:space="preserve"> </w:t>
      </w:r>
      <w:proofErr w:type="spellStart"/>
      <w:r w:rsidRPr="00E851A7">
        <w:rPr>
          <w:rFonts w:asciiTheme="majorHAnsi" w:hAnsiTheme="majorHAnsi" w:cstheme="majorHAnsi"/>
        </w:rPr>
        <w:t>Study</w:t>
      </w:r>
      <w:proofErr w:type="spellEnd"/>
    </w:p>
  </w:footnote>
  <w:footnote w:id="4">
    <w:p w14:paraId="39AB2B1A" w14:textId="77777777" w:rsidR="00BE288F" w:rsidRPr="00E851A7" w:rsidRDefault="00BE288F" w:rsidP="00B86FE8">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1999-ben csak a 8. évfolyamon volt </w:t>
      </w:r>
      <w:proofErr w:type="spellStart"/>
      <w:r w:rsidRPr="00E851A7">
        <w:rPr>
          <w:rFonts w:asciiTheme="majorHAnsi" w:hAnsiTheme="majorHAnsi" w:cstheme="majorHAnsi"/>
        </w:rPr>
        <w:t>TIMSS-mérés</w:t>
      </w:r>
      <w:proofErr w:type="spellEnd"/>
      <w:r w:rsidRPr="00E851A7">
        <w:rPr>
          <w:rFonts w:asciiTheme="majorHAnsi" w:hAnsiTheme="majorHAnsi" w:cstheme="majorHAnsi"/>
        </w:rPr>
        <w:t>.</w:t>
      </w:r>
    </w:p>
  </w:footnote>
  <w:footnote w:id="5">
    <w:p w14:paraId="109C1690" w14:textId="302C0A37" w:rsidR="00BE288F" w:rsidRDefault="00BE288F">
      <w:pPr>
        <w:pStyle w:val="Lbjegyzetszveg"/>
      </w:pPr>
      <w:r>
        <w:rPr>
          <w:rStyle w:val="Lbjegyzet-hivatkozs"/>
        </w:rPr>
        <w:footnoteRef/>
      </w:r>
      <w:r>
        <w:t xml:space="preserve"> Az adatok 2015-re vonatkoznak, mivel a 2019. évi mérés adatai még nem jelentek meg.</w:t>
      </w:r>
    </w:p>
  </w:footnote>
  <w:footnote w:id="6">
    <w:p w14:paraId="76A15B49" w14:textId="77777777" w:rsidR="00BE288F" w:rsidRDefault="00BE288F">
      <w:pPr>
        <w:pStyle w:val="Lbjegyzetszveg"/>
      </w:pPr>
      <w:r>
        <w:rPr>
          <w:rStyle w:val="Lbjegyzet-hivatkozs"/>
        </w:rPr>
        <w:footnoteRef/>
      </w:r>
      <w:proofErr w:type="spellStart"/>
      <w:r w:rsidRPr="00DC6C83">
        <w:rPr>
          <w:rFonts w:asciiTheme="majorHAnsi" w:hAnsiTheme="majorHAnsi" w:cstheme="majorHAnsi"/>
        </w:rPr>
        <w:t>Teaching</w:t>
      </w:r>
      <w:proofErr w:type="spellEnd"/>
      <w:r w:rsidRPr="00DC6C83">
        <w:rPr>
          <w:rFonts w:asciiTheme="majorHAnsi" w:hAnsiTheme="majorHAnsi" w:cstheme="majorHAnsi"/>
        </w:rPr>
        <w:t xml:space="preserve"> and </w:t>
      </w:r>
      <w:proofErr w:type="spellStart"/>
      <w:r w:rsidRPr="00DC6C83">
        <w:rPr>
          <w:rFonts w:asciiTheme="majorHAnsi" w:hAnsiTheme="majorHAnsi" w:cstheme="majorHAnsi"/>
        </w:rPr>
        <w:t>Learning</w:t>
      </w:r>
      <w:proofErr w:type="spellEnd"/>
      <w:r w:rsidRPr="00DC6C83">
        <w:rPr>
          <w:rFonts w:asciiTheme="majorHAnsi" w:hAnsiTheme="majorHAnsi" w:cstheme="majorHAnsi"/>
        </w:rPr>
        <w:t xml:space="preserve"> International </w:t>
      </w:r>
      <w:proofErr w:type="spellStart"/>
      <w:r w:rsidRPr="00DC6C83">
        <w:rPr>
          <w:rFonts w:asciiTheme="majorHAnsi" w:hAnsiTheme="majorHAnsi" w:cstheme="majorHAnsi"/>
        </w:rPr>
        <w:t>Survey</w:t>
      </w:r>
      <w:proofErr w:type="spellEnd"/>
    </w:p>
  </w:footnote>
  <w:footnote w:id="7">
    <w:p w14:paraId="09DD9497" w14:textId="634B0245" w:rsidR="00BE288F" w:rsidRDefault="00BE288F">
      <w:pPr>
        <w:pStyle w:val="Lbjegyzetszveg"/>
      </w:pPr>
      <w:r>
        <w:rPr>
          <w:rStyle w:val="Lbjegyzet-hivatkozs"/>
        </w:rPr>
        <w:footnoteRef/>
      </w:r>
      <w:hyperlink r:id="rId2" w:history="1">
        <w:r w:rsidRPr="00734B2C">
          <w:rPr>
            <w:rStyle w:val="Hiperhivatkozs"/>
          </w:rPr>
          <w:t>https://www.oktatas.hu/pub_bin/dload/kozoktatas/meresek/talis/TALIS_jelentes_2018.pdf</w:t>
        </w:r>
      </w:hyperlink>
      <w:r>
        <w:t xml:space="preserve"> (a stratégia készítésekor legutolsó jelentés)</w:t>
      </w:r>
    </w:p>
  </w:footnote>
  <w:footnote w:id="8">
    <w:p w14:paraId="44DC07B9" w14:textId="77777777" w:rsidR="00BE288F" w:rsidRDefault="00BE288F" w:rsidP="000E2C8C">
      <w:pPr>
        <w:pStyle w:val="Lbjegyzetszveg"/>
      </w:pPr>
      <w:r>
        <w:rPr>
          <w:rStyle w:val="Lbjegyzet-hivatkozs"/>
        </w:rPr>
        <w:footnoteRef/>
      </w:r>
      <w:r>
        <w:t xml:space="preserve"> </w:t>
      </w:r>
      <w:hyperlink r:id="rId3" w:history="1">
        <w:r>
          <w:rPr>
            <w:rStyle w:val="Hiperhivatkozs"/>
            <w:rFonts w:eastAsiaTheme="majorEastAsia"/>
          </w:rPr>
          <w:t>https://www.naih.hu/files/Adatved_allasfoglalas_NAIH-2020-2888.pdf</w:t>
        </w:r>
      </w:hyperlink>
    </w:p>
  </w:footnote>
  <w:footnote w:id="9">
    <w:p w14:paraId="2799EDB7" w14:textId="77777777" w:rsidR="00BE288F" w:rsidRPr="00E851A7" w:rsidRDefault="00BE288F" w:rsidP="008D1D48">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Nemzeti Egységes Tanulói Fittségi Teszt</w:t>
      </w:r>
    </w:p>
  </w:footnote>
  <w:footnote w:id="10">
    <w:p w14:paraId="574152A8" w14:textId="77777777" w:rsidR="00BE288F" w:rsidRPr="00E851A7" w:rsidRDefault="00BE288F" w:rsidP="00BC16EA">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proofErr w:type="gramStart"/>
      <w:r w:rsidRPr="008D3E8B">
        <w:rPr>
          <w:rFonts w:eastAsiaTheme="majorEastAsia" w:cstheme="majorHAnsi"/>
        </w:rPr>
        <w:t>http</w:t>
      </w:r>
      <w:proofErr w:type="gramEnd"/>
      <w:r w:rsidRPr="008D3E8B">
        <w:rPr>
          <w:rFonts w:eastAsiaTheme="majorEastAsia" w:cstheme="majorHAnsi"/>
        </w:rPr>
        <w:t>://ofi.hu/sites/default/files/1503613_ofi_valtozasok_az_ovodarendszerben_vegleges.pdf</w:t>
      </w:r>
    </w:p>
  </w:footnote>
  <w:footnote w:id="11">
    <w:p w14:paraId="000CD452" w14:textId="77777777" w:rsidR="00BE288F" w:rsidRPr="00E851A7" w:rsidRDefault="00BE288F" w:rsidP="00BC16EA">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Education </w:t>
      </w:r>
      <w:proofErr w:type="spellStart"/>
      <w:r w:rsidRPr="00E851A7">
        <w:rPr>
          <w:rFonts w:asciiTheme="majorHAnsi" w:hAnsiTheme="majorHAnsi" w:cstheme="majorHAnsi"/>
        </w:rPr>
        <w:t>at</w:t>
      </w:r>
      <w:proofErr w:type="spellEnd"/>
      <w:r w:rsidRPr="00E851A7">
        <w:rPr>
          <w:rFonts w:asciiTheme="majorHAnsi" w:hAnsiTheme="majorHAnsi" w:cstheme="majorHAnsi"/>
        </w:rPr>
        <w:t xml:space="preserve"> a </w:t>
      </w:r>
      <w:proofErr w:type="spellStart"/>
      <w:r w:rsidRPr="00E851A7">
        <w:rPr>
          <w:rFonts w:asciiTheme="majorHAnsi" w:hAnsiTheme="majorHAnsi" w:cstheme="majorHAnsi"/>
        </w:rPr>
        <w:t>Glance</w:t>
      </w:r>
      <w:proofErr w:type="spellEnd"/>
      <w:r w:rsidRPr="00E851A7">
        <w:rPr>
          <w:rFonts w:asciiTheme="majorHAnsi" w:hAnsiTheme="majorHAnsi" w:cstheme="majorHAnsi"/>
        </w:rPr>
        <w:t xml:space="preserve"> 2019. B2 </w:t>
      </w:r>
      <w:proofErr w:type="spellStart"/>
      <w:r w:rsidRPr="00E851A7">
        <w:rPr>
          <w:rFonts w:asciiTheme="majorHAnsi" w:hAnsiTheme="majorHAnsi" w:cstheme="majorHAnsi"/>
        </w:rPr>
        <w:t>Indicator</w:t>
      </w:r>
      <w:proofErr w:type="spellEnd"/>
      <w:r w:rsidRPr="00E851A7">
        <w:rPr>
          <w:rFonts w:asciiTheme="majorHAnsi" w:hAnsiTheme="majorHAnsi" w:cstheme="majorHAnsi"/>
        </w:rPr>
        <w:t xml:space="preserve"> </w:t>
      </w:r>
      <w:r w:rsidRPr="008D3E8B">
        <w:rPr>
          <w:rFonts w:eastAsiaTheme="majorEastAsia" w:cstheme="majorHAnsi"/>
        </w:rPr>
        <w:t>https://www.oecd-ilibrary.org/docserver/f8d7880d-en.pdf</w:t>
      </w:r>
      <w:proofErr w:type="gramStart"/>
      <w:r w:rsidRPr="008D3E8B">
        <w:rPr>
          <w:rFonts w:eastAsiaTheme="majorEastAsia" w:cstheme="majorHAnsi"/>
        </w:rPr>
        <w:t>?expires</w:t>
      </w:r>
      <w:proofErr w:type="gramEnd"/>
      <w:r w:rsidRPr="008D3E8B">
        <w:rPr>
          <w:rFonts w:eastAsiaTheme="majorEastAsia" w:cstheme="majorHAnsi"/>
        </w:rPr>
        <w:t>=1576575650&amp;id=id&amp;accname=guest&amp;checksum=5E937D8ADBD5A58FE6EE61A0E7306331</w:t>
      </w:r>
      <w:r>
        <w:rPr>
          <w:rFonts w:asciiTheme="majorHAnsi" w:hAnsiTheme="majorHAnsi" w:cstheme="majorHAnsi"/>
        </w:rPr>
        <w:t xml:space="preserve"> </w:t>
      </w:r>
      <w:hyperlink r:id="rId4" w:history="1"/>
    </w:p>
  </w:footnote>
  <w:footnote w:id="12">
    <w:p w14:paraId="073A06BD" w14:textId="77777777" w:rsidR="00BE288F" w:rsidRPr="00E851A7" w:rsidRDefault="00BE288F" w:rsidP="00BC16EA">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8D3E8B">
        <w:rPr>
          <w:rFonts w:eastAsiaTheme="majorEastAsia" w:cstheme="majorHAnsi"/>
        </w:rPr>
        <w:t>https://op.europa.eu/en/publication-detail/-/publication/5816a817-b72a-11e9-9d01-01aa75ed71a1/language-en/format-PDF/source-102611557</w:t>
      </w:r>
      <w:r>
        <w:rPr>
          <w:rFonts w:asciiTheme="majorHAnsi" w:hAnsiTheme="majorHAnsi" w:cstheme="majorHAnsi"/>
        </w:rPr>
        <w:t xml:space="preserve"> </w:t>
      </w:r>
    </w:p>
  </w:footnote>
  <w:footnote w:id="13">
    <w:p w14:paraId="582135EF" w14:textId="77777777" w:rsidR="00BE288F" w:rsidRPr="00E851A7" w:rsidRDefault="00BE288F" w:rsidP="00BC16EA">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8D3E8B">
        <w:rPr>
          <w:rFonts w:eastAsiaTheme="majorEastAsia" w:cstheme="majorHAnsi"/>
        </w:rPr>
        <w:t>https://www.oecd-ilibrary.org/docserver/f8d7880d-en.pdf</w:t>
      </w:r>
      <w:proofErr w:type="gramStart"/>
      <w:r w:rsidRPr="008D3E8B">
        <w:rPr>
          <w:rFonts w:eastAsiaTheme="majorEastAsia" w:cstheme="majorHAnsi"/>
        </w:rPr>
        <w:t>?expires</w:t>
      </w:r>
      <w:proofErr w:type="gramEnd"/>
      <w:r w:rsidRPr="008D3E8B">
        <w:rPr>
          <w:rFonts w:eastAsiaTheme="majorEastAsia" w:cstheme="majorHAnsi"/>
        </w:rPr>
        <w:t>=1576580238&amp;id=id&amp;accname=guest&amp;checksum=AC1F9217BE9BF73EC6B5B33D31760D2E</w:t>
      </w:r>
      <w:r w:rsidRPr="00E851A7">
        <w:rPr>
          <w:rFonts w:asciiTheme="majorHAnsi" w:hAnsiTheme="majorHAnsi" w:cstheme="majorHAnsi"/>
        </w:rPr>
        <w:t xml:space="preserve"> </w:t>
      </w:r>
    </w:p>
  </w:footnote>
  <w:footnote w:id="14">
    <w:p w14:paraId="0D1EFEF1" w14:textId="77777777" w:rsidR="00BE288F" w:rsidRPr="00E851A7" w:rsidRDefault="00BE288F" w:rsidP="00B86FE8">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OECD-TALIS, </w:t>
      </w:r>
      <w:proofErr w:type="spellStart"/>
      <w:r w:rsidRPr="00E851A7">
        <w:rPr>
          <w:rFonts w:asciiTheme="majorHAnsi" w:hAnsiTheme="majorHAnsi" w:cstheme="majorHAnsi"/>
        </w:rPr>
        <w:t>McKinsey</w:t>
      </w:r>
      <w:proofErr w:type="spellEnd"/>
    </w:p>
  </w:footnote>
  <w:footnote w:id="15">
    <w:p w14:paraId="79272124" w14:textId="77777777" w:rsidR="00BE288F" w:rsidRPr="00E851A7" w:rsidRDefault="00BE288F" w:rsidP="003D2139">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52/2013. (II.25.) Korm. rendelet alapján</w:t>
      </w:r>
    </w:p>
  </w:footnote>
  <w:footnote w:id="16">
    <w:p w14:paraId="6D2F47C1" w14:textId="77777777" w:rsidR="00BE288F" w:rsidRPr="00E851A7" w:rsidRDefault="00BE288F" w:rsidP="00FC0809">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Darling-Hammond, 2006</w:t>
      </w:r>
    </w:p>
  </w:footnote>
  <w:footnote w:id="17">
    <w:p w14:paraId="643820A7" w14:textId="0F6B76DD" w:rsidR="00BE288F" w:rsidRDefault="00BE288F">
      <w:pPr>
        <w:pStyle w:val="Lbjegyzetszveg"/>
      </w:pPr>
      <w:r>
        <w:rPr>
          <w:rStyle w:val="Lbjegyzet-hivatkozs"/>
        </w:rPr>
        <w:footnoteRef/>
      </w:r>
      <w:r>
        <w:t xml:space="preserve"> </w:t>
      </w:r>
      <w:r w:rsidRPr="00A147F9">
        <w:t>A pedagógusok előmeneteli rendszeréről és a közalkalmazottak jogállásáról szóló 1992. évi XXXIII. törvény köznevelési intézményekben történő végrehajtásáról szóló 326/2013. (VIII. 30.) Korm. rendelet</w:t>
      </w:r>
      <w:r>
        <w:t xml:space="preserve"> módosítása</w:t>
      </w:r>
    </w:p>
  </w:footnote>
  <w:footnote w:id="18">
    <w:p w14:paraId="49E0A3AF" w14:textId="77777777" w:rsidR="00BE288F" w:rsidRDefault="00BE288F">
      <w:pPr>
        <w:pStyle w:val="Lbjegyzetszveg"/>
      </w:pPr>
      <w:r>
        <w:rPr>
          <w:rStyle w:val="Lbjegyzet-hivatkozs"/>
        </w:rPr>
        <w:footnoteRef/>
      </w:r>
      <w:r w:rsidRPr="000745BC">
        <w:t>Egy pedagógus akár több adatsorban is szerepelhet. Pl. részt vett a 2014. évi ideiglenes Pedagógus II. fokozatot célzó eljárásban, majd a későbbiekben automatikusan átsorolódott 2017-ben, vagy sikeresen részt vett eljárásban.</w:t>
      </w:r>
    </w:p>
  </w:footnote>
  <w:footnote w:id="19">
    <w:p w14:paraId="49F4520E" w14:textId="77777777" w:rsidR="00BE288F" w:rsidRDefault="00BE288F">
      <w:pPr>
        <w:pStyle w:val="Lbjegyzetszveg"/>
      </w:pPr>
      <w:r>
        <w:rPr>
          <w:rStyle w:val="Lbjegyzet-hivatkozs"/>
        </w:rPr>
        <w:footnoteRef/>
      </w:r>
      <w:r w:rsidRPr="00781F63">
        <w:t>A Korm. rendelet 39/K. §</w:t>
      </w:r>
      <w:proofErr w:type="spellStart"/>
      <w:r w:rsidRPr="00781F63">
        <w:t>-</w:t>
      </w:r>
      <w:proofErr w:type="gramStart"/>
      <w:r w:rsidRPr="00781F63">
        <w:t>a</w:t>
      </w:r>
      <w:proofErr w:type="spellEnd"/>
      <w:proofErr w:type="gramEnd"/>
      <w:r w:rsidRPr="00781F63">
        <w:t xml:space="preserve"> alapján automatikusan Pedagógus II. fokozatba kerültek</w:t>
      </w:r>
    </w:p>
  </w:footnote>
  <w:footnote w:id="20">
    <w:p w14:paraId="3CFCC8FD" w14:textId="77777777" w:rsidR="00BE288F" w:rsidRDefault="00BE288F">
      <w:pPr>
        <w:pStyle w:val="Lbjegyzetszveg"/>
      </w:pPr>
      <w:r>
        <w:rPr>
          <w:rStyle w:val="Lbjegyzet-hivatkozs"/>
        </w:rPr>
        <w:footnoteRef/>
      </w:r>
      <w:r w:rsidRPr="00781F63">
        <w:t>Alkotmánybíróság a 35/2017. (XII. 20.) AB határozata alapján automatikusan Pedagógus II. fokozatba kerültek</w:t>
      </w:r>
    </w:p>
  </w:footnote>
  <w:footnote w:id="21">
    <w:p w14:paraId="5BDF12EA" w14:textId="2C0DF0AE" w:rsidR="00BE288F" w:rsidRDefault="00BE288F">
      <w:pPr>
        <w:pStyle w:val="Lbjegyzetszveg"/>
      </w:pPr>
      <w:r>
        <w:rPr>
          <w:rStyle w:val="Lbjegyzet-hivatkozs"/>
        </w:rPr>
        <w:footnoteRef/>
      </w:r>
      <w:r>
        <w:t xml:space="preserve"> </w:t>
      </w:r>
      <w:r w:rsidRPr="00D0146D">
        <w:t>„A gyermekek esélynövelő szolgáltatásai” önálló fejezetként 2018-tól része a gyermekek védelméről és a gyámügyi igazgatásról szóló 1997. évi XXXI. törvénynek Megállapította: 2018. évi XL. törvény 16.§</w:t>
      </w:r>
      <w:proofErr w:type="spellStart"/>
      <w:r w:rsidRPr="00D0146D">
        <w:t>-</w:t>
      </w:r>
      <w:proofErr w:type="gramStart"/>
      <w:r w:rsidRPr="00D0146D">
        <w:t>a</w:t>
      </w:r>
      <w:proofErr w:type="spellEnd"/>
      <w:r w:rsidRPr="00D0146D">
        <w:t>.</w:t>
      </w:r>
      <w:proofErr w:type="gramEnd"/>
      <w:r w:rsidRPr="00D0146D">
        <w:t xml:space="preserve"> Tartalmazza a két alapvető felzárkózási szolgáltatás, a Biztos Kezdet Gyerekház és a Tanoda szabályozását.</w:t>
      </w:r>
    </w:p>
  </w:footnote>
  <w:footnote w:id="22">
    <w:p w14:paraId="180F3CF5" w14:textId="5A85165C" w:rsidR="00BE288F" w:rsidRDefault="00BE288F">
      <w:pPr>
        <w:pStyle w:val="Lbjegyzetszveg"/>
      </w:pPr>
      <w:r>
        <w:rPr>
          <w:rStyle w:val="Lbjegyzet-hivatkozs"/>
        </w:rPr>
        <w:footnoteRef/>
      </w:r>
      <w:r>
        <w:t xml:space="preserve"> </w:t>
      </w:r>
      <w:r w:rsidRPr="00117FBC">
        <w:t>Köznevelés-sta</w:t>
      </w:r>
      <w:r>
        <w:t>tisztikai adatgyűjtés, 2010/2011</w:t>
      </w:r>
      <w:r w:rsidRPr="00117FBC">
        <w:t xml:space="preserve"> - 2019/2020 (adott év október 1-jei állapota szerint).</w:t>
      </w:r>
    </w:p>
  </w:footnote>
  <w:footnote w:id="23">
    <w:p w14:paraId="36004E1E" w14:textId="77777777" w:rsidR="00BE288F" w:rsidRDefault="00BE288F" w:rsidP="000D2604">
      <w:pPr>
        <w:pStyle w:val="Lbjegyzetszveg"/>
      </w:pPr>
      <w:r>
        <w:rPr>
          <w:rStyle w:val="Lbjegyzet-hivatkozs"/>
        </w:rPr>
        <w:footnoteRef/>
      </w:r>
      <w:r>
        <w:t xml:space="preserve"> www.tehetseg.hu</w:t>
      </w:r>
    </w:p>
  </w:footnote>
  <w:footnote w:id="24">
    <w:p w14:paraId="51783880" w14:textId="0AAFE521" w:rsidR="00BE288F" w:rsidRDefault="00BE288F">
      <w:pPr>
        <w:pStyle w:val="Lbjegyzetszveg"/>
      </w:pPr>
      <w:r>
        <w:rPr>
          <w:rStyle w:val="Lbjegyzet-hivatkozs"/>
        </w:rPr>
        <w:footnoteRef/>
      </w:r>
      <w:r>
        <w:t xml:space="preserve"> </w:t>
      </w:r>
      <w:hyperlink r:id="rId5" w:history="1">
        <w:r w:rsidRPr="00DA3EBE">
          <w:rPr>
            <w:rStyle w:val="Hiperhivatkozs"/>
          </w:rPr>
          <w:t>https://digitalisjoletprogram.hu/hu/tartalom/digkomp</w:t>
        </w:r>
      </w:hyperlink>
      <w:r>
        <w:t xml:space="preserve"> </w:t>
      </w:r>
    </w:p>
  </w:footnote>
  <w:footnote w:id="25">
    <w:p w14:paraId="3FDB745A" w14:textId="77777777" w:rsidR="00BE288F" w:rsidRPr="00E851A7" w:rsidRDefault="00BE288F" w:rsidP="00B86FE8">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Nemzeti Információs Infrastruktúra Fejlesztési Intézet, amely 2016. szeptember 1-jével beleolvadt a Kormányzati Informatikai Fejlesztési Ügynökségbe (KIFÜ).</w:t>
      </w:r>
    </w:p>
  </w:footnote>
  <w:footnote w:id="26">
    <w:p w14:paraId="610B84DF" w14:textId="77777777" w:rsidR="00BE288F" w:rsidRPr="00E851A7" w:rsidRDefault="00BE288F" w:rsidP="00B86FE8">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8D3E8B">
        <w:rPr>
          <w:rFonts w:eastAsiaTheme="majorEastAsia" w:cstheme="majorHAnsi"/>
        </w:rPr>
        <w:t>https://ofi.hu/sites/default/files/attachments/digitalis_tartalomfejlesztes_jegyzet_nv.pdf</w:t>
      </w:r>
    </w:p>
  </w:footnote>
  <w:footnote w:id="27">
    <w:p w14:paraId="11F55999" w14:textId="77777777" w:rsidR="00BE288F" w:rsidRPr="00E851A7" w:rsidRDefault="00BE288F" w:rsidP="00B86FE8">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Oktatási Hivatalról szóló 121/2013. (IV. 26.) Korm. Rendelet 5. §(3) bekezdés</w:t>
      </w:r>
    </w:p>
  </w:footnote>
  <w:footnote w:id="28">
    <w:p w14:paraId="0C7AFC5B" w14:textId="3E7E410F" w:rsidR="00BE288F" w:rsidRPr="00E851A7" w:rsidRDefault="00BE288F" w:rsidP="00B86FE8">
      <w:pPr>
        <w:pStyle w:val="Lbjegyzetszveg"/>
        <w:ind w:left="142" w:hanging="142"/>
        <w:jc w:val="left"/>
        <w:rPr>
          <w:rFonts w:asciiTheme="majorHAnsi" w:hAnsiTheme="majorHAnsi" w:cstheme="majorHAnsi"/>
        </w:rPr>
      </w:pPr>
      <w:r w:rsidRPr="00E851A7">
        <w:rPr>
          <w:rStyle w:val="Lbjegyzet-hivatkozs"/>
          <w:rFonts w:asciiTheme="majorHAnsi" w:hAnsiTheme="majorHAnsi" w:cstheme="majorHAnsi"/>
        </w:rPr>
        <w:footnoteRef/>
      </w:r>
      <w:r w:rsidRPr="00E851A7">
        <w:rPr>
          <w:rFonts w:asciiTheme="majorHAnsi" w:hAnsiTheme="majorHAnsi" w:cstheme="majorHAnsi"/>
        </w:rPr>
        <w:t xml:space="preserve"> </w:t>
      </w:r>
      <w:r>
        <w:rPr>
          <w:rFonts w:asciiTheme="majorHAnsi" w:hAnsiTheme="majorHAnsi" w:cstheme="majorHAnsi"/>
        </w:rPr>
        <w:t>2016 utáni v</w:t>
      </w:r>
      <w:r w:rsidRPr="00E851A7">
        <w:rPr>
          <w:rFonts w:asciiTheme="majorHAnsi" w:hAnsiTheme="majorHAnsi" w:cstheme="majorHAnsi"/>
        </w:rPr>
        <w:t xml:space="preserve">égleges </w:t>
      </w:r>
      <w:proofErr w:type="spellStart"/>
      <w:r w:rsidRPr="00E851A7">
        <w:rPr>
          <w:rFonts w:asciiTheme="majorHAnsi" w:hAnsiTheme="majorHAnsi" w:cstheme="majorHAnsi"/>
        </w:rPr>
        <w:t>aggregált</w:t>
      </w:r>
      <w:proofErr w:type="spellEnd"/>
      <w:r w:rsidRPr="00E851A7">
        <w:rPr>
          <w:rFonts w:asciiTheme="majorHAnsi" w:hAnsiTheme="majorHAnsi" w:cstheme="majorHAnsi"/>
        </w:rPr>
        <w:t xml:space="preserve"> adatot az </w:t>
      </w:r>
      <w:proofErr w:type="spellStart"/>
      <w:r w:rsidRPr="00E851A7">
        <w:rPr>
          <w:rFonts w:asciiTheme="majorHAnsi" w:hAnsiTheme="majorHAnsi" w:cstheme="majorHAnsi"/>
        </w:rPr>
        <w:t>Eurostat</w:t>
      </w:r>
      <w:proofErr w:type="spellEnd"/>
      <w:r w:rsidRPr="00E851A7">
        <w:rPr>
          <w:rFonts w:asciiTheme="majorHAnsi" w:hAnsiTheme="majorHAnsi" w:cstheme="majorHAnsi"/>
        </w:rPr>
        <w:t xml:space="preserve"> még nem adott közre.</w:t>
      </w:r>
    </w:p>
  </w:footnote>
  <w:footnote w:id="29">
    <w:p w14:paraId="4879A1F7" w14:textId="30262DB2" w:rsidR="00BE288F" w:rsidRDefault="00BE288F">
      <w:pPr>
        <w:pStyle w:val="Lbjegyzetszveg"/>
      </w:pPr>
      <w:r>
        <w:rPr>
          <w:rStyle w:val="Lbjegyzet-hivatkozs"/>
        </w:rPr>
        <w:footnoteRef/>
      </w:r>
      <w:r>
        <w:t xml:space="preserve"> KIR 2019. évi adat</w:t>
      </w:r>
    </w:p>
  </w:footnote>
  <w:footnote w:id="30">
    <w:p w14:paraId="652FE441" w14:textId="77777777" w:rsidR="00BE288F" w:rsidRDefault="00BE288F" w:rsidP="00FE077E">
      <w:pPr>
        <w:pStyle w:val="Lbjegyzetszveg"/>
      </w:pPr>
      <w:r>
        <w:rPr>
          <w:rStyle w:val="Lbjegyzet-hivatkozs"/>
        </w:rPr>
        <w:footnoteRef/>
      </w:r>
      <w:r>
        <w:t xml:space="preserve"> Forrás: </w:t>
      </w:r>
      <w:r w:rsidRPr="008D3E8B">
        <w:t>http://www.ksh.hu/docs/hun/xftp/idoszaki/oktat/oktatas1920.pdf</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1E6"/>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4550"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
    <w:nsid w:val="063A7C28"/>
    <w:multiLevelType w:val="hybridMultilevel"/>
    <w:tmpl w:val="A7EE047A"/>
    <w:lvl w:ilvl="0" w:tplc="5064A154">
      <w:start w:val="1"/>
      <w:numFmt w:val="bullet"/>
      <w:pStyle w:val="Fenntabra"/>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7EA4BEB"/>
    <w:multiLevelType w:val="hybridMultilevel"/>
    <w:tmpl w:val="64848F5A"/>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17281243"/>
    <w:multiLevelType w:val="multilevel"/>
    <w:tmpl w:val="895AC216"/>
    <w:lvl w:ilvl="0">
      <w:start w:val="1"/>
      <w:numFmt w:val="decimal"/>
      <w:pStyle w:val="Abracim"/>
      <w:lvlText w:val="%1."/>
      <w:lvlJc w:val="left"/>
      <w:pPr>
        <w:ind w:left="1495" w:hanging="360"/>
      </w:pPr>
      <w:rPr>
        <w:rFonts w:hint="default"/>
        <w:color w:val="auto"/>
        <w:sz w:val="22"/>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2211332"/>
    <w:multiLevelType w:val="hybridMultilevel"/>
    <w:tmpl w:val="27B0ED6C"/>
    <w:lvl w:ilvl="0" w:tplc="4D82F220">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nsid w:val="242D1845"/>
    <w:multiLevelType w:val="hybridMultilevel"/>
    <w:tmpl w:val="8FA42E0E"/>
    <w:lvl w:ilvl="0" w:tplc="A19204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27A42A9"/>
    <w:multiLevelType w:val="hybridMultilevel"/>
    <w:tmpl w:val="1C2E9476"/>
    <w:lvl w:ilvl="0" w:tplc="4D82F220">
      <w:start w:val="1"/>
      <w:numFmt w:val="bullet"/>
      <w:lvlText w:val=""/>
      <w:lvlJc w:val="left"/>
      <w:pPr>
        <w:ind w:left="720" w:hanging="360"/>
      </w:pPr>
      <w:rPr>
        <w:rFonts w:ascii="Symbol" w:hAnsi="Symbol" w:hint="default"/>
      </w:rPr>
    </w:lvl>
    <w:lvl w:ilvl="1" w:tplc="FC6C8664">
      <w:numFmt w:val="bullet"/>
      <w:lvlText w:val=""/>
      <w:lvlJc w:val="left"/>
      <w:pPr>
        <w:ind w:left="1440" w:hanging="360"/>
      </w:pPr>
      <w:rPr>
        <w:rFonts w:ascii="Symbol" w:eastAsia="Times New Roman" w:hAnsi="Symbol"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4041F43"/>
    <w:multiLevelType w:val="hybridMultilevel"/>
    <w:tmpl w:val="114609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B4C6360"/>
    <w:multiLevelType w:val="hybridMultilevel"/>
    <w:tmpl w:val="8BA837E0"/>
    <w:lvl w:ilvl="0" w:tplc="6DC0BCEE">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4D200617"/>
    <w:multiLevelType w:val="hybridMultilevel"/>
    <w:tmpl w:val="B4163660"/>
    <w:lvl w:ilvl="0" w:tplc="A192046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D586932"/>
    <w:multiLevelType w:val="hybridMultilevel"/>
    <w:tmpl w:val="2F5C53AA"/>
    <w:lvl w:ilvl="0" w:tplc="5ADC2200">
      <w:start w:val="1"/>
      <w:numFmt w:val="decimal"/>
      <w:pStyle w:val="Tblacm"/>
      <w:lvlText w:val="%1."/>
      <w:lvlJc w:val="left"/>
      <w:pPr>
        <w:ind w:left="2771" w:hanging="360"/>
      </w:p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5D530C55"/>
    <w:multiLevelType w:val="hybridMultilevel"/>
    <w:tmpl w:val="879C072E"/>
    <w:lvl w:ilvl="0" w:tplc="639E3CFA">
      <w:start w:val="1"/>
      <w:numFmt w:val="decimal"/>
      <w:pStyle w:val="Fenntabla"/>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73EF6AB8"/>
    <w:multiLevelType w:val="hybridMultilevel"/>
    <w:tmpl w:val="FF0E552A"/>
    <w:lvl w:ilvl="0" w:tplc="9700894A">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
  </w:num>
  <w:num w:numId="4">
    <w:abstractNumId w:val="10"/>
  </w:num>
  <w:num w:numId="5">
    <w:abstractNumId w:val="0"/>
  </w:num>
  <w:num w:numId="6">
    <w:abstractNumId w:val="4"/>
  </w:num>
  <w:num w:numId="7">
    <w:abstractNumId w:val="8"/>
  </w:num>
  <w:num w:numId="8">
    <w:abstractNumId w:val="7"/>
  </w:num>
  <w:num w:numId="9">
    <w:abstractNumId w:val="6"/>
  </w:num>
  <w:num w:numId="10">
    <w:abstractNumId w:val="12"/>
  </w:num>
  <w:num w:numId="11">
    <w:abstractNumId w:val="2"/>
  </w:num>
  <w:num w:numId="12">
    <w:abstractNumId w:val="0"/>
    <w:lvlOverride w:ilvl="0">
      <w:startOverride w:val="5"/>
    </w:lvlOverride>
    <w:lvlOverride w:ilvl="1">
      <w:startOverride w:val="2"/>
    </w:lvlOverride>
    <w:lvlOverride w:ilvl="2">
      <w:startOverride w:val="1"/>
    </w:lvlOverride>
  </w:num>
  <w:num w:numId="13">
    <w:abstractNumId w:val="9"/>
  </w:num>
  <w:num w:numId="14">
    <w:abstractNumId w:val="5"/>
  </w:num>
  <w:num w:numId="15">
    <w:abstractNumId w:val="10"/>
    <w:lvlOverride w:ilvl="0">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ünde hagymásy">
    <w15:presenceInfo w15:providerId="Windows Live" w15:userId="ff4f7fe9d376c081"/>
  </w15:person>
  <w15:person w15:author="Hagymásy Tünde Erzsébet">
    <w15:presenceInfo w15:providerId="AD" w15:userId="S-1-5-21-1757981266-1220945662-682003330-69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59"/>
    <w:rsid w:val="000006AC"/>
    <w:rsid w:val="00000D6A"/>
    <w:rsid w:val="00001112"/>
    <w:rsid w:val="00002379"/>
    <w:rsid w:val="00002DB1"/>
    <w:rsid w:val="000042C8"/>
    <w:rsid w:val="000048B1"/>
    <w:rsid w:val="00004D37"/>
    <w:rsid w:val="00006805"/>
    <w:rsid w:val="00006AC1"/>
    <w:rsid w:val="00006C8C"/>
    <w:rsid w:val="00007267"/>
    <w:rsid w:val="00011367"/>
    <w:rsid w:val="000113F1"/>
    <w:rsid w:val="00011430"/>
    <w:rsid w:val="00011835"/>
    <w:rsid w:val="00012B5F"/>
    <w:rsid w:val="00012B62"/>
    <w:rsid w:val="00012F94"/>
    <w:rsid w:val="00013983"/>
    <w:rsid w:val="00015A40"/>
    <w:rsid w:val="00015C57"/>
    <w:rsid w:val="000160B5"/>
    <w:rsid w:val="000162A7"/>
    <w:rsid w:val="00017114"/>
    <w:rsid w:val="00017842"/>
    <w:rsid w:val="000213CA"/>
    <w:rsid w:val="00021649"/>
    <w:rsid w:val="0002245D"/>
    <w:rsid w:val="0002297F"/>
    <w:rsid w:val="00023533"/>
    <w:rsid w:val="00023C88"/>
    <w:rsid w:val="00024034"/>
    <w:rsid w:val="00024B8F"/>
    <w:rsid w:val="000250BD"/>
    <w:rsid w:val="00027564"/>
    <w:rsid w:val="00030DCA"/>
    <w:rsid w:val="000310B4"/>
    <w:rsid w:val="000329A1"/>
    <w:rsid w:val="00032AF7"/>
    <w:rsid w:val="000333F9"/>
    <w:rsid w:val="00033B78"/>
    <w:rsid w:val="00033BBE"/>
    <w:rsid w:val="00034714"/>
    <w:rsid w:val="000350ED"/>
    <w:rsid w:val="000362FD"/>
    <w:rsid w:val="00036425"/>
    <w:rsid w:val="00036452"/>
    <w:rsid w:val="000369DC"/>
    <w:rsid w:val="0003708C"/>
    <w:rsid w:val="00040104"/>
    <w:rsid w:val="000407FC"/>
    <w:rsid w:val="000407FE"/>
    <w:rsid w:val="00040F55"/>
    <w:rsid w:val="00041E0F"/>
    <w:rsid w:val="00041E77"/>
    <w:rsid w:val="00042A2C"/>
    <w:rsid w:val="00042E6E"/>
    <w:rsid w:val="00043585"/>
    <w:rsid w:val="00043C1A"/>
    <w:rsid w:val="00044FCA"/>
    <w:rsid w:val="00046280"/>
    <w:rsid w:val="0004710D"/>
    <w:rsid w:val="00047923"/>
    <w:rsid w:val="00050316"/>
    <w:rsid w:val="00051F29"/>
    <w:rsid w:val="00054667"/>
    <w:rsid w:val="000559DE"/>
    <w:rsid w:val="000568A4"/>
    <w:rsid w:val="0005709D"/>
    <w:rsid w:val="000570C9"/>
    <w:rsid w:val="00057778"/>
    <w:rsid w:val="00060381"/>
    <w:rsid w:val="0006196D"/>
    <w:rsid w:val="00061A5E"/>
    <w:rsid w:val="000621CF"/>
    <w:rsid w:val="000631A8"/>
    <w:rsid w:val="0006360D"/>
    <w:rsid w:val="000638E9"/>
    <w:rsid w:val="00063D18"/>
    <w:rsid w:val="00064941"/>
    <w:rsid w:val="00064D0B"/>
    <w:rsid w:val="000651D6"/>
    <w:rsid w:val="000667A8"/>
    <w:rsid w:val="00066BB8"/>
    <w:rsid w:val="00066BB9"/>
    <w:rsid w:val="00066FB8"/>
    <w:rsid w:val="000676B0"/>
    <w:rsid w:val="000701B1"/>
    <w:rsid w:val="000710D1"/>
    <w:rsid w:val="000711C9"/>
    <w:rsid w:val="0007196A"/>
    <w:rsid w:val="000728CF"/>
    <w:rsid w:val="0007293A"/>
    <w:rsid w:val="00072A69"/>
    <w:rsid w:val="00074349"/>
    <w:rsid w:val="000745BC"/>
    <w:rsid w:val="00075651"/>
    <w:rsid w:val="0007615A"/>
    <w:rsid w:val="000806F4"/>
    <w:rsid w:val="00081D6B"/>
    <w:rsid w:val="0008208B"/>
    <w:rsid w:val="00082DAD"/>
    <w:rsid w:val="0008449F"/>
    <w:rsid w:val="00084822"/>
    <w:rsid w:val="0008521D"/>
    <w:rsid w:val="00085E27"/>
    <w:rsid w:val="00085E99"/>
    <w:rsid w:val="00086CCD"/>
    <w:rsid w:val="00087974"/>
    <w:rsid w:val="000907F0"/>
    <w:rsid w:val="000915D2"/>
    <w:rsid w:val="00091F9F"/>
    <w:rsid w:val="00092836"/>
    <w:rsid w:val="00093565"/>
    <w:rsid w:val="00094BAE"/>
    <w:rsid w:val="000958DF"/>
    <w:rsid w:val="00095DA4"/>
    <w:rsid w:val="000961E9"/>
    <w:rsid w:val="00096284"/>
    <w:rsid w:val="00096891"/>
    <w:rsid w:val="00096C57"/>
    <w:rsid w:val="000A02E5"/>
    <w:rsid w:val="000A0686"/>
    <w:rsid w:val="000A0ED2"/>
    <w:rsid w:val="000A1D05"/>
    <w:rsid w:val="000A27B1"/>
    <w:rsid w:val="000A3457"/>
    <w:rsid w:val="000A4058"/>
    <w:rsid w:val="000A50ED"/>
    <w:rsid w:val="000A59CC"/>
    <w:rsid w:val="000A5F84"/>
    <w:rsid w:val="000A5FE5"/>
    <w:rsid w:val="000A7388"/>
    <w:rsid w:val="000A73D4"/>
    <w:rsid w:val="000A7F35"/>
    <w:rsid w:val="000B0697"/>
    <w:rsid w:val="000B0C85"/>
    <w:rsid w:val="000B1217"/>
    <w:rsid w:val="000B1DD2"/>
    <w:rsid w:val="000B28C0"/>
    <w:rsid w:val="000B2D8D"/>
    <w:rsid w:val="000B338E"/>
    <w:rsid w:val="000B33A1"/>
    <w:rsid w:val="000B4810"/>
    <w:rsid w:val="000B4C4C"/>
    <w:rsid w:val="000B52F2"/>
    <w:rsid w:val="000B6BB7"/>
    <w:rsid w:val="000B70CC"/>
    <w:rsid w:val="000B7167"/>
    <w:rsid w:val="000B7835"/>
    <w:rsid w:val="000C1679"/>
    <w:rsid w:val="000C288E"/>
    <w:rsid w:val="000C2FD6"/>
    <w:rsid w:val="000C3886"/>
    <w:rsid w:val="000C432B"/>
    <w:rsid w:val="000C52A6"/>
    <w:rsid w:val="000C5C45"/>
    <w:rsid w:val="000C5D7E"/>
    <w:rsid w:val="000C60EF"/>
    <w:rsid w:val="000C69CC"/>
    <w:rsid w:val="000C6B3A"/>
    <w:rsid w:val="000C728A"/>
    <w:rsid w:val="000D1FAB"/>
    <w:rsid w:val="000D2247"/>
    <w:rsid w:val="000D2604"/>
    <w:rsid w:val="000D2A7D"/>
    <w:rsid w:val="000D2DD4"/>
    <w:rsid w:val="000D2E18"/>
    <w:rsid w:val="000D335A"/>
    <w:rsid w:val="000D3561"/>
    <w:rsid w:val="000D3B36"/>
    <w:rsid w:val="000D4DC3"/>
    <w:rsid w:val="000D5128"/>
    <w:rsid w:val="000D7F06"/>
    <w:rsid w:val="000D7F86"/>
    <w:rsid w:val="000E03F1"/>
    <w:rsid w:val="000E2222"/>
    <w:rsid w:val="000E2C8C"/>
    <w:rsid w:val="000E3EA1"/>
    <w:rsid w:val="000E4A4A"/>
    <w:rsid w:val="000E4B48"/>
    <w:rsid w:val="000E5B63"/>
    <w:rsid w:val="000E5BB1"/>
    <w:rsid w:val="000E5FB8"/>
    <w:rsid w:val="000E7047"/>
    <w:rsid w:val="000E753B"/>
    <w:rsid w:val="000E7E25"/>
    <w:rsid w:val="000F014A"/>
    <w:rsid w:val="000F08E4"/>
    <w:rsid w:val="000F0D05"/>
    <w:rsid w:val="000F1AA7"/>
    <w:rsid w:val="000F21F4"/>
    <w:rsid w:val="000F2562"/>
    <w:rsid w:val="000F2C8E"/>
    <w:rsid w:val="000F34B2"/>
    <w:rsid w:val="000F3647"/>
    <w:rsid w:val="000F3E74"/>
    <w:rsid w:val="000F3FCD"/>
    <w:rsid w:val="000F4A10"/>
    <w:rsid w:val="000F50D4"/>
    <w:rsid w:val="000F5306"/>
    <w:rsid w:val="000F6E81"/>
    <w:rsid w:val="001010E7"/>
    <w:rsid w:val="001021D8"/>
    <w:rsid w:val="0010252D"/>
    <w:rsid w:val="00102FC4"/>
    <w:rsid w:val="001033A4"/>
    <w:rsid w:val="001037EF"/>
    <w:rsid w:val="001038C1"/>
    <w:rsid w:val="0010410C"/>
    <w:rsid w:val="001052DD"/>
    <w:rsid w:val="00105302"/>
    <w:rsid w:val="00106086"/>
    <w:rsid w:val="00106E33"/>
    <w:rsid w:val="00107F0F"/>
    <w:rsid w:val="00107F4D"/>
    <w:rsid w:val="00110113"/>
    <w:rsid w:val="00110A32"/>
    <w:rsid w:val="00110B95"/>
    <w:rsid w:val="001118E7"/>
    <w:rsid w:val="00111A21"/>
    <w:rsid w:val="00111B98"/>
    <w:rsid w:val="00111D5B"/>
    <w:rsid w:val="0011202A"/>
    <w:rsid w:val="00114288"/>
    <w:rsid w:val="001172AB"/>
    <w:rsid w:val="001173DF"/>
    <w:rsid w:val="00117FBC"/>
    <w:rsid w:val="001202A4"/>
    <w:rsid w:val="001203FC"/>
    <w:rsid w:val="0012083D"/>
    <w:rsid w:val="0012329E"/>
    <w:rsid w:val="0012395C"/>
    <w:rsid w:val="00123C67"/>
    <w:rsid w:val="0012415D"/>
    <w:rsid w:val="00124F67"/>
    <w:rsid w:val="00125A09"/>
    <w:rsid w:val="001267F1"/>
    <w:rsid w:val="00126948"/>
    <w:rsid w:val="001273F8"/>
    <w:rsid w:val="00127557"/>
    <w:rsid w:val="001277DF"/>
    <w:rsid w:val="00127B34"/>
    <w:rsid w:val="001301D6"/>
    <w:rsid w:val="0013024B"/>
    <w:rsid w:val="00130304"/>
    <w:rsid w:val="00130769"/>
    <w:rsid w:val="00131556"/>
    <w:rsid w:val="00131624"/>
    <w:rsid w:val="001316AD"/>
    <w:rsid w:val="00131A22"/>
    <w:rsid w:val="00131C78"/>
    <w:rsid w:val="001330F5"/>
    <w:rsid w:val="00137B5D"/>
    <w:rsid w:val="00140AE9"/>
    <w:rsid w:val="0014173A"/>
    <w:rsid w:val="00141B48"/>
    <w:rsid w:val="00142DF0"/>
    <w:rsid w:val="00142ED9"/>
    <w:rsid w:val="001438FA"/>
    <w:rsid w:val="001450A9"/>
    <w:rsid w:val="00145688"/>
    <w:rsid w:val="001464DC"/>
    <w:rsid w:val="00150344"/>
    <w:rsid w:val="00150778"/>
    <w:rsid w:val="00150B55"/>
    <w:rsid w:val="0015181D"/>
    <w:rsid w:val="00152195"/>
    <w:rsid w:val="001526BC"/>
    <w:rsid w:val="001526C0"/>
    <w:rsid w:val="001536F3"/>
    <w:rsid w:val="00154A69"/>
    <w:rsid w:val="001551D3"/>
    <w:rsid w:val="00155F9E"/>
    <w:rsid w:val="0015605E"/>
    <w:rsid w:val="00156B9E"/>
    <w:rsid w:val="0015711D"/>
    <w:rsid w:val="00157AC3"/>
    <w:rsid w:val="00160BAF"/>
    <w:rsid w:val="001616F2"/>
    <w:rsid w:val="001625BD"/>
    <w:rsid w:val="00162D15"/>
    <w:rsid w:val="00163CBA"/>
    <w:rsid w:val="00165914"/>
    <w:rsid w:val="0016668A"/>
    <w:rsid w:val="001671EC"/>
    <w:rsid w:val="001704A6"/>
    <w:rsid w:val="00170676"/>
    <w:rsid w:val="001707FA"/>
    <w:rsid w:val="00170AB1"/>
    <w:rsid w:val="00171008"/>
    <w:rsid w:val="0017145A"/>
    <w:rsid w:val="001715BA"/>
    <w:rsid w:val="0017214F"/>
    <w:rsid w:val="00172375"/>
    <w:rsid w:val="001724AD"/>
    <w:rsid w:val="00172C18"/>
    <w:rsid w:val="0017345D"/>
    <w:rsid w:val="001734D4"/>
    <w:rsid w:val="001738C8"/>
    <w:rsid w:val="00174A09"/>
    <w:rsid w:val="00175568"/>
    <w:rsid w:val="0017620C"/>
    <w:rsid w:val="001800B7"/>
    <w:rsid w:val="001818B0"/>
    <w:rsid w:val="00183A7D"/>
    <w:rsid w:val="0018444F"/>
    <w:rsid w:val="00184686"/>
    <w:rsid w:val="0018483D"/>
    <w:rsid w:val="001850B6"/>
    <w:rsid w:val="001851B7"/>
    <w:rsid w:val="001854C8"/>
    <w:rsid w:val="00186F97"/>
    <w:rsid w:val="001878DF"/>
    <w:rsid w:val="0018793B"/>
    <w:rsid w:val="00190D2F"/>
    <w:rsid w:val="00191616"/>
    <w:rsid w:val="0019229B"/>
    <w:rsid w:val="0019398C"/>
    <w:rsid w:val="00193FCE"/>
    <w:rsid w:val="001943AF"/>
    <w:rsid w:val="00194B1E"/>
    <w:rsid w:val="001956FF"/>
    <w:rsid w:val="00195A58"/>
    <w:rsid w:val="001975A9"/>
    <w:rsid w:val="00197AEE"/>
    <w:rsid w:val="001A09C2"/>
    <w:rsid w:val="001A1199"/>
    <w:rsid w:val="001A1F7A"/>
    <w:rsid w:val="001A2203"/>
    <w:rsid w:val="001A22AC"/>
    <w:rsid w:val="001A25A3"/>
    <w:rsid w:val="001A2D63"/>
    <w:rsid w:val="001A2E0B"/>
    <w:rsid w:val="001A33E9"/>
    <w:rsid w:val="001A3974"/>
    <w:rsid w:val="001A3C26"/>
    <w:rsid w:val="001A3D3D"/>
    <w:rsid w:val="001A3E4E"/>
    <w:rsid w:val="001A5167"/>
    <w:rsid w:val="001A54F4"/>
    <w:rsid w:val="001A7A62"/>
    <w:rsid w:val="001A7EA8"/>
    <w:rsid w:val="001B0CCE"/>
    <w:rsid w:val="001B214C"/>
    <w:rsid w:val="001B22DA"/>
    <w:rsid w:val="001B22FE"/>
    <w:rsid w:val="001B2D75"/>
    <w:rsid w:val="001B37AD"/>
    <w:rsid w:val="001B3CA7"/>
    <w:rsid w:val="001B57C3"/>
    <w:rsid w:val="001B5B76"/>
    <w:rsid w:val="001B60AF"/>
    <w:rsid w:val="001B76BF"/>
    <w:rsid w:val="001B790D"/>
    <w:rsid w:val="001B7B30"/>
    <w:rsid w:val="001C0A8F"/>
    <w:rsid w:val="001C0DE3"/>
    <w:rsid w:val="001C188D"/>
    <w:rsid w:val="001C1AFA"/>
    <w:rsid w:val="001C1BD6"/>
    <w:rsid w:val="001C24D2"/>
    <w:rsid w:val="001C26B0"/>
    <w:rsid w:val="001C286A"/>
    <w:rsid w:val="001C2AB0"/>
    <w:rsid w:val="001C3D8D"/>
    <w:rsid w:val="001C3E96"/>
    <w:rsid w:val="001C4905"/>
    <w:rsid w:val="001C4C05"/>
    <w:rsid w:val="001C67FA"/>
    <w:rsid w:val="001C680B"/>
    <w:rsid w:val="001C7150"/>
    <w:rsid w:val="001C7260"/>
    <w:rsid w:val="001C774A"/>
    <w:rsid w:val="001D0B44"/>
    <w:rsid w:val="001D21C7"/>
    <w:rsid w:val="001D2570"/>
    <w:rsid w:val="001D28DC"/>
    <w:rsid w:val="001D2AEF"/>
    <w:rsid w:val="001D330A"/>
    <w:rsid w:val="001D45D9"/>
    <w:rsid w:val="001D4818"/>
    <w:rsid w:val="001D66E1"/>
    <w:rsid w:val="001D70E2"/>
    <w:rsid w:val="001D724F"/>
    <w:rsid w:val="001D76BF"/>
    <w:rsid w:val="001E0F5E"/>
    <w:rsid w:val="001E19EE"/>
    <w:rsid w:val="001E2131"/>
    <w:rsid w:val="001E276A"/>
    <w:rsid w:val="001E2B12"/>
    <w:rsid w:val="001E2F5C"/>
    <w:rsid w:val="001E32D1"/>
    <w:rsid w:val="001E380D"/>
    <w:rsid w:val="001E4127"/>
    <w:rsid w:val="001E4742"/>
    <w:rsid w:val="001E49B5"/>
    <w:rsid w:val="001E4E16"/>
    <w:rsid w:val="001E5BD8"/>
    <w:rsid w:val="001E5D81"/>
    <w:rsid w:val="001E6F7E"/>
    <w:rsid w:val="001E735F"/>
    <w:rsid w:val="001E756C"/>
    <w:rsid w:val="001E7B42"/>
    <w:rsid w:val="001F1F3A"/>
    <w:rsid w:val="001F2C2C"/>
    <w:rsid w:val="001F30CE"/>
    <w:rsid w:val="001F3DD1"/>
    <w:rsid w:val="001F549B"/>
    <w:rsid w:val="001F5BB7"/>
    <w:rsid w:val="001F600C"/>
    <w:rsid w:val="001F6CDE"/>
    <w:rsid w:val="001F7EDA"/>
    <w:rsid w:val="002002D8"/>
    <w:rsid w:val="00200C73"/>
    <w:rsid w:val="0020208E"/>
    <w:rsid w:val="00202094"/>
    <w:rsid w:val="00202802"/>
    <w:rsid w:val="00203537"/>
    <w:rsid w:val="0020373E"/>
    <w:rsid w:val="00203EF4"/>
    <w:rsid w:val="00203F2E"/>
    <w:rsid w:val="00204D0E"/>
    <w:rsid w:val="00205D0B"/>
    <w:rsid w:val="00205E7A"/>
    <w:rsid w:val="002061D7"/>
    <w:rsid w:val="00206900"/>
    <w:rsid w:val="0020738D"/>
    <w:rsid w:val="00207794"/>
    <w:rsid w:val="00207C58"/>
    <w:rsid w:val="00213406"/>
    <w:rsid w:val="0021364D"/>
    <w:rsid w:val="0021458A"/>
    <w:rsid w:val="00214F7E"/>
    <w:rsid w:val="00215411"/>
    <w:rsid w:val="00215F6F"/>
    <w:rsid w:val="00216BE5"/>
    <w:rsid w:val="002210BB"/>
    <w:rsid w:val="00222799"/>
    <w:rsid w:val="00222856"/>
    <w:rsid w:val="002236C5"/>
    <w:rsid w:val="002236CD"/>
    <w:rsid w:val="0022426B"/>
    <w:rsid w:val="0022453B"/>
    <w:rsid w:val="002248B8"/>
    <w:rsid w:val="00225142"/>
    <w:rsid w:val="0022547F"/>
    <w:rsid w:val="0022618C"/>
    <w:rsid w:val="00226866"/>
    <w:rsid w:val="00226D2F"/>
    <w:rsid w:val="0022714C"/>
    <w:rsid w:val="0022767D"/>
    <w:rsid w:val="00227C83"/>
    <w:rsid w:val="00227EFF"/>
    <w:rsid w:val="00230391"/>
    <w:rsid w:val="00230601"/>
    <w:rsid w:val="00230CD7"/>
    <w:rsid w:val="00232345"/>
    <w:rsid w:val="002329B6"/>
    <w:rsid w:val="00232F28"/>
    <w:rsid w:val="0023331B"/>
    <w:rsid w:val="0023385A"/>
    <w:rsid w:val="0023391B"/>
    <w:rsid w:val="00233D73"/>
    <w:rsid w:val="00234F09"/>
    <w:rsid w:val="002372A4"/>
    <w:rsid w:val="0024008D"/>
    <w:rsid w:val="00241304"/>
    <w:rsid w:val="002435FF"/>
    <w:rsid w:val="00243A53"/>
    <w:rsid w:val="00244336"/>
    <w:rsid w:val="0024437D"/>
    <w:rsid w:val="00244A9D"/>
    <w:rsid w:val="0024575B"/>
    <w:rsid w:val="0024619B"/>
    <w:rsid w:val="0024625C"/>
    <w:rsid w:val="00246D28"/>
    <w:rsid w:val="00251CB4"/>
    <w:rsid w:val="0025234E"/>
    <w:rsid w:val="002527E1"/>
    <w:rsid w:val="0025444C"/>
    <w:rsid w:val="00254B4A"/>
    <w:rsid w:val="00254CBB"/>
    <w:rsid w:val="00257245"/>
    <w:rsid w:val="00260BCD"/>
    <w:rsid w:val="002625C0"/>
    <w:rsid w:val="00263779"/>
    <w:rsid w:val="00264DF7"/>
    <w:rsid w:val="00266C74"/>
    <w:rsid w:val="00266F24"/>
    <w:rsid w:val="002674C1"/>
    <w:rsid w:val="002723B8"/>
    <w:rsid w:val="002726DF"/>
    <w:rsid w:val="00272D49"/>
    <w:rsid w:val="00274491"/>
    <w:rsid w:val="00275922"/>
    <w:rsid w:val="00276117"/>
    <w:rsid w:val="00276298"/>
    <w:rsid w:val="002762AC"/>
    <w:rsid w:val="002773DA"/>
    <w:rsid w:val="00277FDD"/>
    <w:rsid w:val="00280301"/>
    <w:rsid w:val="002809F2"/>
    <w:rsid w:val="00281354"/>
    <w:rsid w:val="002821B8"/>
    <w:rsid w:val="00282B7C"/>
    <w:rsid w:val="0028318B"/>
    <w:rsid w:val="0028395E"/>
    <w:rsid w:val="0028466F"/>
    <w:rsid w:val="00284AA8"/>
    <w:rsid w:val="00285A0C"/>
    <w:rsid w:val="00286016"/>
    <w:rsid w:val="0028760E"/>
    <w:rsid w:val="0029038F"/>
    <w:rsid w:val="002913E6"/>
    <w:rsid w:val="00292544"/>
    <w:rsid w:val="002934E1"/>
    <w:rsid w:val="002938D8"/>
    <w:rsid w:val="002939A6"/>
    <w:rsid w:val="00293E9E"/>
    <w:rsid w:val="00294E31"/>
    <w:rsid w:val="0029552A"/>
    <w:rsid w:val="00295DFF"/>
    <w:rsid w:val="0029643A"/>
    <w:rsid w:val="00296581"/>
    <w:rsid w:val="00296926"/>
    <w:rsid w:val="00296BD9"/>
    <w:rsid w:val="002A05A0"/>
    <w:rsid w:val="002A086E"/>
    <w:rsid w:val="002A1D54"/>
    <w:rsid w:val="002A3573"/>
    <w:rsid w:val="002A3678"/>
    <w:rsid w:val="002A36D6"/>
    <w:rsid w:val="002A4243"/>
    <w:rsid w:val="002A6093"/>
    <w:rsid w:val="002A628F"/>
    <w:rsid w:val="002A6F62"/>
    <w:rsid w:val="002A6F8A"/>
    <w:rsid w:val="002A7431"/>
    <w:rsid w:val="002A7609"/>
    <w:rsid w:val="002B02F9"/>
    <w:rsid w:val="002B0704"/>
    <w:rsid w:val="002B09E9"/>
    <w:rsid w:val="002B12EB"/>
    <w:rsid w:val="002B1A96"/>
    <w:rsid w:val="002B330B"/>
    <w:rsid w:val="002B33BA"/>
    <w:rsid w:val="002B3ADA"/>
    <w:rsid w:val="002B490A"/>
    <w:rsid w:val="002B4AD6"/>
    <w:rsid w:val="002B57AF"/>
    <w:rsid w:val="002B58D2"/>
    <w:rsid w:val="002B65B7"/>
    <w:rsid w:val="002B6D6E"/>
    <w:rsid w:val="002C12CB"/>
    <w:rsid w:val="002C2414"/>
    <w:rsid w:val="002C2673"/>
    <w:rsid w:val="002C28A4"/>
    <w:rsid w:val="002C35CA"/>
    <w:rsid w:val="002C445F"/>
    <w:rsid w:val="002C4794"/>
    <w:rsid w:val="002C757A"/>
    <w:rsid w:val="002C7DA7"/>
    <w:rsid w:val="002C7E76"/>
    <w:rsid w:val="002D0CDA"/>
    <w:rsid w:val="002D1295"/>
    <w:rsid w:val="002D141B"/>
    <w:rsid w:val="002D1D02"/>
    <w:rsid w:val="002D28D0"/>
    <w:rsid w:val="002D324B"/>
    <w:rsid w:val="002D371F"/>
    <w:rsid w:val="002D47D1"/>
    <w:rsid w:val="002D59CF"/>
    <w:rsid w:val="002D5BA3"/>
    <w:rsid w:val="002D6D2D"/>
    <w:rsid w:val="002D6F4D"/>
    <w:rsid w:val="002D76D9"/>
    <w:rsid w:val="002D7931"/>
    <w:rsid w:val="002D7B80"/>
    <w:rsid w:val="002D7BAB"/>
    <w:rsid w:val="002E059C"/>
    <w:rsid w:val="002E0B14"/>
    <w:rsid w:val="002E0DEE"/>
    <w:rsid w:val="002E48EC"/>
    <w:rsid w:val="002E5426"/>
    <w:rsid w:val="002E5A6E"/>
    <w:rsid w:val="002E601F"/>
    <w:rsid w:val="002E7F59"/>
    <w:rsid w:val="002F0297"/>
    <w:rsid w:val="002F0463"/>
    <w:rsid w:val="002F0499"/>
    <w:rsid w:val="002F06EB"/>
    <w:rsid w:val="002F1534"/>
    <w:rsid w:val="002F25B3"/>
    <w:rsid w:val="002F3B51"/>
    <w:rsid w:val="002F4536"/>
    <w:rsid w:val="002F46D8"/>
    <w:rsid w:val="002F4A5A"/>
    <w:rsid w:val="002F5445"/>
    <w:rsid w:val="002F6587"/>
    <w:rsid w:val="002F6CDA"/>
    <w:rsid w:val="002F7111"/>
    <w:rsid w:val="002F7206"/>
    <w:rsid w:val="003000A2"/>
    <w:rsid w:val="003000D7"/>
    <w:rsid w:val="0030031E"/>
    <w:rsid w:val="00301697"/>
    <w:rsid w:val="003017C3"/>
    <w:rsid w:val="003019E3"/>
    <w:rsid w:val="00301DF8"/>
    <w:rsid w:val="00302F93"/>
    <w:rsid w:val="003044DB"/>
    <w:rsid w:val="00304D4D"/>
    <w:rsid w:val="00304F80"/>
    <w:rsid w:val="003105B0"/>
    <w:rsid w:val="003107B5"/>
    <w:rsid w:val="00311252"/>
    <w:rsid w:val="00316E28"/>
    <w:rsid w:val="00317605"/>
    <w:rsid w:val="00317B12"/>
    <w:rsid w:val="003205BE"/>
    <w:rsid w:val="0032079C"/>
    <w:rsid w:val="00321C4D"/>
    <w:rsid w:val="00322313"/>
    <w:rsid w:val="0032319A"/>
    <w:rsid w:val="00323E0C"/>
    <w:rsid w:val="00325B60"/>
    <w:rsid w:val="00325D42"/>
    <w:rsid w:val="0032672E"/>
    <w:rsid w:val="00326FCC"/>
    <w:rsid w:val="00326FFE"/>
    <w:rsid w:val="00331CEF"/>
    <w:rsid w:val="00333746"/>
    <w:rsid w:val="00333861"/>
    <w:rsid w:val="00333A66"/>
    <w:rsid w:val="00333B34"/>
    <w:rsid w:val="00334234"/>
    <w:rsid w:val="00334A59"/>
    <w:rsid w:val="00335974"/>
    <w:rsid w:val="003359FE"/>
    <w:rsid w:val="00335C94"/>
    <w:rsid w:val="00337128"/>
    <w:rsid w:val="00341D92"/>
    <w:rsid w:val="0034258A"/>
    <w:rsid w:val="0034347D"/>
    <w:rsid w:val="003459D1"/>
    <w:rsid w:val="00346B73"/>
    <w:rsid w:val="00347232"/>
    <w:rsid w:val="00347A8F"/>
    <w:rsid w:val="00347BA6"/>
    <w:rsid w:val="00347F5D"/>
    <w:rsid w:val="0035159C"/>
    <w:rsid w:val="00351B48"/>
    <w:rsid w:val="00351CA7"/>
    <w:rsid w:val="00352F99"/>
    <w:rsid w:val="003538D2"/>
    <w:rsid w:val="0035416B"/>
    <w:rsid w:val="00354841"/>
    <w:rsid w:val="00354905"/>
    <w:rsid w:val="003554C0"/>
    <w:rsid w:val="00356F11"/>
    <w:rsid w:val="003573B3"/>
    <w:rsid w:val="003573CF"/>
    <w:rsid w:val="00357525"/>
    <w:rsid w:val="00357C9B"/>
    <w:rsid w:val="0036041F"/>
    <w:rsid w:val="0036072F"/>
    <w:rsid w:val="00360D54"/>
    <w:rsid w:val="00361CBE"/>
    <w:rsid w:val="00362089"/>
    <w:rsid w:val="003627F0"/>
    <w:rsid w:val="003638FF"/>
    <w:rsid w:val="00363DBA"/>
    <w:rsid w:val="003642EF"/>
    <w:rsid w:val="003648F1"/>
    <w:rsid w:val="00364D81"/>
    <w:rsid w:val="00364E33"/>
    <w:rsid w:val="003660D5"/>
    <w:rsid w:val="003668F4"/>
    <w:rsid w:val="00366FB2"/>
    <w:rsid w:val="00367B32"/>
    <w:rsid w:val="00370980"/>
    <w:rsid w:val="003710C5"/>
    <w:rsid w:val="00372716"/>
    <w:rsid w:val="0037289F"/>
    <w:rsid w:val="003741D8"/>
    <w:rsid w:val="00375E54"/>
    <w:rsid w:val="00376AEE"/>
    <w:rsid w:val="00380937"/>
    <w:rsid w:val="00380A2C"/>
    <w:rsid w:val="00380C8D"/>
    <w:rsid w:val="00380FA4"/>
    <w:rsid w:val="003817C6"/>
    <w:rsid w:val="0038192F"/>
    <w:rsid w:val="00382330"/>
    <w:rsid w:val="00383DF2"/>
    <w:rsid w:val="0038428F"/>
    <w:rsid w:val="0038490F"/>
    <w:rsid w:val="0038503E"/>
    <w:rsid w:val="003851C7"/>
    <w:rsid w:val="003853A9"/>
    <w:rsid w:val="00385F79"/>
    <w:rsid w:val="00387236"/>
    <w:rsid w:val="00387B85"/>
    <w:rsid w:val="003905AF"/>
    <w:rsid w:val="00391715"/>
    <w:rsid w:val="00392544"/>
    <w:rsid w:val="00392D9C"/>
    <w:rsid w:val="003937DE"/>
    <w:rsid w:val="00394666"/>
    <w:rsid w:val="00394936"/>
    <w:rsid w:val="00395C4F"/>
    <w:rsid w:val="0039712C"/>
    <w:rsid w:val="00397A4C"/>
    <w:rsid w:val="003A015E"/>
    <w:rsid w:val="003A13A5"/>
    <w:rsid w:val="003A19A3"/>
    <w:rsid w:val="003A2CAF"/>
    <w:rsid w:val="003A33A7"/>
    <w:rsid w:val="003A38BF"/>
    <w:rsid w:val="003A38E6"/>
    <w:rsid w:val="003A3A45"/>
    <w:rsid w:val="003A3F4B"/>
    <w:rsid w:val="003A4049"/>
    <w:rsid w:val="003A4246"/>
    <w:rsid w:val="003A4AA4"/>
    <w:rsid w:val="003A4BF3"/>
    <w:rsid w:val="003A50CA"/>
    <w:rsid w:val="003A5574"/>
    <w:rsid w:val="003A5A49"/>
    <w:rsid w:val="003A5DE1"/>
    <w:rsid w:val="003A6C7E"/>
    <w:rsid w:val="003A6FCF"/>
    <w:rsid w:val="003A77C7"/>
    <w:rsid w:val="003A7878"/>
    <w:rsid w:val="003A7F94"/>
    <w:rsid w:val="003B02FC"/>
    <w:rsid w:val="003B055A"/>
    <w:rsid w:val="003B0CC5"/>
    <w:rsid w:val="003B1845"/>
    <w:rsid w:val="003B1E08"/>
    <w:rsid w:val="003B1EDA"/>
    <w:rsid w:val="003B1EFF"/>
    <w:rsid w:val="003B237F"/>
    <w:rsid w:val="003B297C"/>
    <w:rsid w:val="003B29BC"/>
    <w:rsid w:val="003B33E9"/>
    <w:rsid w:val="003B35A4"/>
    <w:rsid w:val="003B396D"/>
    <w:rsid w:val="003B3C2F"/>
    <w:rsid w:val="003B5DC6"/>
    <w:rsid w:val="003B609A"/>
    <w:rsid w:val="003B649F"/>
    <w:rsid w:val="003B6F61"/>
    <w:rsid w:val="003B7E87"/>
    <w:rsid w:val="003C09B8"/>
    <w:rsid w:val="003C0ED8"/>
    <w:rsid w:val="003C1329"/>
    <w:rsid w:val="003C15F2"/>
    <w:rsid w:val="003C1BDD"/>
    <w:rsid w:val="003C2766"/>
    <w:rsid w:val="003C3F9D"/>
    <w:rsid w:val="003C4098"/>
    <w:rsid w:val="003C4E87"/>
    <w:rsid w:val="003C586E"/>
    <w:rsid w:val="003C63ED"/>
    <w:rsid w:val="003C786A"/>
    <w:rsid w:val="003C7C7A"/>
    <w:rsid w:val="003D0244"/>
    <w:rsid w:val="003D04A2"/>
    <w:rsid w:val="003D04B6"/>
    <w:rsid w:val="003D0D4B"/>
    <w:rsid w:val="003D12D2"/>
    <w:rsid w:val="003D1BAB"/>
    <w:rsid w:val="003D1F48"/>
    <w:rsid w:val="003D2139"/>
    <w:rsid w:val="003D2E64"/>
    <w:rsid w:val="003D3C85"/>
    <w:rsid w:val="003D5130"/>
    <w:rsid w:val="003D557E"/>
    <w:rsid w:val="003D6D1D"/>
    <w:rsid w:val="003D7A59"/>
    <w:rsid w:val="003D7FF3"/>
    <w:rsid w:val="003E1E85"/>
    <w:rsid w:val="003E2161"/>
    <w:rsid w:val="003E25F0"/>
    <w:rsid w:val="003E289D"/>
    <w:rsid w:val="003E2B71"/>
    <w:rsid w:val="003E2E7A"/>
    <w:rsid w:val="003E2F31"/>
    <w:rsid w:val="003E3EF7"/>
    <w:rsid w:val="003E4DCE"/>
    <w:rsid w:val="003E4F0C"/>
    <w:rsid w:val="003E4F82"/>
    <w:rsid w:val="003E5149"/>
    <w:rsid w:val="003E57DE"/>
    <w:rsid w:val="003E70FE"/>
    <w:rsid w:val="003F1A7A"/>
    <w:rsid w:val="003F2CBF"/>
    <w:rsid w:val="003F300B"/>
    <w:rsid w:val="003F309B"/>
    <w:rsid w:val="003F31B4"/>
    <w:rsid w:val="003F3200"/>
    <w:rsid w:val="003F3C87"/>
    <w:rsid w:val="003F5405"/>
    <w:rsid w:val="003F5875"/>
    <w:rsid w:val="0040077E"/>
    <w:rsid w:val="00402319"/>
    <w:rsid w:val="00402FD0"/>
    <w:rsid w:val="0040302D"/>
    <w:rsid w:val="004037C2"/>
    <w:rsid w:val="00403ABD"/>
    <w:rsid w:val="00404049"/>
    <w:rsid w:val="00406218"/>
    <w:rsid w:val="00412724"/>
    <w:rsid w:val="00413204"/>
    <w:rsid w:val="0041360C"/>
    <w:rsid w:val="004139BE"/>
    <w:rsid w:val="004139ED"/>
    <w:rsid w:val="00413E50"/>
    <w:rsid w:val="00414296"/>
    <w:rsid w:val="0041464A"/>
    <w:rsid w:val="00415547"/>
    <w:rsid w:val="004157A4"/>
    <w:rsid w:val="00416FA4"/>
    <w:rsid w:val="00417A4A"/>
    <w:rsid w:val="00417D6B"/>
    <w:rsid w:val="004203BA"/>
    <w:rsid w:val="0042070E"/>
    <w:rsid w:val="004209C3"/>
    <w:rsid w:val="004210A6"/>
    <w:rsid w:val="00421CD2"/>
    <w:rsid w:val="00423735"/>
    <w:rsid w:val="00423ECA"/>
    <w:rsid w:val="00425171"/>
    <w:rsid w:val="004259D0"/>
    <w:rsid w:val="00425C23"/>
    <w:rsid w:val="00431761"/>
    <w:rsid w:val="00433329"/>
    <w:rsid w:val="004336B8"/>
    <w:rsid w:val="00434CF5"/>
    <w:rsid w:val="00435766"/>
    <w:rsid w:val="0043587F"/>
    <w:rsid w:val="00440F5D"/>
    <w:rsid w:val="00442606"/>
    <w:rsid w:val="00442B93"/>
    <w:rsid w:val="004432C7"/>
    <w:rsid w:val="00443508"/>
    <w:rsid w:val="00443E5F"/>
    <w:rsid w:val="00444737"/>
    <w:rsid w:val="00444B47"/>
    <w:rsid w:val="004457C8"/>
    <w:rsid w:val="00445C65"/>
    <w:rsid w:val="00446225"/>
    <w:rsid w:val="00446A26"/>
    <w:rsid w:val="00446E05"/>
    <w:rsid w:val="004470B2"/>
    <w:rsid w:val="004476A1"/>
    <w:rsid w:val="00450FCC"/>
    <w:rsid w:val="0045168A"/>
    <w:rsid w:val="00452498"/>
    <w:rsid w:val="00452C57"/>
    <w:rsid w:val="00453324"/>
    <w:rsid w:val="00453BA7"/>
    <w:rsid w:val="00453F32"/>
    <w:rsid w:val="00454034"/>
    <w:rsid w:val="00454D6C"/>
    <w:rsid w:val="004552FB"/>
    <w:rsid w:val="00455CE0"/>
    <w:rsid w:val="004568B1"/>
    <w:rsid w:val="00461AC3"/>
    <w:rsid w:val="00463B26"/>
    <w:rsid w:val="004641ED"/>
    <w:rsid w:val="00465002"/>
    <w:rsid w:val="00465226"/>
    <w:rsid w:val="004653BE"/>
    <w:rsid w:val="00465CF3"/>
    <w:rsid w:val="0046630B"/>
    <w:rsid w:val="00466340"/>
    <w:rsid w:val="00466C3F"/>
    <w:rsid w:val="004673D6"/>
    <w:rsid w:val="004708A7"/>
    <w:rsid w:val="00470E44"/>
    <w:rsid w:val="00471333"/>
    <w:rsid w:val="00471DFB"/>
    <w:rsid w:val="00471FF2"/>
    <w:rsid w:val="00472137"/>
    <w:rsid w:val="00473206"/>
    <w:rsid w:val="00473252"/>
    <w:rsid w:val="00473B67"/>
    <w:rsid w:val="00473BD2"/>
    <w:rsid w:val="004757C7"/>
    <w:rsid w:val="004761D0"/>
    <w:rsid w:val="00476F4F"/>
    <w:rsid w:val="0047754F"/>
    <w:rsid w:val="0048034B"/>
    <w:rsid w:val="004811C7"/>
    <w:rsid w:val="004812F4"/>
    <w:rsid w:val="00481408"/>
    <w:rsid w:val="004814EC"/>
    <w:rsid w:val="004816D7"/>
    <w:rsid w:val="004820D1"/>
    <w:rsid w:val="004828CB"/>
    <w:rsid w:val="00483925"/>
    <w:rsid w:val="00485E62"/>
    <w:rsid w:val="00486D14"/>
    <w:rsid w:val="00486ECE"/>
    <w:rsid w:val="004871DD"/>
    <w:rsid w:val="0048730B"/>
    <w:rsid w:val="00487D92"/>
    <w:rsid w:val="00490610"/>
    <w:rsid w:val="00492106"/>
    <w:rsid w:val="004937A5"/>
    <w:rsid w:val="00493F7C"/>
    <w:rsid w:val="004945D4"/>
    <w:rsid w:val="004957F3"/>
    <w:rsid w:val="00495F08"/>
    <w:rsid w:val="00496B59"/>
    <w:rsid w:val="00497199"/>
    <w:rsid w:val="004972AF"/>
    <w:rsid w:val="004A0361"/>
    <w:rsid w:val="004A0DA7"/>
    <w:rsid w:val="004A1A50"/>
    <w:rsid w:val="004A1DAA"/>
    <w:rsid w:val="004A1EB9"/>
    <w:rsid w:val="004A3382"/>
    <w:rsid w:val="004A4883"/>
    <w:rsid w:val="004A5580"/>
    <w:rsid w:val="004A719C"/>
    <w:rsid w:val="004A74A1"/>
    <w:rsid w:val="004B006C"/>
    <w:rsid w:val="004B3596"/>
    <w:rsid w:val="004B3B43"/>
    <w:rsid w:val="004B455B"/>
    <w:rsid w:val="004B490B"/>
    <w:rsid w:val="004B5C71"/>
    <w:rsid w:val="004B5D8D"/>
    <w:rsid w:val="004B651C"/>
    <w:rsid w:val="004C0D51"/>
    <w:rsid w:val="004C14B2"/>
    <w:rsid w:val="004C22DB"/>
    <w:rsid w:val="004C42A3"/>
    <w:rsid w:val="004C4317"/>
    <w:rsid w:val="004C585F"/>
    <w:rsid w:val="004C6839"/>
    <w:rsid w:val="004C6F91"/>
    <w:rsid w:val="004C71C0"/>
    <w:rsid w:val="004C7A62"/>
    <w:rsid w:val="004D067B"/>
    <w:rsid w:val="004D1192"/>
    <w:rsid w:val="004D1942"/>
    <w:rsid w:val="004D1C46"/>
    <w:rsid w:val="004D2303"/>
    <w:rsid w:val="004D23F3"/>
    <w:rsid w:val="004D2ADF"/>
    <w:rsid w:val="004D34BF"/>
    <w:rsid w:val="004D3D7F"/>
    <w:rsid w:val="004D446C"/>
    <w:rsid w:val="004D4628"/>
    <w:rsid w:val="004D609F"/>
    <w:rsid w:val="004D6206"/>
    <w:rsid w:val="004D6674"/>
    <w:rsid w:val="004D7748"/>
    <w:rsid w:val="004D7EBA"/>
    <w:rsid w:val="004E1395"/>
    <w:rsid w:val="004E1804"/>
    <w:rsid w:val="004E1807"/>
    <w:rsid w:val="004E1A1B"/>
    <w:rsid w:val="004E1F12"/>
    <w:rsid w:val="004E254E"/>
    <w:rsid w:val="004E2AC4"/>
    <w:rsid w:val="004E2E82"/>
    <w:rsid w:val="004E4DA1"/>
    <w:rsid w:val="004E4FE4"/>
    <w:rsid w:val="004E515D"/>
    <w:rsid w:val="004E6067"/>
    <w:rsid w:val="004E7952"/>
    <w:rsid w:val="004F001D"/>
    <w:rsid w:val="004F01FC"/>
    <w:rsid w:val="004F04D6"/>
    <w:rsid w:val="004F1136"/>
    <w:rsid w:val="004F1797"/>
    <w:rsid w:val="004F1C82"/>
    <w:rsid w:val="004F1E02"/>
    <w:rsid w:val="004F2B59"/>
    <w:rsid w:val="004F4219"/>
    <w:rsid w:val="004F46C4"/>
    <w:rsid w:val="004F5364"/>
    <w:rsid w:val="004F5AFE"/>
    <w:rsid w:val="004F617B"/>
    <w:rsid w:val="004F6A8D"/>
    <w:rsid w:val="004F798C"/>
    <w:rsid w:val="004F7ADB"/>
    <w:rsid w:val="004F7B7D"/>
    <w:rsid w:val="004F7D2C"/>
    <w:rsid w:val="00500729"/>
    <w:rsid w:val="00500A0D"/>
    <w:rsid w:val="0050113B"/>
    <w:rsid w:val="005020FE"/>
    <w:rsid w:val="00503BD9"/>
    <w:rsid w:val="00504E48"/>
    <w:rsid w:val="00505025"/>
    <w:rsid w:val="00506FE7"/>
    <w:rsid w:val="0051027E"/>
    <w:rsid w:val="00510CB9"/>
    <w:rsid w:val="00510D93"/>
    <w:rsid w:val="00511D2B"/>
    <w:rsid w:val="00511FEB"/>
    <w:rsid w:val="0051277E"/>
    <w:rsid w:val="005136CB"/>
    <w:rsid w:val="00514E48"/>
    <w:rsid w:val="00514F30"/>
    <w:rsid w:val="00515A30"/>
    <w:rsid w:val="00516698"/>
    <w:rsid w:val="00516997"/>
    <w:rsid w:val="00516EA3"/>
    <w:rsid w:val="00517127"/>
    <w:rsid w:val="005208B1"/>
    <w:rsid w:val="005211F4"/>
    <w:rsid w:val="005212E8"/>
    <w:rsid w:val="00521E2C"/>
    <w:rsid w:val="00521FD9"/>
    <w:rsid w:val="00522D2B"/>
    <w:rsid w:val="00523612"/>
    <w:rsid w:val="005237DA"/>
    <w:rsid w:val="005239D3"/>
    <w:rsid w:val="00524132"/>
    <w:rsid w:val="00524611"/>
    <w:rsid w:val="00525021"/>
    <w:rsid w:val="005255D9"/>
    <w:rsid w:val="005276D7"/>
    <w:rsid w:val="005303D7"/>
    <w:rsid w:val="005314F1"/>
    <w:rsid w:val="00531661"/>
    <w:rsid w:val="00532721"/>
    <w:rsid w:val="00532A5B"/>
    <w:rsid w:val="00533140"/>
    <w:rsid w:val="00533C3B"/>
    <w:rsid w:val="005340A6"/>
    <w:rsid w:val="0053411D"/>
    <w:rsid w:val="00534E4F"/>
    <w:rsid w:val="00535070"/>
    <w:rsid w:val="00536589"/>
    <w:rsid w:val="0053688F"/>
    <w:rsid w:val="00536C01"/>
    <w:rsid w:val="0054059A"/>
    <w:rsid w:val="005411E0"/>
    <w:rsid w:val="005434CD"/>
    <w:rsid w:val="00543992"/>
    <w:rsid w:val="00544514"/>
    <w:rsid w:val="00544CE5"/>
    <w:rsid w:val="00544D4D"/>
    <w:rsid w:val="00545DC2"/>
    <w:rsid w:val="0054655E"/>
    <w:rsid w:val="005477BA"/>
    <w:rsid w:val="00547A04"/>
    <w:rsid w:val="00550041"/>
    <w:rsid w:val="0055037A"/>
    <w:rsid w:val="005506C1"/>
    <w:rsid w:val="00551167"/>
    <w:rsid w:val="00551B1E"/>
    <w:rsid w:val="005521BF"/>
    <w:rsid w:val="00552347"/>
    <w:rsid w:val="005523A4"/>
    <w:rsid w:val="005526D7"/>
    <w:rsid w:val="00552CF1"/>
    <w:rsid w:val="00553092"/>
    <w:rsid w:val="005547A9"/>
    <w:rsid w:val="00554CA4"/>
    <w:rsid w:val="00555849"/>
    <w:rsid w:val="0055589A"/>
    <w:rsid w:val="0055621C"/>
    <w:rsid w:val="00556459"/>
    <w:rsid w:val="0055671A"/>
    <w:rsid w:val="00556EF5"/>
    <w:rsid w:val="00557313"/>
    <w:rsid w:val="005609AE"/>
    <w:rsid w:val="00561388"/>
    <w:rsid w:val="00561A71"/>
    <w:rsid w:val="00561C34"/>
    <w:rsid w:val="00561CCA"/>
    <w:rsid w:val="005625B0"/>
    <w:rsid w:val="00562884"/>
    <w:rsid w:val="00562C0C"/>
    <w:rsid w:val="005630E2"/>
    <w:rsid w:val="005648A0"/>
    <w:rsid w:val="005657F4"/>
    <w:rsid w:val="00565B1E"/>
    <w:rsid w:val="00565DC9"/>
    <w:rsid w:val="00566BBB"/>
    <w:rsid w:val="00567397"/>
    <w:rsid w:val="00567DE2"/>
    <w:rsid w:val="00570210"/>
    <w:rsid w:val="00570649"/>
    <w:rsid w:val="00570A87"/>
    <w:rsid w:val="00571471"/>
    <w:rsid w:val="0057169B"/>
    <w:rsid w:val="00572579"/>
    <w:rsid w:val="00572DD1"/>
    <w:rsid w:val="00572E7F"/>
    <w:rsid w:val="005734A5"/>
    <w:rsid w:val="005737A6"/>
    <w:rsid w:val="00573C3A"/>
    <w:rsid w:val="00575330"/>
    <w:rsid w:val="00576273"/>
    <w:rsid w:val="00576D89"/>
    <w:rsid w:val="005802D1"/>
    <w:rsid w:val="0058133F"/>
    <w:rsid w:val="005813C7"/>
    <w:rsid w:val="005814E7"/>
    <w:rsid w:val="00581883"/>
    <w:rsid w:val="005832D2"/>
    <w:rsid w:val="005836CC"/>
    <w:rsid w:val="0058448A"/>
    <w:rsid w:val="005846AC"/>
    <w:rsid w:val="00584F06"/>
    <w:rsid w:val="005864E5"/>
    <w:rsid w:val="00586BC0"/>
    <w:rsid w:val="0058718A"/>
    <w:rsid w:val="005872A5"/>
    <w:rsid w:val="005876F0"/>
    <w:rsid w:val="005877E7"/>
    <w:rsid w:val="00587B68"/>
    <w:rsid w:val="005904C5"/>
    <w:rsid w:val="0059087D"/>
    <w:rsid w:val="00590E5D"/>
    <w:rsid w:val="005910AD"/>
    <w:rsid w:val="00591B10"/>
    <w:rsid w:val="00593412"/>
    <w:rsid w:val="0059395E"/>
    <w:rsid w:val="005939C7"/>
    <w:rsid w:val="00593ECE"/>
    <w:rsid w:val="005941EF"/>
    <w:rsid w:val="00595490"/>
    <w:rsid w:val="005958A1"/>
    <w:rsid w:val="0059602F"/>
    <w:rsid w:val="00596FD8"/>
    <w:rsid w:val="00597508"/>
    <w:rsid w:val="00597CB5"/>
    <w:rsid w:val="005A012D"/>
    <w:rsid w:val="005A0BD2"/>
    <w:rsid w:val="005A0E5F"/>
    <w:rsid w:val="005A1015"/>
    <w:rsid w:val="005A1FEF"/>
    <w:rsid w:val="005A2D0C"/>
    <w:rsid w:val="005A2D60"/>
    <w:rsid w:val="005A2F7C"/>
    <w:rsid w:val="005A326D"/>
    <w:rsid w:val="005A4B1D"/>
    <w:rsid w:val="005A5586"/>
    <w:rsid w:val="005A7025"/>
    <w:rsid w:val="005B075C"/>
    <w:rsid w:val="005B0BF6"/>
    <w:rsid w:val="005B0CA3"/>
    <w:rsid w:val="005B1868"/>
    <w:rsid w:val="005B1E1B"/>
    <w:rsid w:val="005B4766"/>
    <w:rsid w:val="005B47A0"/>
    <w:rsid w:val="005B5728"/>
    <w:rsid w:val="005B5E3B"/>
    <w:rsid w:val="005B61C4"/>
    <w:rsid w:val="005B6AE5"/>
    <w:rsid w:val="005C1C7A"/>
    <w:rsid w:val="005C1E3B"/>
    <w:rsid w:val="005C43F1"/>
    <w:rsid w:val="005C4944"/>
    <w:rsid w:val="005C5966"/>
    <w:rsid w:val="005C5A36"/>
    <w:rsid w:val="005C5B32"/>
    <w:rsid w:val="005C623E"/>
    <w:rsid w:val="005C657C"/>
    <w:rsid w:val="005C6C3E"/>
    <w:rsid w:val="005D037D"/>
    <w:rsid w:val="005D0973"/>
    <w:rsid w:val="005D1537"/>
    <w:rsid w:val="005D2245"/>
    <w:rsid w:val="005D2831"/>
    <w:rsid w:val="005D359D"/>
    <w:rsid w:val="005D5EFE"/>
    <w:rsid w:val="005E01B9"/>
    <w:rsid w:val="005E24F9"/>
    <w:rsid w:val="005E2583"/>
    <w:rsid w:val="005E4713"/>
    <w:rsid w:val="005E54E4"/>
    <w:rsid w:val="005E54FB"/>
    <w:rsid w:val="005E5D1B"/>
    <w:rsid w:val="005E704A"/>
    <w:rsid w:val="005F0FC6"/>
    <w:rsid w:val="005F12FA"/>
    <w:rsid w:val="005F23F6"/>
    <w:rsid w:val="005F35D2"/>
    <w:rsid w:val="005F36E5"/>
    <w:rsid w:val="005F3BE3"/>
    <w:rsid w:val="005F4E2A"/>
    <w:rsid w:val="005F4E83"/>
    <w:rsid w:val="005F7892"/>
    <w:rsid w:val="00601A9F"/>
    <w:rsid w:val="00601C68"/>
    <w:rsid w:val="00602204"/>
    <w:rsid w:val="00602AC1"/>
    <w:rsid w:val="00603F49"/>
    <w:rsid w:val="00604374"/>
    <w:rsid w:val="00604BD4"/>
    <w:rsid w:val="00605F78"/>
    <w:rsid w:val="00606002"/>
    <w:rsid w:val="00607240"/>
    <w:rsid w:val="00610485"/>
    <w:rsid w:val="006111B4"/>
    <w:rsid w:val="00611687"/>
    <w:rsid w:val="00612094"/>
    <w:rsid w:val="006121F3"/>
    <w:rsid w:val="006160C2"/>
    <w:rsid w:val="006164CE"/>
    <w:rsid w:val="00616782"/>
    <w:rsid w:val="0061690F"/>
    <w:rsid w:val="00616C93"/>
    <w:rsid w:val="00617CF0"/>
    <w:rsid w:val="00617D07"/>
    <w:rsid w:val="00620459"/>
    <w:rsid w:val="006212BE"/>
    <w:rsid w:val="00621BEA"/>
    <w:rsid w:val="00621EF0"/>
    <w:rsid w:val="0062338F"/>
    <w:rsid w:val="00623C84"/>
    <w:rsid w:val="00623DCA"/>
    <w:rsid w:val="00623F05"/>
    <w:rsid w:val="00624731"/>
    <w:rsid w:val="006250E9"/>
    <w:rsid w:val="00627E0D"/>
    <w:rsid w:val="00630300"/>
    <w:rsid w:val="006304DD"/>
    <w:rsid w:val="00630595"/>
    <w:rsid w:val="006311BF"/>
    <w:rsid w:val="006324DB"/>
    <w:rsid w:val="00632FE8"/>
    <w:rsid w:val="00633841"/>
    <w:rsid w:val="00633B7B"/>
    <w:rsid w:val="00633D12"/>
    <w:rsid w:val="006347AE"/>
    <w:rsid w:val="00634847"/>
    <w:rsid w:val="00634AB8"/>
    <w:rsid w:val="00635D36"/>
    <w:rsid w:val="00636A24"/>
    <w:rsid w:val="006371E5"/>
    <w:rsid w:val="00637888"/>
    <w:rsid w:val="00640E93"/>
    <w:rsid w:val="00641575"/>
    <w:rsid w:val="00641E46"/>
    <w:rsid w:val="006422F9"/>
    <w:rsid w:val="00642378"/>
    <w:rsid w:val="0064296D"/>
    <w:rsid w:val="00642B70"/>
    <w:rsid w:val="0064397C"/>
    <w:rsid w:val="00644E37"/>
    <w:rsid w:val="0064523D"/>
    <w:rsid w:val="006452CF"/>
    <w:rsid w:val="006455A5"/>
    <w:rsid w:val="00645734"/>
    <w:rsid w:val="006464BD"/>
    <w:rsid w:val="00646607"/>
    <w:rsid w:val="00646B9D"/>
    <w:rsid w:val="00647005"/>
    <w:rsid w:val="00647F55"/>
    <w:rsid w:val="00647FB6"/>
    <w:rsid w:val="00650432"/>
    <w:rsid w:val="00651278"/>
    <w:rsid w:val="006514D0"/>
    <w:rsid w:val="00651543"/>
    <w:rsid w:val="006528C7"/>
    <w:rsid w:val="0065294E"/>
    <w:rsid w:val="00652DEA"/>
    <w:rsid w:val="00653AF2"/>
    <w:rsid w:val="00653D7E"/>
    <w:rsid w:val="00653F24"/>
    <w:rsid w:val="00654B34"/>
    <w:rsid w:val="0065679D"/>
    <w:rsid w:val="00657090"/>
    <w:rsid w:val="0065715A"/>
    <w:rsid w:val="006573C5"/>
    <w:rsid w:val="006601B8"/>
    <w:rsid w:val="00660F77"/>
    <w:rsid w:val="006623CC"/>
    <w:rsid w:val="00663803"/>
    <w:rsid w:val="00664240"/>
    <w:rsid w:val="0066447A"/>
    <w:rsid w:val="00664A87"/>
    <w:rsid w:val="0066550A"/>
    <w:rsid w:val="00665DDF"/>
    <w:rsid w:val="0066689D"/>
    <w:rsid w:val="00666C6E"/>
    <w:rsid w:val="00666D8C"/>
    <w:rsid w:val="006672D9"/>
    <w:rsid w:val="006675B7"/>
    <w:rsid w:val="006678E8"/>
    <w:rsid w:val="00670095"/>
    <w:rsid w:val="00670695"/>
    <w:rsid w:val="00670908"/>
    <w:rsid w:val="00670E54"/>
    <w:rsid w:val="0067436D"/>
    <w:rsid w:val="00674684"/>
    <w:rsid w:val="0067482A"/>
    <w:rsid w:val="00674879"/>
    <w:rsid w:val="00674E42"/>
    <w:rsid w:val="00675AA0"/>
    <w:rsid w:val="006776CA"/>
    <w:rsid w:val="0067797A"/>
    <w:rsid w:val="0068077A"/>
    <w:rsid w:val="006818F3"/>
    <w:rsid w:val="00681C57"/>
    <w:rsid w:val="00681F24"/>
    <w:rsid w:val="00683105"/>
    <w:rsid w:val="00685066"/>
    <w:rsid w:val="00685BAC"/>
    <w:rsid w:val="00685F05"/>
    <w:rsid w:val="0068687D"/>
    <w:rsid w:val="00687054"/>
    <w:rsid w:val="00691015"/>
    <w:rsid w:val="00693014"/>
    <w:rsid w:val="00693A57"/>
    <w:rsid w:val="00694C00"/>
    <w:rsid w:val="006959AD"/>
    <w:rsid w:val="00696381"/>
    <w:rsid w:val="006974C4"/>
    <w:rsid w:val="006A049F"/>
    <w:rsid w:val="006A0C7E"/>
    <w:rsid w:val="006A0F74"/>
    <w:rsid w:val="006A1BC2"/>
    <w:rsid w:val="006A1E10"/>
    <w:rsid w:val="006A2303"/>
    <w:rsid w:val="006A24A1"/>
    <w:rsid w:val="006A258E"/>
    <w:rsid w:val="006A59B3"/>
    <w:rsid w:val="006A6590"/>
    <w:rsid w:val="006A74BD"/>
    <w:rsid w:val="006A793F"/>
    <w:rsid w:val="006A7994"/>
    <w:rsid w:val="006A7C5F"/>
    <w:rsid w:val="006B1557"/>
    <w:rsid w:val="006B1CE4"/>
    <w:rsid w:val="006B1D68"/>
    <w:rsid w:val="006B1EF9"/>
    <w:rsid w:val="006B2679"/>
    <w:rsid w:val="006B279C"/>
    <w:rsid w:val="006B2DB8"/>
    <w:rsid w:val="006B40DD"/>
    <w:rsid w:val="006B4A49"/>
    <w:rsid w:val="006B4B0E"/>
    <w:rsid w:val="006B51A1"/>
    <w:rsid w:val="006B541B"/>
    <w:rsid w:val="006B54A3"/>
    <w:rsid w:val="006B5550"/>
    <w:rsid w:val="006B565D"/>
    <w:rsid w:val="006B667E"/>
    <w:rsid w:val="006C0561"/>
    <w:rsid w:val="006C0E60"/>
    <w:rsid w:val="006C15FB"/>
    <w:rsid w:val="006C160C"/>
    <w:rsid w:val="006C17E3"/>
    <w:rsid w:val="006C1F78"/>
    <w:rsid w:val="006C20D4"/>
    <w:rsid w:val="006C2878"/>
    <w:rsid w:val="006C3050"/>
    <w:rsid w:val="006C3C5C"/>
    <w:rsid w:val="006C4058"/>
    <w:rsid w:val="006C4FC7"/>
    <w:rsid w:val="006C5E07"/>
    <w:rsid w:val="006C67CB"/>
    <w:rsid w:val="006C6896"/>
    <w:rsid w:val="006C750D"/>
    <w:rsid w:val="006C79E4"/>
    <w:rsid w:val="006C7EB5"/>
    <w:rsid w:val="006C7FCC"/>
    <w:rsid w:val="006D0152"/>
    <w:rsid w:val="006D1384"/>
    <w:rsid w:val="006D1BA0"/>
    <w:rsid w:val="006D2127"/>
    <w:rsid w:val="006D4546"/>
    <w:rsid w:val="006D563D"/>
    <w:rsid w:val="006D5CBA"/>
    <w:rsid w:val="006D6810"/>
    <w:rsid w:val="006D7000"/>
    <w:rsid w:val="006D7752"/>
    <w:rsid w:val="006E00BE"/>
    <w:rsid w:val="006E120A"/>
    <w:rsid w:val="006E24D7"/>
    <w:rsid w:val="006E2643"/>
    <w:rsid w:val="006E2D95"/>
    <w:rsid w:val="006E3822"/>
    <w:rsid w:val="006E3D3C"/>
    <w:rsid w:val="006E4B61"/>
    <w:rsid w:val="006E52CA"/>
    <w:rsid w:val="006E566E"/>
    <w:rsid w:val="006E5C28"/>
    <w:rsid w:val="006E6AE5"/>
    <w:rsid w:val="006E73DB"/>
    <w:rsid w:val="006E7A68"/>
    <w:rsid w:val="006F0803"/>
    <w:rsid w:val="006F0CEC"/>
    <w:rsid w:val="006F1436"/>
    <w:rsid w:val="006F20A5"/>
    <w:rsid w:val="006F298F"/>
    <w:rsid w:val="006F2B8D"/>
    <w:rsid w:val="006F4DD8"/>
    <w:rsid w:val="006F6B80"/>
    <w:rsid w:val="006F7AF3"/>
    <w:rsid w:val="0070245B"/>
    <w:rsid w:val="00703D1E"/>
    <w:rsid w:val="0070588F"/>
    <w:rsid w:val="0070653D"/>
    <w:rsid w:val="007067BA"/>
    <w:rsid w:val="007072D1"/>
    <w:rsid w:val="00707A59"/>
    <w:rsid w:val="00710E68"/>
    <w:rsid w:val="00710F10"/>
    <w:rsid w:val="007116A6"/>
    <w:rsid w:val="00711835"/>
    <w:rsid w:val="00711FEE"/>
    <w:rsid w:val="00712606"/>
    <w:rsid w:val="007126FA"/>
    <w:rsid w:val="00713210"/>
    <w:rsid w:val="007132F6"/>
    <w:rsid w:val="007153DB"/>
    <w:rsid w:val="00715939"/>
    <w:rsid w:val="00716717"/>
    <w:rsid w:val="00716DF2"/>
    <w:rsid w:val="007213D0"/>
    <w:rsid w:val="00723336"/>
    <w:rsid w:val="0072473F"/>
    <w:rsid w:val="00724EA2"/>
    <w:rsid w:val="00725AE8"/>
    <w:rsid w:val="00725B20"/>
    <w:rsid w:val="00725F2B"/>
    <w:rsid w:val="007274F2"/>
    <w:rsid w:val="0072757D"/>
    <w:rsid w:val="007275B8"/>
    <w:rsid w:val="007275FE"/>
    <w:rsid w:val="007302C6"/>
    <w:rsid w:val="00730CE7"/>
    <w:rsid w:val="00731661"/>
    <w:rsid w:val="0073284A"/>
    <w:rsid w:val="0073289E"/>
    <w:rsid w:val="00732977"/>
    <w:rsid w:val="00732B37"/>
    <w:rsid w:val="007332AC"/>
    <w:rsid w:val="00733DC7"/>
    <w:rsid w:val="00734752"/>
    <w:rsid w:val="007358B0"/>
    <w:rsid w:val="007363C2"/>
    <w:rsid w:val="007369DB"/>
    <w:rsid w:val="007377B9"/>
    <w:rsid w:val="0074103E"/>
    <w:rsid w:val="00741291"/>
    <w:rsid w:val="007417F0"/>
    <w:rsid w:val="00741A8C"/>
    <w:rsid w:val="00742166"/>
    <w:rsid w:val="00742724"/>
    <w:rsid w:val="007429B5"/>
    <w:rsid w:val="00743166"/>
    <w:rsid w:val="00744C21"/>
    <w:rsid w:val="007465F4"/>
    <w:rsid w:val="00747322"/>
    <w:rsid w:val="00747B84"/>
    <w:rsid w:val="00750207"/>
    <w:rsid w:val="00751AD4"/>
    <w:rsid w:val="00751BBD"/>
    <w:rsid w:val="00751CE9"/>
    <w:rsid w:val="00751DBE"/>
    <w:rsid w:val="00751ED7"/>
    <w:rsid w:val="00751EE9"/>
    <w:rsid w:val="0075276A"/>
    <w:rsid w:val="0075430D"/>
    <w:rsid w:val="00754938"/>
    <w:rsid w:val="00755C55"/>
    <w:rsid w:val="00756A00"/>
    <w:rsid w:val="00756CA4"/>
    <w:rsid w:val="00757044"/>
    <w:rsid w:val="00757ED6"/>
    <w:rsid w:val="0076180A"/>
    <w:rsid w:val="007628BE"/>
    <w:rsid w:val="00763384"/>
    <w:rsid w:val="007633F6"/>
    <w:rsid w:val="00763FF9"/>
    <w:rsid w:val="00764BE3"/>
    <w:rsid w:val="00766253"/>
    <w:rsid w:val="00766C17"/>
    <w:rsid w:val="00770452"/>
    <w:rsid w:val="0077052E"/>
    <w:rsid w:val="00770949"/>
    <w:rsid w:val="0077247C"/>
    <w:rsid w:val="00772933"/>
    <w:rsid w:val="00772C58"/>
    <w:rsid w:val="0077320E"/>
    <w:rsid w:val="0077382B"/>
    <w:rsid w:val="00773AF8"/>
    <w:rsid w:val="00773DC4"/>
    <w:rsid w:val="007758D8"/>
    <w:rsid w:val="00775AEB"/>
    <w:rsid w:val="00776045"/>
    <w:rsid w:val="00776C7E"/>
    <w:rsid w:val="0077717A"/>
    <w:rsid w:val="0077785D"/>
    <w:rsid w:val="007808CE"/>
    <w:rsid w:val="00780DDD"/>
    <w:rsid w:val="00780DEA"/>
    <w:rsid w:val="00780E1E"/>
    <w:rsid w:val="00781351"/>
    <w:rsid w:val="00781A4F"/>
    <w:rsid w:val="00781F63"/>
    <w:rsid w:val="00782078"/>
    <w:rsid w:val="00782208"/>
    <w:rsid w:val="0078471D"/>
    <w:rsid w:val="00785088"/>
    <w:rsid w:val="00785D78"/>
    <w:rsid w:val="00786436"/>
    <w:rsid w:val="007867FB"/>
    <w:rsid w:val="007904B7"/>
    <w:rsid w:val="00790D85"/>
    <w:rsid w:val="0079111E"/>
    <w:rsid w:val="00791B57"/>
    <w:rsid w:val="00791F05"/>
    <w:rsid w:val="007920FC"/>
    <w:rsid w:val="007928E2"/>
    <w:rsid w:val="00792BBE"/>
    <w:rsid w:val="00792CA5"/>
    <w:rsid w:val="00793156"/>
    <w:rsid w:val="00795B8F"/>
    <w:rsid w:val="007966C6"/>
    <w:rsid w:val="00796CB1"/>
    <w:rsid w:val="007A04E7"/>
    <w:rsid w:val="007A148F"/>
    <w:rsid w:val="007A1D85"/>
    <w:rsid w:val="007A3E04"/>
    <w:rsid w:val="007A4A8C"/>
    <w:rsid w:val="007A5752"/>
    <w:rsid w:val="007A5951"/>
    <w:rsid w:val="007A746E"/>
    <w:rsid w:val="007A7C19"/>
    <w:rsid w:val="007B05E3"/>
    <w:rsid w:val="007B1AE2"/>
    <w:rsid w:val="007B20EE"/>
    <w:rsid w:val="007B2C4E"/>
    <w:rsid w:val="007B316A"/>
    <w:rsid w:val="007B31EC"/>
    <w:rsid w:val="007B3A56"/>
    <w:rsid w:val="007B3C0F"/>
    <w:rsid w:val="007B3DA1"/>
    <w:rsid w:val="007B57CE"/>
    <w:rsid w:val="007B5CA6"/>
    <w:rsid w:val="007B6090"/>
    <w:rsid w:val="007C0F7C"/>
    <w:rsid w:val="007C10A8"/>
    <w:rsid w:val="007C14C9"/>
    <w:rsid w:val="007C2087"/>
    <w:rsid w:val="007C260A"/>
    <w:rsid w:val="007C5F8C"/>
    <w:rsid w:val="007C6207"/>
    <w:rsid w:val="007C6F3F"/>
    <w:rsid w:val="007D0F22"/>
    <w:rsid w:val="007D2007"/>
    <w:rsid w:val="007D21BA"/>
    <w:rsid w:val="007D2F2F"/>
    <w:rsid w:val="007D3336"/>
    <w:rsid w:val="007D341F"/>
    <w:rsid w:val="007D452D"/>
    <w:rsid w:val="007D4774"/>
    <w:rsid w:val="007D4806"/>
    <w:rsid w:val="007D587D"/>
    <w:rsid w:val="007D6253"/>
    <w:rsid w:val="007D74E8"/>
    <w:rsid w:val="007D7994"/>
    <w:rsid w:val="007E0A1D"/>
    <w:rsid w:val="007E0CCD"/>
    <w:rsid w:val="007E0D34"/>
    <w:rsid w:val="007E1EA0"/>
    <w:rsid w:val="007E256E"/>
    <w:rsid w:val="007E32D2"/>
    <w:rsid w:val="007E3B35"/>
    <w:rsid w:val="007E54CA"/>
    <w:rsid w:val="007E5A7B"/>
    <w:rsid w:val="007E6EE9"/>
    <w:rsid w:val="007E7152"/>
    <w:rsid w:val="007E7413"/>
    <w:rsid w:val="007E7A5D"/>
    <w:rsid w:val="007F01F3"/>
    <w:rsid w:val="007F1F83"/>
    <w:rsid w:val="007F2184"/>
    <w:rsid w:val="007F34CA"/>
    <w:rsid w:val="007F3952"/>
    <w:rsid w:val="007F3DBD"/>
    <w:rsid w:val="007F4686"/>
    <w:rsid w:val="007F481F"/>
    <w:rsid w:val="007F7224"/>
    <w:rsid w:val="007F741F"/>
    <w:rsid w:val="007F7968"/>
    <w:rsid w:val="007F7A07"/>
    <w:rsid w:val="007F7E43"/>
    <w:rsid w:val="00800086"/>
    <w:rsid w:val="00800E9A"/>
    <w:rsid w:val="00800FE3"/>
    <w:rsid w:val="00801503"/>
    <w:rsid w:val="00801810"/>
    <w:rsid w:val="0080269B"/>
    <w:rsid w:val="0080275D"/>
    <w:rsid w:val="00802784"/>
    <w:rsid w:val="008039D1"/>
    <w:rsid w:val="008047EB"/>
    <w:rsid w:val="00804963"/>
    <w:rsid w:val="00804EB1"/>
    <w:rsid w:val="00806170"/>
    <w:rsid w:val="008063F2"/>
    <w:rsid w:val="00806FAF"/>
    <w:rsid w:val="00807EB3"/>
    <w:rsid w:val="0081020E"/>
    <w:rsid w:val="008104D5"/>
    <w:rsid w:val="0081075E"/>
    <w:rsid w:val="00810763"/>
    <w:rsid w:val="00810BC5"/>
    <w:rsid w:val="008112F7"/>
    <w:rsid w:val="00811541"/>
    <w:rsid w:val="00811C97"/>
    <w:rsid w:val="008129B3"/>
    <w:rsid w:val="00812B73"/>
    <w:rsid w:val="00814065"/>
    <w:rsid w:val="00816A05"/>
    <w:rsid w:val="008172A2"/>
    <w:rsid w:val="00817521"/>
    <w:rsid w:val="00817B39"/>
    <w:rsid w:val="00817FEE"/>
    <w:rsid w:val="008205A0"/>
    <w:rsid w:val="0082069A"/>
    <w:rsid w:val="008209AB"/>
    <w:rsid w:val="00820C4A"/>
    <w:rsid w:val="00822787"/>
    <w:rsid w:val="00822E88"/>
    <w:rsid w:val="00823B96"/>
    <w:rsid w:val="00823E22"/>
    <w:rsid w:val="00825639"/>
    <w:rsid w:val="008258C6"/>
    <w:rsid w:val="00825CF1"/>
    <w:rsid w:val="00825D78"/>
    <w:rsid w:val="00826214"/>
    <w:rsid w:val="008265D0"/>
    <w:rsid w:val="008267B9"/>
    <w:rsid w:val="00826D18"/>
    <w:rsid w:val="0082783D"/>
    <w:rsid w:val="00827C6D"/>
    <w:rsid w:val="008307C3"/>
    <w:rsid w:val="00834C6B"/>
    <w:rsid w:val="00834CA0"/>
    <w:rsid w:val="0083586B"/>
    <w:rsid w:val="00835BDC"/>
    <w:rsid w:val="008409CC"/>
    <w:rsid w:val="008415E3"/>
    <w:rsid w:val="008416A4"/>
    <w:rsid w:val="008424E3"/>
    <w:rsid w:val="008426DF"/>
    <w:rsid w:val="00842990"/>
    <w:rsid w:val="00842E69"/>
    <w:rsid w:val="00843441"/>
    <w:rsid w:val="008438B7"/>
    <w:rsid w:val="00844335"/>
    <w:rsid w:val="008446DB"/>
    <w:rsid w:val="00844F48"/>
    <w:rsid w:val="008451CF"/>
    <w:rsid w:val="008463FD"/>
    <w:rsid w:val="008510C4"/>
    <w:rsid w:val="00851368"/>
    <w:rsid w:val="00852206"/>
    <w:rsid w:val="00853A81"/>
    <w:rsid w:val="00854699"/>
    <w:rsid w:val="00854E9F"/>
    <w:rsid w:val="00854FE8"/>
    <w:rsid w:val="008562FE"/>
    <w:rsid w:val="00857211"/>
    <w:rsid w:val="008573C4"/>
    <w:rsid w:val="00857F74"/>
    <w:rsid w:val="00860AA5"/>
    <w:rsid w:val="008628A4"/>
    <w:rsid w:val="00862DAE"/>
    <w:rsid w:val="00863444"/>
    <w:rsid w:val="008635FA"/>
    <w:rsid w:val="00863D4D"/>
    <w:rsid w:val="00863D75"/>
    <w:rsid w:val="0086450C"/>
    <w:rsid w:val="00865564"/>
    <w:rsid w:val="00865AA2"/>
    <w:rsid w:val="0086693F"/>
    <w:rsid w:val="00866AF2"/>
    <w:rsid w:val="00867340"/>
    <w:rsid w:val="0087058B"/>
    <w:rsid w:val="00870B46"/>
    <w:rsid w:val="00871623"/>
    <w:rsid w:val="00871E55"/>
    <w:rsid w:val="008726E3"/>
    <w:rsid w:val="00872E0D"/>
    <w:rsid w:val="008735C5"/>
    <w:rsid w:val="00873CB9"/>
    <w:rsid w:val="008745B8"/>
    <w:rsid w:val="00874BB0"/>
    <w:rsid w:val="00874CA7"/>
    <w:rsid w:val="0087525D"/>
    <w:rsid w:val="0087591C"/>
    <w:rsid w:val="0087679F"/>
    <w:rsid w:val="00876C4D"/>
    <w:rsid w:val="00876EB9"/>
    <w:rsid w:val="00877181"/>
    <w:rsid w:val="00880042"/>
    <w:rsid w:val="0088082E"/>
    <w:rsid w:val="00881725"/>
    <w:rsid w:val="00881D83"/>
    <w:rsid w:val="00882EA6"/>
    <w:rsid w:val="0088318C"/>
    <w:rsid w:val="008834B1"/>
    <w:rsid w:val="00883E5D"/>
    <w:rsid w:val="00884182"/>
    <w:rsid w:val="00884426"/>
    <w:rsid w:val="008849C3"/>
    <w:rsid w:val="00884AF3"/>
    <w:rsid w:val="00884F31"/>
    <w:rsid w:val="008851D3"/>
    <w:rsid w:val="00885B42"/>
    <w:rsid w:val="00885B7D"/>
    <w:rsid w:val="0088667E"/>
    <w:rsid w:val="008874C3"/>
    <w:rsid w:val="0089002D"/>
    <w:rsid w:val="00890821"/>
    <w:rsid w:val="008923DE"/>
    <w:rsid w:val="00892B9E"/>
    <w:rsid w:val="00893BCD"/>
    <w:rsid w:val="00894175"/>
    <w:rsid w:val="00894AD1"/>
    <w:rsid w:val="00894F62"/>
    <w:rsid w:val="0089513D"/>
    <w:rsid w:val="008A0107"/>
    <w:rsid w:val="008A19F1"/>
    <w:rsid w:val="008A3027"/>
    <w:rsid w:val="008A35CB"/>
    <w:rsid w:val="008A3894"/>
    <w:rsid w:val="008A4147"/>
    <w:rsid w:val="008A44EE"/>
    <w:rsid w:val="008A51F4"/>
    <w:rsid w:val="008A538B"/>
    <w:rsid w:val="008A5987"/>
    <w:rsid w:val="008A6582"/>
    <w:rsid w:val="008A6DB1"/>
    <w:rsid w:val="008B0113"/>
    <w:rsid w:val="008B061E"/>
    <w:rsid w:val="008B122A"/>
    <w:rsid w:val="008B1503"/>
    <w:rsid w:val="008B171F"/>
    <w:rsid w:val="008B2DD2"/>
    <w:rsid w:val="008B3ADF"/>
    <w:rsid w:val="008B46EE"/>
    <w:rsid w:val="008B5227"/>
    <w:rsid w:val="008B5EF0"/>
    <w:rsid w:val="008B62F8"/>
    <w:rsid w:val="008B7376"/>
    <w:rsid w:val="008B7892"/>
    <w:rsid w:val="008B7B9B"/>
    <w:rsid w:val="008B7CA0"/>
    <w:rsid w:val="008C0307"/>
    <w:rsid w:val="008C075E"/>
    <w:rsid w:val="008C1069"/>
    <w:rsid w:val="008C1DE5"/>
    <w:rsid w:val="008C1ED1"/>
    <w:rsid w:val="008C279F"/>
    <w:rsid w:val="008C2F1B"/>
    <w:rsid w:val="008C3003"/>
    <w:rsid w:val="008C43B4"/>
    <w:rsid w:val="008C43D1"/>
    <w:rsid w:val="008C44C4"/>
    <w:rsid w:val="008C4A8A"/>
    <w:rsid w:val="008C520D"/>
    <w:rsid w:val="008C65DF"/>
    <w:rsid w:val="008C749C"/>
    <w:rsid w:val="008C7CE5"/>
    <w:rsid w:val="008D0137"/>
    <w:rsid w:val="008D0734"/>
    <w:rsid w:val="008D0B09"/>
    <w:rsid w:val="008D0C6C"/>
    <w:rsid w:val="008D0D67"/>
    <w:rsid w:val="008D1283"/>
    <w:rsid w:val="008D1496"/>
    <w:rsid w:val="008D1D48"/>
    <w:rsid w:val="008D1E31"/>
    <w:rsid w:val="008D227B"/>
    <w:rsid w:val="008D2464"/>
    <w:rsid w:val="008D34E8"/>
    <w:rsid w:val="008D3549"/>
    <w:rsid w:val="008D3A24"/>
    <w:rsid w:val="008D3B68"/>
    <w:rsid w:val="008D3E8B"/>
    <w:rsid w:val="008D583A"/>
    <w:rsid w:val="008D5A3A"/>
    <w:rsid w:val="008D5D96"/>
    <w:rsid w:val="008D7475"/>
    <w:rsid w:val="008E0058"/>
    <w:rsid w:val="008E052F"/>
    <w:rsid w:val="008E2B25"/>
    <w:rsid w:val="008E33E7"/>
    <w:rsid w:val="008E3A3C"/>
    <w:rsid w:val="008E3DC8"/>
    <w:rsid w:val="008E47B4"/>
    <w:rsid w:val="008E4901"/>
    <w:rsid w:val="008E4E47"/>
    <w:rsid w:val="008E5033"/>
    <w:rsid w:val="008E5580"/>
    <w:rsid w:val="008E566E"/>
    <w:rsid w:val="008E5DF2"/>
    <w:rsid w:val="008E609E"/>
    <w:rsid w:val="008E6A0A"/>
    <w:rsid w:val="008F05B3"/>
    <w:rsid w:val="008F0CB0"/>
    <w:rsid w:val="008F12EE"/>
    <w:rsid w:val="008F1570"/>
    <w:rsid w:val="008F390C"/>
    <w:rsid w:val="008F4AF9"/>
    <w:rsid w:val="008F4F29"/>
    <w:rsid w:val="008F63DA"/>
    <w:rsid w:val="008F65D3"/>
    <w:rsid w:val="008F7576"/>
    <w:rsid w:val="008F7A7C"/>
    <w:rsid w:val="00900BB5"/>
    <w:rsid w:val="00900F02"/>
    <w:rsid w:val="0090103B"/>
    <w:rsid w:val="00901830"/>
    <w:rsid w:val="00901D19"/>
    <w:rsid w:val="00901D3C"/>
    <w:rsid w:val="00902513"/>
    <w:rsid w:val="00903169"/>
    <w:rsid w:val="0090339B"/>
    <w:rsid w:val="00904565"/>
    <w:rsid w:val="00904E11"/>
    <w:rsid w:val="00905BAD"/>
    <w:rsid w:val="00905D78"/>
    <w:rsid w:val="00906A0C"/>
    <w:rsid w:val="00907357"/>
    <w:rsid w:val="00907AC7"/>
    <w:rsid w:val="00907CBA"/>
    <w:rsid w:val="009129E7"/>
    <w:rsid w:val="00912D28"/>
    <w:rsid w:val="00912E0B"/>
    <w:rsid w:val="00912F94"/>
    <w:rsid w:val="009138AA"/>
    <w:rsid w:val="00913D3B"/>
    <w:rsid w:val="00914895"/>
    <w:rsid w:val="00914AFA"/>
    <w:rsid w:val="00917FD5"/>
    <w:rsid w:val="009209FF"/>
    <w:rsid w:val="00922632"/>
    <w:rsid w:val="00922E18"/>
    <w:rsid w:val="0092355F"/>
    <w:rsid w:val="00923A86"/>
    <w:rsid w:val="00924224"/>
    <w:rsid w:val="00925D8A"/>
    <w:rsid w:val="009273CB"/>
    <w:rsid w:val="00927EA2"/>
    <w:rsid w:val="00930B73"/>
    <w:rsid w:val="0093108E"/>
    <w:rsid w:val="0093192D"/>
    <w:rsid w:val="00933AF9"/>
    <w:rsid w:val="00934133"/>
    <w:rsid w:val="00934747"/>
    <w:rsid w:val="0093498E"/>
    <w:rsid w:val="00935165"/>
    <w:rsid w:val="009355CB"/>
    <w:rsid w:val="00935A45"/>
    <w:rsid w:val="0093647E"/>
    <w:rsid w:val="00937FA0"/>
    <w:rsid w:val="0094038B"/>
    <w:rsid w:val="00940E3C"/>
    <w:rsid w:val="00941CAB"/>
    <w:rsid w:val="00942021"/>
    <w:rsid w:val="009449B4"/>
    <w:rsid w:val="00946A1E"/>
    <w:rsid w:val="00947C5C"/>
    <w:rsid w:val="00950093"/>
    <w:rsid w:val="009500DF"/>
    <w:rsid w:val="009509B2"/>
    <w:rsid w:val="009515E7"/>
    <w:rsid w:val="00951C1B"/>
    <w:rsid w:val="00951C38"/>
    <w:rsid w:val="00952363"/>
    <w:rsid w:val="0095266A"/>
    <w:rsid w:val="00952F5B"/>
    <w:rsid w:val="00953C48"/>
    <w:rsid w:val="0095580E"/>
    <w:rsid w:val="009600D7"/>
    <w:rsid w:val="00961126"/>
    <w:rsid w:val="009612EC"/>
    <w:rsid w:val="00962132"/>
    <w:rsid w:val="009623EC"/>
    <w:rsid w:val="009626ED"/>
    <w:rsid w:val="00962CEA"/>
    <w:rsid w:val="009636F6"/>
    <w:rsid w:val="00963C05"/>
    <w:rsid w:val="0096425C"/>
    <w:rsid w:val="00965482"/>
    <w:rsid w:val="00967D06"/>
    <w:rsid w:val="00967FA1"/>
    <w:rsid w:val="009700E2"/>
    <w:rsid w:val="00970C97"/>
    <w:rsid w:val="009714D7"/>
    <w:rsid w:val="00971981"/>
    <w:rsid w:val="00971C2A"/>
    <w:rsid w:val="009721AE"/>
    <w:rsid w:val="00973B46"/>
    <w:rsid w:val="009744B6"/>
    <w:rsid w:val="009756A8"/>
    <w:rsid w:val="0097599E"/>
    <w:rsid w:val="0097679A"/>
    <w:rsid w:val="0098263C"/>
    <w:rsid w:val="00982819"/>
    <w:rsid w:val="00982826"/>
    <w:rsid w:val="009836FE"/>
    <w:rsid w:val="00983D18"/>
    <w:rsid w:val="0098415F"/>
    <w:rsid w:val="009846D0"/>
    <w:rsid w:val="00984DFC"/>
    <w:rsid w:val="0098530B"/>
    <w:rsid w:val="00985B33"/>
    <w:rsid w:val="00985FCD"/>
    <w:rsid w:val="00986358"/>
    <w:rsid w:val="00986499"/>
    <w:rsid w:val="0098668E"/>
    <w:rsid w:val="00987C85"/>
    <w:rsid w:val="009906CF"/>
    <w:rsid w:val="00990EA0"/>
    <w:rsid w:val="009914E1"/>
    <w:rsid w:val="00991C74"/>
    <w:rsid w:val="0099226F"/>
    <w:rsid w:val="00993146"/>
    <w:rsid w:val="00993224"/>
    <w:rsid w:val="00993B37"/>
    <w:rsid w:val="00994E15"/>
    <w:rsid w:val="009950C6"/>
    <w:rsid w:val="00995432"/>
    <w:rsid w:val="00995D17"/>
    <w:rsid w:val="009960DC"/>
    <w:rsid w:val="00996114"/>
    <w:rsid w:val="009962DF"/>
    <w:rsid w:val="0099660C"/>
    <w:rsid w:val="00996EBB"/>
    <w:rsid w:val="00996FA4"/>
    <w:rsid w:val="00997A6B"/>
    <w:rsid w:val="00997D5A"/>
    <w:rsid w:val="00997E94"/>
    <w:rsid w:val="009A03F8"/>
    <w:rsid w:val="009A0582"/>
    <w:rsid w:val="009A2179"/>
    <w:rsid w:val="009A29C1"/>
    <w:rsid w:val="009A2C59"/>
    <w:rsid w:val="009A2D19"/>
    <w:rsid w:val="009A3090"/>
    <w:rsid w:val="009A3717"/>
    <w:rsid w:val="009A39EF"/>
    <w:rsid w:val="009A3CF5"/>
    <w:rsid w:val="009A4F80"/>
    <w:rsid w:val="009A573B"/>
    <w:rsid w:val="009A5DA9"/>
    <w:rsid w:val="009A66B4"/>
    <w:rsid w:val="009B007C"/>
    <w:rsid w:val="009B0896"/>
    <w:rsid w:val="009B09CB"/>
    <w:rsid w:val="009B0D02"/>
    <w:rsid w:val="009B0E18"/>
    <w:rsid w:val="009B2A4A"/>
    <w:rsid w:val="009B44F6"/>
    <w:rsid w:val="009B4A4F"/>
    <w:rsid w:val="009B4CCA"/>
    <w:rsid w:val="009B4EAC"/>
    <w:rsid w:val="009B55D3"/>
    <w:rsid w:val="009B61D6"/>
    <w:rsid w:val="009B69AA"/>
    <w:rsid w:val="009B770D"/>
    <w:rsid w:val="009C061C"/>
    <w:rsid w:val="009C073A"/>
    <w:rsid w:val="009C0817"/>
    <w:rsid w:val="009C11C4"/>
    <w:rsid w:val="009C1DFE"/>
    <w:rsid w:val="009C276B"/>
    <w:rsid w:val="009C2D03"/>
    <w:rsid w:val="009C2FCF"/>
    <w:rsid w:val="009C38E3"/>
    <w:rsid w:val="009C4E15"/>
    <w:rsid w:val="009C7885"/>
    <w:rsid w:val="009D0A67"/>
    <w:rsid w:val="009D0E9F"/>
    <w:rsid w:val="009D0ED0"/>
    <w:rsid w:val="009D32AD"/>
    <w:rsid w:val="009D3E10"/>
    <w:rsid w:val="009D4362"/>
    <w:rsid w:val="009D444F"/>
    <w:rsid w:val="009D4EB3"/>
    <w:rsid w:val="009D5D39"/>
    <w:rsid w:val="009D6FFA"/>
    <w:rsid w:val="009D7276"/>
    <w:rsid w:val="009D76F9"/>
    <w:rsid w:val="009D7D42"/>
    <w:rsid w:val="009D7FD8"/>
    <w:rsid w:val="009E05E2"/>
    <w:rsid w:val="009E0F9D"/>
    <w:rsid w:val="009E23FF"/>
    <w:rsid w:val="009E25A2"/>
    <w:rsid w:val="009E27B8"/>
    <w:rsid w:val="009E2A80"/>
    <w:rsid w:val="009E3195"/>
    <w:rsid w:val="009E3B36"/>
    <w:rsid w:val="009E3DED"/>
    <w:rsid w:val="009E4854"/>
    <w:rsid w:val="009E562D"/>
    <w:rsid w:val="009E6228"/>
    <w:rsid w:val="009E7D24"/>
    <w:rsid w:val="009F00D4"/>
    <w:rsid w:val="009F0584"/>
    <w:rsid w:val="009F0973"/>
    <w:rsid w:val="009F1FF0"/>
    <w:rsid w:val="009F20F2"/>
    <w:rsid w:val="009F26F9"/>
    <w:rsid w:val="009F285A"/>
    <w:rsid w:val="009F2A4B"/>
    <w:rsid w:val="009F2A9A"/>
    <w:rsid w:val="009F2AE7"/>
    <w:rsid w:val="009F34AF"/>
    <w:rsid w:val="009F4C27"/>
    <w:rsid w:val="009F4F76"/>
    <w:rsid w:val="009F525B"/>
    <w:rsid w:val="009F5D45"/>
    <w:rsid w:val="009F696F"/>
    <w:rsid w:val="00A014C0"/>
    <w:rsid w:val="00A02364"/>
    <w:rsid w:val="00A02981"/>
    <w:rsid w:val="00A0337F"/>
    <w:rsid w:val="00A0388B"/>
    <w:rsid w:val="00A03A77"/>
    <w:rsid w:val="00A03ED9"/>
    <w:rsid w:val="00A04CDC"/>
    <w:rsid w:val="00A04D56"/>
    <w:rsid w:val="00A05039"/>
    <w:rsid w:val="00A0513F"/>
    <w:rsid w:val="00A05A70"/>
    <w:rsid w:val="00A05B74"/>
    <w:rsid w:val="00A06D2D"/>
    <w:rsid w:val="00A07AFD"/>
    <w:rsid w:val="00A07B55"/>
    <w:rsid w:val="00A07E3A"/>
    <w:rsid w:val="00A107B0"/>
    <w:rsid w:val="00A10C1E"/>
    <w:rsid w:val="00A11279"/>
    <w:rsid w:val="00A11E1F"/>
    <w:rsid w:val="00A12619"/>
    <w:rsid w:val="00A127B6"/>
    <w:rsid w:val="00A12841"/>
    <w:rsid w:val="00A128F1"/>
    <w:rsid w:val="00A12C00"/>
    <w:rsid w:val="00A13265"/>
    <w:rsid w:val="00A138AD"/>
    <w:rsid w:val="00A1441B"/>
    <w:rsid w:val="00A147F9"/>
    <w:rsid w:val="00A148D7"/>
    <w:rsid w:val="00A14F78"/>
    <w:rsid w:val="00A15205"/>
    <w:rsid w:val="00A15971"/>
    <w:rsid w:val="00A1765A"/>
    <w:rsid w:val="00A17DAD"/>
    <w:rsid w:val="00A17F9D"/>
    <w:rsid w:val="00A204D1"/>
    <w:rsid w:val="00A20A07"/>
    <w:rsid w:val="00A21460"/>
    <w:rsid w:val="00A21482"/>
    <w:rsid w:val="00A21539"/>
    <w:rsid w:val="00A21FCE"/>
    <w:rsid w:val="00A229A9"/>
    <w:rsid w:val="00A257DB"/>
    <w:rsid w:val="00A25E05"/>
    <w:rsid w:val="00A26284"/>
    <w:rsid w:val="00A269D0"/>
    <w:rsid w:val="00A26EFA"/>
    <w:rsid w:val="00A270FD"/>
    <w:rsid w:val="00A27AEE"/>
    <w:rsid w:val="00A30F68"/>
    <w:rsid w:val="00A314D6"/>
    <w:rsid w:val="00A31F8B"/>
    <w:rsid w:val="00A320FE"/>
    <w:rsid w:val="00A3260F"/>
    <w:rsid w:val="00A32BDB"/>
    <w:rsid w:val="00A342E9"/>
    <w:rsid w:val="00A34CF7"/>
    <w:rsid w:val="00A3557D"/>
    <w:rsid w:val="00A35D99"/>
    <w:rsid w:val="00A36C57"/>
    <w:rsid w:val="00A37018"/>
    <w:rsid w:val="00A3734C"/>
    <w:rsid w:val="00A37380"/>
    <w:rsid w:val="00A376E4"/>
    <w:rsid w:val="00A37936"/>
    <w:rsid w:val="00A40094"/>
    <w:rsid w:val="00A40ED7"/>
    <w:rsid w:val="00A41D61"/>
    <w:rsid w:val="00A42503"/>
    <w:rsid w:val="00A43E59"/>
    <w:rsid w:val="00A44CFC"/>
    <w:rsid w:val="00A4500E"/>
    <w:rsid w:val="00A4603C"/>
    <w:rsid w:val="00A463D0"/>
    <w:rsid w:val="00A46D75"/>
    <w:rsid w:val="00A478B6"/>
    <w:rsid w:val="00A518D7"/>
    <w:rsid w:val="00A52B9E"/>
    <w:rsid w:val="00A52C3C"/>
    <w:rsid w:val="00A54A84"/>
    <w:rsid w:val="00A54F56"/>
    <w:rsid w:val="00A55C1C"/>
    <w:rsid w:val="00A57907"/>
    <w:rsid w:val="00A60211"/>
    <w:rsid w:val="00A60993"/>
    <w:rsid w:val="00A60DCB"/>
    <w:rsid w:val="00A61E70"/>
    <w:rsid w:val="00A627A0"/>
    <w:rsid w:val="00A62B61"/>
    <w:rsid w:val="00A63301"/>
    <w:rsid w:val="00A634E7"/>
    <w:rsid w:val="00A63CC4"/>
    <w:rsid w:val="00A63FD1"/>
    <w:rsid w:val="00A6517D"/>
    <w:rsid w:val="00A653DE"/>
    <w:rsid w:val="00A66455"/>
    <w:rsid w:val="00A674CF"/>
    <w:rsid w:val="00A6751A"/>
    <w:rsid w:val="00A67F59"/>
    <w:rsid w:val="00A7005E"/>
    <w:rsid w:val="00A71D68"/>
    <w:rsid w:val="00A71E1B"/>
    <w:rsid w:val="00A72202"/>
    <w:rsid w:val="00A72C4B"/>
    <w:rsid w:val="00A73E7C"/>
    <w:rsid w:val="00A7422C"/>
    <w:rsid w:val="00A74CF5"/>
    <w:rsid w:val="00A754A3"/>
    <w:rsid w:val="00A762A1"/>
    <w:rsid w:val="00A76537"/>
    <w:rsid w:val="00A771DE"/>
    <w:rsid w:val="00A777BF"/>
    <w:rsid w:val="00A80A7F"/>
    <w:rsid w:val="00A83518"/>
    <w:rsid w:val="00A84BEA"/>
    <w:rsid w:val="00A86622"/>
    <w:rsid w:val="00A86D3B"/>
    <w:rsid w:val="00A87B26"/>
    <w:rsid w:val="00A87CC0"/>
    <w:rsid w:val="00A87D94"/>
    <w:rsid w:val="00A90730"/>
    <w:rsid w:val="00A92062"/>
    <w:rsid w:val="00A921B8"/>
    <w:rsid w:val="00A9249D"/>
    <w:rsid w:val="00A93311"/>
    <w:rsid w:val="00A94045"/>
    <w:rsid w:val="00A9511A"/>
    <w:rsid w:val="00A95EAC"/>
    <w:rsid w:val="00A96A66"/>
    <w:rsid w:val="00A97A14"/>
    <w:rsid w:val="00AA2C52"/>
    <w:rsid w:val="00AA5B17"/>
    <w:rsid w:val="00AA5EDD"/>
    <w:rsid w:val="00AA64D5"/>
    <w:rsid w:val="00AA6521"/>
    <w:rsid w:val="00AA6CBD"/>
    <w:rsid w:val="00AA6E1A"/>
    <w:rsid w:val="00AA70B2"/>
    <w:rsid w:val="00AA745C"/>
    <w:rsid w:val="00AA7C5A"/>
    <w:rsid w:val="00AB0C8F"/>
    <w:rsid w:val="00AB12D6"/>
    <w:rsid w:val="00AB15CB"/>
    <w:rsid w:val="00AB2A4C"/>
    <w:rsid w:val="00AB3108"/>
    <w:rsid w:val="00AB3183"/>
    <w:rsid w:val="00AB4C5F"/>
    <w:rsid w:val="00AB4DDB"/>
    <w:rsid w:val="00AB5933"/>
    <w:rsid w:val="00AB741C"/>
    <w:rsid w:val="00AC0369"/>
    <w:rsid w:val="00AC19C0"/>
    <w:rsid w:val="00AC2B55"/>
    <w:rsid w:val="00AC37B4"/>
    <w:rsid w:val="00AC3EFC"/>
    <w:rsid w:val="00AC3F4D"/>
    <w:rsid w:val="00AC4073"/>
    <w:rsid w:val="00AC551C"/>
    <w:rsid w:val="00AC55A9"/>
    <w:rsid w:val="00AC57A0"/>
    <w:rsid w:val="00AC5EC0"/>
    <w:rsid w:val="00AC6CD2"/>
    <w:rsid w:val="00AC6FF3"/>
    <w:rsid w:val="00AD105D"/>
    <w:rsid w:val="00AD28F0"/>
    <w:rsid w:val="00AD427C"/>
    <w:rsid w:val="00AD4AE5"/>
    <w:rsid w:val="00AD5FAE"/>
    <w:rsid w:val="00AD6641"/>
    <w:rsid w:val="00AD6C88"/>
    <w:rsid w:val="00AD78E8"/>
    <w:rsid w:val="00AD7B67"/>
    <w:rsid w:val="00AE0ED3"/>
    <w:rsid w:val="00AE1221"/>
    <w:rsid w:val="00AE24AF"/>
    <w:rsid w:val="00AE2D02"/>
    <w:rsid w:val="00AE3CB2"/>
    <w:rsid w:val="00AE3DAC"/>
    <w:rsid w:val="00AE3E79"/>
    <w:rsid w:val="00AE470C"/>
    <w:rsid w:val="00AE4BD1"/>
    <w:rsid w:val="00AE5297"/>
    <w:rsid w:val="00AE56A8"/>
    <w:rsid w:val="00AE5AA8"/>
    <w:rsid w:val="00AE5BAC"/>
    <w:rsid w:val="00AE6BAA"/>
    <w:rsid w:val="00AE6E26"/>
    <w:rsid w:val="00AE7064"/>
    <w:rsid w:val="00AE707E"/>
    <w:rsid w:val="00AE7192"/>
    <w:rsid w:val="00AE74BF"/>
    <w:rsid w:val="00AE7F53"/>
    <w:rsid w:val="00AF07EB"/>
    <w:rsid w:val="00AF0CA0"/>
    <w:rsid w:val="00AF17F9"/>
    <w:rsid w:val="00AF32DE"/>
    <w:rsid w:val="00AF43A1"/>
    <w:rsid w:val="00AF4643"/>
    <w:rsid w:val="00AF4F02"/>
    <w:rsid w:val="00AF5BCF"/>
    <w:rsid w:val="00AF693A"/>
    <w:rsid w:val="00AF6DB0"/>
    <w:rsid w:val="00AF6E3D"/>
    <w:rsid w:val="00B00799"/>
    <w:rsid w:val="00B012E1"/>
    <w:rsid w:val="00B01557"/>
    <w:rsid w:val="00B02560"/>
    <w:rsid w:val="00B02DB5"/>
    <w:rsid w:val="00B04750"/>
    <w:rsid w:val="00B04A12"/>
    <w:rsid w:val="00B054EF"/>
    <w:rsid w:val="00B05F3F"/>
    <w:rsid w:val="00B0631F"/>
    <w:rsid w:val="00B063F5"/>
    <w:rsid w:val="00B10342"/>
    <w:rsid w:val="00B1093E"/>
    <w:rsid w:val="00B10B9C"/>
    <w:rsid w:val="00B10E8F"/>
    <w:rsid w:val="00B11A83"/>
    <w:rsid w:val="00B129C0"/>
    <w:rsid w:val="00B1407E"/>
    <w:rsid w:val="00B1483F"/>
    <w:rsid w:val="00B1571B"/>
    <w:rsid w:val="00B1579C"/>
    <w:rsid w:val="00B159D5"/>
    <w:rsid w:val="00B17466"/>
    <w:rsid w:val="00B17F60"/>
    <w:rsid w:val="00B17FD2"/>
    <w:rsid w:val="00B2023F"/>
    <w:rsid w:val="00B21859"/>
    <w:rsid w:val="00B21A3C"/>
    <w:rsid w:val="00B21DF8"/>
    <w:rsid w:val="00B226AF"/>
    <w:rsid w:val="00B22789"/>
    <w:rsid w:val="00B24790"/>
    <w:rsid w:val="00B25BEF"/>
    <w:rsid w:val="00B2663F"/>
    <w:rsid w:val="00B2723E"/>
    <w:rsid w:val="00B303B5"/>
    <w:rsid w:val="00B306FC"/>
    <w:rsid w:val="00B30BC9"/>
    <w:rsid w:val="00B30C2E"/>
    <w:rsid w:val="00B3290D"/>
    <w:rsid w:val="00B33A62"/>
    <w:rsid w:val="00B34478"/>
    <w:rsid w:val="00B3547D"/>
    <w:rsid w:val="00B35B29"/>
    <w:rsid w:val="00B36335"/>
    <w:rsid w:val="00B363FA"/>
    <w:rsid w:val="00B366AC"/>
    <w:rsid w:val="00B376C1"/>
    <w:rsid w:val="00B37ACC"/>
    <w:rsid w:val="00B404C8"/>
    <w:rsid w:val="00B406B8"/>
    <w:rsid w:val="00B40CCB"/>
    <w:rsid w:val="00B40D8B"/>
    <w:rsid w:val="00B41344"/>
    <w:rsid w:val="00B420DC"/>
    <w:rsid w:val="00B42587"/>
    <w:rsid w:val="00B4291F"/>
    <w:rsid w:val="00B4293A"/>
    <w:rsid w:val="00B42B45"/>
    <w:rsid w:val="00B430A7"/>
    <w:rsid w:val="00B45C9D"/>
    <w:rsid w:val="00B5041C"/>
    <w:rsid w:val="00B51E18"/>
    <w:rsid w:val="00B52520"/>
    <w:rsid w:val="00B5278A"/>
    <w:rsid w:val="00B52B1F"/>
    <w:rsid w:val="00B52BE9"/>
    <w:rsid w:val="00B530F5"/>
    <w:rsid w:val="00B54324"/>
    <w:rsid w:val="00B5581D"/>
    <w:rsid w:val="00B56B0C"/>
    <w:rsid w:val="00B60580"/>
    <w:rsid w:val="00B6164F"/>
    <w:rsid w:val="00B627D8"/>
    <w:rsid w:val="00B639B0"/>
    <w:rsid w:val="00B647ED"/>
    <w:rsid w:val="00B64AB5"/>
    <w:rsid w:val="00B668F6"/>
    <w:rsid w:val="00B67366"/>
    <w:rsid w:val="00B67AB9"/>
    <w:rsid w:val="00B71092"/>
    <w:rsid w:val="00B717AF"/>
    <w:rsid w:val="00B71BC2"/>
    <w:rsid w:val="00B72916"/>
    <w:rsid w:val="00B729F3"/>
    <w:rsid w:val="00B730F3"/>
    <w:rsid w:val="00B74300"/>
    <w:rsid w:val="00B74CF5"/>
    <w:rsid w:val="00B7660A"/>
    <w:rsid w:val="00B817D7"/>
    <w:rsid w:val="00B84791"/>
    <w:rsid w:val="00B84973"/>
    <w:rsid w:val="00B849EE"/>
    <w:rsid w:val="00B84B20"/>
    <w:rsid w:val="00B85FEC"/>
    <w:rsid w:val="00B868C5"/>
    <w:rsid w:val="00B86FE8"/>
    <w:rsid w:val="00B87527"/>
    <w:rsid w:val="00B90B89"/>
    <w:rsid w:val="00B91127"/>
    <w:rsid w:val="00B920B7"/>
    <w:rsid w:val="00B92220"/>
    <w:rsid w:val="00B942BA"/>
    <w:rsid w:val="00B9451B"/>
    <w:rsid w:val="00B945EF"/>
    <w:rsid w:val="00B94998"/>
    <w:rsid w:val="00B95C5C"/>
    <w:rsid w:val="00B9665A"/>
    <w:rsid w:val="00B96AB5"/>
    <w:rsid w:val="00B97270"/>
    <w:rsid w:val="00B973C3"/>
    <w:rsid w:val="00BA2146"/>
    <w:rsid w:val="00BA23BF"/>
    <w:rsid w:val="00BA31E4"/>
    <w:rsid w:val="00BA32DC"/>
    <w:rsid w:val="00BA50BE"/>
    <w:rsid w:val="00BA59EA"/>
    <w:rsid w:val="00BA6614"/>
    <w:rsid w:val="00BA698C"/>
    <w:rsid w:val="00BA7688"/>
    <w:rsid w:val="00BA7959"/>
    <w:rsid w:val="00BA7A5C"/>
    <w:rsid w:val="00BA7EC1"/>
    <w:rsid w:val="00BB0D80"/>
    <w:rsid w:val="00BB0F7B"/>
    <w:rsid w:val="00BB1A24"/>
    <w:rsid w:val="00BB34BC"/>
    <w:rsid w:val="00BB35C1"/>
    <w:rsid w:val="00BB38D4"/>
    <w:rsid w:val="00BB3923"/>
    <w:rsid w:val="00BB44EE"/>
    <w:rsid w:val="00BB75C7"/>
    <w:rsid w:val="00BB7AAE"/>
    <w:rsid w:val="00BB7EC9"/>
    <w:rsid w:val="00BC0E70"/>
    <w:rsid w:val="00BC1064"/>
    <w:rsid w:val="00BC14F5"/>
    <w:rsid w:val="00BC16EA"/>
    <w:rsid w:val="00BC1F52"/>
    <w:rsid w:val="00BC265C"/>
    <w:rsid w:val="00BC40EE"/>
    <w:rsid w:val="00BC43DE"/>
    <w:rsid w:val="00BC48C7"/>
    <w:rsid w:val="00BC5026"/>
    <w:rsid w:val="00BC63DF"/>
    <w:rsid w:val="00BC65D0"/>
    <w:rsid w:val="00BC6BA2"/>
    <w:rsid w:val="00BC78C2"/>
    <w:rsid w:val="00BC7A13"/>
    <w:rsid w:val="00BC7B20"/>
    <w:rsid w:val="00BD0322"/>
    <w:rsid w:val="00BD03D1"/>
    <w:rsid w:val="00BD070D"/>
    <w:rsid w:val="00BD0E9C"/>
    <w:rsid w:val="00BD20D7"/>
    <w:rsid w:val="00BD3512"/>
    <w:rsid w:val="00BD39CF"/>
    <w:rsid w:val="00BD461E"/>
    <w:rsid w:val="00BD5A40"/>
    <w:rsid w:val="00BD626B"/>
    <w:rsid w:val="00BD681A"/>
    <w:rsid w:val="00BD6F4B"/>
    <w:rsid w:val="00BD7287"/>
    <w:rsid w:val="00BD7474"/>
    <w:rsid w:val="00BD7BDE"/>
    <w:rsid w:val="00BE1A4E"/>
    <w:rsid w:val="00BE1D5D"/>
    <w:rsid w:val="00BE288F"/>
    <w:rsid w:val="00BE2E02"/>
    <w:rsid w:val="00BE3BE6"/>
    <w:rsid w:val="00BE4243"/>
    <w:rsid w:val="00BE4FCB"/>
    <w:rsid w:val="00BE54CB"/>
    <w:rsid w:val="00BE67A8"/>
    <w:rsid w:val="00BE7BF8"/>
    <w:rsid w:val="00BF0237"/>
    <w:rsid w:val="00BF066F"/>
    <w:rsid w:val="00BF0964"/>
    <w:rsid w:val="00BF09E1"/>
    <w:rsid w:val="00BF0C5E"/>
    <w:rsid w:val="00BF1585"/>
    <w:rsid w:val="00BF18B5"/>
    <w:rsid w:val="00BF1AA0"/>
    <w:rsid w:val="00BF216C"/>
    <w:rsid w:val="00BF26BA"/>
    <w:rsid w:val="00BF292C"/>
    <w:rsid w:val="00BF3004"/>
    <w:rsid w:val="00BF3110"/>
    <w:rsid w:val="00BF3702"/>
    <w:rsid w:val="00BF4FDD"/>
    <w:rsid w:val="00BF551C"/>
    <w:rsid w:val="00BF5EDD"/>
    <w:rsid w:val="00BF6D16"/>
    <w:rsid w:val="00BF718E"/>
    <w:rsid w:val="00BF7688"/>
    <w:rsid w:val="00BF7871"/>
    <w:rsid w:val="00C004F1"/>
    <w:rsid w:val="00C02B4A"/>
    <w:rsid w:val="00C03A52"/>
    <w:rsid w:val="00C04D07"/>
    <w:rsid w:val="00C0531A"/>
    <w:rsid w:val="00C05F70"/>
    <w:rsid w:val="00C06652"/>
    <w:rsid w:val="00C0692A"/>
    <w:rsid w:val="00C11B5A"/>
    <w:rsid w:val="00C125AE"/>
    <w:rsid w:val="00C133FC"/>
    <w:rsid w:val="00C13B83"/>
    <w:rsid w:val="00C13BFE"/>
    <w:rsid w:val="00C13FAC"/>
    <w:rsid w:val="00C14AFF"/>
    <w:rsid w:val="00C16B5E"/>
    <w:rsid w:val="00C17366"/>
    <w:rsid w:val="00C20D0A"/>
    <w:rsid w:val="00C20E30"/>
    <w:rsid w:val="00C210C6"/>
    <w:rsid w:val="00C22514"/>
    <w:rsid w:val="00C22D52"/>
    <w:rsid w:val="00C234F0"/>
    <w:rsid w:val="00C23C2D"/>
    <w:rsid w:val="00C24426"/>
    <w:rsid w:val="00C24A11"/>
    <w:rsid w:val="00C25B99"/>
    <w:rsid w:val="00C25E65"/>
    <w:rsid w:val="00C279A9"/>
    <w:rsid w:val="00C3070F"/>
    <w:rsid w:val="00C319ED"/>
    <w:rsid w:val="00C31A8F"/>
    <w:rsid w:val="00C32777"/>
    <w:rsid w:val="00C32B8C"/>
    <w:rsid w:val="00C32BD7"/>
    <w:rsid w:val="00C33053"/>
    <w:rsid w:val="00C3312E"/>
    <w:rsid w:val="00C33BC9"/>
    <w:rsid w:val="00C34267"/>
    <w:rsid w:val="00C346A7"/>
    <w:rsid w:val="00C40693"/>
    <w:rsid w:val="00C421C4"/>
    <w:rsid w:val="00C42A56"/>
    <w:rsid w:val="00C42E6E"/>
    <w:rsid w:val="00C438E7"/>
    <w:rsid w:val="00C45D05"/>
    <w:rsid w:val="00C468EC"/>
    <w:rsid w:val="00C4697D"/>
    <w:rsid w:val="00C47FAC"/>
    <w:rsid w:val="00C504B5"/>
    <w:rsid w:val="00C50DB9"/>
    <w:rsid w:val="00C50F77"/>
    <w:rsid w:val="00C51EE9"/>
    <w:rsid w:val="00C51FA9"/>
    <w:rsid w:val="00C5216E"/>
    <w:rsid w:val="00C5273A"/>
    <w:rsid w:val="00C53ECE"/>
    <w:rsid w:val="00C541EC"/>
    <w:rsid w:val="00C551EE"/>
    <w:rsid w:val="00C55B74"/>
    <w:rsid w:val="00C55D71"/>
    <w:rsid w:val="00C57EA5"/>
    <w:rsid w:val="00C600E7"/>
    <w:rsid w:val="00C60423"/>
    <w:rsid w:val="00C60863"/>
    <w:rsid w:val="00C62B5E"/>
    <w:rsid w:val="00C630F9"/>
    <w:rsid w:val="00C6354E"/>
    <w:rsid w:val="00C647FB"/>
    <w:rsid w:val="00C64DB8"/>
    <w:rsid w:val="00C64E95"/>
    <w:rsid w:val="00C652AF"/>
    <w:rsid w:val="00C668A4"/>
    <w:rsid w:val="00C67210"/>
    <w:rsid w:val="00C712E8"/>
    <w:rsid w:val="00C714D2"/>
    <w:rsid w:val="00C71EE1"/>
    <w:rsid w:val="00C72339"/>
    <w:rsid w:val="00C726C5"/>
    <w:rsid w:val="00C73617"/>
    <w:rsid w:val="00C739AD"/>
    <w:rsid w:val="00C74B21"/>
    <w:rsid w:val="00C74E28"/>
    <w:rsid w:val="00C74FE6"/>
    <w:rsid w:val="00C753E5"/>
    <w:rsid w:val="00C76648"/>
    <w:rsid w:val="00C776E9"/>
    <w:rsid w:val="00C806D7"/>
    <w:rsid w:val="00C8169E"/>
    <w:rsid w:val="00C817F8"/>
    <w:rsid w:val="00C81A69"/>
    <w:rsid w:val="00C81E22"/>
    <w:rsid w:val="00C82B1D"/>
    <w:rsid w:val="00C82D3E"/>
    <w:rsid w:val="00C82FB6"/>
    <w:rsid w:val="00C83E48"/>
    <w:rsid w:val="00C851E4"/>
    <w:rsid w:val="00C85ADB"/>
    <w:rsid w:val="00C85B58"/>
    <w:rsid w:val="00C85E65"/>
    <w:rsid w:val="00C85EA9"/>
    <w:rsid w:val="00C85F46"/>
    <w:rsid w:val="00C86DC7"/>
    <w:rsid w:val="00C9084A"/>
    <w:rsid w:val="00C90CD3"/>
    <w:rsid w:val="00C92644"/>
    <w:rsid w:val="00C927D5"/>
    <w:rsid w:val="00C9359A"/>
    <w:rsid w:val="00C93CC0"/>
    <w:rsid w:val="00C94909"/>
    <w:rsid w:val="00C9490C"/>
    <w:rsid w:val="00C9509D"/>
    <w:rsid w:val="00C95AEC"/>
    <w:rsid w:val="00C95C3A"/>
    <w:rsid w:val="00C96005"/>
    <w:rsid w:val="00C973FD"/>
    <w:rsid w:val="00C97CAA"/>
    <w:rsid w:val="00CA13A7"/>
    <w:rsid w:val="00CA13DB"/>
    <w:rsid w:val="00CA2327"/>
    <w:rsid w:val="00CA2DB2"/>
    <w:rsid w:val="00CA3C16"/>
    <w:rsid w:val="00CA40AD"/>
    <w:rsid w:val="00CA47D0"/>
    <w:rsid w:val="00CA4E4B"/>
    <w:rsid w:val="00CA4F60"/>
    <w:rsid w:val="00CA56A1"/>
    <w:rsid w:val="00CA586B"/>
    <w:rsid w:val="00CA5AAF"/>
    <w:rsid w:val="00CA5D25"/>
    <w:rsid w:val="00CA6AAA"/>
    <w:rsid w:val="00CA6C16"/>
    <w:rsid w:val="00CB0095"/>
    <w:rsid w:val="00CB080E"/>
    <w:rsid w:val="00CB08DD"/>
    <w:rsid w:val="00CB0B68"/>
    <w:rsid w:val="00CB1A39"/>
    <w:rsid w:val="00CB1EE7"/>
    <w:rsid w:val="00CB27A2"/>
    <w:rsid w:val="00CB2BA3"/>
    <w:rsid w:val="00CB3A2E"/>
    <w:rsid w:val="00CC0B5E"/>
    <w:rsid w:val="00CC13CE"/>
    <w:rsid w:val="00CC1C34"/>
    <w:rsid w:val="00CC281F"/>
    <w:rsid w:val="00CC3180"/>
    <w:rsid w:val="00CC33CC"/>
    <w:rsid w:val="00CC491E"/>
    <w:rsid w:val="00CC495D"/>
    <w:rsid w:val="00CC4CAB"/>
    <w:rsid w:val="00CC4DB8"/>
    <w:rsid w:val="00CC4EE7"/>
    <w:rsid w:val="00CC6553"/>
    <w:rsid w:val="00CC7CF2"/>
    <w:rsid w:val="00CC7F6B"/>
    <w:rsid w:val="00CD00EA"/>
    <w:rsid w:val="00CD06E8"/>
    <w:rsid w:val="00CD0CE8"/>
    <w:rsid w:val="00CD2BE7"/>
    <w:rsid w:val="00CD40DD"/>
    <w:rsid w:val="00CD4A8A"/>
    <w:rsid w:val="00CD53DA"/>
    <w:rsid w:val="00CD688E"/>
    <w:rsid w:val="00CE1FBD"/>
    <w:rsid w:val="00CE271D"/>
    <w:rsid w:val="00CE2E78"/>
    <w:rsid w:val="00CE357D"/>
    <w:rsid w:val="00CE43BA"/>
    <w:rsid w:val="00CE4E50"/>
    <w:rsid w:val="00CE53E3"/>
    <w:rsid w:val="00CE5F80"/>
    <w:rsid w:val="00CE6313"/>
    <w:rsid w:val="00CF0769"/>
    <w:rsid w:val="00CF1A0E"/>
    <w:rsid w:val="00CF2284"/>
    <w:rsid w:val="00CF27A4"/>
    <w:rsid w:val="00CF363A"/>
    <w:rsid w:val="00CF4D05"/>
    <w:rsid w:val="00CF56DD"/>
    <w:rsid w:val="00CF593B"/>
    <w:rsid w:val="00CF619F"/>
    <w:rsid w:val="00CF6DC1"/>
    <w:rsid w:val="00CF73E0"/>
    <w:rsid w:val="00CF781A"/>
    <w:rsid w:val="00D007DD"/>
    <w:rsid w:val="00D00C1F"/>
    <w:rsid w:val="00D0123B"/>
    <w:rsid w:val="00D0124E"/>
    <w:rsid w:val="00D01400"/>
    <w:rsid w:val="00D0146D"/>
    <w:rsid w:val="00D018BF"/>
    <w:rsid w:val="00D03690"/>
    <w:rsid w:val="00D03A13"/>
    <w:rsid w:val="00D042ED"/>
    <w:rsid w:val="00D0549D"/>
    <w:rsid w:val="00D10D45"/>
    <w:rsid w:val="00D10E7E"/>
    <w:rsid w:val="00D12759"/>
    <w:rsid w:val="00D134B4"/>
    <w:rsid w:val="00D141CA"/>
    <w:rsid w:val="00D144DB"/>
    <w:rsid w:val="00D14775"/>
    <w:rsid w:val="00D14E03"/>
    <w:rsid w:val="00D15CBA"/>
    <w:rsid w:val="00D15F44"/>
    <w:rsid w:val="00D20348"/>
    <w:rsid w:val="00D20876"/>
    <w:rsid w:val="00D22046"/>
    <w:rsid w:val="00D22349"/>
    <w:rsid w:val="00D229BB"/>
    <w:rsid w:val="00D22E21"/>
    <w:rsid w:val="00D22E33"/>
    <w:rsid w:val="00D23345"/>
    <w:rsid w:val="00D256A5"/>
    <w:rsid w:val="00D25D42"/>
    <w:rsid w:val="00D27744"/>
    <w:rsid w:val="00D2782B"/>
    <w:rsid w:val="00D30493"/>
    <w:rsid w:val="00D313F3"/>
    <w:rsid w:val="00D3173D"/>
    <w:rsid w:val="00D31A1E"/>
    <w:rsid w:val="00D32815"/>
    <w:rsid w:val="00D33CC1"/>
    <w:rsid w:val="00D348C4"/>
    <w:rsid w:val="00D34B7D"/>
    <w:rsid w:val="00D35E96"/>
    <w:rsid w:val="00D36ADC"/>
    <w:rsid w:val="00D36FA1"/>
    <w:rsid w:val="00D37C90"/>
    <w:rsid w:val="00D37D16"/>
    <w:rsid w:val="00D406E9"/>
    <w:rsid w:val="00D407FC"/>
    <w:rsid w:val="00D40A9E"/>
    <w:rsid w:val="00D42817"/>
    <w:rsid w:val="00D42E89"/>
    <w:rsid w:val="00D432AA"/>
    <w:rsid w:val="00D44AFF"/>
    <w:rsid w:val="00D45C72"/>
    <w:rsid w:val="00D45E39"/>
    <w:rsid w:val="00D469FC"/>
    <w:rsid w:val="00D46D76"/>
    <w:rsid w:val="00D472E2"/>
    <w:rsid w:val="00D50064"/>
    <w:rsid w:val="00D5026B"/>
    <w:rsid w:val="00D50372"/>
    <w:rsid w:val="00D50688"/>
    <w:rsid w:val="00D50D27"/>
    <w:rsid w:val="00D51431"/>
    <w:rsid w:val="00D54DEE"/>
    <w:rsid w:val="00D569FA"/>
    <w:rsid w:val="00D61A4B"/>
    <w:rsid w:val="00D6221E"/>
    <w:rsid w:val="00D62C48"/>
    <w:rsid w:val="00D63746"/>
    <w:rsid w:val="00D63A18"/>
    <w:rsid w:val="00D63D26"/>
    <w:rsid w:val="00D642AC"/>
    <w:rsid w:val="00D64317"/>
    <w:rsid w:val="00D64332"/>
    <w:rsid w:val="00D6470E"/>
    <w:rsid w:val="00D6471D"/>
    <w:rsid w:val="00D64B8D"/>
    <w:rsid w:val="00D676D5"/>
    <w:rsid w:val="00D7074F"/>
    <w:rsid w:val="00D72350"/>
    <w:rsid w:val="00D72666"/>
    <w:rsid w:val="00D739B8"/>
    <w:rsid w:val="00D7615A"/>
    <w:rsid w:val="00D7668C"/>
    <w:rsid w:val="00D77921"/>
    <w:rsid w:val="00D80E8F"/>
    <w:rsid w:val="00D81192"/>
    <w:rsid w:val="00D812C3"/>
    <w:rsid w:val="00D8231C"/>
    <w:rsid w:val="00D83358"/>
    <w:rsid w:val="00D835E1"/>
    <w:rsid w:val="00D83893"/>
    <w:rsid w:val="00D8409C"/>
    <w:rsid w:val="00D84D85"/>
    <w:rsid w:val="00D85D04"/>
    <w:rsid w:val="00D865B5"/>
    <w:rsid w:val="00D86BEE"/>
    <w:rsid w:val="00D9086E"/>
    <w:rsid w:val="00D908B0"/>
    <w:rsid w:val="00D90A5E"/>
    <w:rsid w:val="00D90AC4"/>
    <w:rsid w:val="00D91F1D"/>
    <w:rsid w:val="00D921A9"/>
    <w:rsid w:val="00D92629"/>
    <w:rsid w:val="00D9273B"/>
    <w:rsid w:val="00D92A18"/>
    <w:rsid w:val="00D92C50"/>
    <w:rsid w:val="00D934AD"/>
    <w:rsid w:val="00D947A8"/>
    <w:rsid w:val="00D948BC"/>
    <w:rsid w:val="00D95779"/>
    <w:rsid w:val="00D95BDB"/>
    <w:rsid w:val="00D97135"/>
    <w:rsid w:val="00D974B4"/>
    <w:rsid w:val="00D9768D"/>
    <w:rsid w:val="00D97ABA"/>
    <w:rsid w:val="00DA034F"/>
    <w:rsid w:val="00DA0624"/>
    <w:rsid w:val="00DA0919"/>
    <w:rsid w:val="00DA1412"/>
    <w:rsid w:val="00DA1EC9"/>
    <w:rsid w:val="00DA26A9"/>
    <w:rsid w:val="00DA3920"/>
    <w:rsid w:val="00DA54E4"/>
    <w:rsid w:val="00DA5723"/>
    <w:rsid w:val="00DA5F93"/>
    <w:rsid w:val="00DA61BD"/>
    <w:rsid w:val="00DA6905"/>
    <w:rsid w:val="00DA75F2"/>
    <w:rsid w:val="00DA7654"/>
    <w:rsid w:val="00DB02C7"/>
    <w:rsid w:val="00DB0329"/>
    <w:rsid w:val="00DB093A"/>
    <w:rsid w:val="00DB27B5"/>
    <w:rsid w:val="00DB390F"/>
    <w:rsid w:val="00DB3E92"/>
    <w:rsid w:val="00DB3EEC"/>
    <w:rsid w:val="00DB47E7"/>
    <w:rsid w:val="00DB4A0D"/>
    <w:rsid w:val="00DB4EE6"/>
    <w:rsid w:val="00DB4FB2"/>
    <w:rsid w:val="00DB5A8E"/>
    <w:rsid w:val="00DB5B03"/>
    <w:rsid w:val="00DB71F3"/>
    <w:rsid w:val="00DB72ED"/>
    <w:rsid w:val="00DC07FC"/>
    <w:rsid w:val="00DC0DEB"/>
    <w:rsid w:val="00DC1750"/>
    <w:rsid w:val="00DC5156"/>
    <w:rsid w:val="00DC555D"/>
    <w:rsid w:val="00DC61AA"/>
    <w:rsid w:val="00DC67AE"/>
    <w:rsid w:val="00DC6C83"/>
    <w:rsid w:val="00DC7379"/>
    <w:rsid w:val="00DC7A01"/>
    <w:rsid w:val="00DD02D8"/>
    <w:rsid w:val="00DD04DD"/>
    <w:rsid w:val="00DD244C"/>
    <w:rsid w:val="00DD2DD1"/>
    <w:rsid w:val="00DD4014"/>
    <w:rsid w:val="00DD457D"/>
    <w:rsid w:val="00DD4697"/>
    <w:rsid w:val="00DD4E6D"/>
    <w:rsid w:val="00DD5332"/>
    <w:rsid w:val="00DD5629"/>
    <w:rsid w:val="00DD754F"/>
    <w:rsid w:val="00DD79CB"/>
    <w:rsid w:val="00DE0F84"/>
    <w:rsid w:val="00DE1087"/>
    <w:rsid w:val="00DE11F7"/>
    <w:rsid w:val="00DE332C"/>
    <w:rsid w:val="00DE3EB0"/>
    <w:rsid w:val="00DE4569"/>
    <w:rsid w:val="00DE4D59"/>
    <w:rsid w:val="00DE5053"/>
    <w:rsid w:val="00DE5494"/>
    <w:rsid w:val="00DE589E"/>
    <w:rsid w:val="00DE7A3F"/>
    <w:rsid w:val="00DF054F"/>
    <w:rsid w:val="00DF056E"/>
    <w:rsid w:val="00DF0AD4"/>
    <w:rsid w:val="00DF0FEC"/>
    <w:rsid w:val="00DF11DF"/>
    <w:rsid w:val="00DF20A5"/>
    <w:rsid w:val="00DF38C4"/>
    <w:rsid w:val="00DF4B42"/>
    <w:rsid w:val="00DF6A39"/>
    <w:rsid w:val="00DF76A9"/>
    <w:rsid w:val="00E00565"/>
    <w:rsid w:val="00E0115C"/>
    <w:rsid w:val="00E02145"/>
    <w:rsid w:val="00E025EF"/>
    <w:rsid w:val="00E0280F"/>
    <w:rsid w:val="00E02ADD"/>
    <w:rsid w:val="00E02C7B"/>
    <w:rsid w:val="00E02EFF"/>
    <w:rsid w:val="00E03EE1"/>
    <w:rsid w:val="00E04484"/>
    <w:rsid w:val="00E04F03"/>
    <w:rsid w:val="00E051E2"/>
    <w:rsid w:val="00E05388"/>
    <w:rsid w:val="00E05831"/>
    <w:rsid w:val="00E0654D"/>
    <w:rsid w:val="00E1141D"/>
    <w:rsid w:val="00E117AC"/>
    <w:rsid w:val="00E11A07"/>
    <w:rsid w:val="00E11AEB"/>
    <w:rsid w:val="00E12668"/>
    <w:rsid w:val="00E127BA"/>
    <w:rsid w:val="00E15072"/>
    <w:rsid w:val="00E152DB"/>
    <w:rsid w:val="00E153BF"/>
    <w:rsid w:val="00E16A9E"/>
    <w:rsid w:val="00E171A7"/>
    <w:rsid w:val="00E21601"/>
    <w:rsid w:val="00E216FF"/>
    <w:rsid w:val="00E21F84"/>
    <w:rsid w:val="00E24462"/>
    <w:rsid w:val="00E25410"/>
    <w:rsid w:val="00E257F4"/>
    <w:rsid w:val="00E2641C"/>
    <w:rsid w:val="00E271FC"/>
    <w:rsid w:val="00E2765C"/>
    <w:rsid w:val="00E27835"/>
    <w:rsid w:val="00E27A61"/>
    <w:rsid w:val="00E27BC5"/>
    <w:rsid w:val="00E27C29"/>
    <w:rsid w:val="00E27D70"/>
    <w:rsid w:val="00E31809"/>
    <w:rsid w:val="00E319AC"/>
    <w:rsid w:val="00E321CF"/>
    <w:rsid w:val="00E32BCE"/>
    <w:rsid w:val="00E32E5E"/>
    <w:rsid w:val="00E34B48"/>
    <w:rsid w:val="00E35B99"/>
    <w:rsid w:val="00E36144"/>
    <w:rsid w:val="00E36338"/>
    <w:rsid w:val="00E3678B"/>
    <w:rsid w:val="00E367DF"/>
    <w:rsid w:val="00E36986"/>
    <w:rsid w:val="00E36A7D"/>
    <w:rsid w:val="00E36BAB"/>
    <w:rsid w:val="00E37263"/>
    <w:rsid w:val="00E405CC"/>
    <w:rsid w:val="00E41AE9"/>
    <w:rsid w:val="00E41BEE"/>
    <w:rsid w:val="00E44308"/>
    <w:rsid w:val="00E447BD"/>
    <w:rsid w:val="00E4510F"/>
    <w:rsid w:val="00E452F5"/>
    <w:rsid w:val="00E456F0"/>
    <w:rsid w:val="00E45F54"/>
    <w:rsid w:val="00E46AA8"/>
    <w:rsid w:val="00E47113"/>
    <w:rsid w:val="00E51134"/>
    <w:rsid w:val="00E52857"/>
    <w:rsid w:val="00E52B7D"/>
    <w:rsid w:val="00E54134"/>
    <w:rsid w:val="00E57E69"/>
    <w:rsid w:val="00E57F1B"/>
    <w:rsid w:val="00E604E2"/>
    <w:rsid w:val="00E60C83"/>
    <w:rsid w:val="00E60D8B"/>
    <w:rsid w:val="00E61854"/>
    <w:rsid w:val="00E61FEA"/>
    <w:rsid w:val="00E62207"/>
    <w:rsid w:val="00E623A9"/>
    <w:rsid w:val="00E62543"/>
    <w:rsid w:val="00E6255B"/>
    <w:rsid w:val="00E62AC1"/>
    <w:rsid w:val="00E62CDF"/>
    <w:rsid w:val="00E6362E"/>
    <w:rsid w:val="00E63707"/>
    <w:rsid w:val="00E63848"/>
    <w:rsid w:val="00E63C1C"/>
    <w:rsid w:val="00E64C2F"/>
    <w:rsid w:val="00E64FEB"/>
    <w:rsid w:val="00E65666"/>
    <w:rsid w:val="00E65F4D"/>
    <w:rsid w:val="00E66C49"/>
    <w:rsid w:val="00E66C54"/>
    <w:rsid w:val="00E6701C"/>
    <w:rsid w:val="00E673DE"/>
    <w:rsid w:val="00E6751A"/>
    <w:rsid w:val="00E6796F"/>
    <w:rsid w:val="00E717BD"/>
    <w:rsid w:val="00E71C11"/>
    <w:rsid w:val="00E7291B"/>
    <w:rsid w:val="00E755B3"/>
    <w:rsid w:val="00E771E1"/>
    <w:rsid w:val="00E77DB7"/>
    <w:rsid w:val="00E80A6C"/>
    <w:rsid w:val="00E80F2B"/>
    <w:rsid w:val="00E847F6"/>
    <w:rsid w:val="00E85430"/>
    <w:rsid w:val="00E856F4"/>
    <w:rsid w:val="00E865E4"/>
    <w:rsid w:val="00E866E6"/>
    <w:rsid w:val="00E87404"/>
    <w:rsid w:val="00E875B3"/>
    <w:rsid w:val="00E913FD"/>
    <w:rsid w:val="00E92276"/>
    <w:rsid w:val="00E92691"/>
    <w:rsid w:val="00E930E1"/>
    <w:rsid w:val="00E937DA"/>
    <w:rsid w:val="00E9485E"/>
    <w:rsid w:val="00E9514B"/>
    <w:rsid w:val="00E95173"/>
    <w:rsid w:val="00E9525F"/>
    <w:rsid w:val="00E957A3"/>
    <w:rsid w:val="00E96E83"/>
    <w:rsid w:val="00E97008"/>
    <w:rsid w:val="00E974FD"/>
    <w:rsid w:val="00EA01AE"/>
    <w:rsid w:val="00EA01E8"/>
    <w:rsid w:val="00EA021E"/>
    <w:rsid w:val="00EA1FCB"/>
    <w:rsid w:val="00EA29DC"/>
    <w:rsid w:val="00EA2A24"/>
    <w:rsid w:val="00EA2A7B"/>
    <w:rsid w:val="00EA5F43"/>
    <w:rsid w:val="00EA615A"/>
    <w:rsid w:val="00EA685F"/>
    <w:rsid w:val="00EA7E81"/>
    <w:rsid w:val="00EB0848"/>
    <w:rsid w:val="00EB2B7A"/>
    <w:rsid w:val="00EB2ECE"/>
    <w:rsid w:val="00EB4217"/>
    <w:rsid w:val="00EB422F"/>
    <w:rsid w:val="00EB52F2"/>
    <w:rsid w:val="00EB5695"/>
    <w:rsid w:val="00EB640C"/>
    <w:rsid w:val="00EB69AA"/>
    <w:rsid w:val="00EB748E"/>
    <w:rsid w:val="00EC0AB7"/>
    <w:rsid w:val="00EC1469"/>
    <w:rsid w:val="00EC1F6D"/>
    <w:rsid w:val="00EC2B58"/>
    <w:rsid w:val="00EC2F9F"/>
    <w:rsid w:val="00EC3DFB"/>
    <w:rsid w:val="00EC4AEE"/>
    <w:rsid w:val="00EC5BA7"/>
    <w:rsid w:val="00EC6A54"/>
    <w:rsid w:val="00EC7020"/>
    <w:rsid w:val="00EC7074"/>
    <w:rsid w:val="00EC77B3"/>
    <w:rsid w:val="00EC780B"/>
    <w:rsid w:val="00EC7FDE"/>
    <w:rsid w:val="00ED1EC8"/>
    <w:rsid w:val="00ED211A"/>
    <w:rsid w:val="00ED240D"/>
    <w:rsid w:val="00ED2C8B"/>
    <w:rsid w:val="00ED3B1E"/>
    <w:rsid w:val="00ED454E"/>
    <w:rsid w:val="00ED584B"/>
    <w:rsid w:val="00ED6A58"/>
    <w:rsid w:val="00EE0AF2"/>
    <w:rsid w:val="00EE0FED"/>
    <w:rsid w:val="00EE103E"/>
    <w:rsid w:val="00EE1690"/>
    <w:rsid w:val="00EE39F7"/>
    <w:rsid w:val="00EE3B2E"/>
    <w:rsid w:val="00EE3F53"/>
    <w:rsid w:val="00EE5447"/>
    <w:rsid w:val="00EE6A53"/>
    <w:rsid w:val="00EF10E3"/>
    <w:rsid w:val="00EF12FD"/>
    <w:rsid w:val="00EF14B8"/>
    <w:rsid w:val="00EF1F2C"/>
    <w:rsid w:val="00EF23D2"/>
    <w:rsid w:val="00EF324E"/>
    <w:rsid w:val="00EF3F1A"/>
    <w:rsid w:val="00EF4482"/>
    <w:rsid w:val="00EF459B"/>
    <w:rsid w:val="00EF49CA"/>
    <w:rsid w:val="00EF5342"/>
    <w:rsid w:val="00EF5910"/>
    <w:rsid w:val="00EF7323"/>
    <w:rsid w:val="00EF7631"/>
    <w:rsid w:val="00EF7C39"/>
    <w:rsid w:val="00EF7EFE"/>
    <w:rsid w:val="00F01045"/>
    <w:rsid w:val="00F01180"/>
    <w:rsid w:val="00F01BBB"/>
    <w:rsid w:val="00F01DB8"/>
    <w:rsid w:val="00F03C6E"/>
    <w:rsid w:val="00F04084"/>
    <w:rsid w:val="00F04E5A"/>
    <w:rsid w:val="00F05112"/>
    <w:rsid w:val="00F053AC"/>
    <w:rsid w:val="00F062C9"/>
    <w:rsid w:val="00F0659A"/>
    <w:rsid w:val="00F06EEF"/>
    <w:rsid w:val="00F07871"/>
    <w:rsid w:val="00F078D5"/>
    <w:rsid w:val="00F07C11"/>
    <w:rsid w:val="00F07C35"/>
    <w:rsid w:val="00F07E07"/>
    <w:rsid w:val="00F07EE1"/>
    <w:rsid w:val="00F10441"/>
    <w:rsid w:val="00F10E1F"/>
    <w:rsid w:val="00F114F9"/>
    <w:rsid w:val="00F11788"/>
    <w:rsid w:val="00F11919"/>
    <w:rsid w:val="00F13447"/>
    <w:rsid w:val="00F13738"/>
    <w:rsid w:val="00F13C4F"/>
    <w:rsid w:val="00F14015"/>
    <w:rsid w:val="00F1790E"/>
    <w:rsid w:val="00F1792E"/>
    <w:rsid w:val="00F201AD"/>
    <w:rsid w:val="00F20D37"/>
    <w:rsid w:val="00F20DB9"/>
    <w:rsid w:val="00F21544"/>
    <w:rsid w:val="00F21D1A"/>
    <w:rsid w:val="00F21EDD"/>
    <w:rsid w:val="00F223B9"/>
    <w:rsid w:val="00F2254F"/>
    <w:rsid w:val="00F231D4"/>
    <w:rsid w:val="00F232F5"/>
    <w:rsid w:val="00F235D6"/>
    <w:rsid w:val="00F23643"/>
    <w:rsid w:val="00F23FA4"/>
    <w:rsid w:val="00F272A2"/>
    <w:rsid w:val="00F306B2"/>
    <w:rsid w:val="00F3250F"/>
    <w:rsid w:val="00F32CCD"/>
    <w:rsid w:val="00F32D2B"/>
    <w:rsid w:val="00F33709"/>
    <w:rsid w:val="00F3376E"/>
    <w:rsid w:val="00F33974"/>
    <w:rsid w:val="00F33B4C"/>
    <w:rsid w:val="00F34459"/>
    <w:rsid w:val="00F3465A"/>
    <w:rsid w:val="00F34CEE"/>
    <w:rsid w:val="00F35255"/>
    <w:rsid w:val="00F35300"/>
    <w:rsid w:val="00F3595F"/>
    <w:rsid w:val="00F377B8"/>
    <w:rsid w:val="00F379A4"/>
    <w:rsid w:val="00F37B53"/>
    <w:rsid w:val="00F4319A"/>
    <w:rsid w:val="00F43AFF"/>
    <w:rsid w:val="00F43D24"/>
    <w:rsid w:val="00F448D2"/>
    <w:rsid w:val="00F44A21"/>
    <w:rsid w:val="00F44F01"/>
    <w:rsid w:val="00F45E87"/>
    <w:rsid w:val="00F45F0A"/>
    <w:rsid w:val="00F46D48"/>
    <w:rsid w:val="00F46FC9"/>
    <w:rsid w:val="00F50A73"/>
    <w:rsid w:val="00F514A2"/>
    <w:rsid w:val="00F5165D"/>
    <w:rsid w:val="00F518C8"/>
    <w:rsid w:val="00F51E10"/>
    <w:rsid w:val="00F521F8"/>
    <w:rsid w:val="00F529D8"/>
    <w:rsid w:val="00F52BCC"/>
    <w:rsid w:val="00F5326A"/>
    <w:rsid w:val="00F53524"/>
    <w:rsid w:val="00F5353F"/>
    <w:rsid w:val="00F5403D"/>
    <w:rsid w:val="00F56EAB"/>
    <w:rsid w:val="00F56F3C"/>
    <w:rsid w:val="00F57359"/>
    <w:rsid w:val="00F5756D"/>
    <w:rsid w:val="00F57A01"/>
    <w:rsid w:val="00F6021B"/>
    <w:rsid w:val="00F60686"/>
    <w:rsid w:val="00F609F7"/>
    <w:rsid w:val="00F61642"/>
    <w:rsid w:val="00F62565"/>
    <w:rsid w:val="00F62FB0"/>
    <w:rsid w:val="00F635B1"/>
    <w:rsid w:val="00F63767"/>
    <w:rsid w:val="00F63E1B"/>
    <w:rsid w:val="00F642BA"/>
    <w:rsid w:val="00F645C6"/>
    <w:rsid w:val="00F64677"/>
    <w:rsid w:val="00F64B28"/>
    <w:rsid w:val="00F66548"/>
    <w:rsid w:val="00F67101"/>
    <w:rsid w:val="00F679F8"/>
    <w:rsid w:val="00F70556"/>
    <w:rsid w:val="00F70773"/>
    <w:rsid w:val="00F70B85"/>
    <w:rsid w:val="00F71CF2"/>
    <w:rsid w:val="00F71D06"/>
    <w:rsid w:val="00F72E86"/>
    <w:rsid w:val="00F75058"/>
    <w:rsid w:val="00F7568A"/>
    <w:rsid w:val="00F75BD5"/>
    <w:rsid w:val="00F767D3"/>
    <w:rsid w:val="00F76AF3"/>
    <w:rsid w:val="00F76B78"/>
    <w:rsid w:val="00F77563"/>
    <w:rsid w:val="00F77D2C"/>
    <w:rsid w:val="00F8044F"/>
    <w:rsid w:val="00F80A71"/>
    <w:rsid w:val="00F80B40"/>
    <w:rsid w:val="00F81315"/>
    <w:rsid w:val="00F844D9"/>
    <w:rsid w:val="00F8576B"/>
    <w:rsid w:val="00F8615E"/>
    <w:rsid w:val="00F86DE8"/>
    <w:rsid w:val="00F86ECA"/>
    <w:rsid w:val="00F86F96"/>
    <w:rsid w:val="00F87B81"/>
    <w:rsid w:val="00F90034"/>
    <w:rsid w:val="00F903BE"/>
    <w:rsid w:val="00F903F4"/>
    <w:rsid w:val="00F92DF2"/>
    <w:rsid w:val="00F93033"/>
    <w:rsid w:val="00F93520"/>
    <w:rsid w:val="00F93858"/>
    <w:rsid w:val="00F93941"/>
    <w:rsid w:val="00F94A33"/>
    <w:rsid w:val="00F94DF9"/>
    <w:rsid w:val="00F95288"/>
    <w:rsid w:val="00F96737"/>
    <w:rsid w:val="00F968DF"/>
    <w:rsid w:val="00F96945"/>
    <w:rsid w:val="00F97A8B"/>
    <w:rsid w:val="00FA057A"/>
    <w:rsid w:val="00FA09ED"/>
    <w:rsid w:val="00FA169D"/>
    <w:rsid w:val="00FA227E"/>
    <w:rsid w:val="00FA3F7F"/>
    <w:rsid w:val="00FA4358"/>
    <w:rsid w:val="00FA46DC"/>
    <w:rsid w:val="00FA4D49"/>
    <w:rsid w:val="00FA539B"/>
    <w:rsid w:val="00FA67ED"/>
    <w:rsid w:val="00FA79F3"/>
    <w:rsid w:val="00FA7A16"/>
    <w:rsid w:val="00FB0E63"/>
    <w:rsid w:val="00FB3278"/>
    <w:rsid w:val="00FB47A2"/>
    <w:rsid w:val="00FB4D8A"/>
    <w:rsid w:val="00FB6218"/>
    <w:rsid w:val="00FB6B78"/>
    <w:rsid w:val="00FB7B0B"/>
    <w:rsid w:val="00FB7D1C"/>
    <w:rsid w:val="00FC0809"/>
    <w:rsid w:val="00FC0BFA"/>
    <w:rsid w:val="00FC0D40"/>
    <w:rsid w:val="00FC18A7"/>
    <w:rsid w:val="00FC2853"/>
    <w:rsid w:val="00FC285D"/>
    <w:rsid w:val="00FC34C0"/>
    <w:rsid w:val="00FC3544"/>
    <w:rsid w:val="00FC410A"/>
    <w:rsid w:val="00FC47AA"/>
    <w:rsid w:val="00FC4F69"/>
    <w:rsid w:val="00FC67B7"/>
    <w:rsid w:val="00FC67D2"/>
    <w:rsid w:val="00FC7237"/>
    <w:rsid w:val="00FD2D63"/>
    <w:rsid w:val="00FD4400"/>
    <w:rsid w:val="00FD455A"/>
    <w:rsid w:val="00FD50BB"/>
    <w:rsid w:val="00FD54F2"/>
    <w:rsid w:val="00FD5814"/>
    <w:rsid w:val="00FD656E"/>
    <w:rsid w:val="00FD67AF"/>
    <w:rsid w:val="00FD6C05"/>
    <w:rsid w:val="00FD6F43"/>
    <w:rsid w:val="00FE077E"/>
    <w:rsid w:val="00FE07E1"/>
    <w:rsid w:val="00FE0D60"/>
    <w:rsid w:val="00FE1ACD"/>
    <w:rsid w:val="00FE1D42"/>
    <w:rsid w:val="00FE2171"/>
    <w:rsid w:val="00FE433E"/>
    <w:rsid w:val="00FE4341"/>
    <w:rsid w:val="00FE4AF4"/>
    <w:rsid w:val="00FE4EBA"/>
    <w:rsid w:val="00FE5A73"/>
    <w:rsid w:val="00FE5BDD"/>
    <w:rsid w:val="00FE6C07"/>
    <w:rsid w:val="00FE6D6F"/>
    <w:rsid w:val="00FE75E2"/>
    <w:rsid w:val="00FF161D"/>
    <w:rsid w:val="00FF21B3"/>
    <w:rsid w:val="00FF24AE"/>
    <w:rsid w:val="00FF2CC8"/>
    <w:rsid w:val="00FF36A4"/>
    <w:rsid w:val="00FF455D"/>
    <w:rsid w:val="00FF4CA8"/>
    <w:rsid w:val="00FF666D"/>
    <w:rsid w:val="00FF6737"/>
    <w:rsid w:val="00FF7DCF"/>
    <w:rsid w:val="00FF7EF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45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4D1C46"/>
    <w:pPr>
      <w:spacing w:after="120" w:line="288" w:lineRule="auto"/>
      <w:jc w:val="both"/>
    </w:pPr>
    <w:rPr>
      <w:rFonts w:ascii="Calibri" w:hAnsi="Calibri" w:cs="Calibri"/>
      <w:sz w:val="24"/>
      <w:szCs w:val="24"/>
    </w:rPr>
  </w:style>
  <w:style w:type="paragraph" w:styleId="Cmsor1">
    <w:name w:val="heading 1"/>
    <w:basedOn w:val="Norml"/>
    <w:next w:val="Norml"/>
    <w:link w:val="Cmsor1Char"/>
    <w:qFormat/>
    <w:rsid w:val="004D1C46"/>
    <w:pPr>
      <w:keepNext/>
      <w:pageBreakBefore/>
      <w:numPr>
        <w:numId w:val="5"/>
      </w:numPr>
      <w:spacing w:after="480"/>
      <w:outlineLvl w:val="0"/>
    </w:pPr>
    <w:rPr>
      <w:rFonts w:eastAsiaTheme="majorEastAsia" w:cs="Arial"/>
      <w:b/>
      <w:bCs/>
      <w:color w:val="000000" w:themeColor="text1"/>
      <w:kern w:val="32"/>
      <w:sz w:val="36"/>
      <w:szCs w:val="32"/>
    </w:rPr>
  </w:style>
  <w:style w:type="paragraph" w:styleId="Cmsor2">
    <w:name w:val="heading 2"/>
    <w:basedOn w:val="Norml"/>
    <w:next w:val="Norml"/>
    <w:link w:val="Cmsor2Char"/>
    <w:qFormat/>
    <w:rsid w:val="004D1C46"/>
    <w:pPr>
      <w:keepNext/>
      <w:numPr>
        <w:ilvl w:val="1"/>
        <w:numId w:val="5"/>
      </w:numPr>
      <w:spacing w:before="360"/>
      <w:outlineLvl w:val="1"/>
    </w:pPr>
    <w:rPr>
      <w:rFonts w:eastAsiaTheme="majorEastAsia" w:cs="Arial"/>
      <w:b/>
      <w:bCs/>
      <w:iCs/>
      <w:sz w:val="32"/>
      <w:szCs w:val="26"/>
    </w:rPr>
  </w:style>
  <w:style w:type="paragraph" w:styleId="Cmsor3">
    <w:name w:val="heading 3"/>
    <w:basedOn w:val="Norml"/>
    <w:next w:val="Norml"/>
    <w:link w:val="Cmsor3Char"/>
    <w:qFormat/>
    <w:rsid w:val="004D1C46"/>
    <w:pPr>
      <w:keepNext/>
      <w:numPr>
        <w:ilvl w:val="2"/>
        <w:numId w:val="5"/>
      </w:numPr>
      <w:spacing w:before="240" w:after="60"/>
      <w:outlineLvl w:val="2"/>
    </w:pPr>
    <w:rPr>
      <w:rFonts w:eastAsiaTheme="majorEastAsia" w:cs="Arial"/>
      <w:bCs/>
      <w:color w:val="000000" w:themeColor="text1"/>
      <w:spacing w:val="20"/>
      <w:sz w:val="28"/>
      <w:szCs w:val="26"/>
    </w:rPr>
  </w:style>
  <w:style w:type="paragraph" w:styleId="Cmsor4">
    <w:name w:val="heading 4"/>
    <w:basedOn w:val="Norml"/>
    <w:next w:val="Norml"/>
    <w:link w:val="Cmsor4Char"/>
    <w:qFormat/>
    <w:rsid w:val="004D1C46"/>
    <w:pPr>
      <w:keepNext/>
      <w:numPr>
        <w:ilvl w:val="3"/>
        <w:numId w:val="5"/>
      </w:numPr>
      <w:spacing w:before="120" w:after="60"/>
      <w:ind w:left="864"/>
      <w:outlineLvl w:val="3"/>
    </w:pPr>
    <w:rPr>
      <w:rFonts w:eastAsiaTheme="majorEastAsia" w:cstheme="majorBidi"/>
      <w:b/>
      <w:bCs/>
      <w:color w:val="000000" w:themeColor="text1"/>
      <w:spacing w:val="20"/>
      <w:szCs w:val="28"/>
    </w:rPr>
  </w:style>
  <w:style w:type="paragraph" w:styleId="Cmsor5">
    <w:name w:val="heading 5"/>
    <w:basedOn w:val="Norml"/>
    <w:next w:val="Norml"/>
    <w:link w:val="Cmsor5Char"/>
    <w:uiPriority w:val="9"/>
    <w:unhideWhenUsed/>
    <w:rsid w:val="004B3B43"/>
    <w:pPr>
      <w:keepNext/>
      <w:keepLines/>
      <w:numPr>
        <w:ilvl w:val="4"/>
        <w:numId w:val="5"/>
      </w:numPr>
      <w:spacing w:before="200" w:after="0"/>
      <w:outlineLvl w:val="4"/>
    </w:pPr>
    <w:rPr>
      <w:rFonts w:asciiTheme="majorHAnsi" w:eastAsiaTheme="majorEastAsia" w:hAnsiTheme="majorHAnsi" w:cstheme="majorBidi"/>
      <w:color w:val="000000" w:themeColor="accent1" w:themeShade="7F"/>
    </w:rPr>
  </w:style>
  <w:style w:type="paragraph" w:styleId="Cmsor6">
    <w:name w:val="heading 6"/>
    <w:basedOn w:val="Norml"/>
    <w:next w:val="Norml"/>
    <w:link w:val="Cmsor6Char"/>
    <w:uiPriority w:val="9"/>
    <w:semiHidden/>
    <w:unhideWhenUsed/>
    <w:rsid w:val="00AF6E3D"/>
    <w:pPr>
      <w:keepNext/>
      <w:keepLines/>
      <w:numPr>
        <w:ilvl w:val="5"/>
        <w:numId w:val="5"/>
      </w:numPr>
      <w:spacing w:before="200" w:after="0"/>
      <w:outlineLvl w:val="5"/>
    </w:pPr>
    <w:rPr>
      <w:rFonts w:asciiTheme="majorHAnsi" w:eastAsiaTheme="majorEastAsia" w:hAnsiTheme="majorHAnsi" w:cstheme="majorBidi"/>
      <w:i/>
      <w:iCs/>
      <w:color w:val="000000" w:themeColor="accent1" w:themeShade="7F"/>
    </w:rPr>
  </w:style>
  <w:style w:type="paragraph" w:styleId="Cmsor7">
    <w:name w:val="heading 7"/>
    <w:basedOn w:val="Norml"/>
    <w:next w:val="Norml"/>
    <w:link w:val="Cmsor7Char"/>
    <w:uiPriority w:val="9"/>
    <w:semiHidden/>
    <w:unhideWhenUsed/>
    <w:rsid w:val="00AF6E3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rsid w:val="00AF6E3D"/>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rsid w:val="00AF6E3D"/>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D1C46"/>
    <w:rPr>
      <w:rFonts w:ascii="Calibri" w:eastAsiaTheme="majorEastAsia" w:hAnsi="Calibri" w:cs="Arial"/>
      <w:b/>
      <w:bCs/>
      <w:color w:val="000000" w:themeColor="text1"/>
      <w:kern w:val="32"/>
      <w:sz w:val="36"/>
      <w:szCs w:val="32"/>
    </w:rPr>
  </w:style>
  <w:style w:type="paragraph" w:styleId="Cm">
    <w:name w:val="Title"/>
    <w:basedOn w:val="Norml"/>
    <w:link w:val="CmChar"/>
    <w:qFormat/>
    <w:rsid w:val="004D1C46"/>
    <w:pPr>
      <w:jc w:val="center"/>
    </w:pPr>
    <w:rPr>
      <w:b/>
      <w:color w:val="000000" w:themeColor="text1"/>
      <w:sz w:val="40"/>
      <w:szCs w:val="48"/>
    </w:rPr>
  </w:style>
  <w:style w:type="character" w:customStyle="1" w:styleId="CmChar">
    <w:name w:val="Cím Char"/>
    <w:basedOn w:val="Bekezdsalapbettpusa"/>
    <w:link w:val="Cm"/>
    <w:rsid w:val="004D1C46"/>
    <w:rPr>
      <w:rFonts w:ascii="Calibri" w:hAnsi="Calibri" w:cs="Calibri"/>
      <w:b/>
      <w:color w:val="000000" w:themeColor="text1"/>
      <w:sz w:val="40"/>
      <w:szCs w:val="48"/>
    </w:rPr>
  </w:style>
  <w:style w:type="paragraph" w:styleId="Alcm">
    <w:name w:val="Subtitle"/>
    <w:basedOn w:val="Norml"/>
    <w:next w:val="Norml"/>
    <w:link w:val="AlcmChar"/>
    <w:qFormat/>
    <w:rsid w:val="004D1C46"/>
    <w:pPr>
      <w:jc w:val="center"/>
    </w:pPr>
    <w:rPr>
      <w:b/>
      <w:color w:val="000000" w:themeColor="text1"/>
      <w:sz w:val="28"/>
      <w:szCs w:val="40"/>
    </w:rPr>
  </w:style>
  <w:style w:type="character" w:customStyle="1" w:styleId="AlcmChar">
    <w:name w:val="Alcím Char"/>
    <w:basedOn w:val="Bekezdsalapbettpusa"/>
    <w:link w:val="Alcm"/>
    <w:rsid w:val="004D1C46"/>
    <w:rPr>
      <w:rFonts w:ascii="Calibri" w:hAnsi="Calibri" w:cs="Calibri"/>
      <w:b/>
      <w:color w:val="000000" w:themeColor="text1"/>
      <w:sz w:val="28"/>
      <w:szCs w:val="40"/>
    </w:rPr>
  </w:style>
  <w:style w:type="character" w:styleId="Hiperhivatkozs">
    <w:name w:val="Hyperlink"/>
    <w:basedOn w:val="Bekezdsalapbettpusa"/>
    <w:uiPriority w:val="99"/>
    <w:unhideWhenUsed/>
    <w:rsid w:val="00DE4D59"/>
    <w:rPr>
      <w:color w:val="B6A272" w:themeColor="hyperlink"/>
      <w:u w:val="single"/>
    </w:rPr>
  </w:style>
  <w:style w:type="paragraph" w:styleId="lfej">
    <w:name w:val="header"/>
    <w:basedOn w:val="Norml"/>
    <w:link w:val="lfejChar"/>
    <w:uiPriority w:val="99"/>
    <w:unhideWhenUsed/>
    <w:rsid w:val="00DE4D59"/>
    <w:pPr>
      <w:tabs>
        <w:tab w:val="center" w:pos="4536"/>
        <w:tab w:val="right" w:pos="9072"/>
      </w:tabs>
      <w:spacing w:after="0" w:line="240" w:lineRule="auto"/>
    </w:pPr>
  </w:style>
  <w:style w:type="character" w:customStyle="1" w:styleId="lfejChar">
    <w:name w:val="Élőfej Char"/>
    <w:basedOn w:val="Bekezdsalapbettpusa"/>
    <w:link w:val="lfej"/>
    <w:uiPriority w:val="99"/>
    <w:rsid w:val="00DE4D59"/>
    <w:rPr>
      <w:rFonts w:ascii="Calibri" w:eastAsia="Times New Roman" w:hAnsi="Calibri" w:cs="Calibri"/>
      <w:sz w:val="24"/>
      <w:szCs w:val="24"/>
    </w:rPr>
  </w:style>
  <w:style w:type="paragraph" w:styleId="llb">
    <w:name w:val="footer"/>
    <w:basedOn w:val="Norml"/>
    <w:link w:val="llbChar"/>
    <w:uiPriority w:val="99"/>
    <w:unhideWhenUsed/>
    <w:rsid w:val="00DE4D59"/>
    <w:pPr>
      <w:tabs>
        <w:tab w:val="center" w:pos="4536"/>
        <w:tab w:val="right" w:pos="9072"/>
      </w:tabs>
      <w:spacing w:after="0" w:line="240" w:lineRule="auto"/>
    </w:pPr>
  </w:style>
  <w:style w:type="character" w:customStyle="1" w:styleId="llbChar">
    <w:name w:val="Élőláb Char"/>
    <w:basedOn w:val="Bekezdsalapbettpusa"/>
    <w:link w:val="llb"/>
    <w:uiPriority w:val="99"/>
    <w:rsid w:val="00DE4D59"/>
    <w:rPr>
      <w:rFonts w:ascii="Calibri" w:eastAsia="Times New Roman" w:hAnsi="Calibri" w:cs="Calibri"/>
      <w:sz w:val="24"/>
      <w:szCs w:val="24"/>
    </w:rPr>
  </w:style>
  <w:style w:type="paragraph" w:styleId="TJ1">
    <w:name w:val="toc 1"/>
    <w:basedOn w:val="Norml"/>
    <w:next w:val="Norml"/>
    <w:autoRedefine/>
    <w:uiPriority w:val="39"/>
    <w:rsid w:val="00EC6A54"/>
    <w:pPr>
      <w:tabs>
        <w:tab w:val="left" w:pos="284"/>
        <w:tab w:val="right" w:leader="dot" w:pos="9072"/>
      </w:tabs>
      <w:spacing w:before="120" w:line="240" w:lineRule="auto"/>
      <w:ind w:right="-2570"/>
    </w:pPr>
    <w:rPr>
      <w:b/>
      <w:noProof/>
      <w:color w:val="000000" w:themeColor="text1"/>
    </w:rPr>
  </w:style>
  <w:style w:type="paragraph" w:styleId="TJ2">
    <w:name w:val="toc 2"/>
    <w:basedOn w:val="Norml"/>
    <w:next w:val="Norml"/>
    <w:autoRedefine/>
    <w:uiPriority w:val="39"/>
    <w:rsid w:val="000E7E25"/>
    <w:pPr>
      <w:tabs>
        <w:tab w:val="left" w:pos="709"/>
        <w:tab w:val="right" w:leader="dot" w:pos="9072"/>
      </w:tabs>
      <w:ind w:left="240"/>
    </w:pPr>
    <w:rPr>
      <w:b/>
      <w:i/>
      <w:noProof/>
      <w:szCs w:val="28"/>
    </w:rPr>
  </w:style>
  <w:style w:type="paragraph" w:styleId="TJ3">
    <w:name w:val="toc 3"/>
    <w:basedOn w:val="Norml"/>
    <w:next w:val="Norml"/>
    <w:autoRedefine/>
    <w:uiPriority w:val="39"/>
    <w:rsid w:val="002C28A4"/>
    <w:pPr>
      <w:tabs>
        <w:tab w:val="left" w:pos="1276"/>
        <w:tab w:val="right" w:leader="dot" w:pos="9199"/>
      </w:tabs>
      <w:spacing w:after="100"/>
      <w:ind w:left="240" w:right="-127"/>
    </w:pPr>
  </w:style>
  <w:style w:type="character" w:customStyle="1" w:styleId="Cmsor2Char">
    <w:name w:val="Címsor 2 Char"/>
    <w:basedOn w:val="Bekezdsalapbettpusa"/>
    <w:link w:val="Cmsor2"/>
    <w:rsid w:val="004D1C46"/>
    <w:rPr>
      <w:rFonts w:ascii="Calibri" w:eastAsiaTheme="majorEastAsia" w:hAnsi="Calibri" w:cs="Arial"/>
      <w:b/>
      <w:bCs/>
      <w:iCs/>
      <w:sz w:val="32"/>
      <w:szCs w:val="26"/>
    </w:rPr>
  </w:style>
  <w:style w:type="character" w:customStyle="1" w:styleId="Cmsor3Char">
    <w:name w:val="Címsor 3 Char"/>
    <w:basedOn w:val="Bekezdsalapbettpusa"/>
    <w:link w:val="Cmsor3"/>
    <w:rsid w:val="004D1C46"/>
    <w:rPr>
      <w:rFonts w:ascii="Calibri" w:eastAsiaTheme="majorEastAsia" w:hAnsi="Calibri" w:cs="Arial"/>
      <w:bCs/>
      <w:color w:val="000000" w:themeColor="text1"/>
      <w:spacing w:val="20"/>
      <w:sz w:val="28"/>
      <w:szCs w:val="26"/>
    </w:rPr>
  </w:style>
  <w:style w:type="character" w:customStyle="1" w:styleId="Cmsor4Char">
    <w:name w:val="Címsor 4 Char"/>
    <w:basedOn w:val="Bekezdsalapbettpusa"/>
    <w:link w:val="Cmsor4"/>
    <w:rsid w:val="004D1C46"/>
    <w:rPr>
      <w:rFonts w:ascii="Calibri" w:eastAsiaTheme="majorEastAsia" w:hAnsi="Calibri" w:cstheme="majorBidi"/>
      <w:b/>
      <w:bCs/>
      <w:color w:val="000000" w:themeColor="text1"/>
      <w:spacing w:val="20"/>
      <w:sz w:val="24"/>
      <w:szCs w:val="28"/>
    </w:rPr>
  </w:style>
  <w:style w:type="paragraph" w:customStyle="1" w:styleId="Tblacm">
    <w:name w:val="Táblacím"/>
    <w:basedOn w:val="Norml"/>
    <w:link w:val="TblacmChar"/>
    <w:qFormat/>
    <w:rsid w:val="00FB6B78"/>
    <w:pPr>
      <w:numPr>
        <w:numId w:val="4"/>
      </w:numPr>
      <w:tabs>
        <w:tab w:val="left" w:pos="284"/>
      </w:tabs>
    </w:pPr>
    <w:rPr>
      <w:rFonts w:cs="Times New Roman"/>
      <w:i/>
    </w:rPr>
  </w:style>
  <w:style w:type="paragraph" w:customStyle="1" w:styleId="Forrs">
    <w:name w:val="Forrás"/>
    <w:basedOn w:val="Norml"/>
    <w:link w:val="ForrsChar"/>
    <w:qFormat/>
    <w:rsid w:val="004D1C46"/>
    <w:pPr>
      <w:spacing w:after="360" w:line="240" w:lineRule="auto"/>
      <w:jc w:val="left"/>
    </w:pPr>
    <w:rPr>
      <w:rFonts w:cs="Times New Roman"/>
      <w:i/>
      <w:sz w:val="20"/>
    </w:rPr>
  </w:style>
  <w:style w:type="character" w:customStyle="1" w:styleId="ForrsChar">
    <w:name w:val="Forrás Char"/>
    <w:basedOn w:val="Bekezdsalapbettpusa"/>
    <w:link w:val="Forrs"/>
    <w:rsid w:val="004D1C46"/>
    <w:rPr>
      <w:rFonts w:ascii="Calibri" w:hAnsi="Calibri"/>
      <w:i/>
      <w:szCs w:val="24"/>
    </w:rPr>
  </w:style>
  <w:style w:type="paragraph" w:customStyle="1" w:styleId="Abracim">
    <w:name w:val="Abracim"/>
    <w:basedOn w:val="Norml"/>
    <w:link w:val="AbracimChar"/>
    <w:qFormat/>
    <w:rsid w:val="004D1C46"/>
    <w:pPr>
      <w:keepNext/>
      <w:numPr>
        <w:numId w:val="1"/>
      </w:numPr>
      <w:spacing w:after="0"/>
      <w:ind w:left="360"/>
      <w:jc w:val="center"/>
    </w:pPr>
    <w:rPr>
      <w:rFonts w:cs="Times New Roman"/>
      <w:smallCaps/>
      <w:spacing w:val="20"/>
      <w:kern w:val="16"/>
      <w:sz w:val="22"/>
    </w:rPr>
  </w:style>
  <w:style w:type="character" w:customStyle="1" w:styleId="AbracimChar">
    <w:name w:val="Abracim Char"/>
    <w:basedOn w:val="Bekezdsalapbettpusa"/>
    <w:link w:val="Abracim"/>
    <w:rsid w:val="004D1C46"/>
    <w:rPr>
      <w:rFonts w:ascii="Calibri" w:hAnsi="Calibri"/>
      <w:smallCaps/>
      <w:spacing w:val="20"/>
      <w:kern w:val="16"/>
      <w:sz w:val="22"/>
      <w:szCs w:val="24"/>
    </w:rPr>
  </w:style>
  <w:style w:type="table" w:customStyle="1" w:styleId="SzzadvgGazdasgkutattblasablon">
    <w:name w:val="Századvég Gazdaságkutató tábla sablon"/>
    <w:basedOn w:val="Normltblzat"/>
    <w:uiPriority w:val="99"/>
    <w:qFormat/>
    <w:rsid w:val="00C3070F"/>
    <w:pPr>
      <w:jc w:val="center"/>
    </w:pPr>
    <w:rPr>
      <w:rFonts w:ascii="Calibri" w:hAnsi="Calibri"/>
      <w:lang w:eastAsia="hu-HU"/>
    </w:rPr>
    <w:tblPr>
      <w:tblStyleRowBandSize w:val="1"/>
    </w:tblPr>
    <w:tcPr>
      <w:vAlign w:val="center"/>
    </w:tcPr>
    <w:tblStylePr w:type="firstRow">
      <w:pPr>
        <w:jc w:val="center"/>
      </w:pPr>
      <w:rPr>
        <w:rFonts w:ascii="Calibri" w:hAnsi="Calibri"/>
        <w:b w:val="0"/>
        <w:sz w:val="24"/>
      </w:rPr>
      <w:tblPr/>
      <w:tcPr>
        <w:tcBorders>
          <w:top w:val="single" w:sz="18" w:space="0" w:color="auto"/>
          <w:left w:val="nil"/>
          <w:bottom w:val="single" w:sz="18" w:space="0" w:color="auto"/>
          <w:right w:val="nil"/>
          <w:insideH w:val="nil"/>
          <w:insideV w:val="nil"/>
          <w:tl2br w:val="nil"/>
          <w:tr2bl w:val="nil"/>
        </w:tcBorders>
        <w:shd w:val="clear" w:color="auto" w:fill="666666" w:themeFill="accent1" w:themeFillTint="99"/>
        <w:vAlign w:val="center"/>
      </w:tcPr>
    </w:tblStylePr>
    <w:tblStylePr w:type="firstCol">
      <w:pPr>
        <w:jc w:val="left"/>
      </w:pPr>
      <w:rPr>
        <w:rFonts w:ascii="Calibri" w:hAnsi="Calibri"/>
        <w:sz w:val="20"/>
      </w:rPr>
      <w:tblPr/>
      <w:tcPr>
        <w:tcBorders>
          <w:top w:val="nil"/>
          <w:left w:val="nil"/>
          <w:bottom w:val="single" w:sz="6" w:space="0" w:color="auto"/>
          <w:right w:val="nil"/>
          <w:insideH w:val="single" w:sz="6" w:space="0" w:color="auto"/>
          <w:insideV w:val="nil"/>
          <w:tl2br w:val="nil"/>
          <w:tr2bl w:val="nil"/>
        </w:tcBorders>
      </w:tcPr>
    </w:tblStylePr>
    <w:tblStylePr w:type="band1Horz">
      <w:pPr>
        <w:jc w:val="center"/>
      </w:pPr>
      <w:rPr>
        <w:rFonts w:ascii="Calibri" w:hAnsi="Calibri"/>
        <w:sz w:val="20"/>
      </w:rPr>
      <w:tblPr/>
      <w:tcPr>
        <w:tcBorders>
          <w:top w:val="nil"/>
          <w:left w:val="nil"/>
          <w:bottom w:val="single" w:sz="6" w:space="0" w:color="auto"/>
          <w:right w:val="nil"/>
          <w:insideH w:val="nil"/>
          <w:insideV w:val="nil"/>
          <w:tl2br w:val="nil"/>
          <w:tr2bl w:val="nil"/>
        </w:tcBorders>
        <w:shd w:val="clear" w:color="auto" w:fill="FFFFFF" w:themeFill="background1"/>
      </w:tcPr>
    </w:tblStylePr>
    <w:tblStylePr w:type="band2Horz">
      <w:rPr>
        <w:rFonts w:ascii="Calibri" w:hAnsi="Calibri"/>
        <w:sz w:val="20"/>
      </w:rPr>
      <w:tblPr/>
      <w:tcPr>
        <w:tcBorders>
          <w:top w:val="nil"/>
          <w:left w:val="nil"/>
          <w:bottom w:val="single" w:sz="6" w:space="0" w:color="auto"/>
          <w:right w:val="nil"/>
          <w:insideH w:val="nil"/>
          <w:insideV w:val="nil"/>
          <w:tl2br w:val="nil"/>
          <w:tr2bl w:val="nil"/>
        </w:tcBorders>
        <w:shd w:val="clear" w:color="auto" w:fill="CCCCCC" w:themeFill="accent1" w:themeFillTint="33"/>
      </w:tcPr>
    </w:tblStylePr>
  </w:style>
  <w:style w:type="paragraph" w:styleId="Lbjegyzetszveg">
    <w:name w:val="footnote text"/>
    <w:aliases w:val="Footnote,Char1,Char1 Char,Schriftart: 9 pt,Schriftart: 10 pt,Schriftart: 8 pt,WB-Fußnotentext,Podrozdział,Tekst przypisu Znak Znak Znak Znak,Tekst przypisu Znak Znak Znak Znak Znak,Tekst przypisu Znak Znak Znak Znak Znak Znak Znak, Char"/>
    <w:basedOn w:val="Norml"/>
    <w:link w:val="LbjegyzetszvegChar"/>
    <w:uiPriority w:val="99"/>
    <w:unhideWhenUsed/>
    <w:rsid w:val="00C3070F"/>
    <w:pPr>
      <w:spacing w:after="0" w:line="240" w:lineRule="auto"/>
    </w:pPr>
    <w:rPr>
      <w:sz w:val="20"/>
      <w:szCs w:val="20"/>
      <w:lang w:eastAsia="hu-HU"/>
    </w:rPr>
  </w:style>
  <w:style w:type="character" w:customStyle="1" w:styleId="LbjegyzetszvegChar">
    <w:name w:val="Lábjegyzetszöveg Char"/>
    <w:aliases w:val="Footnote Char,Char1 Char1,Char1 Char Char,Schriftart: 9 pt Char,Schriftart: 10 pt Char,Schriftart: 8 pt Char,WB-Fußnotentext Char,Podrozdział Char,Tekst przypisu Znak Znak Znak Znak Char,Tekst przypisu Znak Znak Znak Znak Znak Char"/>
    <w:basedOn w:val="Bekezdsalapbettpusa"/>
    <w:link w:val="Lbjegyzetszveg"/>
    <w:uiPriority w:val="99"/>
    <w:rsid w:val="00C3070F"/>
    <w:rPr>
      <w:rFonts w:ascii="Calibri" w:eastAsia="Times New Roman" w:hAnsi="Calibri" w:cs="Calibri"/>
      <w:sz w:val="20"/>
      <w:szCs w:val="20"/>
      <w:lang w:eastAsia="hu-HU"/>
    </w:rPr>
  </w:style>
  <w:style w:type="character" w:styleId="Lbjegyzet-hivatkozs">
    <w:name w:val="footnote reference"/>
    <w:aliases w:val="Footnote symbol,Times 10 Point,Exposant 3 Point,Footnote Reference Number, Exposant 3 Point,Voetnootverwijzing,Footnote reference number,note TESI,SUPERS,EN Footnote Reference,Ref,de nota al pie,Footnote number,callout,BVI fnr"/>
    <w:basedOn w:val="Bekezdsalapbettpusa"/>
    <w:link w:val="denotaalpi"/>
    <w:uiPriority w:val="99"/>
    <w:unhideWhenUsed/>
    <w:qFormat/>
    <w:rsid w:val="00C3070F"/>
    <w:rPr>
      <w:vertAlign w:val="superscript"/>
    </w:rPr>
  </w:style>
  <w:style w:type="paragraph" w:styleId="Buborkszveg">
    <w:name w:val="Balloon Text"/>
    <w:basedOn w:val="Norml"/>
    <w:link w:val="BuborkszvegChar"/>
    <w:uiPriority w:val="99"/>
    <w:unhideWhenUsed/>
    <w:rsid w:val="00C3070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C3070F"/>
    <w:rPr>
      <w:rFonts w:ascii="Tahoma" w:eastAsia="Times New Roman" w:hAnsi="Tahoma" w:cs="Tahoma"/>
      <w:sz w:val="16"/>
      <w:szCs w:val="16"/>
    </w:rPr>
  </w:style>
  <w:style w:type="paragraph" w:customStyle="1" w:styleId="felsorols">
    <w:name w:val="felsorolás"/>
    <w:basedOn w:val="Listaszerbekezds"/>
    <w:link w:val="felsorolsChar1"/>
    <w:rsid w:val="00FC3544"/>
    <w:pPr>
      <w:spacing w:after="60"/>
      <w:ind w:hanging="360"/>
    </w:pPr>
    <w:rPr>
      <w:rFonts w:cs="Times New Roman"/>
    </w:rPr>
  </w:style>
  <w:style w:type="character" w:customStyle="1" w:styleId="felsorolsChar1">
    <w:name w:val="felsorolás Char1"/>
    <w:basedOn w:val="Bekezdsalapbettpusa"/>
    <w:link w:val="felsorols"/>
    <w:rsid w:val="00FC3544"/>
    <w:rPr>
      <w:rFonts w:ascii="Calibri" w:hAnsi="Calibri"/>
      <w:sz w:val="24"/>
      <w:szCs w:val="24"/>
    </w:rPr>
  </w:style>
  <w:style w:type="paragraph" w:styleId="Listaszerbekezds">
    <w:name w:val="List Paragraph"/>
    <w:aliases w:val="Számozás,List Paragraph à moi,Dot pt,List Paragraph Char Char Char,Indicator Text,Numbered Para 1,Listaszerű bekezdés 1. szint,Számozott lista 1,Eszeri felsorolás,lista_2,Welt L,Bullet List,FooterText,numbered,Normal bullet 2,列出段落"/>
    <w:basedOn w:val="Norml"/>
    <w:link w:val="ListaszerbekezdsChar"/>
    <w:uiPriority w:val="34"/>
    <w:qFormat/>
    <w:rsid w:val="00C3070F"/>
    <w:pPr>
      <w:ind w:left="720"/>
      <w:contextualSpacing/>
    </w:pPr>
  </w:style>
  <w:style w:type="paragraph" w:customStyle="1" w:styleId="szmozott">
    <w:name w:val="számozott"/>
    <w:basedOn w:val="felsorols"/>
    <w:link w:val="szmozottChar"/>
    <w:rsid w:val="00FC3544"/>
    <w:pPr>
      <w:ind w:left="0" w:firstLine="0"/>
    </w:pPr>
  </w:style>
  <w:style w:type="character" w:customStyle="1" w:styleId="szmozottChar">
    <w:name w:val="számozott Char"/>
    <w:basedOn w:val="felsorolsChar1"/>
    <w:link w:val="szmozott"/>
    <w:rsid w:val="00FC3544"/>
    <w:rPr>
      <w:rFonts w:ascii="Calibri" w:hAnsi="Calibri"/>
      <w:sz w:val="24"/>
      <w:szCs w:val="24"/>
    </w:rPr>
  </w:style>
  <w:style w:type="paragraph" w:customStyle="1" w:styleId="Fenntabla">
    <w:name w:val="Fenn_tabla"/>
    <w:basedOn w:val="Fenntabra"/>
    <w:link w:val="FenntablaChar"/>
    <w:rsid w:val="00FC3544"/>
    <w:pPr>
      <w:numPr>
        <w:numId w:val="2"/>
      </w:numPr>
      <w:ind w:left="1077"/>
    </w:pPr>
    <w:rPr>
      <w:kern w:val="24"/>
    </w:rPr>
  </w:style>
  <w:style w:type="character" w:customStyle="1" w:styleId="FenntablaChar">
    <w:name w:val="Fenn_tabla Char"/>
    <w:basedOn w:val="FenntabraChar"/>
    <w:link w:val="Fenntabla"/>
    <w:rsid w:val="00FC3544"/>
    <w:rPr>
      <w:rFonts w:ascii="Calibri" w:hAnsi="Calibri"/>
      <w:b/>
      <w:kern w:val="24"/>
      <w:sz w:val="24"/>
      <w:szCs w:val="24"/>
    </w:rPr>
  </w:style>
  <w:style w:type="paragraph" w:customStyle="1" w:styleId="Fenntabra">
    <w:name w:val="Fennt_abra"/>
    <w:basedOn w:val="szmozott"/>
    <w:link w:val="FenntabraChar"/>
    <w:rsid w:val="00FC3544"/>
    <w:pPr>
      <w:numPr>
        <w:numId w:val="3"/>
      </w:numPr>
      <w:spacing w:before="240"/>
      <w:jc w:val="center"/>
    </w:pPr>
    <w:rPr>
      <w:b/>
    </w:rPr>
  </w:style>
  <w:style w:type="character" w:customStyle="1" w:styleId="FenntabraChar">
    <w:name w:val="Fennt_abra Char"/>
    <w:basedOn w:val="szmozottChar"/>
    <w:link w:val="Fenntabra"/>
    <w:rsid w:val="00FC3544"/>
    <w:rPr>
      <w:rFonts w:ascii="Calibri" w:hAnsi="Calibri"/>
      <w:b/>
      <w:sz w:val="24"/>
      <w:szCs w:val="24"/>
    </w:rPr>
  </w:style>
  <w:style w:type="paragraph" w:styleId="Kpalrs">
    <w:name w:val="caption"/>
    <w:basedOn w:val="Norml"/>
    <w:next w:val="Norml"/>
    <w:uiPriority w:val="35"/>
    <w:unhideWhenUsed/>
    <w:qFormat/>
    <w:rsid w:val="004D1C46"/>
    <w:pPr>
      <w:spacing w:after="200" w:line="240" w:lineRule="auto"/>
    </w:pPr>
    <w:rPr>
      <w:rFonts w:cs="Times New Roman"/>
      <w:b/>
      <w:bCs/>
      <w:color w:val="000000" w:themeColor="accent1"/>
      <w:sz w:val="18"/>
      <w:szCs w:val="18"/>
    </w:rPr>
  </w:style>
  <w:style w:type="paragraph" w:styleId="Tartalomjegyzkcmsora">
    <w:name w:val="TOC Heading"/>
    <w:basedOn w:val="Cmsor1"/>
    <w:next w:val="Norml"/>
    <w:uiPriority w:val="39"/>
    <w:semiHidden/>
    <w:unhideWhenUsed/>
    <w:qFormat/>
    <w:rsid w:val="004D1C46"/>
    <w:pPr>
      <w:keepLines/>
      <w:pageBreakBefore w:val="0"/>
      <w:spacing w:before="480" w:after="0"/>
      <w:outlineLvl w:val="9"/>
    </w:pPr>
    <w:rPr>
      <w:rFonts w:cstheme="majorBidi"/>
      <w:kern w:val="0"/>
      <w:sz w:val="24"/>
      <w:szCs w:val="28"/>
    </w:rPr>
  </w:style>
  <w:style w:type="character" w:customStyle="1" w:styleId="ListaszerbekezdsChar">
    <w:name w:val="Listaszerű bekezdés Char"/>
    <w:aliases w:val="Számozás Char,List Paragraph à moi Char,Dot pt Char,List Paragraph Char Char Char Char,Indicator Text Char,Numbered Para 1 Char,Listaszerű bekezdés 1. szint Char,Számozott lista 1 Char,Eszeri felsorolás Char,lista_2 Char"/>
    <w:basedOn w:val="Bekezdsalapbettpusa"/>
    <w:link w:val="Listaszerbekezds"/>
    <w:uiPriority w:val="34"/>
    <w:qFormat/>
    <w:locked/>
    <w:rsid w:val="00C3070F"/>
    <w:rPr>
      <w:rFonts w:ascii="Calibri" w:hAnsi="Calibri" w:cs="Calibri"/>
      <w:sz w:val="24"/>
      <w:szCs w:val="24"/>
    </w:rPr>
  </w:style>
  <w:style w:type="character" w:styleId="Jegyzethivatkozs">
    <w:name w:val="annotation reference"/>
    <w:basedOn w:val="Bekezdsalapbettpusa"/>
    <w:unhideWhenUsed/>
    <w:rsid w:val="00D256A5"/>
    <w:rPr>
      <w:sz w:val="16"/>
      <w:szCs w:val="16"/>
    </w:rPr>
  </w:style>
  <w:style w:type="paragraph" w:styleId="Jegyzetszveg">
    <w:name w:val="annotation text"/>
    <w:basedOn w:val="Norml"/>
    <w:link w:val="JegyzetszvegChar"/>
    <w:unhideWhenUsed/>
    <w:rsid w:val="00D256A5"/>
    <w:pPr>
      <w:spacing w:line="240" w:lineRule="auto"/>
    </w:pPr>
    <w:rPr>
      <w:sz w:val="20"/>
      <w:szCs w:val="20"/>
    </w:rPr>
  </w:style>
  <w:style w:type="character" w:customStyle="1" w:styleId="JegyzetszvegChar">
    <w:name w:val="Jegyzetszöveg Char"/>
    <w:basedOn w:val="Bekezdsalapbettpusa"/>
    <w:link w:val="Jegyzetszveg"/>
    <w:rsid w:val="00D256A5"/>
    <w:rPr>
      <w:rFonts w:ascii="Calibri" w:hAnsi="Calibri" w:cs="Calibri"/>
    </w:rPr>
  </w:style>
  <w:style w:type="paragraph" w:styleId="Megjegyzstrgya">
    <w:name w:val="annotation subject"/>
    <w:basedOn w:val="Jegyzetszveg"/>
    <w:next w:val="Jegyzetszveg"/>
    <w:link w:val="MegjegyzstrgyaChar"/>
    <w:uiPriority w:val="99"/>
    <w:semiHidden/>
    <w:unhideWhenUsed/>
    <w:rsid w:val="00D256A5"/>
    <w:rPr>
      <w:b/>
      <w:bCs/>
    </w:rPr>
  </w:style>
  <w:style w:type="character" w:customStyle="1" w:styleId="MegjegyzstrgyaChar">
    <w:name w:val="Megjegyzés tárgya Char"/>
    <w:basedOn w:val="JegyzetszvegChar"/>
    <w:link w:val="Megjegyzstrgya"/>
    <w:uiPriority w:val="99"/>
    <w:semiHidden/>
    <w:rsid w:val="00D256A5"/>
    <w:rPr>
      <w:rFonts w:ascii="Calibri" w:hAnsi="Calibri" w:cs="Calibri"/>
      <w:b/>
      <w:bCs/>
    </w:rPr>
  </w:style>
  <w:style w:type="paragraph" w:styleId="Vltozat">
    <w:name w:val="Revision"/>
    <w:hidden/>
    <w:uiPriority w:val="99"/>
    <w:semiHidden/>
    <w:rsid w:val="00D256A5"/>
    <w:rPr>
      <w:rFonts w:ascii="Calibri" w:hAnsi="Calibri" w:cs="Calibri"/>
      <w:sz w:val="24"/>
      <w:szCs w:val="24"/>
    </w:rPr>
  </w:style>
  <w:style w:type="paragraph" w:styleId="NormlWeb">
    <w:name w:val="Normal (Web)"/>
    <w:basedOn w:val="Norml"/>
    <w:uiPriority w:val="99"/>
    <w:semiHidden/>
    <w:unhideWhenUsed/>
    <w:rsid w:val="007B57CE"/>
    <w:pPr>
      <w:spacing w:before="100" w:beforeAutospacing="1" w:after="100" w:afterAutospacing="1" w:line="240" w:lineRule="auto"/>
      <w:jc w:val="left"/>
    </w:pPr>
    <w:rPr>
      <w:rFonts w:ascii="Times New Roman" w:eastAsiaTheme="minorEastAsia" w:hAnsi="Times New Roman" w:cs="Times New Roman"/>
      <w:lang w:eastAsia="hu-HU"/>
    </w:rPr>
  </w:style>
  <w:style w:type="character" w:styleId="Mrltotthiperhivatkozs">
    <w:name w:val="FollowedHyperlink"/>
    <w:basedOn w:val="Bekezdsalapbettpusa"/>
    <w:uiPriority w:val="99"/>
    <w:semiHidden/>
    <w:unhideWhenUsed/>
    <w:rsid w:val="001C4905"/>
    <w:rPr>
      <w:color w:val="8A784F" w:themeColor="followedHyperlink"/>
      <w:u w:val="single"/>
    </w:rPr>
  </w:style>
  <w:style w:type="table" w:customStyle="1" w:styleId="angol1">
    <w:name w:val="angol1"/>
    <w:uiPriority w:val="99"/>
    <w:qFormat/>
    <w:rsid w:val="007F2184"/>
    <w:pPr>
      <w:jc w:val="center"/>
    </w:pPr>
    <w:rPr>
      <w:rFonts w:ascii="Calibri" w:hAnsi="Calibri"/>
      <w:lang w:val="en-US" w:eastAsia="hu-HU"/>
    </w:rPr>
    <w:tblPr>
      <w:tblStyleRowBandSize w:val="1"/>
      <w:tblCellMar>
        <w:top w:w="0" w:type="dxa"/>
        <w:left w:w="108" w:type="dxa"/>
        <w:bottom w:w="0" w:type="dxa"/>
        <w:right w:w="108" w:type="dxa"/>
      </w:tblCellMar>
    </w:tblPr>
    <w:tblStylePr w:type="firstRow">
      <w:pPr>
        <w:jc w:val="center"/>
      </w:pPr>
      <w:rPr>
        <w:rFonts w:ascii="Franklin Gothic Book" w:hAnsi="Franklin Gothic Book" w:cs="Times New Roman"/>
        <w:b w:val="0"/>
        <w:sz w:val="24"/>
      </w:rPr>
      <w:tblPr/>
      <w:tcPr>
        <w:tcBorders>
          <w:top w:val="single" w:sz="18" w:space="0" w:color="auto"/>
          <w:left w:val="nil"/>
          <w:bottom w:val="single" w:sz="18" w:space="0" w:color="auto"/>
          <w:right w:val="nil"/>
          <w:insideH w:val="nil"/>
          <w:insideV w:val="nil"/>
          <w:tl2br w:val="nil"/>
          <w:tr2bl w:val="nil"/>
        </w:tcBorders>
        <w:shd w:val="clear" w:color="auto" w:fill="95B3D7"/>
      </w:tcPr>
    </w:tblStylePr>
    <w:tblStylePr w:type="firstCol">
      <w:pPr>
        <w:jc w:val="left"/>
      </w:pPr>
      <w:rPr>
        <w:rFonts w:ascii="Franklin Gothic Book" w:hAnsi="Franklin Gothic Book" w:cs="Times New Roman"/>
        <w:sz w:val="20"/>
      </w:rPr>
      <w:tblPr/>
      <w:tcPr>
        <w:tcBorders>
          <w:top w:val="nil"/>
          <w:left w:val="nil"/>
          <w:bottom w:val="single" w:sz="6" w:space="0" w:color="auto"/>
          <w:right w:val="nil"/>
          <w:insideH w:val="single" w:sz="6" w:space="0" w:color="auto"/>
          <w:insideV w:val="nil"/>
          <w:tl2br w:val="nil"/>
          <w:tr2bl w:val="nil"/>
        </w:tcBorders>
      </w:tcPr>
    </w:tblStylePr>
    <w:tblStylePr w:type="band1Horz">
      <w:pPr>
        <w:jc w:val="center"/>
      </w:pPr>
      <w:rPr>
        <w:rFonts w:ascii="Franklin Gothic Book" w:hAnsi="Franklin Gothic Book" w:cs="Times New Roman"/>
        <w:sz w:val="20"/>
      </w:rPr>
      <w:tblPr/>
      <w:tcPr>
        <w:tcBorders>
          <w:top w:val="nil"/>
          <w:left w:val="nil"/>
          <w:bottom w:val="single" w:sz="6" w:space="0" w:color="auto"/>
          <w:right w:val="nil"/>
          <w:insideH w:val="nil"/>
          <w:insideV w:val="nil"/>
          <w:tl2br w:val="nil"/>
          <w:tr2bl w:val="nil"/>
        </w:tcBorders>
        <w:shd w:val="clear" w:color="auto" w:fill="FFFFFF"/>
      </w:tcPr>
    </w:tblStylePr>
    <w:tblStylePr w:type="band2Horz">
      <w:rPr>
        <w:rFonts w:ascii="Franklin Gothic Book" w:hAnsi="Franklin Gothic Book" w:cs="Times New Roman"/>
        <w:sz w:val="20"/>
      </w:rPr>
      <w:tblPr/>
      <w:tcPr>
        <w:tcBorders>
          <w:top w:val="nil"/>
          <w:left w:val="nil"/>
          <w:bottom w:val="single" w:sz="6" w:space="0" w:color="auto"/>
          <w:right w:val="nil"/>
          <w:insideH w:val="nil"/>
          <w:insideV w:val="nil"/>
          <w:tl2br w:val="nil"/>
          <w:tr2bl w:val="nil"/>
        </w:tcBorders>
        <w:shd w:val="clear" w:color="auto" w:fill="DBE5F1"/>
      </w:tcPr>
    </w:tblStylePr>
  </w:style>
  <w:style w:type="character" w:styleId="Oldalszm">
    <w:name w:val="page number"/>
    <w:basedOn w:val="Bekezdsalapbettpusa"/>
    <w:uiPriority w:val="99"/>
    <w:semiHidden/>
    <w:unhideWhenUsed/>
    <w:rsid w:val="004D7EBA"/>
  </w:style>
  <w:style w:type="paragraph" w:styleId="TJ4">
    <w:name w:val="toc 4"/>
    <w:basedOn w:val="Norml"/>
    <w:next w:val="Norml"/>
    <w:autoRedefine/>
    <w:uiPriority w:val="39"/>
    <w:unhideWhenUsed/>
    <w:rsid w:val="00D432AA"/>
    <w:pPr>
      <w:tabs>
        <w:tab w:val="left" w:pos="1680"/>
        <w:tab w:val="right" w:leader="dot" w:pos="9072"/>
      </w:tabs>
      <w:ind w:left="720"/>
    </w:pPr>
  </w:style>
  <w:style w:type="paragraph" w:styleId="TJ5">
    <w:name w:val="toc 5"/>
    <w:basedOn w:val="Norml"/>
    <w:next w:val="Norml"/>
    <w:autoRedefine/>
    <w:uiPriority w:val="39"/>
    <w:unhideWhenUsed/>
    <w:rsid w:val="00F078D5"/>
    <w:pPr>
      <w:ind w:left="960"/>
    </w:pPr>
  </w:style>
  <w:style w:type="paragraph" w:styleId="TJ6">
    <w:name w:val="toc 6"/>
    <w:basedOn w:val="Norml"/>
    <w:next w:val="Norml"/>
    <w:autoRedefine/>
    <w:uiPriority w:val="39"/>
    <w:unhideWhenUsed/>
    <w:rsid w:val="00F078D5"/>
    <w:pPr>
      <w:ind w:left="1200"/>
    </w:pPr>
  </w:style>
  <w:style w:type="paragraph" w:styleId="TJ7">
    <w:name w:val="toc 7"/>
    <w:basedOn w:val="Norml"/>
    <w:next w:val="Norml"/>
    <w:autoRedefine/>
    <w:uiPriority w:val="39"/>
    <w:unhideWhenUsed/>
    <w:rsid w:val="00F078D5"/>
    <w:pPr>
      <w:ind w:left="1440"/>
    </w:pPr>
  </w:style>
  <w:style w:type="paragraph" w:styleId="TJ8">
    <w:name w:val="toc 8"/>
    <w:basedOn w:val="Norml"/>
    <w:next w:val="Norml"/>
    <w:autoRedefine/>
    <w:uiPriority w:val="39"/>
    <w:unhideWhenUsed/>
    <w:rsid w:val="00F078D5"/>
    <w:pPr>
      <w:ind w:left="1680"/>
    </w:pPr>
  </w:style>
  <w:style w:type="paragraph" w:styleId="TJ9">
    <w:name w:val="toc 9"/>
    <w:basedOn w:val="Norml"/>
    <w:next w:val="Norml"/>
    <w:autoRedefine/>
    <w:uiPriority w:val="39"/>
    <w:unhideWhenUsed/>
    <w:rsid w:val="00F078D5"/>
    <w:pPr>
      <w:ind w:left="1920"/>
    </w:pPr>
  </w:style>
  <w:style w:type="table" w:customStyle="1" w:styleId="SzzadvgGazdasgkutattblasablon1">
    <w:name w:val="Századvég Gazdaságkutató tábla sablon1"/>
    <w:basedOn w:val="Normltblzat"/>
    <w:uiPriority w:val="99"/>
    <w:qFormat/>
    <w:rsid w:val="006528C7"/>
    <w:pPr>
      <w:jc w:val="center"/>
    </w:pPr>
    <w:rPr>
      <w:rFonts w:ascii="Calibri" w:hAnsi="Calibri"/>
      <w:lang w:eastAsia="hu-HU"/>
    </w:rPr>
    <w:tblPr>
      <w:tblStyleRowBandSize w:val="1"/>
    </w:tblPr>
    <w:tcPr>
      <w:vAlign w:val="center"/>
    </w:tcPr>
    <w:tblStylePr w:type="firstRow">
      <w:pPr>
        <w:jc w:val="center"/>
      </w:pPr>
      <w:rPr>
        <w:rFonts w:ascii="Calibri" w:hAnsi="Calibri"/>
        <w:b w:val="0"/>
        <w:sz w:val="24"/>
      </w:rPr>
      <w:tblPr/>
      <w:tcPr>
        <w:tcBorders>
          <w:top w:val="single" w:sz="18" w:space="0" w:color="auto"/>
          <w:left w:val="nil"/>
          <w:bottom w:val="single" w:sz="18" w:space="0" w:color="auto"/>
          <w:right w:val="nil"/>
          <w:insideH w:val="nil"/>
          <w:insideV w:val="nil"/>
          <w:tl2br w:val="nil"/>
          <w:tr2bl w:val="nil"/>
        </w:tcBorders>
        <w:shd w:val="clear" w:color="auto" w:fill="95B3D7"/>
        <w:vAlign w:val="center"/>
      </w:tcPr>
    </w:tblStylePr>
    <w:tblStylePr w:type="firstCol">
      <w:pPr>
        <w:jc w:val="left"/>
      </w:pPr>
      <w:rPr>
        <w:rFonts w:ascii="Calibri" w:hAnsi="Calibri"/>
        <w:sz w:val="20"/>
      </w:rPr>
      <w:tblPr/>
      <w:tcPr>
        <w:tcBorders>
          <w:top w:val="nil"/>
          <w:left w:val="nil"/>
          <w:bottom w:val="single" w:sz="6" w:space="0" w:color="auto"/>
          <w:right w:val="nil"/>
          <w:insideH w:val="single" w:sz="6" w:space="0" w:color="auto"/>
          <w:insideV w:val="nil"/>
          <w:tl2br w:val="nil"/>
          <w:tr2bl w:val="nil"/>
        </w:tcBorders>
      </w:tcPr>
    </w:tblStylePr>
    <w:tblStylePr w:type="band1Horz">
      <w:pPr>
        <w:jc w:val="center"/>
      </w:pPr>
      <w:rPr>
        <w:rFonts w:ascii="Calibri" w:hAnsi="Calibri"/>
        <w:sz w:val="20"/>
      </w:rPr>
      <w:tblPr/>
      <w:tcPr>
        <w:tcBorders>
          <w:top w:val="nil"/>
          <w:left w:val="nil"/>
          <w:bottom w:val="single" w:sz="6" w:space="0" w:color="auto"/>
          <w:right w:val="nil"/>
          <w:insideH w:val="nil"/>
          <w:insideV w:val="nil"/>
          <w:tl2br w:val="nil"/>
          <w:tr2bl w:val="nil"/>
        </w:tcBorders>
        <w:shd w:val="clear" w:color="auto" w:fill="FFFFFF"/>
      </w:tcPr>
    </w:tblStylePr>
    <w:tblStylePr w:type="band2Horz">
      <w:rPr>
        <w:rFonts w:ascii="Calibri" w:hAnsi="Calibri"/>
        <w:sz w:val="20"/>
      </w:rPr>
      <w:tblPr/>
      <w:tcPr>
        <w:tcBorders>
          <w:top w:val="nil"/>
          <w:left w:val="nil"/>
          <w:bottom w:val="single" w:sz="6" w:space="0" w:color="auto"/>
          <w:right w:val="nil"/>
          <w:insideH w:val="nil"/>
          <w:insideV w:val="nil"/>
          <w:tl2br w:val="nil"/>
          <w:tr2bl w:val="nil"/>
        </w:tcBorders>
        <w:shd w:val="clear" w:color="auto" w:fill="DBE5F1"/>
      </w:tcPr>
    </w:tblStylePr>
  </w:style>
  <w:style w:type="character" w:styleId="HTML-idzet">
    <w:name w:val="HTML Cite"/>
    <w:basedOn w:val="Bekezdsalapbettpusa"/>
    <w:uiPriority w:val="99"/>
    <w:semiHidden/>
    <w:unhideWhenUsed/>
    <w:rsid w:val="006F20A5"/>
    <w:rPr>
      <w:i/>
      <w:iCs/>
    </w:rPr>
  </w:style>
  <w:style w:type="character" w:customStyle="1" w:styleId="TblacmChar">
    <w:name w:val="Táblacím Char"/>
    <w:basedOn w:val="Bekezdsalapbettpusa"/>
    <w:link w:val="Tblacm"/>
    <w:locked/>
    <w:rsid w:val="00FB6B78"/>
    <w:rPr>
      <w:rFonts w:ascii="Calibri" w:hAnsi="Calibri"/>
      <w:i/>
      <w:sz w:val="24"/>
      <w:szCs w:val="24"/>
    </w:rPr>
  </w:style>
  <w:style w:type="table" w:styleId="Vilgoslista2jellszn">
    <w:name w:val="Light List Accent 2"/>
    <w:basedOn w:val="SzzadvgGazdasgkutattblasablon1"/>
    <w:uiPriority w:val="61"/>
    <w:rsid w:val="00FB6B78"/>
    <w:tblPr>
      <w:tblStyleColBandSize w:val="1"/>
      <w:tblBorders>
        <w:top w:val="single" w:sz="8" w:space="0" w:color="3D2D22" w:themeColor="accent2"/>
        <w:left w:val="single" w:sz="8" w:space="0" w:color="3D2D22" w:themeColor="accent2"/>
        <w:bottom w:val="single" w:sz="8" w:space="0" w:color="3D2D22" w:themeColor="accent2"/>
        <w:right w:val="single" w:sz="8" w:space="0" w:color="3D2D22" w:themeColor="accent2"/>
      </w:tblBorders>
    </w:tblPr>
    <w:tblStylePr w:type="firstRow">
      <w:pPr>
        <w:spacing w:before="0" w:after="0" w:line="240" w:lineRule="auto"/>
        <w:jc w:val="center"/>
      </w:pPr>
      <w:rPr>
        <w:rFonts w:ascii="Calibri" w:hAnsi="Calibri"/>
        <w:b/>
        <w:bCs/>
        <w:color w:val="FFFFFF" w:themeColor="background1"/>
        <w:sz w:val="24"/>
      </w:rPr>
      <w:tblPr/>
      <w:tcPr>
        <w:tcBorders>
          <w:top w:val="single" w:sz="18" w:space="0" w:color="auto"/>
          <w:left w:val="nil"/>
          <w:bottom w:val="single" w:sz="18" w:space="0" w:color="auto"/>
          <w:right w:val="nil"/>
          <w:insideH w:val="nil"/>
          <w:insideV w:val="nil"/>
          <w:tl2br w:val="nil"/>
          <w:tr2bl w:val="nil"/>
        </w:tcBorders>
        <w:shd w:val="clear" w:color="auto" w:fill="3D2D22" w:themeFill="accent2"/>
        <w:vAlign w:val="center"/>
      </w:tcPr>
    </w:tblStylePr>
    <w:tblStylePr w:type="lastRow">
      <w:pPr>
        <w:spacing w:before="0" w:after="0" w:line="240" w:lineRule="auto"/>
      </w:pPr>
      <w:rPr>
        <w:b/>
        <w:bCs/>
      </w:rPr>
      <w:tblPr/>
      <w:tcPr>
        <w:tcBorders>
          <w:top w:val="double" w:sz="6" w:space="0" w:color="3D2D22" w:themeColor="accent2"/>
          <w:left w:val="single" w:sz="8" w:space="0" w:color="3D2D22" w:themeColor="accent2"/>
          <w:bottom w:val="single" w:sz="8" w:space="0" w:color="3D2D22" w:themeColor="accent2"/>
          <w:right w:val="single" w:sz="8" w:space="0" w:color="3D2D22" w:themeColor="accent2"/>
        </w:tcBorders>
      </w:tcPr>
    </w:tblStylePr>
    <w:tblStylePr w:type="firstCol">
      <w:pPr>
        <w:jc w:val="left"/>
      </w:pPr>
      <w:rPr>
        <w:rFonts w:ascii="Calibri" w:hAnsi="Calibri"/>
        <w:b/>
        <w:bCs/>
        <w:sz w:val="20"/>
      </w:rPr>
      <w:tblPr/>
      <w:tcPr>
        <w:tcBorders>
          <w:top w:val="nil"/>
          <w:left w:val="nil"/>
          <w:bottom w:val="single" w:sz="6" w:space="0" w:color="auto"/>
          <w:right w:val="nil"/>
          <w:insideH w:val="single" w:sz="6" w:space="0" w:color="auto"/>
          <w:insideV w:val="nil"/>
          <w:tl2br w:val="nil"/>
          <w:tr2bl w:val="nil"/>
        </w:tcBorders>
      </w:tcPr>
    </w:tblStylePr>
    <w:tblStylePr w:type="lastCol">
      <w:rPr>
        <w:b/>
        <w:bCs/>
      </w:rPr>
    </w:tblStylePr>
    <w:tblStylePr w:type="band1Vert">
      <w:tblPr/>
      <w:tcPr>
        <w:tcBorders>
          <w:top w:val="single" w:sz="8" w:space="0" w:color="3D2D22" w:themeColor="accent2"/>
          <w:left w:val="single" w:sz="8" w:space="0" w:color="3D2D22" w:themeColor="accent2"/>
          <w:bottom w:val="single" w:sz="8" w:space="0" w:color="3D2D22" w:themeColor="accent2"/>
          <w:right w:val="single" w:sz="8" w:space="0" w:color="3D2D22" w:themeColor="accent2"/>
        </w:tcBorders>
      </w:tcPr>
    </w:tblStylePr>
    <w:tblStylePr w:type="band1Horz">
      <w:pPr>
        <w:jc w:val="center"/>
      </w:pPr>
      <w:rPr>
        <w:rFonts w:ascii="Calibri" w:hAnsi="Calibri"/>
        <w:sz w:val="20"/>
      </w:rPr>
      <w:tblPr/>
      <w:tcPr>
        <w:tcBorders>
          <w:top w:val="single" w:sz="8" w:space="0" w:color="3D2D22" w:themeColor="accent2"/>
          <w:left w:val="single" w:sz="8" w:space="0" w:color="3D2D22" w:themeColor="accent2"/>
          <w:bottom w:val="single" w:sz="8" w:space="0" w:color="3D2D22" w:themeColor="accent2"/>
          <w:right w:val="single" w:sz="8" w:space="0" w:color="3D2D22" w:themeColor="accent2"/>
          <w:insideH w:val="nil"/>
          <w:insideV w:val="nil"/>
          <w:tl2br w:val="nil"/>
          <w:tr2bl w:val="nil"/>
        </w:tcBorders>
        <w:shd w:val="clear" w:color="auto" w:fill="FFFFFF"/>
      </w:tcPr>
    </w:tblStylePr>
    <w:tblStylePr w:type="band2Horz">
      <w:rPr>
        <w:rFonts w:ascii="Calibri" w:hAnsi="Calibri"/>
        <w:sz w:val="20"/>
      </w:rPr>
      <w:tblPr/>
      <w:tcPr>
        <w:tcBorders>
          <w:top w:val="nil"/>
          <w:left w:val="nil"/>
          <w:bottom w:val="single" w:sz="6" w:space="0" w:color="auto"/>
          <w:right w:val="nil"/>
          <w:insideH w:val="nil"/>
          <w:insideV w:val="nil"/>
          <w:tl2br w:val="nil"/>
          <w:tr2bl w:val="nil"/>
        </w:tcBorders>
        <w:shd w:val="clear" w:color="auto" w:fill="DBE5F1"/>
      </w:tcPr>
    </w:tblStylePr>
  </w:style>
  <w:style w:type="table" w:styleId="Kzepesrnykols14jellszn">
    <w:name w:val="Medium Shading 1 Accent 4"/>
    <w:basedOn w:val="Normltblzat"/>
    <w:uiPriority w:val="63"/>
    <w:rsid w:val="00FB6B78"/>
    <w:tblPr>
      <w:tblStyleRowBandSize w:val="1"/>
      <w:tblStyleColBandSize w:val="1"/>
      <w:tblBorders>
        <w:top w:val="single" w:sz="8" w:space="0" w:color="B1A8A1" w:themeColor="accent4" w:themeTint="BF"/>
        <w:left w:val="single" w:sz="8" w:space="0" w:color="B1A8A1" w:themeColor="accent4" w:themeTint="BF"/>
        <w:bottom w:val="single" w:sz="8" w:space="0" w:color="B1A8A1" w:themeColor="accent4" w:themeTint="BF"/>
        <w:right w:val="single" w:sz="8" w:space="0" w:color="B1A8A1" w:themeColor="accent4" w:themeTint="BF"/>
        <w:insideH w:val="single" w:sz="8" w:space="0" w:color="B1A8A1" w:themeColor="accent4" w:themeTint="BF"/>
      </w:tblBorders>
    </w:tblPr>
    <w:tblStylePr w:type="firstRow">
      <w:pPr>
        <w:spacing w:before="0" w:after="0" w:line="240" w:lineRule="auto"/>
      </w:pPr>
      <w:rPr>
        <w:b/>
        <w:bCs/>
        <w:color w:val="FFFFFF" w:themeColor="background1"/>
      </w:rPr>
      <w:tblPr/>
      <w:tcPr>
        <w:tcBorders>
          <w:top w:val="single" w:sz="8" w:space="0" w:color="B1A8A1" w:themeColor="accent4" w:themeTint="BF"/>
          <w:left w:val="single" w:sz="8" w:space="0" w:color="B1A8A1" w:themeColor="accent4" w:themeTint="BF"/>
          <w:bottom w:val="single" w:sz="8" w:space="0" w:color="B1A8A1" w:themeColor="accent4" w:themeTint="BF"/>
          <w:right w:val="single" w:sz="8" w:space="0" w:color="B1A8A1" w:themeColor="accent4" w:themeTint="BF"/>
          <w:insideH w:val="nil"/>
          <w:insideV w:val="nil"/>
        </w:tcBorders>
        <w:shd w:val="clear" w:color="auto" w:fill="978B82" w:themeFill="accent4"/>
      </w:tcPr>
    </w:tblStylePr>
    <w:tblStylePr w:type="lastRow">
      <w:pPr>
        <w:spacing w:before="0" w:after="0" w:line="240" w:lineRule="auto"/>
      </w:pPr>
      <w:rPr>
        <w:b/>
        <w:bCs/>
      </w:rPr>
      <w:tblPr/>
      <w:tcPr>
        <w:tcBorders>
          <w:top w:val="double" w:sz="6" w:space="0" w:color="B1A8A1" w:themeColor="accent4" w:themeTint="BF"/>
          <w:left w:val="single" w:sz="8" w:space="0" w:color="B1A8A1" w:themeColor="accent4" w:themeTint="BF"/>
          <w:bottom w:val="single" w:sz="8" w:space="0" w:color="B1A8A1" w:themeColor="accent4" w:themeTint="BF"/>
          <w:right w:val="single" w:sz="8" w:space="0" w:color="B1A8A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2E0" w:themeFill="accent4" w:themeFillTint="3F"/>
      </w:tcPr>
    </w:tblStylePr>
    <w:tblStylePr w:type="band1Horz">
      <w:tblPr/>
      <w:tcPr>
        <w:tcBorders>
          <w:insideH w:val="nil"/>
          <w:insideV w:val="nil"/>
        </w:tcBorders>
        <w:shd w:val="clear" w:color="auto" w:fill="E5E2E0" w:themeFill="accent4" w:themeFillTint="3F"/>
      </w:tcPr>
    </w:tblStylePr>
    <w:tblStylePr w:type="band2Horz">
      <w:tblPr/>
      <w:tcPr>
        <w:tcBorders>
          <w:insideH w:val="nil"/>
          <w:insideV w:val="nil"/>
        </w:tcBorders>
      </w:tcPr>
    </w:tblStylePr>
  </w:style>
  <w:style w:type="table" w:styleId="Rcsostblzat">
    <w:name w:val="Table Grid"/>
    <w:basedOn w:val="Normltblzat"/>
    <w:uiPriority w:val="59"/>
    <w:rsid w:val="00246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zepesrnykols13jellszn">
    <w:name w:val="Medium Shading 1 Accent 3"/>
    <w:basedOn w:val="Normltblzat"/>
    <w:uiPriority w:val="63"/>
    <w:rsid w:val="00FA46DC"/>
    <w:tblPr>
      <w:tblStyleRowBandSize w:val="1"/>
      <w:tblStyleColBandSize w:val="1"/>
      <w:tblBorders>
        <w:top w:val="single" w:sz="8" w:space="0" w:color="9D7860" w:themeColor="accent3" w:themeTint="BF"/>
        <w:left w:val="single" w:sz="8" w:space="0" w:color="9D7860" w:themeColor="accent3" w:themeTint="BF"/>
        <w:bottom w:val="single" w:sz="8" w:space="0" w:color="9D7860" w:themeColor="accent3" w:themeTint="BF"/>
        <w:right w:val="single" w:sz="8" w:space="0" w:color="9D7860" w:themeColor="accent3" w:themeTint="BF"/>
        <w:insideH w:val="single" w:sz="8" w:space="0" w:color="9D7860" w:themeColor="accent3" w:themeTint="BF"/>
      </w:tblBorders>
    </w:tblPr>
    <w:tblStylePr w:type="firstRow">
      <w:pPr>
        <w:spacing w:before="0" w:after="0" w:line="240" w:lineRule="auto"/>
      </w:pPr>
      <w:rPr>
        <w:b/>
        <w:bCs/>
        <w:color w:val="FFFFFF" w:themeColor="background1"/>
      </w:rPr>
      <w:tblPr/>
      <w:tcPr>
        <w:tcBorders>
          <w:top w:val="single" w:sz="8" w:space="0" w:color="9D7860" w:themeColor="accent3" w:themeTint="BF"/>
          <w:left w:val="single" w:sz="8" w:space="0" w:color="9D7860" w:themeColor="accent3" w:themeTint="BF"/>
          <w:bottom w:val="single" w:sz="8" w:space="0" w:color="9D7860" w:themeColor="accent3" w:themeTint="BF"/>
          <w:right w:val="single" w:sz="8" w:space="0" w:color="9D7860" w:themeColor="accent3" w:themeTint="BF"/>
          <w:insideH w:val="nil"/>
          <w:insideV w:val="nil"/>
        </w:tcBorders>
        <w:shd w:val="clear" w:color="auto" w:fill="685040" w:themeFill="accent3"/>
      </w:tcPr>
    </w:tblStylePr>
    <w:tblStylePr w:type="lastRow">
      <w:pPr>
        <w:spacing w:before="0" w:after="0" w:line="240" w:lineRule="auto"/>
      </w:pPr>
      <w:rPr>
        <w:b/>
        <w:bCs/>
      </w:rPr>
      <w:tblPr/>
      <w:tcPr>
        <w:tcBorders>
          <w:top w:val="double" w:sz="6" w:space="0" w:color="9D7860" w:themeColor="accent3" w:themeTint="BF"/>
          <w:left w:val="single" w:sz="8" w:space="0" w:color="9D7860" w:themeColor="accent3" w:themeTint="BF"/>
          <w:bottom w:val="single" w:sz="8" w:space="0" w:color="9D7860" w:themeColor="accent3" w:themeTint="BF"/>
          <w:right w:val="single" w:sz="8" w:space="0" w:color="9D78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D2CA" w:themeFill="accent3" w:themeFillTint="3F"/>
      </w:tcPr>
    </w:tblStylePr>
    <w:tblStylePr w:type="band1Horz">
      <w:tblPr/>
      <w:tcPr>
        <w:tcBorders>
          <w:insideH w:val="nil"/>
          <w:insideV w:val="nil"/>
        </w:tcBorders>
        <w:shd w:val="clear" w:color="auto" w:fill="DED2CA" w:themeFill="accent3" w:themeFillTint="3F"/>
      </w:tcPr>
    </w:tblStylePr>
    <w:tblStylePr w:type="band2Horz">
      <w:tblPr/>
      <w:tcPr>
        <w:tcBorders>
          <w:insideH w:val="nil"/>
          <w:insideV w:val="nil"/>
        </w:tcBorders>
      </w:tcPr>
    </w:tblStylePr>
  </w:style>
  <w:style w:type="table" w:styleId="Vilgosrnykols2jellszn">
    <w:name w:val="Light Shading Accent 2"/>
    <w:basedOn w:val="Normltblzat"/>
    <w:uiPriority w:val="60"/>
    <w:rsid w:val="00FA46DC"/>
    <w:rPr>
      <w:color w:val="2D2119" w:themeColor="accent2" w:themeShade="BF"/>
    </w:rPr>
    <w:tblPr>
      <w:tblStyleRowBandSize w:val="1"/>
      <w:tblStyleColBandSize w:val="1"/>
      <w:tblBorders>
        <w:top w:val="single" w:sz="8" w:space="0" w:color="3D2D22" w:themeColor="accent2"/>
        <w:bottom w:val="single" w:sz="8" w:space="0" w:color="3D2D22" w:themeColor="accent2"/>
      </w:tblBorders>
    </w:tblPr>
    <w:tblStylePr w:type="firstRow">
      <w:pPr>
        <w:spacing w:before="0" w:after="0" w:line="240" w:lineRule="auto"/>
      </w:pPr>
      <w:rPr>
        <w:b/>
        <w:bCs/>
      </w:rPr>
      <w:tblPr/>
      <w:tcPr>
        <w:tcBorders>
          <w:top w:val="single" w:sz="8" w:space="0" w:color="3D2D22" w:themeColor="accent2"/>
          <w:left w:val="nil"/>
          <w:bottom w:val="single" w:sz="8" w:space="0" w:color="3D2D22" w:themeColor="accent2"/>
          <w:right w:val="nil"/>
          <w:insideH w:val="nil"/>
          <w:insideV w:val="nil"/>
        </w:tcBorders>
      </w:tcPr>
    </w:tblStylePr>
    <w:tblStylePr w:type="lastRow">
      <w:pPr>
        <w:spacing w:before="0" w:after="0" w:line="240" w:lineRule="auto"/>
      </w:pPr>
      <w:rPr>
        <w:b/>
        <w:bCs/>
      </w:rPr>
      <w:tblPr/>
      <w:tcPr>
        <w:tcBorders>
          <w:top w:val="single" w:sz="8" w:space="0" w:color="3D2D22" w:themeColor="accent2"/>
          <w:left w:val="nil"/>
          <w:bottom w:val="single" w:sz="8" w:space="0" w:color="3D2D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8BD" w:themeFill="accent2" w:themeFillTint="3F"/>
      </w:tcPr>
    </w:tblStylePr>
    <w:tblStylePr w:type="band1Horz">
      <w:tblPr/>
      <w:tcPr>
        <w:tcBorders>
          <w:left w:val="nil"/>
          <w:right w:val="nil"/>
          <w:insideH w:val="nil"/>
          <w:insideV w:val="nil"/>
        </w:tcBorders>
        <w:shd w:val="clear" w:color="auto" w:fill="DAC8BD" w:themeFill="accent2" w:themeFillTint="3F"/>
      </w:tcPr>
    </w:tblStylePr>
  </w:style>
  <w:style w:type="table" w:styleId="Vilgosrnykols3jellszn">
    <w:name w:val="Light Shading Accent 3"/>
    <w:basedOn w:val="Normltblzat"/>
    <w:uiPriority w:val="60"/>
    <w:rsid w:val="00FA46DC"/>
    <w:rPr>
      <w:color w:val="4D3B30" w:themeColor="accent3" w:themeShade="BF"/>
    </w:rPr>
    <w:tblPr>
      <w:tblStyleRowBandSize w:val="1"/>
      <w:tblStyleColBandSize w:val="1"/>
      <w:tblBorders>
        <w:top w:val="single" w:sz="8" w:space="0" w:color="685040" w:themeColor="accent3"/>
        <w:bottom w:val="single" w:sz="8" w:space="0" w:color="685040" w:themeColor="accent3"/>
      </w:tblBorders>
    </w:tblPr>
    <w:tblStylePr w:type="firstRow">
      <w:pPr>
        <w:spacing w:before="0" w:after="0" w:line="240" w:lineRule="auto"/>
      </w:pPr>
      <w:rPr>
        <w:b/>
        <w:bCs/>
      </w:rPr>
      <w:tblPr/>
      <w:tcPr>
        <w:tcBorders>
          <w:top w:val="single" w:sz="8" w:space="0" w:color="685040" w:themeColor="accent3"/>
          <w:left w:val="nil"/>
          <w:bottom w:val="single" w:sz="8" w:space="0" w:color="685040" w:themeColor="accent3"/>
          <w:right w:val="nil"/>
          <w:insideH w:val="nil"/>
          <w:insideV w:val="nil"/>
        </w:tcBorders>
      </w:tcPr>
    </w:tblStylePr>
    <w:tblStylePr w:type="lastRow">
      <w:pPr>
        <w:spacing w:before="0" w:after="0" w:line="240" w:lineRule="auto"/>
      </w:pPr>
      <w:rPr>
        <w:b/>
        <w:bCs/>
      </w:rPr>
      <w:tblPr/>
      <w:tcPr>
        <w:tcBorders>
          <w:top w:val="single" w:sz="8" w:space="0" w:color="685040" w:themeColor="accent3"/>
          <w:left w:val="nil"/>
          <w:bottom w:val="single" w:sz="8" w:space="0" w:color="6850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2CA" w:themeFill="accent3" w:themeFillTint="3F"/>
      </w:tcPr>
    </w:tblStylePr>
    <w:tblStylePr w:type="band1Horz">
      <w:tblPr/>
      <w:tcPr>
        <w:tcBorders>
          <w:left w:val="nil"/>
          <w:right w:val="nil"/>
          <w:insideH w:val="nil"/>
          <w:insideV w:val="nil"/>
        </w:tcBorders>
        <w:shd w:val="clear" w:color="auto" w:fill="DED2CA" w:themeFill="accent3" w:themeFillTint="3F"/>
      </w:tcPr>
    </w:tblStylePr>
  </w:style>
  <w:style w:type="character" w:customStyle="1" w:styleId="Cmsor5Char">
    <w:name w:val="Címsor 5 Char"/>
    <w:basedOn w:val="Bekezdsalapbettpusa"/>
    <w:link w:val="Cmsor5"/>
    <w:uiPriority w:val="9"/>
    <w:rsid w:val="004B3B43"/>
    <w:rPr>
      <w:rFonts w:asciiTheme="majorHAnsi" w:eastAsiaTheme="majorEastAsia" w:hAnsiTheme="majorHAnsi" w:cstheme="majorBidi"/>
      <w:color w:val="000000" w:themeColor="accent1" w:themeShade="7F"/>
      <w:sz w:val="24"/>
      <w:szCs w:val="24"/>
    </w:rPr>
  </w:style>
  <w:style w:type="paragraph" w:customStyle="1" w:styleId="NZstl1">
    <w:name w:val="NZ_stíl1"/>
    <w:basedOn w:val="Cmsor1"/>
    <w:link w:val="NZstl1Char"/>
    <w:qFormat/>
    <w:rsid w:val="004B3B43"/>
    <w:pPr>
      <w:keepLines/>
      <w:pageBreakBefore w:val="0"/>
      <w:autoSpaceDN w:val="0"/>
      <w:spacing w:before="240" w:after="0" w:line="276" w:lineRule="auto"/>
    </w:pPr>
    <w:rPr>
      <w:rFonts w:asciiTheme="minorHAnsi" w:eastAsia="Times New Roman" w:hAnsiTheme="minorHAnsi" w:cstheme="minorHAnsi"/>
      <w:b w:val="0"/>
      <w:bCs w:val="0"/>
      <w:color w:val="365F91"/>
      <w:kern w:val="0"/>
      <w:sz w:val="32"/>
    </w:rPr>
  </w:style>
  <w:style w:type="character" w:customStyle="1" w:styleId="NZstl1Char">
    <w:name w:val="NZ_stíl1 Char"/>
    <w:basedOn w:val="Bekezdsalapbettpusa"/>
    <w:link w:val="NZstl1"/>
    <w:rsid w:val="004B3B43"/>
    <w:rPr>
      <w:rFonts w:asciiTheme="minorHAnsi" w:hAnsiTheme="minorHAnsi" w:cstheme="minorHAnsi"/>
      <w:color w:val="365F91"/>
      <w:sz w:val="32"/>
      <w:szCs w:val="32"/>
    </w:rPr>
  </w:style>
  <w:style w:type="character" w:customStyle="1" w:styleId="Cmsor6Char">
    <w:name w:val="Címsor 6 Char"/>
    <w:basedOn w:val="Bekezdsalapbettpusa"/>
    <w:link w:val="Cmsor6"/>
    <w:uiPriority w:val="9"/>
    <w:semiHidden/>
    <w:rsid w:val="00AF6E3D"/>
    <w:rPr>
      <w:rFonts w:asciiTheme="majorHAnsi" w:eastAsiaTheme="majorEastAsia" w:hAnsiTheme="majorHAnsi" w:cstheme="majorBidi"/>
      <w:i/>
      <w:iCs/>
      <w:color w:val="000000" w:themeColor="accent1" w:themeShade="7F"/>
      <w:sz w:val="24"/>
      <w:szCs w:val="24"/>
    </w:rPr>
  </w:style>
  <w:style w:type="character" w:customStyle="1" w:styleId="Cmsor7Char">
    <w:name w:val="Címsor 7 Char"/>
    <w:basedOn w:val="Bekezdsalapbettpusa"/>
    <w:link w:val="Cmsor7"/>
    <w:uiPriority w:val="9"/>
    <w:semiHidden/>
    <w:rsid w:val="00AF6E3D"/>
    <w:rPr>
      <w:rFonts w:asciiTheme="majorHAnsi" w:eastAsiaTheme="majorEastAsia" w:hAnsiTheme="majorHAnsi" w:cstheme="majorBidi"/>
      <w:i/>
      <w:iCs/>
      <w:color w:val="404040" w:themeColor="text1" w:themeTint="BF"/>
      <w:sz w:val="24"/>
      <w:szCs w:val="24"/>
    </w:rPr>
  </w:style>
  <w:style w:type="character" w:customStyle="1" w:styleId="Cmsor8Char">
    <w:name w:val="Címsor 8 Char"/>
    <w:basedOn w:val="Bekezdsalapbettpusa"/>
    <w:link w:val="Cmsor8"/>
    <w:uiPriority w:val="9"/>
    <w:semiHidden/>
    <w:rsid w:val="00AF6E3D"/>
    <w:rPr>
      <w:rFonts w:asciiTheme="majorHAnsi" w:eastAsiaTheme="majorEastAsia" w:hAnsiTheme="majorHAnsi" w:cstheme="majorBidi"/>
      <w:color w:val="404040" w:themeColor="text1" w:themeTint="BF"/>
    </w:rPr>
  </w:style>
  <w:style w:type="character" w:customStyle="1" w:styleId="Cmsor9Char">
    <w:name w:val="Címsor 9 Char"/>
    <w:basedOn w:val="Bekezdsalapbettpusa"/>
    <w:link w:val="Cmsor9"/>
    <w:uiPriority w:val="9"/>
    <w:semiHidden/>
    <w:rsid w:val="00AF6E3D"/>
    <w:rPr>
      <w:rFonts w:asciiTheme="majorHAnsi" w:eastAsiaTheme="majorEastAsia" w:hAnsiTheme="majorHAnsi" w:cstheme="majorBidi"/>
      <w:i/>
      <w:iCs/>
      <w:color w:val="404040" w:themeColor="text1" w:themeTint="BF"/>
    </w:rPr>
  </w:style>
  <w:style w:type="paragraph" w:customStyle="1" w:styleId="denotaalpi">
    <w:name w:val="de nota al pi..."/>
    <w:aliases w:val="Footnote symbol Char,Footnote Reference1 Car Char,Char Char,Carattere Carattere Char,SUPERS Carattere Carattere,Nota,Char,fr,o"/>
    <w:basedOn w:val="Norml"/>
    <w:link w:val="Lbjegyzet-hivatkozs"/>
    <w:uiPriority w:val="99"/>
    <w:rsid w:val="00EC6A54"/>
    <w:pPr>
      <w:spacing w:line="240" w:lineRule="exact"/>
    </w:pPr>
    <w:rPr>
      <w:rFonts w:ascii="Times New Roman" w:hAnsi="Times New Roman" w:cs="Times New Roman"/>
      <w:sz w:val="20"/>
      <w:szCs w:val="20"/>
      <w:vertAlign w:val="superscript"/>
    </w:rPr>
  </w:style>
  <w:style w:type="character" w:customStyle="1" w:styleId="tlid-translation">
    <w:name w:val="tlid-translation"/>
    <w:basedOn w:val="Bekezdsalapbettpusa"/>
    <w:rsid w:val="004457C8"/>
  </w:style>
  <w:style w:type="table" w:customStyle="1" w:styleId="Tblzatrcsosvilgos1">
    <w:name w:val="Táblázat (rácsos) – világos1"/>
    <w:basedOn w:val="Normltblzat"/>
    <w:uiPriority w:val="40"/>
    <w:rsid w:val="000364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egyszer11">
    <w:name w:val="Táblázat (egyszerű) 11"/>
    <w:basedOn w:val="Normltblzat"/>
    <w:uiPriority w:val="41"/>
    <w:rsid w:val="008655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blzatrcsos1vilgos2jellszn1">
    <w:name w:val="Táblázat (rácsos) 1 – világos – 2. jelölőszín1"/>
    <w:basedOn w:val="Normltblzat"/>
    <w:uiPriority w:val="46"/>
    <w:rsid w:val="00865564"/>
    <w:tblPr>
      <w:tblStyleRowBandSize w:val="1"/>
      <w:tblStyleColBandSize w:val="1"/>
      <w:tblBorders>
        <w:top w:val="single" w:sz="4" w:space="0" w:color="C3A794" w:themeColor="accent2" w:themeTint="66"/>
        <w:left w:val="single" w:sz="4" w:space="0" w:color="C3A794" w:themeColor="accent2" w:themeTint="66"/>
        <w:bottom w:val="single" w:sz="4" w:space="0" w:color="C3A794" w:themeColor="accent2" w:themeTint="66"/>
        <w:right w:val="single" w:sz="4" w:space="0" w:color="C3A794" w:themeColor="accent2" w:themeTint="66"/>
        <w:insideH w:val="single" w:sz="4" w:space="0" w:color="C3A794" w:themeColor="accent2" w:themeTint="66"/>
        <w:insideV w:val="single" w:sz="4" w:space="0" w:color="C3A794" w:themeColor="accent2" w:themeTint="66"/>
      </w:tblBorders>
    </w:tblPr>
    <w:tblStylePr w:type="firstRow">
      <w:rPr>
        <w:b/>
        <w:bCs/>
      </w:rPr>
      <w:tblPr/>
      <w:tcPr>
        <w:tcBorders>
          <w:bottom w:val="single" w:sz="12" w:space="0" w:color="A57B5F" w:themeColor="accent2" w:themeTint="99"/>
        </w:tcBorders>
      </w:tcPr>
    </w:tblStylePr>
    <w:tblStylePr w:type="lastRow">
      <w:rPr>
        <w:b/>
        <w:bCs/>
      </w:rPr>
      <w:tblPr/>
      <w:tcPr>
        <w:tcBorders>
          <w:top w:val="double" w:sz="2" w:space="0" w:color="A57B5F" w:themeColor="accent2" w:themeTint="99"/>
        </w:tcBorders>
      </w:tcPr>
    </w:tblStylePr>
    <w:tblStylePr w:type="firstCol">
      <w:rPr>
        <w:b/>
        <w:bCs/>
      </w:rPr>
    </w:tblStylePr>
    <w:tblStylePr w:type="lastCol">
      <w:rPr>
        <w:b/>
        <w:bCs/>
      </w:rPr>
    </w:tblStylePr>
  </w:style>
  <w:style w:type="table" w:customStyle="1" w:styleId="Tblzatrcsos1vilgos1">
    <w:name w:val="Táblázat (rácsos) 1 – világos1"/>
    <w:basedOn w:val="Normltblzat"/>
    <w:uiPriority w:val="46"/>
    <w:rsid w:val="008655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blzatrcsos23jellszn1">
    <w:name w:val="Táblázat (rácsos) 2 – 3. jelölőszín1"/>
    <w:basedOn w:val="Normltblzat"/>
    <w:uiPriority w:val="47"/>
    <w:rsid w:val="00865564"/>
    <w:tblPr>
      <w:tblStyleRowBandSize w:val="1"/>
      <w:tblStyleColBandSize w:val="1"/>
      <w:tblBorders>
        <w:top w:val="single" w:sz="2" w:space="0" w:color="B0937F" w:themeColor="accent3" w:themeTint="99"/>
        <w:bottom w:val="single" w:sz="2" w:space="0" w:color="B0937F" w:themeColor="accent3" w:themeTint="99"/>
        <w:insideH w:val="single" w:sz="2" w:space="0" w:color="B0937F" w:themeColor="accent3" w:themeTint="99"/>
        <w:insideV w:val="single" w:sz="2" w:space="0" w:color="B0937F" w:themeColor="accent3" w:themeTint="99"/>
      </w:tblBorders>
    </w:tblPr>
    <w:tblStylePr w:type="firstRow">
      <w:rPr>
        <w:b/>
        <w:bCs/>
      </w:rPr>
      <w:tblPr/>
      <w:tcPr>
        <w:tcBorders>
          <w:top w:val="nil"/>
          <w:bottom w:val="single" w:sz="12" w:space="0" w:color="B0937F" w:themeColor="accent3" w:themeTint="99"/>
          <w:insideH w:val="nil"/>
          <w:insideV w:val="nil"/>
        </w:tcBorders>
        <w:shd w:val="clear" w:color="auto" w:fill="FFFFFF" w:themeFill="background1"/>
      </w:tcPr>
    </w:tblStylePr>
    <w:tblStylePr w:type="lastRow">
      <w:rPr>
        <w:b/>
        <w:bCs/>
      </w:rPr>
      <w:tblPr/>
      <w:tcPr>
        <w:tcBorders>
          <w:top w:val="double" w:sz="2" w:space="0" w:color="B093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BD4" w:themeFill="accent3" w:themeFillTint="33"/>
      </w:tcPr>
    </w:tblStylePr>
    <w:tblStylePr w:type="band1Horz">
      <w:tblPr/>
      <w:tcPr>
        <w:shd w:val="clear" w:color="auto" w:fill="E5DBD4" w:themeFill="accent3" w:themeFillTint="33"/>
      </w:tcPr>
    </w:tblStylePr>
  </w:style>
  <w:style w:type="table" w:customStyle="1" w:styleId="Tblzatrcsos43jellszn1">
    <w:name w:val="Táblázat (rácsos) 4 – 3. jelölőszín1"/>
    <w:basedOn w:val="Normltblzat"/>
    <w:uiPriority w:val="49"/>
    <w:rsid w:val="00865564"/>
    <w:tblPr>
      <w:tblStyleRowBandSize w:val="1"/>
      <w:tblStyleColBandSize w:val="1"/>
      <w:tblBorders>
        <w:top w:val="single" w:sz="4" w:space="0" w:color="B0937F" w:themeColor="accent3" w:themeTint="99"/>
        <w:left w:val="single" w:sz="4" w:space="0" w:color="B0937F" w:themeColor="accent3" w:themeTint="99"/>
        <w:bottom w:val="single" w:sz="4" w:space="0" w:color="B0937F" w:themeColor="accent3" w:themeTint="99"/>
        <w:right w:val="single" w:sz="4" w:space="0" w:color="B0937F" w:themeColor="accent3" w:themeTint="99"/>
        <w:insideH w:val="single" w:sz="4" w:space="0" w:color="B0937F" w:themeColor="accent3" w:themeTint="99"/>
        <w:insideV w:val="single" w:sz="4" w:space="0" w:color="B0937F" w:themeColor="accent3" w:themeTint="99"/>
      </w:tblBorders>
    </w:tblPr>
    <w:tblStylePr w:type="firstRow">
      <w:rPr>
        <w:b/>
        <w:bCs/>
        <w:color w:val="FFFFFF" w:themeColor="background1"/>
      </w:rPr>
      <w:tblPr/>
      <w:tcPr>
        <w:tcBorders>
          <w:top w:val="single" w:sz="4" w:space="0" w:color="685040" w:themeColor="accent3"/>
          <w:left w:val="single" w:sz="4" w:space="0" w:color="685040" w:themeColor="accent3"/>
          <w:bottom w:val="single" w:sz="4" w:space="0" w:color="685040" w:themeColor="accent3"/>
          <w:right w:val="single" w:sz="4" w:space="0" w:color="685040" w:themeColor="accent3"/>
          <w:insideH w:val="nil"/>
          <w:insideV w:val="nil"/>
        </w:tcBorders>
        <w:shd w:val="clear" w:color="auto" w:fill="685040" w:themeFill="accent3"/>
      </w:tcPr>
    </w:tblStylePr>
    <w:tblStylePr w:type="lastRow">
      <w:rPr>
        <w:b/>
        <w:bCs/>
      </w:rPr>
      <w:tblPr/>
      <w:tcPr>
        <w:tcBorders>
          <w:top w:val="double" w:sz="4" w:space="0" w:color="685040" w:themeColor="accent3"/>
        </w:tcBorders>
      </w:tcPr>
    </w:tblStylePr>
    <w:tblStylePr w:type="firstCol">
      <w:rPr>
        <w:b/>
        <w:bCs/>
      </w:rPr>
    </w:tblStylePr>
    <w:tblStylePr w:type="lastCol">
      <w:rPr>
        <w:b/>
        <w:bCs/>
      </w:rPr>
    </w:tblStylePr>
    <w:tblStylePr w:type="band1Vert">
      <w:tblPr/>
      <w:tcPr>
        <w:shd w:val="clear" w:color="auto" w:fill="E5DBD4" w:themeFill="accent3" w:themeFillTint="33"/>
      </w:tcPr>
    </w:tblStylePr>
    <w:tblStylePr w:type="band1Horz">
      <w:tblPr/>
      <w:tcPr>
        <w:shd w:val="clear" w:color="auto" w:fill="E5DBD4" w:themeFill="accent3" w:themeFillTint="33"/>
      </w:tcPr>
    </w:tblStylePr>
  </w:style>
  <w:style w:type="table" w:customStyle="1" w:styleId="Tblzatrcsos42jellszn1">
    <w:name w:val="Táblázat (rácsos) 4 – 2. jelölőszín1"/>
    <w:basedOn w:val="Normltblzat"/>
    <w:uiPriority w:val="49"/>
    <w:rsid w:val="00865564"/>
    <w:tblPr>
      <w:tblStyleRowBandSize w:val="1"/>
      <w:tblStyleColBandSize w:val="1"/>
      <w:tblBorders>
        <w:top w:val="single" w:sz="4" w:space="0" w:color="A57B5F" w:themeColor="accent2" w:themeTint="99"/>
        <w:left w:val="single" w:sz="4" w:space="0" w:color="A57B5F" w:themeColor="accent2" w:themeTint="99"/>
        <w:bottom w:val="single" w:sz="4" w:space="0" w:color="A57B5F" w:themeColor="accent2" w:themeTint="99"/>
        <w:right w:val="single" w:sz="4" w:space="0" w:color="A57B5F" w:themeColor="accent2" w:themeTint="99"/>
        <w:insideH w:val="single" w:sz="4" w:space="0" w:color="A57B5F" w:themeColor="accent2" w:themeTint="99"/>
        <w:insideV w:val="single" w:sz="4" w:space="0" w:color="A57B5F" w:themeColor="accent2" w:themeTint="99"/>
      </w:tblBorders>
    </w:tblPr>
    <w:tblStylePr w:type="firstRow">
      <w:rPr>
        <w:b/>
        <w:bCs/>
        <w:color w:val="FFFFFF" w:themeColor="background1"/>
      </w:rPr>
      <w:tblPr/>
      <w:tcPr>
        <w:tcBorders>
          <w:top w:val="single" w:sz="4" w:space="0" w:color="3D2D22" w:themeColor="accent2"/>
          <w:left w:val="single" w:sz="4" w:space="0" w:color="3D2D22" w:themeColor="accent2"/>
          <w:bottom w:val="single" w:sz="4" w:space="0" w:color="3D2D22" w:themeColor="accent2"/>
          <w:right w:val="single" w:sz="4" w:space="0" w:color="3D2D22" w:themeColor="accent2"/>
          <w:insideH w:val="nil"/>
          <w:insideV w:val="nil"/>
        </w:tcBorders>
        <w:shd w:val="clear" w:color="auto" w:fill="3D2D22" w:themeFill="accent2"/>
      </w:tcPr>
    </w:tblStylePr>
    <w:tblStylePr w:type="lastRow">
      <w:rPr>
        <w:b/>
        <w:bCs/>
      </w:rPr>
      <w:tblPr/>
      <w:tcPr>
        <w:tcBorders>
          <w:top w:val="double" w:sz="4" w:space="0" w:color="3D2D22" w:themeColor="accent2"/>
        </w:tcBorders>
      </w:tcPr>
    </w:tblStylePr>
    <w:tblStylePr w:type="firstCol">
      <w:rPr>
        <w:b/>
        <w:bCs/>
      </w:rPr>
    </w:tblStylePr>
    <w:tblStylePr w:type="lastCol">
      <w:rPr>
        <w:b/>
        <w:bCs/>
      </w:rPr>
    </w:tblStylePr>
    <w:tblStylePr w:type="band1Vert">
      <w:tblPr/>
      <w:tcPr>
        <w:shd w:val="clear" w:color="auto" w:fill="E1D3C9" w:themeFill="accent2" w:themeFillTint="33"/>
      </w:tcPr>
    </w:tblStylePr>
    <w:tblStylePr w:type="band1Horz">
      <w:tblPr/>
      <w:tcPr>
        <w:shd w:val="clear" w:color="auto" w:fill="E1D3C9" w:themeFill="accent2" w:themeFillTint="33"/>
      </w:tcPr>
    </w:tblStylePr>
  </w:style>
  <w:style w:type="table" w:customStyle="1" w:styleId="Tblzatrcsos44jellszn1">
    <w:name w:val="Táblázat (rácsos) 4 – 4. jelölőszín1"/>
    <w:basedOn w:val="Normltblzat"/>
    <w:uiPriority w:val="49"/>
    <w:rsid w:val="00865564"/>
    <w:tblPr>
      <w:tblStyleRowBandSize w:val="1"/>
      <w:tblStyleColBandSize w:val="1"/>
      <w:tblBorders>
        <w:top w:val="single" w:sz="4" w:space="0" w:color="C0B9B3" w:themeColor="accent4" w:themeTint="99"/>
        <w:left w:val="single" w:sz="4" w:space="0" w:color="C0B9B3" w:themeColor="accent4" w:themeTint="99"/>
        <w:bottom w:val="single" w:sz="4" w:space="0" w:color="C0B9B3" w:themeColor="accent4" w:themeTint="99"/>
        <w:right w:val="single" w:sz="4" w:space="0" w:color="C0B9B3" w:themeColor="accent4" w:themeTint="99"/>
        <w:insideH w:val="single" w:sz="4" w:space="0" w:color="C0B9B3" w:themeColor="accent4" w:themeTint="99"/>
        <w:insideV w:val="single" w:sz="4" w:space="0" w:color="C0B9B3" w:themeColor="accent4" w:themeTint="99"/>
      </w:tblBorders>
    </w:tblPr>
    <w:tblStylePr w:type="firstRow">
      <w:rPr>
        <w:b/>
        <w:bCs/>
        <w:color w:val="FFFFFF" w:themeColor="background1"/>
      </w:rPr>
      <w:tblPr/>
      <w:tcPr>
        <w:tcBorders>
          <w:top w:val="single" w:sz="4" w:space="0" w:color="978B82" w:themeColor="accent4"/>
          <w:left w:val="single" w:sz="4" w:space="0" w:color="978B82" w:themeColor="accent4"/>
          <w:bottom w:val="single" w:sz="4" w:space="0" w:color="978B82" w:themeColor="accent4"/>
          <w:right w:val="single" w:sz="4" w:space="0" w:color="978B82" w:themeColor="accent4"/>
          <w:insideH w:val="nil"/>
          <w:insideV w:val="nil"/>
        </w:tcBorders>
        <w:shd w:val="clear" w:color="auto" w:fill="978B82" w:themeFill="accent4"/>
      </w:tcPr>
    </w:tblStylePr>
    <w:tblStylePr w:type="lastRow">
      <w:rPr>
        <w:b/>
        <w:bCs/>
      </w:rPr>
      <w:tblPr/>
      <w:tcPr>
        <w:tcBorders>
          <w:top w:val="double" w:sz="4" w:space="0" w:color="978B82" w:themeColor="accent4"/>
        </w:tcBorders>
      </w:tcPr>
    </w:tblStylePr>
    <w:tblStylePr w:type="firstCol">
      <w:rPr>
        <w:b/>
        <w:bCs/>
      </w:rPr>
    </w:tblStylePr>
    <w:tblStylePr w:type="lastCol">
      <w:rPr>
        <w:b/>
        <w:bCs/>
      </w:rPr>
    </w:tblStylePr>
    <w:tblStylePr w:type="band1Vert">
      <w:tblPr/>
      <w:tcPr>
        <w:shd w:val="clear" w:color="auto" w:fill="EAE7E5" w:themeFill="accent4" w:themeFillTint="33"/>
      </w:tcPr>
    </w:tblStylePr>
    <w:tblStylePr w:type="band1Horz">
      <w:tblPr/>
      <w:tcPr>
        <w:shd w:val="clear" w:color="auto" w:fill="EAE7E5" w:themeFill="accent4" w:themeFillTint="33"/>
      </w:tcPr>
    </w:tblStylePr>
  </w:style>
  <w:style w:type="paragraph" w:customStyle="1" w:styleId="Default">
    <w:name w:val="Default"/>
    <w:rsid w:val="00621BEA"/>
    <w:pPr>
      <w:autoSpaceDE w:val="0"/>
      <w:autoSpaceDN w:val="0"/>
      <w:adjustRightInd w:val="0"/>
    </w:pPr>
    <w:rPr>
      <w:rFonts w:eastAsiaTheme="minorHAnsi"/>
      <w:color w:val="000000"/>
      <w:sz w:val="24"/>
      <w:szCs w:val="24"/>
    </w:rPr>
  </w:style>
  <w:style w:type="table" w:customStyle="1" w:styleId="Tblzategyszer21">
    <w:name w:val="Táblázat (egyszerű) 21"/>
    <w:basedOn w:val="Normltblzat"/>
    <w:uiPriority w:val="42"/>
    <w:rsid w:val="00A05B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sostblzat1">
    <w:name w:val="Rácsos táblázat1"/>
    <w:basedOn w:val="Normltblzat"/>
    <w:next w:val="Rcsostblzat"/>
    <w:uiPriority w:val="59"/>
    <w:rsid w:val="00B86F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B86F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B86F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B86FE8"/>
    <w:rPr>
      <w:i/>
      <w:iCs/>
    </w:rPr>
  </w:style>
  <w:style w:type="character" w:customStyle="1" w:styleId="apple-converted-space">
    <w:name w:val="apple-converted-space"/>
    <w:basedOn w:val="Bekezdsalapbettpusa"/>
    <w:rsid w:val="00B86FE8"/>
  </w:style>
  <w:style w:type="character" w:styleId="Kiemels2">
    <w:name w:val="Strong"/>
    <w:basedOn w:val="Bekezdsalapbettpusa"/>
    <w:uiPriority w:val="22"/>
    <w:qFormat/>
    <w:rsid w:val="00B86FE8"/>
    <w:rPr>
      <w:b/>
      <w:bCs/>
    </w:rPr>
  </w:style>
  <w:style w:type="table" w:customStyle="1" w:styleId="Tblzategyszer31">
    <w:name w:val="Táblázat (egyszerű) 31"/>
    <w:basedOn w:val="Normltblzat"/>
    <w:uiPriority w:val="43"/>
    <w:rsid w:val="00B86FE8"/>
    <w:rPr>
      <w:rFonts w:asciiTheme="minorHAnsi" w:eastAsiaTheme="minorHAnsi" w:hAnsiTheme="minorHAnsi" w:cs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zveg">
    <w:name w:val="szöveg"/>
    <w:qFormat/>
    <w:rsid w:val="00B86FE8"/>
    <w:pPr>
      <w:ind w:firstLine="567"/>
      <w:jc w:val="both"/>
    </w:pPr>
    <w:rPr>
      <w:rFonts w:eastAsiaTheme="majorEastAsia" w:cstheme="majorBidi"/>
      <w:color w:val="000000" w:themeColor="text1"/>
      <w:sz w:val="22"/>
      <w:szCs w:val="32"/>
    </w:rPr>
  </w:style>
  <w:style w:type="paragraph" w:customStyle="1" w:styleId="Kp">
    <w:name w:val="Kép"/>
    <w:basedOn w:val="Norml"/>
    <w:qFormat/>
    <w:rsid w:val="00B86FE8"/>
    <w:pPr>
      <w:spacing w:after="160" w:line="259" w:lineRule="auto"/>
      <w:jc w:val="center"/>
    </w:pPr>
    <w:rPr>
      <w:rFonts w:ascii="Times New Roman" w:eastAsiaTheme="minorHAnsi" w:hAnsi="Times New Roman" w:cs="Times New Roman"/>
      <w:noProof/>
      <w:sz w:val="22"/>
      <w:szCs w:val="22"/>
      <w:lang w:eastAsia="hu-HU"/>
    </w:rPr>
  </w:style>
  <w:style w:type="table" w:customStyle="1" w:styleId="Tblzategyszer51">
    <w:name w:val="Táblázat (egyszerű) 51"/>
    <w:basedOn w:val="Normltblzat"/>
    <w:uiPriority w:val="45"/>
    <w:rsid w:val="00B86FE8"/>
    <w:rPr>
      <w:rFonts w:asciiTheme="minorHAnsi" w:eastAsiaTheme="minorHAnsi" w:hAnsiTheme="minorHAnsi" w:cs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blzategyszer41">
    <w:name w:val="Táblázat (egyszerű) 41"/>
    <w:basedOn w:val="Normltblzat"/>
    <w:uiPriority w:val="44"/>
    <w:rsid w:val="00B86FE8"/>
    <w:rPr>
      <w:rFonts w:asciiTheme="minorHAnsi" w:eastAsiaTheme="minorHAnsi" w:hAnsiTheme="minorHAnsi" w:cs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l"/>
    <w:rsid w:val="0051277E"/>
    <w:pPr>
      <w:spacing w:before="100" w:beforeAutospacing="1" w:after="100" w:afterAutospacing="1" w:line="240" w:lineRule="auto"/>
      <w:jc w:val="left"/>
    </w:pPr>
    <w:rPr>
      <w:rFonts w:ascii="Times New Roman" w:hAnsi="Times New Roman" w:cs="Times New Roman"/>
      <w:lang w:eastAsia="hu-HU"/>
    </w:rPr>
  </w:style>
  <w:style w:type="table" w:customStyle="1" w:styleId="Tblzatrcsos22jellszn1">
    <w:name w:val="Táblázat (rácsos) 2 – 2. jelölőszín1"/>
    <w:basedOn w:val="Normltblzat"/>
    <w:uiPriority w:val="47"/>
    <w:rsid w:val="00FE077E"/>
    <w:tblPr>
      <w:tblStyleRowBandSize w:val="1"/>
      <w:tblStyleColBandSize w:val="1"/>
      <w:tblBorders>
        <w:top w:val="single" w:sz="2" w:space="0" w:color="A57B5F" w:themeColor="accent2" w:themeTint="99"/>
        <w:bottom w:val="single" w:sz="2" w:space="0" w:color="A57B5F" w:themeColor="accent2" w:themeTint="99"/>
        <w:insideH w:val="single" w:sz="2" w:space="0" w:color="A57B5F" w:themeColor="accent2" w:themeTint="99"/>
        <w:insideV w:val="single" w:sz="2" w:space="0" w:color="A57B5F" w:themeColor="accent2" w:themeTint="99"/>
      </w:tblBorders>
    </w:tblPr>
    <w:tblStylePr w:type="firstRow">
      <w:rPr>
        <w:b/>
        <w:bCs/>
      </w:rPr>
      <w:tblPr/>
      <w:tcPr>
        <w:tcBorders>
          <w:top w:val="nil"/>
          <w:bottom w:val="single" w:sz="12" w:space="0" w:color="A57B5F" w:themeColor="accent2" w:themeTint="99"/>
          <w:insideH w:val="nil"/>
          <w:insideV w:val="nil"/>
        </w:tcBorders>
        <w:shd w:val="clear" w:color="auto" w:fill="FFFFFF" w:themeFill="background1"/>
      </w:tcPr>
    </w:tblStylePr>
    <w:tblStylePr w:type="lastRow">
      <w:rPr>
        <w:b/>
        <w:bCs/>
      </w:rPr>
      <w:tblPr/>
      <w:tcPr>
        <w:tcBorders>
          <w:top w:val="double" w:sz="2" w:space="0" w:color="A57B5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3C9" w:themeFill="accent2" w:themeFillTint="33"/>
      </w:tcPr>
    </w:tblStylePr>
    <w:tblStylePr w:type="band1Horz">
      <w:tblPr/>
      <w:tcPr>
        <w:shd w:val="clear" w:color="auto" w:fill="E1D3C9" w:themeFill="accent2" w:themeFillTint="33"/>
      </w:tcPr>
    </w:tblStylePr>
  </w:style>
  <w:style w:type="table" w:customStyle="1" w:styleId="Tblzatrcsos32jellszn1">
    <w:name w:val="Táblázat (rácsos) 3 – 2. jelölőszín1"/>
    <w:basedOn w:val="Normltblzat"/>
    <w:uiPriority w:val="48"/>
    <w:rsid w:val="00FE077E"/>
    <w:tblPr>
      <w:tblStyleRowBandSize w:val="1"/>
      <w:tblStyleColBandSize w:val="1"/>
      <w:tblBorders>
        <w:top w:val="single" w:sz="4" w:space="0" w:color="A57B5F" w:themeColor="accent2" w:themeTint="99"/>
        <w:left w:val="single" w:sz="4" w:space="0" w:color="A57B5F" w:themeColor="accent2" w:themeTint="99"/>
        <w:bottom w:val="single" w:sz="4" w:space="0" w:color="A57B5F" w:themeColor="accent2" w:themeTint="99"/>
        <w:right w:val="single" w:sz="4" w:space="0" w:color="A57B5F" w:themeColor="accent2" w:themeTint="99"/>
        <w:insideH w:val="single" w:sz="4" w:space="0" w:color="A57B5F" w:themeColor="accent2" w:themeTint="99"/>
        <w:insideV w:val="single" w:sz="4" w:space="0" w:color="A57B5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3C9" w:themeFill="accent2" w:themeFillTint="33"/>
      </w:tcPr>
    </w:tblStylePr>
    <w:tblStylePr w:type="band1Horz">
      <w:tblPr/>
      <w:tcPr>
        <w:shd w:val="clear" w:color="auto" w:fill="E1D3C9" w:themeFill="accent2" w:themeFillTint="33"/>
      </w:tcPr>
    </w:tblStylePr>
    <w:tblStylePr w:type="neCell">
      <w:tblPr/>
      <w:tcPr>
        <w:tcBorders>
          <w:bottom w:val="single" w:sz="4" w:space="0" w:color="A57B5F" w:themeColor="accent2" w:themeTint="99"/>
        </w:tcBorders>
      </w:tcPr>
    </w:tblStylePr>
    <w:tblStylePr w:type="nwCell">
      <w:tblPr/>
      <w:tcPr>
        <w:tcBorders>
          <w:bottom w:val="single" w:sz="4" w:space="0" w:color="A57B5F" w:themeColor="accent2" w:themeTint="99"/>
        </w:tcBorders>
      </w:tcPr>
    </w:tblStylePr>
    <w:tblStylePr w:type="seCell">
      <w:tblPr/>
      <w:tcPr>
        <w:tcBorders>
          <w:top w:val="single" w:sz="4" w:space="0" w:color="A57B5F" w:themeColor="accent2" w:themeTint="99"/>
        </w:tcBorders>
      </w:tcPr>
    </w:tblStylePr>
    <w:tblStylePr w:type="swCell">
      <w:tblPr/>
      <w:tcPr>
        <w:tcBorders>
          <w:top w:val="single" w:sz="4" w:space="0" w:color="A57B5F" w:themeColor="accent2" w:themeTint="99"/>
        </w:tcBorders>
      </w:tcPr>
    </w:tblStylePr>
  </w:style>
  <w:style w:type="table" w:customStyle="1" w:styleId="Listaszertblzat7tarka2jellszn1">
    <w:name w:val="Listaszerű táblázat 7 – tarka – 2. jelölőszín1"/>
    <w:basedOn w:val="Normltblzat"/>
    <w:uiPriority w:val="52"/>
    <w:rsid w:val="00FE077E"/>
    <w:rPr>
      <w:color w:val="2D211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D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D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D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D22" w:themeColor="accent2"/>
        </w:tcBorders>
        <w:shd w:val="clear" w:color="auto" w:fill="FFFFFF" w:themeFill="background1"/>
      </w:tcPr>
    </w:tblStylePr>
    <w:tblStylePr w:type="band1Vert">
      <w:tblPr/>
      <w:tcPr>
        <w:shd w:val="clear" w:color="auto" w:fill="E1D3C9" w:themeFill="accent2" w:themeFillTint="33"/>
      </w:tcPr>
    </w:tblStylePr>
    <w:tblStylePr w:type="band1Horz">
      <w:tblPr/>
      <w:tcPr>
        <w:shd w:val="clear" w:color="auto" w:fill="E1D3C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blzatrcsos6tarka3jellszn1">
    <w:name w:val="Táblázat (rácsos) 6 – tarka – 3. jelölőszín1"/>
    <w:basedOn w:val="Normltblzat"/>
    <w:uiPriority w:val="51"/>
    <w:rsid w:val="00FE077E"/>
    <w:rPr>
      <w:color w:val="4D3B30" w:themeColor="accent3" w:themeShade="BF"/>
    </w:rPr>
    <w:tblPr>
      <w:tblStyleRowBandSize w:val="1"/>
      <w:tblStyleColBandSize w:val="1"/>
      <w:tblBorders>
        <w:top w:val="single" w:sz="4" w:space="0" w:color="B0937F" w:themeColor="accent3" w:themeTint="99"/>
        <w:left w:val="single" w:sz="4" w:space="0" w:color="B0937F" w:themeColor="accent3" w:themeTint="99"/>
        <w:bottom w:val="single" w:sz="4" w:space="0" w:color="B0937F" w:themeColor="accent3" w:themeTint="99"/>
        <w:right w:val="single" w:sz="4" w:space="0" w:color="B0937F" w:themeColor="accent3" w:themeTint="99"/>
        <w:insideH w:val="single" w:sz="4" w:space="0" w:color="B0937F" w:themeColor="accent3" w:themeTint="99"/>
        <w:insideV w:val="single" w:sz="4" w:space="0" w:color="B0937F" w:themeColor="accent3" w:themeTint="99"/>
      </w:tblBorders>
    </w:tblPr>
    <w:tblStylePr w:type="firstRow">
      <w:rPr>
        <w:b/>
        <w:bCs/>
      </w:rPr>
      <w:tblPr/>
      <w:tcPr>
        <w:tcBorders>
          <w:bottom w:val="single" w:sz="12" w:space="0" w:color="B0937F" w:themeColor="accent3" w:themeTint="99"/>
        </w:tcBorders>
      </w:tcPr>
    </w:tblStylePr>
    <w:tblStylePr w:type="lastRow">
      <w:rPr>
        <w:b/>
        <w:bCs/>
      </w:rPr>
      <w:tblPr/>
      <w:tcPr>
        <w:tcBorders>
          <w:top w:val="double" w:sz="4" w:space="0" w:color="B0937F" w:themeColor="accent3" w:themeTint="99"/>
        </w:tcBorders>
      </w:tcPr>
    </w:tblStylePr>
    <w:tblStylePr w:type="firstCol">
      <w:rPr>
        <w:b/>
        <w:bCs/>
      </w:rPr>
    </w:tblStylePr>
    <w:tblStylePr w:type="lastCol">
      <w:rPr>
        <w:b/>
        <w:bCs/>
      </w:rPr>
    </w:tblStylePr>
    <w:tblStylePr w:type="band1Vert">
      <w:tblPr/>
      <w:tcPr>
        <w:shd w:val="clear" w:color="auto" w:fill="E5DBD4" w:themeFill="accent3" w:themeFillTint="33"/>
      </w:tcPr>
    </w:tblStylePr>
    <w:tblStylePr w:type="band1Horz">
      <w:tblPr/>
      <w:tcPr>
        <w:shd w:val="clear" w:color="auto" w:fill="E5DBD4" w:themeFill="accent3" w:themeFillTint="33"/>
      </w:tcPr>
    </w:tblStylePr>
  </w:style>
  <w:style w:type="table" w:customStyle="1" w:styleId="Tblzatrcsos1vilgos3jellszn1">
    <w:name w:val="Táblázat (rácsos) 1 – világos – 3. jelölőszín1"/>
    <w:basedOn w:val="Normltblzat"/>
    <w:uiPriority w:val="46"/>
    <w:rsid w:val="007B3C0F"/>
    <w:tblPr>
      <w:tblStyleRowBandSize w:val="1"/>
      <w:tblStyleColBandSize w:val="1"/>
      <w:tblBorders>
        <w:top w:val="single" w:sz="4" w:space="0" w:color="CAB7AA" w:themeColor="accent3" w:themeTint="66"/>
        <w:left w:val="single" w:sz="4" w:space="0" w:color="CAB7AA" w:themeColor="accent3" w:themeTint="66"/>
        <w:bottom w:val="single" w:sz="4" w:space="0" w:color="CAB7AA" w:themeColor="accent3" w:themeTint="66"/>
        <w:right w:val="single" w:sz="4" w:space="0" w:color="CAB7AA" w:themeColor="accent3" w:themeTint="66"/>
        <w:insideH w:val="single" w:sz="4" w:space="0" w:color="CAB7AA" w:themeColor="accent3" w:themeTint="66"/>
        <w:insideV w:val="single" w:sz="4" w:space="0" w:color="CAB7AA" w:themeColor="accent3" w:themeTint="66"/>
      </w:tblBorders>
    </w:tblPr>
    <w:tblStylePr w:type="firstRow">
      <w:rPr>
        <w:b/>
        <w:bCs/>
      </w:rPr>
      <w:tblPr/>
      <w:tcPr>
        <w:tcBorders>
          <w:bottom w:val="single" w:sz="12" w:space="0" w:color="B0937F" w:themeColor="accent3" w:themeTint="99"/>
        </w:tcBorders>
      </w:tcPr>
    </w:tblStylePr>
    <w:tblStylePr w:type="lastRow">
      <w:rPr>
        <w:b/>
        <w:bCs/>
      </w:rPr>
      <w:tblPr/>
      <w:tcPr>
        <w:tcBorders>
          <w:top w:val="double" w:sz="2" w:space="0" w:color="B0937F" w:themeColor="accent3" w:themeTint="99"/>
        </w:tcBorders>
      </w:tcPr>
    </w:tblStylePr>
    <w:tblStylePr w:type="firstCol">
      <w:rPr>
        <w:b/>
        <w:bCs/>
      </w:rPr>
    </w:tblStylePr>
    <w:tblStylePr w:type="lastCol">
      <w:rPr>
        <w:b/>
        <w:bCs/>
      </w:rPr>
    </w:tblStylePr>
  </w:style>
  <w:style w:type="table" w:customStyle="1" w:styleId="Tblzatrcsos33jellszn1">
    <w:name w:val="Táblázat (rácsos) 3 – 3. jelölőszín1"/>
    <w:basedOn w:val="Normltblzat"/>
    <w:uiPriority w:val="48"/>
    <w:rsid w:val="003D0D4B"/>
    <w:tblPr>
      <w:tblStyleRowBandSize w:val="1"/>
      <w:tblStyleColBandSize w:val="1"/>
      <w:tblBorders>
        <w:top w:val="single" w:sz="4" w:space="0" w:color="B0937F" w:themeColor="accent3" w:themeTint="99"/>
        <w:left w:val="single" w:sz="4" w:space="0" w:color="B0937F" w:themeColor="accent3" w:themeTint="99"/>
        <w:bottom w:val="single" w:sz="4" w:space="0" w:color="B0937F" w:themeColor="accent3" w:themeTint="99"/>
        <w:right w:val="single" w:sz="4" w:space="0" w:color="B0937F" w:themeColor="accent3" w:themeTint="99"/>
        <w:insideH w:val="single" w:sz="4" w:space="0" w:color="B0937F" w:themeColor="accent3" w:themeTint="99"/>
        <w:insideV w:val="single" w:sz="4" w:space="0" w:color="B093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BD4" w:themeFill="accent3" w:themeFillTint="33"/>
      </w:tcPr>
    </w:tblStylePr>
    <w:tblStylePr w:type="band1Horz">
      <w:tblPr/>
      <w:tcPr>
        <w:shd w:val="clear" w:color="auto" w:fill="E5DBD4" w:themeFill="accent3" w:themeFillTint="33"/>
      </w:tcPr>
    </w:tblStylePr>
    <w:tblStylePr w:type="neCell">
      <w:tblPr/>
      <w:tcPr>
        <w:tcBorders>
          <w:bottom w:val="single" w:sz="4" w:space="0" w:color="B0937F" w:themeColor="accent3" w:themeTint="99"/>
        </w:tcBorders>
      </w:tcPr>
    </w:tblStylePr>
    <w:tblStylePr w:type="nwCell">
      <w:tblPr/>
      <w:tcPr>
        <w:tcBorders>
          <w:bottom w:val="single" w:sz="4" w:space="0" w:color="B0937F" w:themeColor="accent3" w:themeTint="99"/>
        </w:tcBorders>
      </w:tcPr>
    </w:tblStylePr>
    <w:tblStylePr w:type="seCell">
      <w:tblPr/>
      <w:tcPr>
        <w:tcBorders>
          <w:top w:val="single" w:sz="4" w:space="0" w:color="B0937F" w:themeColor="accent3" w:themeTint="99"/>
        </w:tcBorders>
      </w:tcPr>
    </w:tblStylePr>
    <w:tblStylePr w:type="swCell">
      <w:tblPr/>
      <w:tcPr>
        <w:tcBorders>
          <w:top w:val="single" w:sz="4" w:space="0" w:color="B0937F" w:themeColor="accent3" w:themeTint="99"/>
        </w:tcBorders>
      </w:tcPr>
    </w:tblStylePr>
  </w:style>
  <w:style w:type="table" w:styleId="Vilgosrcs6jellszn">
    <w:name w:val="Light Grid Accent 6"/>
    <w:basedOn w:val="Normltblzat"/>
    <w:uiPriority w:val="62"/>
    <w:rsid w:val="00C851E4"/>
    <w:rPr>
      <w:rFonts w:asciiTheme="minorHAnsi" w:eastAsiaTheme="minorHAnsi" w:hAnsiTheme="minorHAnsi" w:cstheme="minorBidi"/>
      <w:sz w:val="22"/>
      <w:szCs w:val="22"/>
    </w:rPr>
    <w:tblPr>
      <w:tblStyleRowBandSize w:val="1"/>
      <w:tblStyleColBandSize w:val="1"/>
      <w:tblBorders>
        <w:top w:val="single" w:sz="8" w:space="0" w:color="E8E7E7" w:themeColor="accent6"/>
        <w:left w:val="single" w:sz="8" w:space="0" w:color="E8E7E7" w:themeColor="accent6"/>
        <w:bottom w:val="single" w:sz="8" w:space="0" w:color="E8E7E7" w:themeColor="accent6"/>
        <w:right w:val="single" w:sz="8" w:space="0" w:color="E8E7E7" w:themeColor="accent6"/>
        <w:insideH w:val="single" w:sz="8" w:space="0" w:color="E8E7E7" w:themeColor="accent6"/>
        <w:insideV w:val="single" w:sz="8" w:space="0" w:color="E8E7E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7E7" w:themeColor="accent6"/>
          <w:left w:val="single" w:sz="8" w:space="0" w:color="E8E7E7" w:themeColor="accent6"/>
          <w:bottom w:val="single" w:sz="18" w:space="0" w:color="E8E7E7" w:themeColor="accent6"/>
          <w:right w:val="single" w:sz="8" w:space="0" w:color="E8E7E7" w:themeColor="accent6"/>
          <w:insideH w:val="nil"/>
          <w:insideV w:val="single" w:sz="8" w:space="0" w:color="E8E7E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7E7" w:themeColor="accent6"/>
          <w:left w:val="single" w:sz="8" w:space="0" w:color="E8E7E7" w:themeColor="accent6"/>
          <w:bottom w:val="single" w:sz="8" w:space="0" w:color="E8E7E7" w:themeColor="accent6"/>
          <w:right w:val="single" w:sz="8" w:space="0" w:color="E8E7E7" w:themeColor="accent6"/>
          <w:insideH w:val="nil"/>
          <w:insideV w:val="single" w:sz="8" w:space="0" w:color="E8E7E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7E7" w:themeColor="accent6"/>
          <w:left w:val="single" w:sz="8" w:space="0" w:color="E8E7E7" w:themeColor="accent6"/>
          <w:bottom w:val="single" w:sz="8" w:space="0" w:color="E8E7E7" w:themeColor="accent6"/>
          <w:right w:val="single" w:sz="8" w:space="0" w:color="E8E7E7" w:themeColor="accent6"/>
        </w:tcBorders>
      </w:tcPr>
    </w:tblStylePr>
    <w:tblStylePr w:type="band1Vert">
      <w:tblPr/>
      <w:tcPr>
        <w:tcBorders>
          <w:top w:val="single" w:sz="8" w:space="0" w:color="E8E7E7" w:themeColor="accent6"/>
          <w:left w:val="single" w:sz="8" w:space="0" w:color="E8E7E7" w:themeColor="accent6"/>
          <w:bottom w:val="single" w:sz="8" w:space="0" w:color="E8E7E7" w:themeColor="accent6"/>
          <w:right w:val="single" w:sz="8" w:space="0" w:color="E8E7E7" w:themeColor="accent6"/>
        </w:tcBorders>
        <w:shd w:val="clear" w:color="auto" w:fill="F9F9F9" w:themeFill="accent6" w:themeFillTint="3F"/>
      </w:tcPr>
    </w:tblStylePr>
    <w:tblStylePr w:type="band1Horz">
      <w:tblPr/>
      <w:tcPr>
        <w:tcBorders>
          <w:top w:val="single" w:sz="8" w:space="0" w:color="E8E7E7" w:themeColor="accent6"/>
          <w:left w:val="single" w:sz="8" w:space="0" w:color="E8E7E7" w:themeColor="accent6"/>
          <w:bottom w:val="single" w:sz="8" w:space="0" w:color="E8E7E7" w:themeColor="accent6"/>
          <w:right w:val="single" w:sz="8" w:space="0" w:color="E8E7E7" w:themeColor="accent6"/>
          <w:insideV w:val="single" w:sz="8" w:space="0" w:color="E8E7E7" w:themeColor="accent6"/>
        </w:tcBorders>
        <w:shd w:val="clear" w:color="auto" w:fill="F9F9F9" w:themeFill="accent6" w:themeFillTint="3F"/>
      </w:tcPr>
    </w:tblStylePr>
    <w:tblStylePr w:type="band2Horz">
      <w:tblPr/>
      <w:tcPr>
        <w:tcBorders>
          <w:top w:val="single" w:sz="8" w:space="0" w:color="E8E7E7" w:themeColor="accent6"/>
          <w:left w:val="single" w:sz="8" w:space="0" w:color="E8E7E7" w:themeColor="accent6"/>
          <w:bottom w:val="single" w:sz="8" w:space="0" w:color="E8E7E7" w:themeColor="accent6"/>
          <w:right w:val="single" w:sz="8" w:space="0" w:color="E8E7E7" w:themeColor="accent6"/>
          <w:insideV w:val="single" w:sz="8" w:space="0" w:color="E8E7E7"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4D1C46"/>
    <w:pPr>
      <w:spacing w:after="120" w:line="288" w:lineRule="auto"/>
      <w:jc w:val="both"/>
    </w:pPr>
    <w:rPr>
      <w:rFonts w:ascii="Calibri" w:hAnsi="Calibri" w:cs="Calibri"/>
      <w:sz w:val="24"/>
      <w:szCs w:val="24"/>
    </w:rPr>
  </w:style>
  <w:style w:type="paragraph" w:styleId="Cmsor1">
    <w:name w:val="heading 1"/>
    <w:basedOn w:val="Norml"/>
    <w:next w:val="Norml"/>
    <w:link w:val="Cmsor1Char"/>
    <w:qFormat/>
    <w:rsid w:val="004D1C46"/>
    <w:pPr>
      <w:keepNext/>
      <w:pageBreakBefore/>
      <w:numPr>
        <w:numId w:val="5"/>
      </w:numPr>
      <w:spacing w:after="480"/>
      <w:outlineLvl w:val="0"/>
    </w:pPr>
    <w:rPr>
      <w:rFonts w:eastAsiaTheme="majorEastAsia" w:cs="Arial"/>
      <w:b/>
      <w:bCs/>
      <w:color w:val="000000" w:themeColor="text1"/>
      <w:kern w:val="32"/>
      <w:sz w:val="36"/>
      <w:szCs w:val="32"/>
    </w:rPr>
  </w:style>
  <w:style w:type="paragraph" w:styleId="Cmsor2">
    <w:name w:val="heading 2"/>
    <w:basedOn w:val="Norml"/>
    <w:next w:val="Norml"/>
    <w:link w:val="Cmsor2Char"/>
    <w:qFormat/>
    <w:rsid w:val="004D1C46"/>
    <w:pPr>
      <w:keepNext/>
      <w:numPr>
        <w:ilvl w:val="1"/>
        <w:numId w:val="5"/>
      </w:numPr>
      <w:spacing w:before="360"/>
      <w:outlineLvl w:val="1"/>
    </w:pPr>
    <w:rPr>
      <w:rFonts w:eastAsiaTheme="majorEastAsia" w:cs="Arial"/>
      <w:b/>
      <w:bCs/>
      <w:iCs/>
      <w:sz w:val="32"/>
      <w:szCs w:val="26"/>
    </w:rPr>
  </w:style>
  <w:style w:type="paragraph" w:styleId="Cmsor3">
    <w:name w:val="heading 3"/>
    <w:basedOn w:val="Norml"/>
    <w:next w:val="Norml"/>
    <w:link w:val="Cmsor3Char"/>
    <w:qFormat/>
    <w:rsid w:val="004D1C46"/>
    <w:pPr>
      <w:keepNext/>
      <w:numPr>
        <w:ilvl w:val="2"/>
        <w:numId w:val="5"/>
      </w:numPr>
      <w:spacing w:before="240" w:after="60"/>
      <w:outlineLvl w:val="2"/>
    </w:pPr>
    <w:rPr>
      <w:rFonts w:eastAsiaTheme="majorEastAsia" w:cs="Arial"/>
      <w:bCs/>
      <w:color w:val="000000" w:themeColor="text1"/>
      <w:spacing w:val="20"/>
      <w:sz w:val="28"/>
      <w:szCs w:val="26"/>
    </w:rPr>
  </w:style>
  <w:style w:type="paragraph" w:styleId="Cmsor4">
    <w:name w:val="heading 4"/>
    <w:basedOn w:val="Norml"/>
    <w:next w:val="Norml"/>
    <w:link w:val="Cmsor4Char"/>
    <w:qFormat/>
    <w:rsid w:val="004D1C46"/>
    <w:pPr>
      <w:keepNext/>
      <w:numPr>
        <w:ilvl w:val="3"/>
        <w:numId w:val="5"/>
      </w:numPr>
      <w:spacing w:before="120" w:after="60"/>
      <w:ind w:left="864"/>
      <w:outlineLvl w:val="3"/>
    </w:pPr>
    <w:rPr>
      <w:rFonts w:eastAsiaTheme="majorEastAsia" w:cstheme="majorBidi"/>
      <w:b/>
      <w:bCs/>
      <w:color w:val="000000" w:themeColor="text1"/>
      <w:spacing w:val="20"/>
      <w:szCs w:val="28"/>
    </w:rPr>
  </w:style>
  <w:style w:type="paragraph" w:styleId="Cmsor5">
    <w:name w:val="heading 5"/>
    <w:basedOn w:val="Norml"/>
    <w:next w:val="Norml"/>
    <w:link w:val="Cmsor5Char"/>
    <w:uiPriority w:val="9"/>
    <w:unhideWhenUsed/>
    <w:rsid w:val="004B3B43"/>
    <w:pPr>
      <w:keepNext/>
      <w:keepLines/>
      <w:numPr>
        <w:ilvl w:val="4"/>
        <w:numId w:val="5"/>
      </w:numPr>
      <w:spacing w:before="200" w:after="0"/>
      <w:outlineLvl w:val="4"/>
    </w:pPr>
    <w:rPr>
      <w:rFonts w:asciiTheme="majorHAnsi" w:eastAsiaTheme="majorEastAsia" w:hAnsiTheme="majorHAnsi" w:cstheme="majorBidi"/>
      <w:color w:val="000000" w:themeColor="accent1" w:themeShade="7F"/>
    </w:rPr>
  </w:style>
  <w:style w:type="paragraph" w:styleId="Cmsor6">
    <w:name w:val="heading 6"/>
    <w:basedOn w:val="Norml"/>
    <w:next w:val="Norml"/>
    <w:link w:val="Cmsor6Char"/>
    <w:uiPriority w:val="9"/>
    <w:semiHidden/>
    <w:unhideWhenUsed/>
    <w:rsid w:val="00AF6E3D"/>
    <w:pPr>
      <w:keepNext/>
      <w:keepLines/>
      <w:numPr>
        <w:ilvl w:val="5"/>
        <w:numId w:val="5"/>
      </w:numPr>
      <w:spacing w:before="200" w:after="0"/>
      <w:outlineLvl w:val="5"/>
    </w:pPr>
    <w:rPr>
      <w:rFonts w:asciiTheme="majorHAnsi" w:eastAsiaTheme="majorEastAsia" w:hAnsiTheme="majorHAnsi" w:cstheme="majorBidi"/>
      <w:i/>
      <w:iCs/>
      <w:color w:val="000000" w:themeColor="accent1" w:themeShade="7F"/>
    </w:rPr>
  </w:style>
  <w:style w:type="paragraph" w:styleId="Cmsor7">
    <w:name w:val="heading 7"/>
    <w:basedOn w:val="Norml"/>
    <w:next w:val="Norml"/>
    <w:link w:val="Cmsor7Char"/>
    <w:uiPriority w:val="9"/>
    <w:semiHidden/>
    <w:unhideWhenUsed/>
    <w:rsid w:val="00AF6E3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rsid w:val="00AF6E3D"/>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uiPriority w:val="9"/>
    <w:semiHidden/>
    <w:unhideWhenUsed/>
    <w:rsid w:val="00AF6E3D"/>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D1C46"/>
    <w:rPr>
      <w:rFonts w:ascii="Calibri" w:eastAsiaTheme="majorEastAsia" w:hAnsi="Calibri" w:cs="Arial"/>
      <w:b/>
      <w:bCs/>
      <w:color w:val="000000" w:themeColor="text1"/>
      <w:kern w:val="32"/>
      <w:sz w:val="36"/>
      <w:szCs w:val="32"/>
    </w:rPr>
  </w:style>
  <w:style w:type="paragraph" w:styleId="Cm">
    <w:name w:val="Title"/>
    <w:basedOn w:val="Norml"/>
    <w:link w:val="CmChar"/>
    <w:qFormat/>
    <w:rsid w:val="004D1C46"/>
    <w:pPr>
      <w:jc w:val="center"/>
    </w:pPr>
    <w:rPr>
      <w:b/>
      <w:color w:val="000000" w:themeColor="text1"/>
      <w:sz w:val="40"/>
      <w:szCs w:val="48"/>
    </w:rPr>
  </w:style>
  <w:style w:type="character" w:customStyle="1" w:styleId="CmChar">
    <w:name w:val="Cím Char"/>
    <w:basedOn w:val="Bekezdsalapbettpusa"/>
    <w:link w:val="Cm"/>
    <w:rsid w:val="004D1C46"/>
    <w:rPr>
      <w:rFonts w:ascii="Calibri" w:hAnsi="Calibri" w:cs="Calibri"/>
      <w:b/>
      <w:color w:val="000000" w:themeColor="text1"/>
      <w:sz w:val="40"/>
      <w:szCs w:val="48"/>
    </w:rPr>
  </w:style>
  <w:style w:type="paragraph" w:styleId="Alcm">
    <w:name w:val="Subtitle"/>
    <w:basedOn w:val="Norml"/>
    <w:next w:val="Norml"/>
    <w:link w:val="AlcmChar"/>
    <w:qFormat/>
    <w:rsid w:val="004D1C46"/>
    <w:pPr>
      <w:jc w:val="center"/>
    </w:pPr>
    <w:rPr>
      <w:b/>
      <w:color w:val="000000" w:themeColor="text1"/>
      <w:sz w:val="28"/>
      <w:szCs w:val="40"/>
    </w:rPr>
  </w:style>
  <w:style w:type="character" w:customStyle="1" w:styleId="AlcmChar">
    <w:name w:val="Alcím Char"/>
    <w:basedOn w:val="Bekezdsalapbettpusa"/>
    <w:link w:val="Alcm"/>
    <w:rsid w:val="004D1C46"/>
    <w:rPr>
      <w:rFonts w:ascii="Calibri" w:hAnsi="Calibri" w:cs="Calibri"/>
      <w:b/>
      <w:color w:val="000000" w:themeColor="text1"/>
      <w:sz w:val="28"/>
      <w:szCs w:val="40"/>
    </w:rPr>
  </w:style>
  <w:style w:type="character" w:styleId="Hiperhivatkozs">
    <w:name w:val="Hyperlink"/>
    <w:basedOn w:val="Bekezdsalapbettpusa"/>
    <w:uiPriority w:val="99"/>
    <w:unhideWhenUsed/>
    <w:rsid w:val="00DE4D59"/>
    <w:rPr>
      <w:color w:val="B6A272" w:themeColor="hyperlink"/>
      <w:u w:val="single"/>
    </w:rPr>
  </w:style>
  <w:style w:type="paragraph" w:styleId="lfej">
    <w:name w:val="header"/>
    <w:basedOn w:val="Norml"/>
    <w:link w:val="lfejChar"/>
    <w:uiPriority w:val="99"/>
    <w:unhideWhenUsed/>
    <w:rsid w:val="00DE4D59"/>
    <w:pPr>
      <w:tabs>
        <w:tab w:val="center" w:pos="4536"/>
        <w:tab w:val="right" w:pos="9072"/>
      </w:tabs>
      <w:spacing w:after="0" w:line="240" w:lineRule="auto"/>
    </w:pPr>
  </w:style>
  <w:style w:type="character" w:customStyle="1" w:styleId="lfejChar">
    <w:name w:val="Élőfej Char"/>
    <w:basedOn w:val="Bekezdsalapbettpusa"/>
    <w:link w:val="lfej"/>
    <w:uiPriority w:val="99"/>
    <w:rsid w:val="00DE4D59"/>
    <w:rPr>
      <w:rFonts w:ascii="Calibri" w:eastAsia="Times New Roman" w:hAnsi="Calibri" w:cs="Calibri"/>
      <w:sz w:val="24"/>
      <w:szCs w:val="24"/>
    </w:rPr>
  </w:style>
  <w:style w:type="paragraph" w:styleId="llb">
    <w:name w:val="footer"/>
    <w:basedOn w:val="Norml"/>
    <w:link w:val="llbChar"/>
    <w:uiPriority w:val="99"/>
    <w:unhideWhenUsed/>
    <w:rsid w:val="00DE4D59"/>
    <w:pPr>
      <w:tabs>
        <w:tab w:val="center" w:pos="4536"/>
        <w:tab w:val="right" w:pos="9072"/>
      </w:tabs>
      <w:spacing w:after="0" w:line="240" w:lineRule="auto"/>
    </w:pPr>
  </w:style>
  <w:style w:type="character" w:customStyle="1" w:styleId="llbChar">
    <w:name w:val="Élőláb Char"/>
    <w:basedOn w:val="Bekezdsalapbettpusa"/>
    <w:link w:val="llb"/>
    <w:uiPriority w:val="99"/>
    <w:rsid w:val="00DE4D59"/>
    <w:rPr>
      <w:rFonts w:ascii="Calibri" w:eastAsia="Times New Roman" w:hAnsi="Calibri" w:cs="Calibri"/>
      <w:sz w:val="24"/>
      <w:szCs w:val="24"/>
    </w:rPr>
  </w:style>
  <w:style w:type="paragraph" w:styleId="TJ1">
    <w:name w:val="toc 1"/>
    <w:basedOn w:val="Norml"/>
    <w:next w:val="Norml"/>
    <w:autoRedefine/>
    <w:uiPriority w:val="39"/>
    <w:rsid w:val="00EC6A54"/>
    <w:pPr>
      <w:tabs>
        <w:tab w:val="left" w:pos="284"/>
        <w:tab w:val="right" w:leader="dot" w:pos="9072"/>
      </w:tabs>
      <w:spacing w:before="120" w:line="240" w:lineRule="auto"/>
      <w:ind w:right="-2570"/>
    </w:pPr>
    <w:rPr>
      <w:b/>
      <w:noProof/>
      <w:color w:val="000000" w:themeColor="text1"/>
    </w:rPr>
  </w:style>
  <w:style w:type="paragraph" w:styleId="TJ2">
    <w:name w:val="toc 2"/>
    <w:basedOn w:val="Norml"/>
    <w:next w:val="Norml"/>
    <w:autoRedefine/>
    <w:uiPriority w:val="39"/>
    <w:rsid w:val="000E7E25"/>
    <w:pPr>
      <w:tabs>
        <w:tab w:val="left" w:pos="709"/>
        <w:tab w:val="right" w:leader="dot" w:pos="9072"/>
      </w:tabs>
      <w:ind w:left="240"/>
    </w:pPr>
    <w:rPr>
      <w:b/>
      <w:i/>
      <w:noProof/>
      <w:szCs w:val="28"/>
    </w:rPr>
  </w:style>
  <w:style w:type="paragraph" w:styleId="TJ3">
    <w:name w:val="toc 3"/>
    <w:basedOn w:val="Norml"/>
    <w:next w:val="Norml"/>
    <w:autoRedefine/>
    <w:uiPriority w:val="39"/>
    <w:rsid w:val="002C28A4"/>
    <w:pPr>
      <w:tabs>
        <w:tab w:val="left" w:pos="1276"/>
        <w:tab w:val="right" w:leader="dot" w:pos="9199"/>
      </w:tabs>
      <w:spacing w:after="100"/>
      <w:ind w:left="240" w:right="-127"/>
    </w:pPr>
  </w:style>
  <w:style w:type="character" w:customStyle="1" w:styleId="Cmsor2Char">
    <w:name w:val="Címsor 2 Char"/>
    <w:basedOn w:val="Bekezdsalapbettpusa"/>
    <w:link w:val="Cmsor2"/>
    <w:rsid w:val="004D1C46"/>
    <w:rPr>
      <w:rFonts w:ascii="Calibri" w:eastAsiaTheme="majorEastAsia" w:hAnsi="Calibri" w:cs="Arial"/>
      <w:b/>
      <w:bCs/>
      <w:iCs/>
      <w:sz w:val="32"/>
      <w:szCs w:val="26"/>
    </w:rPr>
  </w:style>
  <w:style w:type="character" w:customStyle="1" w:styleId="Cmsor3Char">
    <w:name w:val="Címsor 3 Char"/>
    <w:basedOn w:val="Bekezdsalapbettpusa"/>
    <w:link w:val="Cmsor3"/>
    <w:rsid w:val="004D1C46"/>
    <w:rPr>
      <w:rFonts w:ascii="Calibri" w:eastAsiaTheme="majorEastAsia" w:hAnsi="Calibri" w:cs="Arial"/>
      <w:bCs/>
      <w:color w:val="000000" w:themeColor="text1"/>
      <w:spacing w:val="20"/>
      <w:sz w:val="28"/>
      <w:szCs w:val="26"/>
    </w:rPr>
  </w:style>
  <w:style w:type="character" w:customStyle="1" w:styleId="Cmsor4Char">
    <w:name w:val="Címsor 4 Char"/>
    <w:basedOn w:val="Bekezdsalapbettpusa"/>
    <w:link w:val="Cmsor4"/>
    <w:rsid w:val="004D1C46"/>
    <w:rPr>
      <w:rFonts w:ascii="Calibri" w:eastAsiaTheme="majorEastAsia" w:hAnsi="Calibri" w:cstheme="majorBidi"/>
      <w:b/>
      <w:bCs/>
      <w:color w:val="000000" w:themeColor="text1"/>
      <w:spacing w:val="20"/>
      <w:sz w:val="24"/>
      <w:szCs w:val="28"/>
    </w:rPr>
  </w:style>
  <w:style w:type="paragraph" w:customStyle="1" w:styleId="Tblacm">
    <w:name w:val="Táblacím"/>
    <w:basedOn w:val="Norml"/>
    <w:link w:val="TblacmChar"/>
    <w:qFormat/>
    <w:rsid w:val="00FB6B78"/>
    <w:pPr>
      <w:numPr>
        <w:numId w:val="4"/>
      </w:numPr>
      <w:tabs>
        <w:tab w:val="left" w:pos="284"/>
      </w:tabs>
    </w:pPr>
    <w:rPr>
      <w:rFonts w:cs="Times New Roman"/>
      <w:i/>
    </w:rPr>
  </w:style>
  <w:style w:type="paragraph" w:customStyle="1" w:styleId="Forrs">
    <w:name w:val="Forrás"/>
    <w:basedOn w:val="Norml"/>
    <w:link w:val="ForrsChar"/>
    <w:qFormat/>
    <w:rsid w:val="004D1C46"/>
    <w:pPr>
      <w:spacing w:after="360" w:line="240" w:lineRule="auto"/>
      <w:jc w:val="left"/>
    </w:pPr>
    <w:rPr>
      <w:rFonts w:cs="Times New Roman"/>
      <w:i/>
      <w:sz w:val="20"/>
    </w:rPr>
  </w:style>
  <w:style w:type="character" w:customStyle="1" w:styleId="ForrsChar">
    <w:name w:val="Forrás Char"/>
    <w:basedOn w:val="Bekezdsalapbettpusa"/>
    <w:link w:val="Forrs"/>
    <w:rsid w:val="004D1C46"/>
    <w:rPr>
      <w:rFonts w:ascii="Calibri" w:hAnsi="Calibri"/>
      <w:i/>
      <w:szCs w:val="24"/>
    </w:rPr>
  </w:style>
  <w:style w:type="paragraph" w:customStyle="1" w:styleId="Abracim">
    <w:name w:val="Abracim"/>
    <w:basedOn w:val="Norml"/>
    <w:link w:val="AbracimChar"/>
    <w:qFormat/>
    <w:rsid w:val="004D1C46"/>
    <w:pPr>
      <w:keepNext/>
      <w:numPr>
        <w:numId w:val="1"/>
      </w:numPr>
      <w:spacing w:after="0"/>
      <w:ind w:left="360"/>
      <w:jc w:val="center"/>
    </w:pPr>
    <w:rPr>
      <w:rFonts w:cs="Times New Roman"/>
      <w:smallCaps/>
      <w:spacing w:val="20"/>
      <w:kern w:val="16"/>
      <w:sz w:val="22"/>
    </w:rPr>
  </w:style>
  <w:style w:type="character" w:customStyle="1" w:styleId="AbracimChar">
    <w:name w:val="Abracim Char"/>
    <w:basedOn w:val="Bekezdsalapbettpusa"/>
    <w:link w:val="Abracim"/>
    <w:rsid w:val="004D1C46"/>
    <w:rPr>
      <w:rFonts w:ascii="Calibri" w:hAnsi="Calibri"/>
      <w:smallCaps/>
      <w:spacing w:val="20"/>
      <w:kern w:val="16"/>
      <w:sz w:val="22"/>
      <w:szCs w:val="24"/>
    </w:rPr>
  </w:style>
  <w:style w:type="table" w:customStyle="1" w:styleId="SzzadvgGazdasgkutattblasablon">
    <w:name w:val="Századvég Gazdaságkutató tábla sablon"/>
    <w:basedOn w:val="Normltblzat"/>
    <w:uiPriority w:val="99"/>
    <w:qFormat/>
    <w:rsid w:val="00C3070F"/>
    <w:pPr>
      <w:jc w:val="center"/>
    </w:pPr>
    <w:rPr>
      <w:rFonts w:ascii="Calibri" w:hAnsi="Calibri"/>
      <w:lang w:eastAsia="hu-HU"/>
    </w:rPr>
    <w:tblPr>
      <w:tblStyleRowBandSize w:val="1"/>
    </w:tblPr>
    <w:tcPr>
      <w:vAlign w:val="center"/>
    </w:tcPr>
    <w:tblStylePr w:type="firstRow">
      <w:pPr>
        <w:jc w:val="center"/>
      </w:pPr>
      <w:rPr>
        <w:rFonts w:ascii="Calibri" w:hAnsi="Calibri"/>
        <w:b w:val="0"/>
        <w:sz w:val="24"/>
      </w:rPr>
      <w:tblPr/>
      <w:tcPr>
        <w:tcBorders>
          <w:top w:val="single" w:sz="18" w:space="0" w:color="auto"/>
          <w:left w:val="nil"/>
          <w:bottom w:val="single" w:sz="18" w:space="0" w:color="auto"/>
          <w:right w:val="nil"/>
          <w:insideH w:val="nil"/>
          <w:insideV w:val="nil"/>
          <w:tl2br w:val="nil"/>
          <w:tr2bl w:val="nil"/>
        </w:tcBorders>
        <w:shd w:val="clear" w:color="auto" w:fill="666666" w:themeFill="accent1" w:themeFillTint="99"/>
        <w:vAlign w:val="center"/>
      </w:tcPr>
    </w:tblStylePr>
    <w:tblStylePr w:type="firstCol">
      <w:pPr>
        <w:jc w:val="left"/>
      </w:pPr>
      <w:rPr>
        <w:rFonts w:ascii="Calibri" w:hAnsi="Calibri"/>
        <w:sz w:val="20"/>
      </w:rPr>
      <w:tblPr/>
      <w:tcPr>
        <w:tcBorders>
          <w:top w:val="nil"/>
          <w:left w:val="nil"/>
          <w:bottom w:val="single" w:sz="6" w:space="0" w:color="auto"/>
          <w:right w:val="nil"/>
          <w:insideH w:val="single" w:sz="6" w:space="0" w:color="auto"/>
          <w:insideV w:val="nil"/>
          <w:tl2br w:val="nil"/>
          <w:tr2bl w:val="nil"/>
        </w:tcBorders>
      </w:tcPr>
    </w:tblStylePr>
    <w:tblStylePr w:type="band1Horz">
      <w:pPr>
        <w:jc w:val="center"/>
      </w:pPr>
      <w:rPr>
        <w:rFonts w:ascii="Calibri" w:hAnsi="Calibri"/>
        <w:sz w:val="20"/>
      </w:rPr>
      <w:tblPr/>
      <w:tcPr>
        <w:tcBorders>
          <w:top w:val="nil"/>
          <w:left w:val="nil"/>
          <w:bottom w:val="single" w:sz="6" w:space="0" w:color="auto"/>
          <w:right w:val="nil"/>
          <w:insideH w:val="nil"/>
          <w:insideV w:val="nil"/>
          <w:tl2br w:val="nil"/>
          <w:tr2bl w:val="nil"/>
        </w:tcBorders>
        <w:shd w:val="clear" w:color="auto" w:fill="FFFFFF" w:themeFill="background1"/>
      </w:tcPr>
    </w:tblStylePr>
    <w:tblStylePr w:type="band2Horz">
      <w:rPr>
        <w:rFonts w:ascii="Calibri" w:hAnsi="Calibri"/>
        <w:sz w:val="20"/>
      </w:rPr>
      <w:tblPr/>
      <w:tcPr>
        <w:tcBorders>
          <w:top w:val="nil"/>
          <w:left w:val="nil"/>
          <w:bottom w:val="single" w:sz="6" w:space="0" w:color="auto"/>
          <w:right w:val="nil"/>
          <w:insideH w:val="nil"/>
          <w:insideV w:val="nil"/>
          <w:tl2br w:val="nil"/>
          <w:tr2bl w:val="nil"/>
        </w:tcBorders>
        <w:shd w:val="clear" w:color="auto" w:fill="CCCCCC" w:themeFill="accent1" w:themeFillTint="33"/>
      </w:tcPr>
    </w:tblStylePr>
  </w:style>
  <w:style w:type="paragraph" w:styleId="Lbjegyzetszveg">
    <w:name w:val="footnote text"/>
    <w:aliases w:val="Footnote,Char1,Char1 Char,Schriftart: 9 pt,Schriftart: 10 pt,Schriftart: 8 pt,WB-Fußnotentext,Podrozdział,Tekst przypisu Znak Znak Znak Znak,Tekst przypisu Znak Znak Znak Znak Znak,Tekst przypisu Znak Znak Znak Znak Znak Znak Znak, Char"/>
    <w:basedOn w:val="Norml"/>
    <w:link w:val="LbjegyzetszvegChar"/>
    <w:uiPriority w:val="99"/>
    <w:unhideWhenUsed/>
    <w:rsid w:val="00C3070F"/>
    <w:pPr>
      <w:spacing w:after="0" w:line="240" w:lineRule="auto"/>
    </w:pPr>
    <w:rPr>
      <w:sz w:val="20"/>
      <w:szCs w:val="20"/>
      <w:lang w:eastAsia="hu-HU"/>
    </w:rPr>
  </w:style>
  <w:style w:type="character" w:customStyle="1" w:styleId="LbjegyzetszvegChar">
    <w:name w:val="Lábjegyzetszöveg Char"/>
    <w:aliases w:val="Footnote Char,Char1 Char1,Char1 Char Char,Schriftart: 9 pt Char,Schriftart: 10 pt Char,Schriftart: 8 pt Char,WB-Fußnotentext Char,Podrozdział Char,Tekst przypisu Znak Znak Znak Znak Char,Tekst przypisu Znak Znak Znak Znak Znak Char"/>
    <w:basedOn w:val="Bekezdsalapbettpusa"/>
    <w:link w:val="Lbjegyzetszveg"/>
    <w:uiPriority w:val="99"/>
    <w:rsid w:val="00C3070F"/>
    <w:rPr>
      <w:rFonts w:ascii="Calibri" w:eastAsia="Times New Roman" w:hAnsi="Calibri" w:cs="Calibri"/>
      <w:sz w:val="20"/>
      <w:szCs w:val="20"/>
      <w:lang w:eastAsia="hu-HU"/>
    </w:rPr>
  </w:style>
  <w:style w:type="character" w:styleId="Lbjegyzet-hivatkozs">
    <w:name w:val="footnote reference"/>
    <w:aliases w:val="Footnote symbol,Times 10 Point,Exposant 3 Point,Footnote Reference Number, Exposant 3 Point,Voetnootverwijzing,Footnote reference number,note TESI,SUPERS,EN Footnote Reference,Ref,de nota al pie,Footnote number,callout,BVI fnr"/>
    <w:basedOn w:val="Bekezdsalapbettpusa"/>
    <w:link w:val="denotaalpi"/>
    <w:uiPriority w:val="99"/>
    <w:unhideWhenUsed/>
    <w:qFormat/>
    <w:rsid w:val="00C3070F"/>
    <w:rPr>
      <w:vertAlign w:val="superscript"/>
    </w:rPr>
  </w:style>
  <w:style w:type="paragraph" w:styleId="Buborkszveg">
    <w:name w:val="Balloon Text"/>
    <w:basedOn w:val="Norml"/>
    <w:link w:val="BuborkszvegChar"/>
    <w:uiPriority w:val="99"/>
    <w:unhideWhenUsed/>
    <w:rsid w:val="00C3070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C3070F"/>
    <w:rPr>
      <w:rFonts w:ascii="Tahoma" w:eastAsia="Times New Roman" w:hAnsi="Tahoma" w:cs="Tahoma"/>
      <w:sz w:val="16"/>
      <w:szCs w:val="16"/>
    </w:rPr>
  </w:style>
  <w:style w:type="paragraph" w:customStyle="1" w:styleId="felsorols">
    <w:name w:val="felsorolás"/>
    <w:basedOn w:val="Listaszerbekezds"/>
    <w:link w:val="felsorolsChar1"/>
    <w:rsid w:val="00FC3544"/>
    <w:pPr>
      <w:spacing w:after="60"/>
      <w:ind w:hanging="360"/>
    </w:pPr>
    <w:rPr>
      <w:rFonts w:cs="Times New Roman"/>
    </w:rPr>
  </w:style>
  <w:style w:type="character" w:customStyle="1" w:styleId="felsorolsChar1">
    <w:name w:val="felsorolás Char1"/>
    <w:basedOn w:val="Bekezdsalapbettpusa"/>
    <w:link w:val="felsorols"/>
    <w:rsid w:val="00FC3544"/>
    <w:rPr>
      <w:rFonts w:ascii="Calibri" w:hAnsi="Calibri"/>
      <w:sz w:val="24"/>
      <w:szCs w:val="24"/>
    </w:rPr>
  </w:style>
  <w:style w:type="paragraph" w:styleId="Listaszerbekezds">
    <w:name w:val="List Paragraph"/>
    <w:aliases w:val="Számozás,List Paragraph à moi,Dot pt,List Paragraph Char Char Char,Indicator Text,Numbered Para 1,Listaszerű bekezdés 1. szint,Számozott lista 1,Eszeri felsorolás,lista_2,Welt L,Bullet List,FooterText,numbered,Normal bullet 2,列出段落"/>
    <w:basedOn w:val="Norml"/>
    <w:link w:val="ListaszerbekezdsChar"/>
    <w:uiPriority w:val="34"/>
    <w:qFormat/>
    <w:rsid w:val="00C3070F"/>
    <w:pPr>
      <w:ind w:left="720"/>
      <w:contextualSpacing/>
    </w:pPr>
  </w:style>
  <w:style w:type="paragraph" w:customStyle="1" w:styleId="szmozott">
    <w:name w:val="számozott"/>
    <w:basedOn w:val="felsorols"/>
    <w:link w:val="szmozottChar"/>
    <w:rsid w:val="00FC3544"/>
    <w:pPr>
      <w:ind w:left="0" w:firstLine="0"/>
    </w:pPr>
  </w:style>
  <w:style w:type="character" w:customStyle="1" w:styleId="szmozottChar">
    <w:name w:val="számozott Char"/>
    <w:basedOn w:val="felsorolsChar1"/>
    <w:link w:val="szmozott"/>
    <w:rsid w:val="00FC3544"/>
    <w:rPr>
      <w:rFonts w:ascii="Calibri" w:hAnsi="Calibri"/>
      <w:sz w:val="24"/>
      <w:szCs w:val="24"/>
    </w:rPr>
  </w:style>
  <w:style w:type="paragraph" w:customStyle="1" w:styleId="Fenntabla">
    <w:name w:val="Fenn_tabla"/>
    <w:basedOn w:val="Fenntabra"/>
    <w:link w:val="FenntablaChar"/>
    <w:rsid w:val="00FC3544"/>
    <w:pPr>
      <w:numPr>
        <w:numId w:val="2"/>
      </w:numPr>
      <w:ind w:left="1077"/>
    </w:pPr>
    <w:rPr>
      <w:kern w:val="24"/>
    </w:rPr>
  </w:style>
  <w:style w:type="character" w:customStyle="1" w:styleId="FenntablaChar">
    <w:name w:val="Fenn_tabla Char"/>
    <w:basedOn w:val="FenntabraChar"/>
    <w:link w:val="Fenntabla"/>
    <w:rsid w:val="00FC3544"/>
    <w:rPr>
      <w:rFonts w:ascii="Calibri" w:hAnsi="Calibri"/>
      <w:b/>
      <w:kern w:val="24"/>
      <w:sz w:val="24"/>
      <w:szCs w:val="24"/>
    </w:rPr>
  </w:style>
  <w:style w:type="paragraph" w:customStyle="1" w:styleId="Fenntabra">
    <w:name w:val="Fennt_abra"/>
    <w:basedOn w:val="szmozott"/>
    <w:link w:val="FenntabraChar"/>
    <w:rsid w:val="00FC3544"/>
    <w:pPr>
      <w:numPr>
        <w:numId w:val="3"/>
      </w:numPr>
      <w:spacing w:before="240"/>
      <w:jc w:val="center"/>
    </w:pPr>
    <w:rPr>
      <w:b/>
    </w:rPr>
  </w:style>
  <w:style w:type="character" w:customStyle="1" w:styleId="FenntabraChar">
    <w:name w:val="Fennt_abra Char"/>
    <w:basedOn w:val="szmozottChar"/>
    <w:link w:val="Fenntabra"/>
    <w:rsid w:val="00FC3544"/>
    <w:rPr>
      <w:rFonts w:ascii="Calibri" w:hAnsi="Calibri"/>
      <w:b/>
      <w:sz w:val="24"/>
      <w:szCs w:val="24"/>
    </w:rPr>
  </w:style>
  <w:style w:type="paragraph" w:styleId="Kpalrs">
    <w:name w:val="caption"/>
    <w:basedOn w:val="Norml"/>
    <w:next w:val="Norml"/>
    <w:uiPriority w:val="35"/>
    <w:unhideWhenUsed/>
    <w:qFormat/>
    <w:rsid w:val="004D1C46"/>
    <w:pPr>
      <w:spacing w:after="200" w:line="240" w:lineRule="auto"/>
    </w:pPr>
    <w:rPr>
      <w:rFonts w:cs="Times New Roman"/>
      <w:b/>
      <w:bCs/>
      <w:color w:val="000000" w:themeColor="accent1"/>
      <w:sz w:val="18"/>
      <w:szCs w:val="18"/>
    </w:rPr>
  </w:style>
  <w:style w:type="paragraph" w:styleId="Tartalomjegyzkcmsora">
    <w:name w:val="TOC Heading"/>
    <w:basedOn w:val="Cmsor1"/>
    <w:next w:val="Norml"/>
    <w:uiPriority w:val="39"/>
    <w:semiHidden/>
    <w:unhideWhenUsed/>
    <w:qFormat/>
    <w:rsid w:val="004D1C46"/>
    <w:pPr>
      <w:keepLines/>
      <w:pageBreakBefore w:val="0"/>
      <w:spacing w:before="480" w:after="0"/>
      <w:outlineLvl w:val="9"/>
    </w:pPr>
    <w:rPr>
      <w:rFonts w:cstheme="majorBidi"/>
      <w:kern w:val="0"/>
      <w:sz w:val="24"/>
      <w:szCs w:val="28"/>
    </w:rPr>
  </w:style>
  <w:style w:type="character" w:customStyle="1" w:styleId="ListaszerbekezdsChar">
    <w:name w:val="Listaszerű bekezdés Char"/>
    <w:aliases w:val="Számozás Char,List Paragraph à moi Char,Dot pt Char,List Paragraph Char Char Char Char,Indicator Text Char,Numbered Para 1 Char,Listaszerű bekezdés 1. szint Char,Számozott lista 1 Char,Eszeri felsorolás Char,lista_2 Char"/>
    <w:basedOn w:val="Bekezdsalapbettpusa"/>
    <w:link w:val="Listaszerbekezds"/>
    <w:uiPriority w:val="34"/>
    <w:qFormat/>
    <w:locked/>
    <w:rsid w:val="00C3070F"/>
    <w:rPr>
      <w:rFonts w:ascii="Calibri" w:hAnsi="Calibri" w:cs="Calibri"/>
      <w:sz w:val="24"/>
      <w:szCs w:val="24"/>
    </w:rPr>
  </w:style>
  <w:style w:type="character" w:styleId="Jegyzethivatkozs">
    <w:name w:val="annotation reference"/>
    <w:basedOn w:val="Bekezdsalapbettpusa"/>
    <w:unhideWhenUsed/>
    <w:rsid w:val="00D256A5"/>
    <w:rPr>
      <w:sz w:val="16"/>
      <w:szCs w:val="16"/>
    </w:rPr>
  </w:style>
  <w:style w:type="paragraph" w:styleId="Jegyzetszveg">
    <w:name w:val="annotation text"/>
    <w:basedOn w:val="Norml"/>
    <w:link w:val="JegyzetszvegChar"/>
    <w:unhideWhenUsed/>
    <w:rsid w:val="00D256A5"/>
    <w:pPr>
      <w:spacing w:line="240" w:lineRule="auto"/>
    </w:pPr>
    <w:rPr>
      <w:sz w:val="20"/>
      <w:szCs w:val="20"/>
    </w:rPr>
  </w:style>
  <w:style w:type="character" w:customStyle="1" w:styleId="JegyzetszvegChar">
    <w:name w:val="Jegyzetszöveg Char"/>
    <w:basedOn w:val="Bekezdsalapbettpusa"/>
    <w:link w:val="Jegyzetszveg"/>
    <w:rsid w:val="00D256A5"/>
    <w:rPr>
      <w:rFonts w:ascii="Calibri" w:hAnsi="Calibri" w:cs="Calibri"/>
    </w:rPr>
  </w:style>
  <w:style w:type="paragraph" w:styleId="Megjegyzstrgya">
    <w:name w:val="annotation subject"/>
    <w:basedOn w:val="Jegyzetszveg"/>
    <w:next w:val="Jegyzetszveg"/>
    <w:link w:val="MegjegyzstrgyaChar"/>
    <w:uiPriority w:val="99"/>
    <w:semiHidden/>
    <w:unhideWhenUsed/>
    <w:rsid w:val="00D256A5"/>
    <w:rPr>
      <w:b/>
      <w:bCs/>
    </w:rPr>
  </w:style>
  <w:style w:type="character" w:customStyle="1" w:styleId="MegjegyzstrgyaChar">
    <w:name w:val="Megjegyzés tárgya Char"/>
    <w:basedOn w:val="JegyzetszvegChar"/>
    <w:link w:val="Megjegyzstrgya"/>
    <w:uiPriority w:val="99"/>
    <w:semiHidden/>
    <w:rsid w:val="00D256A5"/>
    <w:rPr>
      <w:rFonts w:ascii="Calibri" w:hAnsi="Calibri" w:cs="Calibri"/>
      <w:b/>
      <w:bCs/>
    </w:rPr>
  </w:style>
  <w:style w:type="paragraph" w:styleId="Vltozat">
    <w:name w:val="Revision"/>
    <w:hidden/>
    <w:uiPriority w:val="99"/>
    <w:semiHidden/>
    <w:rsid w:val="00D256A5"/>
    <w:rPr>
      <w:rFonts w:ascii="Calibri" w:hAnsi="Calibri" w:cs="Calibri"/>
      <w:sz w:val="24"/>
      <w:szCs w:val="24"/>
    </w:rPr>
  </w:style>
  <w:style w:type="paragraph" w:styleId="NormlWeb">
    <w:name w:val="Normal (Web)"/>
    <w:basedOn w:val="Norml"/>
    <w:uiPriority w:val="99"/>
    <w:semiHidden/>
    <w:unhideWhenUsed/>
    <w:rsid w:val="007B57CE"/>
    <w:pPr>
      <w:spacing w:before="100" w:beforeAutospacing="1" w:after="100" w:afterAutospacing="1" w:line="240" w:lineRule="auto"/>
      <w:jc w:val="left"/>
    </w:pPr>
    <w:rPr>
      <w:rFonts w:ascii="Times New Roman" w:eastAsiaTheme="minorEastAsia" w:hAnsi="Times New Roman" w:cs="Times New Roman"/>
      <w:lang w:eastAsia="hu-HU"/>
    </w:rPr>
  </w:style>
  <w:style w:type="character" w:styleId="Mrltotthiperhivatkozs">
    <w:name w:val="FollowedHyperlink"/>
    <w:basedOn w:val="Bekezdsalapbettpusa"/>
    <w:uiPriority w:val="99"/>
    <w:semiHidden/>
    <w:unhideWhenUsed/>
    <w:rsid w:val="001C4905"/>
    <w:rPr>
      <w:color w:val="8A784F" w:themeColor="followedHyperlink"/>
      <w:u w:val="single"/>
    </w:rPr>
  </w:style>
  <w:style w:type="table" w:customStyle="1" w:styleId="angol1">
    <w:name w:val="angol1"/>
    <w:uiPriority w:val="99"/>
    <w:qFormat/>
    <w:rsid w:val="007F2184"/>
    <w:pPr>
      <w:jc w:val="center"/>
    </w:pPr>
    <w:rPr>
      <w:rFonts w:ascii="Calibri" w:hAnsi="Calibri"/>
      <w:lang w:val="en-US" w:eastAsia="hu-HU"/>
    </w:rPr>
    <w:tblPr>
      <w:tblStyleRowBandSize w:val="1"/>
      <w:tblCellMar>
        <w:top w:w="0" w:type="dxa"/>
        <w:left w:w="108" w:type="dxa"/>
        <w:bottom w:w="0" w:type="dxa"/>
        <w:right w:w="108" w:type="dxa"/>
      </w:tblCellMar>
    </w:tblPr>
    <w:tblStylePr w:type="firstRow">
      <w:pPr>
        <w:jc w:val="center"/>
      </w:pPr>
      <w:rPr>
        <w:rFonts w:ascii="Franklin Gothic Book" w:hAnsi="Franklin Gothic Book" w:cs="Times New Roman"/>
        <w:b w:val="0"/>
        <w:sz w:val="24"/>
      </w:rPr>
      <w:tblPr/>
      <w:tcPr>
        <w:tcBorders>
          <w:top w:val="single" w:sz="18" w:space="0" w:color="auto"/>
          <w:left w:val="nil"/>
          <w:bottom w:val="single" w:sz="18" w:space="0" w:color="auto"/>
          <w:right w:val="nil"/>
          <w:insideH w:val="nil"/>
          <w:insideV w:val="nil"/>
          <w:tl2br w:val="nil"/>
          <w:tr2bl w:val="nil"/>
        </w:tcBorders>
        <w:shd w:val="clear" w:color="auto" w:fill="95B3D7"/>
      </w:tcPr>
    </w:tblStylePr>
    <w:tblStylePr w:type="firstCol">
      <w:pPr>
        <w:jc w:val="left"/>
      </w:pPr>
      <w:rPr>
        <w:rFonts w:ascii="Franklin Gothic Book" w:hAnsi="Franklin Gothic Book" w:cs="Times New Roman"/>
        <w:sz w:val="20"/>
      </w:rPr>
      <w:tblPr/>
      <w:tcPr>
        <w:tcBorders>
          <w:top w:val="nil"/>
          <w:left w:val="nil"/>
          <w:bottom w:val="single" w:sz="6" w:space="0" w:color="auto"/>
          <w:right w:val="nil"/>
          <w:insideH w:val="single" w:sz="6" w:space="0" w:color="auto"/>
          <w:insideV w:val="nil"/>
          <w:tl2br w:val="nil"/>
          <w:tr2bl w:val="nil"/>
        </w:tcBorders>
      </w:tcPr>
    </w:tblStylePr>
    <w:tblStylePr w:type="band1Horz">
      <w:pPr>
        <w:jc w:val="center"/>
      </w:pPr>
      <w:rPr>
        <w:rFonts w:ascii="Franklin Gothic Book" w:hAnsi="Franklin Gothic Book" w:cs="Times New Roman"/>
        <w:sz w:val="20"/>
      </w:rPr>
      <w:tblPr/>
      <w:tcPr>
        <w:tcBorders>
          <w:top w:val="nil"/>
          <w:left w:val="nil"/>
          <w:bottom w:val="single" w:sz="6" w:space="0" w:color="auto"/>
          <w:right w:val="nil"/>
          <w:insideH w:val="nil"/>
          <w:insideV w:val="nil"/>
          <w:tl2br w:val="nil"/>
          <w:tr2bl w:val="nil"/>
        </w:tcBorders>
        <w:shd w:val="clear" w:color="auto" w:fill="FFFFFF"/>
      </w:tcPr>
    </w:tblStylePr>
    <w:tblStylePr w:type="band2Horz">
      <w:rPr>
        <w:rFonts w:ascii="Franklin Gothic Book" w:hAnsi="Franklin Gothic Book" w:cs="Times New Roman"/>
        <w:sz w:val="20"/>
      </w:rPr>
      <w:tblPr/>
      <w:tcPr>
        <w:tcBorders>
          <w:top w:val="nil"/>
          <w:left w:val="nil"/>
          <w:bottom w:val="single" w:sz="6" w:space="0" w:color="auto"/>
          <w:right w:val="nil"/>
          <w:insideH w:val="nil"/>
          <w:insideV w:val="nil"/>
          <w:tl2br w:val="nil"/>
          <w:tr2bl w:val="nil"/>
        </w:tcBorders>
        <w:shd w:val="clear" w:color="auto" w:fill="DBE5F1"/>
      </w:tcPr>
    </w:tblStylePr>
  </w:style>
  <w:style w:type="character" w:styleId="Oldalszm">
    <w:name w:val="page number"/>
    <w:basedOn w:val="Bekezdsalapbettpusa"/>
    <w:uiPriority w:val="99"/>
    <w:semiHidden/>
    <w:unhideWhenUsed/>
    <w:rsid w:val="004D7EBA"/>
  </w:style>
  <w:style w:type="paragraph" w:styleId="TJ4">
    <w:name w:val="toc 4"/>
    <w:basedOn w:val="Norml"/>
    <w:next w:val="Norml"/>
    <w:autoRedefine/>
    <w:uiPriority w:val="39"/>
    <w:unhideWhenUsed/>
    <w:rsid w:val="00D432AA"/>
    <w:pPr>
      <w:tabs>
        <w:tab w:val="left" w:pos="1680"/>
        <w:tab w:val="right" w:leader="dot" w:pos="9072"/>
      </w:tabs>
      <w:ind w:left="720"/>
    </w:pPr>
  </w:style>
  <w:style w:type="paragraph" w:styleId="TJ5">
    <w:name w:val="toc 5"/>
    <w:basedOn w:val="Norml"/>
    <w:next w:val="Norml"/>
    <w:autoRedefine/>
    <w:uiPriority w:val="39"/>
    <w:unhideWhenUsed/>
    <w:rsid w:val="00F078D5"/>
    <w:pPr>
      <w:ind w:left="960"/>
    </w:pPr>
  </w:style>
  <w:style w:type="paragraph" w:styleId="TJ6">
    <w:name w:val="toc 6"/>
    <w:basedOn w:val="Norml"/>
    <w:next w:val="Norml"/>
    <w:autoRedefine/>
    <w:uiPriority w:val="39"/>
    <w:unhideWhenUsed/>
    <w:rsid w:val="00F078D5"/>
    <w:pPr>
      <w:ind w:left="1200"/>
    </w:pPr>
  </w:style>
  <w:style w:type="paragraph" w:styleId="TJ7">
    <w:name w:val="toc 7"/>
    <w:basedOn w:val="Norml"/>
    <w:next w:val="Norml"/>
    <w:autoRedefine/>
    <w:uiPriority w:val="39"/>
    <w:unhideWhenUsed/>
    <w:rsid w:val="00F078D5"/>
    <w:pPr>
      <w:ind w:left="1440"/>
    </w:pPr>
  </w:style>
  <w:style w:type="paragraph" w:styleId="TJ8">
    <w:name w:val="toc 8"/>
    <w:basedOn w:val="Norml"/>
    <w:next w:val="Norml"/>
    <w:autoRedefine/>
    <w:uiPriority w:val="39"/>
    <w:unhideWhenUsed/>
    <w:rsid w:val="00F078D5"/>
    <w:pPr>
      <w:ind w:left="1680"/>
    </w:pPr>
  </w:style>
  <w:style w:type="paragraph" w:styleId="TJ9">
    <w:name w:val="toc 9"/>
    <w:basedOn w:val="Norml"/>
    <w:next w:val="Norml"/>
    <w:autoRedefine/>
    <w:uiPriority w:val="39"/>
    <w:unhideWhenUsed/>
    <w:rsid w:val="00F078D5"/>
    <w:pPr>
      <w:ind w:left="1920"/>
    </w:pPr>
  </w:style>
  <w:style w:type="table" w:customStyle="1" w:styleId="SzzadvgGazdasgkutattblasablon1">
    <w:name w:val="Századvég Gazdaságkutató tábla sablon1"/>
    <w:basedOn w:val="Normltblzat"/>
    <w:uiPriority w:val="99"/>
    <w:qFormat/>
    <w:rsid w:val="006528C7"/>
    <w:pPr>
      <w:jc w:val="center"/>
    </w:pPr>
    <w:rPr>
      <w:rFonts w:ascii="Calibri" w:hAnsi="Calibri"/>
      <w:lang w:eastAsia="hu-HU"/>
    </w:rPr>
    <w:tblPr>
      <w:tblStyleRowBandSize w:val="1"/>
    </w:tblPr>
    <w:tcPr>
      <w:vAlign w:val="center"/>
    </w:tcPr>
    <w:tblStylePr w:type="firstRow">
      <w:pPr>
        <w:jc w:val="center"/>
      </w:pPr>
      <w:rPr>
        <w:rFonts w:ascii="Calibri" w:hAnsi="Calibri"/>
        <w:b w:val="0"/>
        <w:sz w:val="24"/>
      </w:rPr>
      <w:tblPr/>
      <w:tcPr>
        <w:tcBorders>
          <w:top w:val="single" w:sz="18" w:space="0" w:color="auto"/>
          <w:left w:val="nil"/>
          <w:bottom w:val="single" w:sz="18" w:space="0" w:color="auto"/>
          <w:right w:val="nil"/>
          <w:insideH w:val="nil"/>
          <w:insideV w:val="nil"/>
          <w:tl2br w:val="nil"/>
          <w:tr2bl w:val="nil"/>
        </w:tcBorders>
        <w:shd w:val="clear" w:color="auto" w:fill="95B3D7"/>
        <w:vAlign w:val="center"/>
      </w:tcPr>
    </w:tblStylePr>
    <w:tblStylePr w:type="firstCol">
      <w:pPr>
        <w:jc w:val="left"/>
      </w:pPr>
      <w:rPr>
        <w:rFonts w:ascii="Calibri" w:hAnsi="Calibri"/>
        <w:sz w:val="20"/>
      </w:rPr>
      <w:tblPr/>
      <w:tcPr>
        <w:tcBorders>
          <w:top w:val="nil"/>
          <w:left w:val="nil"/>
          <w:bottom w:val="single" w:sz="6" w:space="0" w:color="auto"/>
          <w:right w:val="nil"/>
          <w:insideH w:val="single" w:sz="6" w:space="0" w:color="auto"/>
          <w:insideV w:val="nil"/>
          <w:tl2br w:val="nil"/>
          <w:tr2bl w:val="nil"/>
        </w:tcBorders>
      </w:tcPr>
    </w:tblStylePr>
    <w:tblStylePr w:type="band1Horz">
      <w:pPr>
        <w:jc w:val="center"/>
      </w:pPr>
      <w:rPr>
        <w:rFonts w:ascii="Calibri" w:hAnsi="Calibri"/>
        <w:sz w:val="20"/>
      </w:rPr>
      <w:tblPr/>
      <w:tcPr>
        <w:tcBorders>
          <w:top w:val="nil"/>
          <w:left w:val="nil"/>
          <w:bottom w:val="single" w:sz="6" w:space="0" w:color="auto"/>
          <w:right w:val="nil"/>
          <w:insideH w:val="nil"/>
          <w:insideV w:val="nil"/>
          <w:tl2br w:val="nil"/>
          <w:tr2bl w:val="nil"/>
        </w:tcBorders>
        <w:shd w:val="clear" w:color="auto" w:fill="FFFFFF"/>
      </w:tcPr>
    </w:tblStylePr>
    <w:tblStylePr w:type="band2Horz">
      <w:rPr>
        <w:rFonts w:ascii="Calibri" w:hAnsi="Calibri"/>
        <w:sz w:val="20"/>
      </w:rPr>
      <w:tblPr/>
      <w:tcPr>
        <w:tcBorders>
          <w:top w:val="nil"/>
          <w:left w:val="nil"/>
          <w:bottom w:val="single" w:sz="6" w:space="0" w:color="auto"/>
          <w:right w:val="nil"/>
          <w:insideH w:val="nil"/>
          <w:insideV w:val="nil"/>
          <w:tl2br w:val="nil"/>
          <w:tr2bl w:val="nil"/>
        </w:tcBorders>
        <w:shd w:val="clear" w:color="auto" w:fill="DBE5F1"/>
      </w:tcPr>
    </w:tblStylePr>
  </w:style>
  <w:style w:type="character" w:styleId="HTML-idzet">
    <w:name w:val="HTML Cite"/>
    <w:basedOn w:val="Bekezdsalapbettpusa"/>
    <w:uiPriority w:val="99"/>
    <w:semiHidden/>
    <w:unhideWhenUsed/>
    <w:rsid w:val="006F20A5"/>
    <w:rPr>
      <w:i/>
      <w:iCs/>
    </w:rPr>
  </w:style>
  <w:style w:type="character" w:customStyle="1" w:styleId="TblacmChar">
    <w:name w:val="Táblacím Char"/>
    <w:basedOn w:val="Bekezdsalapbettpusa"/>
    <w:link w:val="Tblacm"/>
    <w:locked/>
    <w:rsid w:val="00FB6B78"/>
    <w:rPr>
      <w:rFonts w:ascii="Calibri" w:hAnsi="Calibri"/>
      <w:i/>
      <w:sz w:val="24"/>
      <w:szCs w:val="24"/>
    </w:rPr>
  </w:style>
  <w:style w:type="table" w:styleId="Vilgoslista2jellszn">
    <w:name w:val="Light List Accent 2"/>
    <w:basedOn w:val="SzzadvgGazdasgkutattblasablon1"/>
    <w:uiPriority w:val="61"/>
    <w:rsid w:val="00FB6B78"/>
    <w:tblPr>
      <w:tblStyleColBandSize w:val="1"/>
      <w:tblBorders>
        <w:top w:val="single" w:sz="8" w:space="0" w:color="3D2D22" w:themeColor="accent2"/>
        <w:left w:val="single" w:sz="8" w:space="0" w:color="3D2D22" w:themeColor="accent2"/>
        <w:bottom w:val="single" w:sz="8" w:space="0" w:color="3D2D22" w:themeColor="accent2"/>
        <w:right w:val="single" w:sz="8" w:space="0" w:color="3D2D22" w:themeColor="accent2"/>
      </w:tblBorders>
    </w:tblPr>
    <w:tblStylePr w:type="firstRow">
      <w:pPr>
        <w:spacing w:before="0" w:after="0" w:line="240" w:lineRule="auto"/>
        <w:jc w:val="center"/>
      </w:pPr>
      <w:rPr>
        <w:rFonts w:ascii="Calibri" w:hAnsi="Calibri"/>
        <w:b/>
        <w:bCs/>
        <w:color w:val="FFFFFF" w:themeColor="background1"/>
        <w:sz w:val="24"/>
      </w:rPr>
      <w:tblPr/>
      <w:tcPr>
        <w:tcBorders>
          <w:top w:val="single" w:sz="18" w:space="0" w:color="auto"/>
          <w:left w:val="nil"/>
          <w:bottom w:val="single" w:sz="18" w:space="0" w:color="auto"/>
          <w:right w:val="nil"/>
          <w:insideH w:val="nil"/>
          <w:insideV w:val="nil"/>
          <w:tl2br w:val="nil"/>
          <w:tr2bl w:val="nil"/>
        </w:tcBorders>
        <w:shd w:val="clear" w:color="auto" w:fill="3D2D22" w:themeFill="accent2"/>
        <w:vAlign w:val="center"/>
      </w:tcPr>
    </w:tblStylePr>
    <w:tblStylePr w:type="lastRow">
      <w:pPr>
        <w:spacing w:before="0" w:after="0" w:line="240" w:lineRule="auto"/>
      </w:pPr>
      <w:rPr>
        <w:b/>
        <w:bCs/>
      </w:rPr>
      <w:tblPr/>
      <w:tcPr>
        <w:tcBorders>
          <w:top w:val="double" w:sz="6" w:space="0" w:color="3D2D22" w:themeColor="accent2"/>
          <w:left w:val="single" w:sz="8" w:space="0" w:color="3D2D22" w:themeColor="accent2"/>
          <w:bottom w:val="single" w:sz="8" w:space="0" w:color="3D2D22" w:themeColor="accent2"/>
          <w:right w:val="single" w:sz="8" w:space="0" w:color="3D2D22" w:themeColor="accent2"/>
        </w:tcBorders>
      </w:tcPr>
    </w:tblStylePr>
    <w:tblStylePr w:type="firstCol">
      <w:pPr>
        <w:jc w:val="left"/>
      </w:pPr>
      <w:rPr>
        <w:rFonts w:ascii="Calibri" w:hAnsi="Calibri"/>
        <w:b/>
        <w:bCs/>
        <w:sz w:val="20"/>
      </w:rPr>
      <w:tblPr/>
      <w:tcPr>
        <w:tcBorders>
          <w:top w:val="nil"/>
          <w:left w:val="nil"/>
          <w:bottom w:val="single" w:sz="6" w:space="0" w:color="auto"/>
          <w:right w:val="nil"/>
          <w:insideH w:val="single" w:sz="6" w:space="0" w:color="auto"/>
          <w:insideV w:val="nil"/>
          <w:tl2br w:val="nil"/>
          <w:tr2bl w:val="nil"/>
        </w:tcBorders>
      </w:tcPr>
    </w:tblStylePr>
    <w:tblStylePr w:type="lastCol">
      <w:rPr>
        <w:b/>
        <w:bCs/>
      </w:rPr>
    </w:tblStylePr>
    <w:tblStylePr w:type="band1Vert">
      <w:tblPr/>
      <w:tcPr>
        <w:tcBorders>
          <w:top w:val="single" w:sz="8" w:space="0" w:color="3D2D22" w:themeColor="accent2"/>
          <w:left w:val="single" w:sz="8" w:space="0" w:color="3D2D22" w:themeColor="accent2"/>
          <w:bottom w:val="single" w:sz="8" w:space="0" w:color="3D2D22" w:themeColor="accent2"/>
          <w:right w:val="single" w:sz="8" w:space="0" w:color="3D2D22" w:themeColor="accent2"/>
        </w:tcBorders>
      </w:tcPr>
    </w:tblStylePr>
    <w:tblStylePr w:type="band1Horz">
      <w:pPr>
        <w:jc w:val="center"/>
      </w:pPr>
      <w:rPr>
        <w:rFonts w:ascii="Calibri" w:hAnsi="Calibri"/>
        <w:sz w:val="20"/>
      </w:rPr>
      <w:tblPr/>
      <w:tcPr>
        <w:tcBorders>
          <w:top w:val="single" w:sz="8" w:space="0" w:color="3D2D22" w:themeColor="accent2"/>
          <w:left w:val="single" w:sz="8" w:space="0" w:color="3D2D22" w:themeColor="accent2"/>
          <w:bottom w:val="single" w:sz="8" w:space="0" w:color="3D2D22" w:themeColor="accent2"/>
          <w:right w:val="single" w:sz="8" w:space="0" w:color="3D2D22" w:themeColor="accent2"/>
          <w:insideH w:val="nil"/>
          <w:insideV w:val="nil"/>
          <w:tl2br w:val="nil"/>
          <w:tr2bl w:val="nil"/>
        </w:tcBorders>
        <w:shd w:val="clear" w:color="auto" w:fill="FFFFFF"/>
      </w:tcPr>
    </w:tblStylePr>
    <w:tblStylePr w:type="band2Horz">
      <w:rPr>
        <w:rFonts w:ascii="Calibri" w:hAnsi="Calibri"/>
        <w:sz w:val="20"/>
      </w:rPr>
      <w:tblPr/>
      <w:tcPr>
        <w:tcBorders>
          <w:top w:val="nil"/>
          <w:left w:val="nil"/>
          <w:bottom w:val="single" w:sz="6" w:space="0" w:color="auto"/>
          <w:right w:val="nil"/>
          <w:insideH w:val="nil"/>
          <w:insideV w:val="nil"/>
          <w:tl2br w:val="nil"/>
          <w:tr2bl w:val="nil"/>
        </w:tcBorders>
        <w:shd w:val="clear" w:color="auto" w:fill="DBE5F1"/>
      </w:tcPr>
    </w:tblStylePr>
  </w:style>
  <w:style w:type="table" w:styleId="Kzepesrnykols14jellszn">
    <w:name w:val="Medium Shading 1 Accent 4"/>
    <w:basedOn w:val="Normltblzat"/>
    <w:uiPriority w:val="63"/>
    <w:rsid w:val="00FB6B78"/>
    <w:tblPr>
      <w:tblStyleRowBandSize w:val="1"/>
      <w:tblStyleColBandSize w:val="1"/>
      <w:tblBorders>
        <w:top w:val="single" w:sz="8" w:space="0" w:color="B1A8A1" w:themeColor="accent4" w:themeTint="BF"/>
        <w:left w:val="single" w:sz="8" w:space="0" w:color="B1A8A1" w:themeColor="accent4" w:themeTint="BF"/>
        <w:bottom w:val="single" w:sz="8" w:space="0" w:color="B1A8A1" w:themeColor="accent4" w:themeTint="BF"/>
        <w:right w:val="single" w:sz="8" w:space="0" w:color="B1A8A1" w:themeColor="accent4" w:themeTint="BF"/>
        <w:insideH w:val="single" w:sz="8" w:space="0" w:color="B1A8A1" w:themeColor="accent4" w:themeTint="BF"/>
      </w:tblBorders>
    </w:tblPr>
    <w:tblStylePr w:type="firstRow">
      <w:pPr>
        <w:spacing w:before="0" w:after="0" w:line="240" w:lineRule="auto"/>
      </w:pPr>
      <w:rPr>
        <w:b/>
        <w:bCs/>
        <w:color w:val="FFFFFF" w:themeColor="background1"/>
      </w:rPr>
      <w:tblPr/>
      <w:tcPr>
        <w:tcBorders>
          <w:top w:val="single" w:sz="8" w:space="0" w:color="B1A8A1" w:themeColor="accent4" w:themeTint="BF"/>
          <w:left w:val="single" w:sz="8" w:space="0" w:color="B1A8A1" w:themeColor="accent4" w:themeTint="BF"/>
          <w:bottom w:val="single" w:sz="8" w:space="0" w:color="B1A8A1" w:themeColor="accent4" w:themeTint="BF"/>
          <w:right w:val="single" w:sz="8" w:space="0" w:color="B1A8A1" w:themeColor="accent4" w:themeTint="BF"/>
          <w:insideH w:val="nil"/>
          <w:insideV w:val="nil"/>
        </w:tcBorders>
        <w:shd w:val="clear" w:color="auto" w:fill="978B82" w:themeFill="accent4"/>
      </w:tcPr>
    </w:tblStylePr>
    <w:tblStylePr w:type="lastRow">
      <w:pPr>
        <w:spacing w:before="0" w:after="0" w:line="240" w:lineRule="auto"/>
      </w:pPr>
      <w:rPr>
        <w:b/>
        <w:bCs/>
      </w:rPr>
      <w:tblPr/>
      <w:tcPr>
        <w:tcBorders>
          <w:top w:val="double" w:sz="6" w:space="0" w:color="B1A8A1" w:themeColor="accent4" w:themeTint="BF"/>
          <w:left w:val="single" w:sz="8" w:space="0" w:color="B1A8A1" w:themeColor="accent4" w:themeTint="BF"/>
          <w:bottom w:val="single" w:sz="8" w:space="0" w:color="B1A8A1" w:themeColor="accent4" w:themeTint="BF"/>
          <w:right w:val="single" w:sz="8" w:space="0" w:color="B1A8A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2E0" w:themeFill="accent4" w:themeFillTint="3F"/>
      </w:tcPr>
    </w:tblStylePr>
    <w:tblStylePr w:type="band1Horz">
      <w:tblPr/>
      <w:tcPr>
        <w:tcBorders>
          <w:insideH w:val="nil"/>
          <w:insideV w:val="nil"/>
        </w:tcBorders>
        <w:shd w:val="clear" w:color="auto" w:fill="E5E2E0" w:themeFill="accent4" w:themeFillTint="3F"/>
      </w:tcPr>
    </w:tblStylePr>
    <w:tblStylePr w:type="band2Horz">
      <w:tblPr/>
      <w:tcPr>
        <w:tcBorders>
          <w:insideH w:val="nil"/>
          <w:insideV w:val="nil"/>
        </w:tcBorders>
      </w:tcPr>
    </w:tblStylePr>
  </w:style>
  <w:style w:type="table" w:styleId="Rcsostblzat">
    <w:name w:val="Table Grid"/>
    <w:basedOn w:val="Normltblzat"/>
    <w:uiPriority w:val="59"/>
    <w:rsid w:val="00246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zepesrnykols13jellszn">
    <w:name w:val="Medium Shading 1 Accent 3"/>
    <w:basedOn w:val="Normltblzat"/>
    <w:uiPriority w:val="63"/>
    <w:rsid w:val="00FA46DC"/>
    <w:tblPr>
      <w:tblStyleRowBandSize w:val="1"/>
      <w:tblStyleColBandSize w:val="1"/>
      <w:tblBorders>
        <w:top w:val="single" w:sz="8" w:space="0" w:color="9D7860" w:themeColor="accent3" w:themeTint="BF"/>
        <w:left w:val="single" w:sz="8" w:space="0" w:color="9D7860" w:themeColor="accent3" w:themeTint="BF"/>
        <w:bottom w:val="single" w:sz="8" w:space="0" w:color="9D7860" w:themeColor="accent3" w:themeTint="BF"/>
        <w:right w:val="single" w:sz="8" w:space="0" w:color="9D7860" w:themeColor="accent3" w:themeTint="BF"/>
        <w:insideH w:val="single" w:sz="8" w:space="0" w:color="9D7860" w:themeColor="accent3" w:themeTint="BF"/>
      </w:tblBorders>
    </w:tblPr>
    <w:tblStylePr w:type="firstRow">
      <w:pPr>
        <w:spacing w:before="0" w:after="0" w:line="240" w:lineRule="auto"/>
      </w:pPr>
      <w:rPr>
        <w:b/>
        <w:bCs/>
        <w:color w:val="FFFFFF" w:themeColor="background1"/>
      </w:rPr>
      <w:tblPr/>
      <w:tcPr>
        <w:tcBorders>
          <w:top w:val="single" w:sz="8" w:space="0" w:color="9D7860" w:themeColor="accent3" w:themeTint="BF"/>
          <w:left w:val="single" w:sz="8" w:space="0" w:color="9D7860" w:themeColor="accent3" w:themeTint="BF"/>
          <w:bottom w:val="single" w:sz="8" w:space="0" w:color="9D7860" w:themeColor="accent3" w:themeTint="BF"/>
          <w:right w:val="single" w:sz="8" w:space="0" w:color="9D7860" w:themeColor="accent3" w:themeTint="BF"/>
          <w:insideH w:val="nil"/>
          <w:insideV w:val="nil"/>
        </w:tcBorders>
        <w:shd w:val="clear" w:color="auto" w:fill="685040" w:themeFill="accent3"/>
      </w:tcPr>
    </w:tblStylePr>
    <w:tblStylePr w:type="lastRow">
      <w:pPr>
        <w:spacing w:before="0" w:after="0" w:line="240" w:lineRule="auto"/>
      </w:pPr>
      <w:rPr>
        <w:b/>
        <w:bCs/>
      </w:rPr>
      <w:tblPr/>
      <w:tcPr>
        <w:tcBorders>
          <w:top w:val="double" w:sz="6" w:space="0" w:color="9D7860" w:themeColor="accent3" w:themeTint="BF"/>
          <w:left w:val="single" w:sz="8" w:space="0" w:color="9D7860" w:themeColor="accent3" w:themeTint="BF"/>
          <w:bottom w:val="single" w:sz="8" w:space="0" w:color="9D7860" w:themeColor="accent3" w:themeTint="BF"/>
          <w:right w:val="single" w:sz="8" w:space="0" w:color="9D78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ED2CA" w:themeFill="accent3" w:themeFillTint="3F"/>
      </w:tcPr>
    </w:tblStylePr>
    <w:tblStylePr w:type="band1Horz">
      <w:tblPr/>
      <w:tcPr>
        <w:tcBorders>
          <w:insideH w:val="nil"/>
          <w:insideV w:val="nil"/>
        </w:tcBorders>
        <w:shd w:val="clear" w:color="auto" w:fill="DED2CA" w:themeFill="accent3" w:themeFillTint="3F"/>
      </w:tcPr>
    </w:tblStylePr>
    <w:tblStylePr w:type="band2Horz">
      <w:tblPr/>
      <w:tcPr>
        <w:tcBorders>
          <w:insideH w:val="nil"/>
          <w:insideV w:val="nil"/>
        </w:tcBorders>
      </w:tcPr>
    </w:tblStylePr>
  </w:style>
  <w:style w:type="table" w:styleId="Vilgosrnykols2jellszn">
    <w:name w:val="Light Shading Accent 2"/>
    <w:basedOn w:val="Normltblzat"/>
    <w:uiPriority w:val="60"/>
    <w:rsid w:val="00FA46DC"/>
    <w:rPr>
      <w:color w:val="2D2119" w:themeColor="accent2" w:themeShade="BF"/>
    </w:rPr>
    <w:tblPr>
      <w:tblStyleRowBandSize w:val="1"/>
      <w:tblStyleColBandSize w:val="1"/>
      <w:tblBorders>
        <w:top w:val="single" w:sz="8" w:space="0" w:color="3D2D22" w:themeColor="accent2"/>
        <w:bottom w:val="single" w:sz="8" w:space="0" w:color="3D2D22" w:themeColor="accent2"/>
      </w:tblBorders>
    </w:tblPr>
    <w:tblStylePr w:type="firstRow">
      <w:pPr>
        <w:spacing w:before="0" w:after="0" w:line="240" w:lineRule="auto"/>
      </w:pPr>
      <w:rPr>
        <w:b/>
        <w:bCs/>
      </w:rPr>
      <w:tblPr/>
      <w:tcPr>
        <w:tcBorders>
          <w:top w:val="single" w:sz="8" w:space="0" w:color="3D2D22" w:themeColor="accent2"/>
          <w:left w:val="nil"/>
          <w:bottom w:val="single" w:sz="8" w:space="0" w:color="3D2D22" w:themeColor="accent2"/>
          <w:right w:val="nil"/>
          <w:insideH w:val="nil"/>
          <w:insideV w:val="nil"/>
        </w:tcBorders>
      </w:tcPr>
    </w:tblStylePr>
    <w:tblStylePr w:type="lastRow">
      <w:pPr>
        <w:spacing w:before="0" w:after="0" w:line="240" w:lineRule="auto"/>
      </w:pPr>
      <w:rPr>
        <w:b/>
        <w:bCs/>
      </w:rPr>
      <w:tblPr/>
      <w:tcPr>
        <w:tcBorders>
          <w:top w:val="single" w:sz="8" w:space="0" w:color="3D2D22" w:themeColor="accent2"/>
          <w:left w:val="nil"/>
          <w:bottom w:val="single" w:sz="8" w:space="0" w:color="3D2D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8BD" w:themeFill="accent2" w:themeFillTint="3F"/>
      </w:tcPr>
    </w:tblStylePr>
    <w:tblStylePr w:type="band1Horz">
      <w:tblPr/>
      <w:tcPr>
        <w:tcBorders>
          <w:left w:val="nil"/>
          <w:right w:val="nil"/>
          <w:insideH w:val="nil"/>
          <w:insideV w:val="nil"/>
        </w:tcBorders>
        <w:shd w:val="clear" w:color="auto" w:fill="DAC8BD" w:themeFill="accent2" w:themeFillTint="3F"/>
      </w:tcPr>
    </w:tblStylePr>
  </w:style>
  <w:style w:type="table" w:styleId="Vilgosrnykols3jellszn">
    <w:name w:val="Light Shading Accent 3"/>
    <w:basedOn w:val="Normltblzat"/>
    <w:uiPriority w:val="60"/>
    <w:rsid w:val="00FA46DC"/>
    <w:rPr>
      <w:color w:val="4D3B30" w:themeColor="accent3" w:themeShade="BF"/>
    </w:rPr>
    <w:tblPr>
      <w:tblStyleRowBandSize w:val="1"/>
      <w:tblStyleColBandSize w:val="1"/>
      <w:tblBorders>
        <w:top w:val="single" w:sz="8" w:space="0" w:color="685040" w:themeColor="accent3"/>
        <w:bottom w:val="single" w:sz="8" w:space="0" w:color="685040" w:themeColor="accent3"/>
      </w:tblBorders>
    </w:tblPr>
    <w:tblStylePr w:type="firstRow">
      <w:pPr>
        <w:spacing w:before="0" w:after="0" w:line="240" w:lineRule="auto"/>
      </w:pPr>
      <w:rPr>
        <w:b/>
        <w:bCs/>
      </w:rPr>
      <w:tblPr/>
      <w:tcPr>
        <w:tcBorders>
          <w:top w:val="single" w:sz="8" w:space="0" w:color="685040" w:themeColor="accent3"/>
          <w:left w:val="nil"/>
          <w:bottom w:val="single" w:sz="8" w:space="0" w:color="685040" w:themeColor="accent3"/>
          <w:right w:val="nil"/>
          <w:insideH w:val="nil"/>
          <w:insideV w:val="nil"/>
        </w:tcBorders>
      </w:tcPr>
    </w:tblStylePr>
    <w:tblStylePr w:type="lastRow">
      <w:pPr>
        <w:spacing w:before="0" w:after="0" w:line="240" w:lineRule="auto"/>
      </w:pPr>
      <w:rPr>
        <w:b/>
        <w:bCs/>
      </w:rPr>
      <w:tblPr/>
      <w:tcPr>
        <w:tcBorders>
          <w:top w:val="single" w:sz="8" w:space="0" w:color="685040" w:themeColor="accent3"/>
          <w:left w:val="nil"/>
          <w:bottom w:val="single" w:sz="8" w:space="0" w:color="68504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2CA" w:themeFill="accent3" w:themeFillTint="3F"/>
      </w:tcPr>
    </w:tblStylePr>
    <w:tblStylePr w:type="band1Horz">
      <w:tblPr/>
      <w:tcPr>
        <w:tcBorders>
          <w:left w:val="nil"/>
          <w:right w:val="nil"/>
          <w:insideH w:val="nil"/>
          <w:insideV w:val="nil"/>
        </w:tcBorders>
        <w:shd w:val="clear" w:color="auto" w:fill="DED2CA" w:themeFill="accent3" w:themeFillTint="3F"/>
      </w:tcPr>
    </w:tblStylePr>
  </w:style>
  <w:style w:type="character" w:customStyle="1" w:styleId="Cmsor5Char">
    <w:name w:val="Címsor 5 Char"/>
    <w:basedOn w:val="Bekezdsalapbettpusa"/>
    <w:link w:val="Cmsor5"/>
    <w:uiPriority w:val="9"/>
    <w:rsid w:val="004B3B43"/>
    <w:rPr>
      <w:rFonts w:asciiTheme="majorHAnsi" w:eastAsiaTheme="majorEastAsia" w:hAnsiTheme="majorHAnsi" w:cstheme="majorBidi"/>
      <w:color w:val="000000" w:themeColor="accent1" w:themeShade="7F"/>
      <w:sz w:val="24"/>
      <w:szCs w:val="24"/>
    </w:rPr>
  </w:style>
  <w:style w:type="paragraph" w:customStyle="1" w:styleId="NZstl1">
    <w:name w:val="NZ_stíl1"/>
    <w:basedOn w:val="Cmsor1"/>
    <w:link w:val="NZstl1Char"/>
    <w:qFormat/>
    <w:rsid w:val="004B3B43"/>
    <w:pPr>
      <w:keepLines/>
      <w:pageBreakBefore w:val="0"/>
      <w:autoSpaceDN w:val="0"/>
      <w:spacing w:before="240" w:after="0" w:line="276" w:lineRule="auto"/>
    </w:pPr>
    <w:rPr>
      <w:rFonts w:asciiTheme="minorHAnsi" w:eastAsia="Times New Roman" w:hAnsiTheme="minorHAnsi" w:cstheme="minorHAnsi"/>
      <w:b w:val="0"/>
      <w:bCs w:val="0"/>
      <w:color w:val="365F91"/>
      <w:kern w:val="0"/>
      <w:sz w:val="32"/>
    </w:rPr>
  </w:style>
  <w:style w:type="character" w:customStyle="1" w:styleId="NZstl1Char">
    <w:name w:val="NZ_stíl1 Char"/>
    <w:basedOn w:val="Bekezdsalapbettpusa"/>
    <w:link w:val="NZstl1"/>
    <w:rsid w:val="004B3B43"/>
    <w:rPr>
      <w:rFonts w:asciiTheme="minorHAnsi" w:hAnsiTheme="minorHAnsi" w:cstheme="minorHAnsi"/>
      <w:color w:val="365F91"/>
      <w:sz w:val="32"/>
      <w:szCs w:val="32"/>
    </w:rPr>
  </w:style>
  <w:style w:type="character" w:customStyle="1" w:styleId="Cmsor6Char">
    <w:name w:val="Címsor 6 Char"/>
    <w:basedOn w:val="Bekezdsalapbettpusa"/>
    <w:link w:val="Cmsor6"/>
    <w:uiPriority w:val="9"/>
    <w:semiHidden/>
    <w:rsid w:val="00AF6E3D"/>
    <w:rPr>
      <w:rFonts w:asciiTheme="majorHAnsi" w:eastAsiaTheme="majorEastAsia" w:hAnsiTheme="majorHAnsi" w:cstheme="majorBidi"/>
      <w:i/>
      <w:iCs/>
      <w:color w:val="000000" w:themeColor="accent1" w:themeShade="7F"/>
      <w:sz w:val="24"/>
      <w:szCs w:val="24"/>
    </w:rPr>
  </w:style>
  <w:style w:type="character" w:customStyle="1" w:styleId="Cmsor7Char">
    <w:name w:val="Címsor 7 Char"/>
    <w:basedOn w:val="Bekezdsalapbettpusa"/>
    <w:link w:val="Cmsor7"/>
    <w:uiPriority w:val="9"/>
    <w:semiHidden/>
    <w:rsid w:val="00AF6E3D"/>
    <w:rPr>
      <w:rFonts w:asciiTheme="majorHAnsi" w:eastAsiaTheme="majorEastAsia" w:hAnsiTheme="majorHAnsi" w:cstheme="majorBidi"/>
      <w:i/>
      <w:iCs/>
      <w:color w:val="404040" w:themeColor="text1" w:themeTint="BF"/>
      <w:sz w:val="24"/>
      <w:szCs w:val="24"/>
    </w:rPr>
  </w:style>
  <w:style w:type="character" w:customStyle="1" w:styleId="Cmsor8Char">
    <w:name w:val="Címsor 8 Char"/>
    <w:basedOn w:val="Bekezdsalapbettpusa"/>
    <w:link w:val="Cmsor8"/>
    <w:uiPriority w:val="9"/>
    <w:semiHidden/>
    <w:rsid w:val="00AF6E3D"/>
    <w:rPr>
      <w:rFonts w:asciiTheme="majorHAnsi" w:eastAsiaTheme="majorEastAsia" w:hAnsiTheme="majorHAnsi" w:cstheme="majorBidi"/>
      <w:color w:val="404040" w:themeColor="text1" w:themeTint="BF"/>
    </w:rPr>
  </w:style>
  <w:style w:type="character" w:customStyle="1" w:styleId="Cmsor9Char">
    <w:name w:val="Címsor 9 Char"/>
    <w:basedOn w:val="Bekezdsalapbettpusa"/>
    <w:link w:val="Cmsor9"/>
    <w:uiPriority w:val="9"/>
    <w:semiHidden/>
    <w:rsid w:val="00AF6E3D"/>
    <w:rPr>
      <w:rFonts w:asciiTheme="majorHAnsi" w:eastAsiaTheme="majorEastAsia" w:hAnsiTheme="majorHAnsi" w:cstheme="majorBidi"/>
      <w:i/>
      <w:iCs/>
      <w:color w:val="404040" w:themeColor="text1" w:themeTint="BF"/>
    </w:rPr>
  </w:style>
  <w:style w:type="paragraph" w:customStyle="1" w:styleId="denotaalpi">
    <w:name w:val="de nota al pi..."/>
    <w:aliases w:val="Footnote symbol Char,Footnote Reference1 Car Char,Char Char,Carattere Carattere Char,SUPERS Carattere Carattere,Nota,Char,fr,o"/>
    <w:basedOn w:val="Norml"/>
    <w:link w:val="Lbjegyzet-hivatkozs"/>
    <w:uiPriority w:val="99"/>
    <w:rsid w:val="00EC6A54"/>
    <w:pPr>
      <w:spacing w:line="240" w:lineRule="exact"/>
    </w:pPr>
    <w:rPr>
      <w:rFonts w:ascii="Times New Roman" w:hAnsi="Times New Roman" w:cs="Times New Roman"/>
      <w:sz w:val="20"/>
      <w:szCs w:val="20"/>
      <w:vertAlign w:val="superscript"/>
    </w:rPr>
  </w:style>
  <w:style w:type="character" w:customStyle="1" w:styleId="tlid-translation">
    <w:name w:val="tlid-translation"/>
    <w:basedOn w:val="Bekezdsalapbettpusa"/>
    <w:rsid w:val="004457C8"/>
  </w:style>
  <w:style w:type="table" w:customStyle="1" w:styleId="Tblzatrcsosvilgos1">
    <w:name w:val="Táblázat (rácsos) – világos1"/>
    <w:basedOn w:val="Normltblzat"/>
    <w:uiPriority w:val="40"/>
    <w:rsid w:val="000364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egyszer11">
    <w:name w:val="Táblázat (egyszerű) 11"/>
    <w:basedOn w:val="Normltblzat"/>
    <w:uiPriority w:val="41"/>
    <w:rsid w:val="008655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blzatrcsos1vilgos2jellszn1">
    <w:name w:val="Táblázat (rácsos) 1 – világos – 2. jelölőszín1"/>
    <w:basedOn w:val="Normltblzat"/>
    <w:uiPriority w:val="46"/>
    <w:rsid w:val="00865564"/>
    <w:tblPr>
      <w:tblStyleRowBandSize w:val="1"/>
      <w:tblStyleColBandSize w:val="1"/>
      <w:tblBorders>
        <w:top w:val="single" w:sz="4" w:space="0" w:color="C3A794" w:themeColor="accent2" w:themeTint="66"/>
        <w:left w:val="single" w:sz="4" w:space="0" w:color="C3A794" w:themeColor="accent2" w:themeTint="66"/>
        <w:bottom w:val="single" w:sz="4" w:space="0" w:color="C3A794" w:themeColor="accent2" w:themeTint="66"/>
        <w:right w:val="single" w:sz="4" w:space="0" w:color="C3A794" w:themeColor="accent2" w:themeTint="66"/>
        <w:insideH w:val="single" w:sz="4" w:space="0" w:color="C3A794" w:themeColor="accent2" w:themeTint="66"/>
        <w:insideV w:val="single" w:sz="4" w:space="0" w:color="C3A794" w:themeColor="accent2" w:themeTint="66"/>
      </w:tblBorders>
    </w:tblPr>
    <w:tblStylePr w:type="firstRow">
      <w:rPr>
        <w:b/>
        <w:bCs/>
      </w:rPr>
      <w:tblPr/>
      <w:tcPr>
        <w:tcBorders>
          <w:bottom w:val="single" w:sz="12" w:space="0" w:color="A57B5F" w:themeColor="accent2" w:themeTint="99"/>
        </w:tcBorders>
      </w:tcPr>
    </w:tblStylePr>
    <w:tblStylePr w:type="lastRow">
      <w:rPr>
        <w:b/>
        <w:bCs/>
      </w:rPr>
      <w:tblPr/>
      <w:tcPr>
        <w:tcBorders>
          <w:top w:val="double" w:sz="2" w:space="0" w:color="A57B5F" w:themeColor="accent2" w:themeTint="99"/>
        </w:tcBorders>
      </w:tcPr>
    </w:tblStylePr>
    <w:tblStylePr w:type="firstCol">
      <w:rPr>
        <w:b/>
        <w:bCs/>
      </w:rPr>
    </w:tblStylePr>
    <w:tblStylePr w:type="lastCol">
      <w:rPr>
        <w:b/>
        <w:bCs/>
      </w:rPr>
    </w:tblStylePr>
  </w:style>
  <w:style w:type="table" w:customStyle="1" w:styleId="Tblzatrcsos1vilgos1">
    <w:name w:val="Táblázat (rácsos) 1 – világos1"/>
    <w:basedOn w:val="Normltblzat"/>
    <w:uiPriority w:val="46"/>
    <w:rsid w:val="008655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blzatrcsos23jellszn1">
    <w:name w:val="Táblázat (rácsos) 2 – 3. jelölőszín1"/>
    <w:basedOn w:val="Normltblzat"/>
    <w:uiPriority w:val="47"/>
    <w:rsid w:val="00865564"/>
    <w:tblPr>
      <w:tblStyleRowBandSize w:val="1"/>
      <w:tblStyleColBandSize w:val="1"/>
      <w:tblBorders>
        <w:top w:val="single" w:sz="2" w:space="0" w:color="B0937F" w:themeColor="accent3" w:themeTint="99"/>
        <w:bottom w:val="single" w:sz="2" w:space="0" w:color="B0937F" w:themeColor="accent3" w:themeTint="99"/>
        <w:insideH w:val="single" w:sz="2" w:space="0" w:color="B0937F" w:themeColor="accent3" w:themeTint="99"/>
        <w:insideV w:val="single" w:sz="2" w:space="0" w:color="B0937F" w:themeColor="accent3" w:themeTint="99"/>
      </w:tblBorders>
    </w:tblPr>
    <w:tblStylePr w:type="firstRow">
      <w:rPr>
        <w:b/>
        <w:bCs/>
      </w:rPr>
      <w:tblPr/>
      <w:tcPr>
        <w:tcBorders>
          <w:top w:val="nil"/>
          <w:bottom w:val="single" w:sz="12" w:space="0" w:color="B0937F" w:themeColor="accent3" w:themeTint="99"/>
          <w:insideH w:val="nil"/>
          <w:insideV w:val="nil"/>
        </w:tcBorders>
        <w:shd w:val="clear" w:color="auto" w:fill="FFFFFF" w:themeFill="background1"/>
      </w:tcPr>
    </w:tblStylePr>
    <w:tblStylePr w:type="lastRow">
      <w:rPr>
        <w:b/>
        <w:bCs/>
      </w:rPr>
      <w:tblPr/>
      <w:tcPr>
        <w:tcBorders>
          <w:top w:val="double" w:sz="2" w:space="0" w:color="B093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BD4" w:themeFill="accent3" w:themeFillTint="33"/>
      </w:tcPr>
    </w:tblStylePr>
    <w:tblStylePr w:type="band1Horz">
      <w:tblPr/>
      <w:tcPr>
        <w:shd w:val="clear" w:color="auto" w:fill="E5DBD4" w:themeFill="accent3" w:themeFillTint="33"/>
      </w:tcPr>
    </w:tblStylePr>
  </w:style>
  <w:style w:type="table" w:customStyle="1" w:styleId="Tblzatrcsos43jellszn1">
    <w:name w:val="Táblázat (rácsos) 4 – 3. jelölőszín1"/>
    <w:basedOn w:val="Normltblzat"/>
    <w:uiPriority w:val="49"/>
    <w:rsid w:val="00865564"/>
    <w:tblPr>
      <w:tblStyleRowBandSize w:val="1"/>
      <w:tblStyleColBandSize w:val="1"/>
      <w:tblBorders>
        <w:top w:val="single" w:sz="4" w:space="0" w:color="B0937F" w:themeColor="accent3" w:themeTint="99"/>
        <w:left w:val="single" w:sz="4" w:space="0" w:color="B0937F" w:themeColor="accent3" w:themeTint="99"/>
        <w:bottom w:val="single" w:sz="4" w:space="0" w:color="B0937F" w:themeColor="accent3" w:themeTint="99"/>
        <w:right w:val="single" w:sz="4" w:space="0" w:color="B0937F" w:themeColor="accent3" w:themeTint="99"/>
        <w:insideH w:val="single" w:sz="4" w:space="0" w:color="B0937F" w:themeColor="accent3" w:themeTint="99"/>
        <w:insideV w:val="single" w:sz="4" w:space="0" w:color="B0937F" w:themeColor="accent3" w:themeTint="99"/>
      </w:tblBorders>
    </w:tblPr>
    <w:tblStylePr w:type="firstRow">
      <w:rPr>
        <w:b/>
        <w:bCs/>
        <w:color w:val="FFFFFF" w:themeColor="background1"/>
      </w:rPr>
      <w:tblPr/>
      <w:tcPr>
        <w:tcBorders>
          <w:top w:val="single" w:sz="4" w:space="0" w:color="685040" w:themeColor="accent3"/>
          <w:left w:val="single" w:sz="4" w:space="0" w:color="685040" w:themeColor="accent3"/>
          <w:bottom w:val="single" w:sz="4" w:space="0" w:color="685040" w:themeColor="accent3"/>
          <w:right w:val="single" w:sz="4" w:space="0" w:color="685040" w:themeColor="accent3"/>
          <w:insideH w:val="nil"/>
          <w:insideV w:val="nil"/>
        </w:tcBorders>
        <w:shd w:val="clear" w:color="auto" w:fill="685040" w:themeFill="accent3"/>
      </w:tcPr>
    </w:tblStylePr>
    <w:tblStylePr w:type="lastRow">
      <w:rPr>
        <w:b/>
        <w:bCs/>
      </w:rPr>
      <w:tblPr/>
      <w:tcPr>
        <w:tcBorders>
          <w:top w:val="double" w:sz="4" w:space="0" w:color="685040" w:themeColor="accent3"/>
        </w:tcBorders>
      </w:tcPr>
    </w:tblStylePr>
    <w:tblStylePr w:type="firstCol">
      <w:rPr>
        <w:b/>
        <w:bCs/>
      </w:rPr>
    </w:tblStylePr>
    <w:tblStylePr w:type="lastCol">
      <w:rPr>
        <w:b/>
        <w:bCs/>
      </w:rPr>
    </w:tblStylePr>
    <w:tblStylePr w:type="band1Vert">
      <w:tblPr/>
      <w:tcPr>
        <w:shd w:val="clear" w:color="auto" w:fill="E5DBD4" w:themeFill="accent3" w:themeFillTint="33"/>
      </w:tcPr>
    </w:tblStylePr>
    <w:tblStylePr w:type="band1Horz">
      <w:tblPr/>
      <w:tcPr>
        <w:shd w:val="clear" w:color="auto" w:fill="E5DBD4" w:themeFill="accent3" w:themeFillTint="33"/>
      </w:tcPr>
    </w:tblStylePr>
  </w:style>
  <w:style w:type="table" w:customStyle="1" w:styleId="Tblzatrcsos42jellszn1">
    <w:name w:val="Táblázat (rácsos) 4 – 2. jelölőszín1"/>
    <w:basedOn w:val="Normltblzat"/>
    <w:uiPriority w:val="49"/>
    <w:rsid w:val="00865564"/>
    <w:tblPr>
      <w:tblStyleRowBandSize w:val="1"/>
      <w:tblStyleColBandSize w:val="1"/>
      <w:tblBorders>
        <w:top w:val="single" w:sz="4" w:space="0" w:color="A57B5F" w:themeColor="accent2" w:themeTint="99"/>
        <w:left w:val="single" w:sz="4" w:space="0" w:color="A57B5F" w:themeColor="accent2" w:themeTint="99"/>
        <w:bottom w:val="single" w:sz="4" w:space="0" w:color="A57B5F" w:themeColor="accent2" w:themeTint="99"/>
        <w:right w:val="single" w:sz="4" w:space="0" w:color="A57B5F" w:themeColor="accent2" w:themeTint="99"/>
        <w:insideH w:val="single" w:sz="4" w:space="0" w:color="A57B5F" w:themeColor="accent2" w:themeTint="99"/>
        <w:insideV w:val="single" w:sz="4" w:space="0" w:color="A57B5F" w:themeColor="accent2" w:themeTint="99"/>
      </w:tblBorders>
    </w:tblPr>
    <w:tblStylePr w:type="firstRow">
      <w:rPr>
        <w:b/>
        <w:bCs/>
        <w:color w:val="FFFFFF" w:themeColor="background1"/>
      </w:rPr>
      <w:tblPr/>
      <w:tcPr>
        <w:tcBorders>
          <w:top w:val="single" w:sz="4" w:space="0" w:color="3D2D22" w:themeColor="accent2"/>
          <w:left w:val="single" w:sz="4" w:space="0" w:color="3D2D22" w:themeColor="accent2"/>
          <w:bottom w:val="single" w:sz="4" w:space="0" w:color="3D2D22" w:themeColor="accent2"/>
          <w:right w:val="single" w:sz="4" w:space="0" w:color="3D2D22" w:themeColor="accent2"/>
          <w:insideH w:val="nil"/>
          <w:insideV w:val="nil"/>
        </w:tcBorders>
        <w:shd w:val="clear" w:color="auto" w:fill="3D2D22" w:themeFill="accent2"/>
      </w:tcPr>
    </w:tblStylePr>
    <w:tblStylePr w:type="lastRow">
      <w:rPr>
        <w:b/>
        <w:bCs/>
      </w:rPr>
      <w:tblPr/>
      <w:tcPr>
        <w:tcBorders>
          <w:top w:val="double" w:sz="4" w:space="0" w:color="3D2D22" w:themeColor="accent2"/>
        </w:tcBorders>
      </w:tcPr>
    </w:tblStylePr>
    <w:tblStylePr w:type="firstCol">
      <w:rPr>
        <w:b/>
        <w:bCs/>
      </w:rPr>
    </w:tblStylePr>
    <w:tblStylePr w:type="lastCol">
      <w:rPr>
        <w:b/>
        <w:bCs/>
      </w:rPr>
    </w:tblStylePr>
    <w:tblStylePr w:type="band1Vert">
      <w:tblPr/>
      <w:tcPr>
        <w:shd w:val="clear" w:color="auto" w:fill="E1D3C9" w:themeFill="accent2" w:themeFillTint="33"/>
      </w:tcPr>
    </w:tblStylePr>
    <w:tblStylePr w:type="band1Horz">
      <w:tblPr/>
      <w:tcPr>
        <w:shd w:val="clear" w:color="auto" w:fill="E1D3C9" w:themeFill="accent2" w:themeFillTint="33"/>
      </w:tcPr>
    </w:tblStylePr>
  </w:style>
  <w:style w:type="table" w:customStyle="1" w:styleId="Tblzatrcsos44jellszn1">
    <w:name w:val="Táblázat (rácsos) 4 – 4. jelölőszín1"/>
    <w:basedOn w:val="Normltblzat"/>
    <w:uiPriority w:val="49"/>
    <w:rsid w:val="00865564"/>
    <w:tblPr>
      <w:tblStyleRowBandSize w:val="1"/>
      <w:tblStyleColBandSize w:val="1"/>
      <w:tblBorders>
        <w:top w:val="single" w:sz="4" w:space="0" w:color="C0B9B3" w:themeColor="accent4" w:themeTint="99"/>
        <w:left w:val="single" w:sz="4" w:space="0" w:color="C0B9B3" w:themeColor="accent4" w:themeTint="99"/>
        <w:bottom w:val="single" w:sz="4" w:space="0" w:color="C0B9B3" w:themeColor="accent4" w:themeTint="99"/>
        <w:right w:val="single" w:sz="4" w:space="0" w:color="C0B9B3" w:themeColor="accent4" w:themeTint="99"/>
        <w:insideH w:val="single" w:sz="4" w:space="0" w:color="C0B9B3" w:themeColor="accent4" w:themeTint="99"/>
        <w:insideV w:val="single" w:sz="4" w:space="0" w:color="C0B9B3" w:themeColor="accent4" w:themeTint="99"/>
      </w:tblBorders>
    </w:tblPr>
    <w:tblStylePr w:type="firstRow">
      <w:rPr>
        <w:b/>
        <w:bCs/>
        <w:color w:val="FFFFFF" w:themeColor="background1"/>
      </w:rPr>
      <w:tblPr/>
      <w:tcPr>
        <w:tcBorders>
          <w:top w:val="single" w:sz="4" w:space="0" w:color="978B82" w:themeColor="accent4"/>
          <w:left w:val="single" w:sz="4" w:space="0" w:color="978B82" w:themeColor="accent4"/>
          <w:bottom w:val="single" w:sz="4" w:space="0" w:color="978B82" w:themeColor="accent4"/>
          <w:right w:val="single" w:sz="4" w:space="0" w:color="978B82" w:themeColor="accent4"/>
          <w:insideH w:val="nil"/>
          <w:insideV w:val="nil"/>
        </w:tcBorders>
        <w:shd w:val="clear" w:color="auto" w:fill="978B82" w:themeFill="accent4"/>
      </w:tcPr>
    </w:tblStylePr>
    <w:tblStylePr w:type="lastRow">
      <w:rPr>
        <w:b/>
        <w:bCs/>
      </w:rPr>
      <w:tblPr/>
      <w:tcPr>
        <w:tcBorders>
          <w:top w:val="double" w:sz="4" w:space="0" w:color="978B82" w:themeColor="accent4"/>
        </w:tcBorders>
      </w:tcPr>
    </w:tblStylePr>
    <w:tblStylePr w:type="firstCol">
      <w:rPr>
        <w:b/>
        <w:bCs/>
      </w:rPr>
    </w:tblStylePr>
    <w:tblStylePr w:type="lastCol">
      <w:rPr>
        <w:b/>
        <w:bCs/>
      </w:rPr>
    </w:tblStylePr>
    <w:tblStylePr w:type="band1Vert">
      <w:tblPr/>
      <w:tcPr>
        <w:shd w:val="clear" w:color="auto" w:fill="EAE7E5" w:themeFill="accent4" w:themeFillTint="33"/>
      </w:tcPr>
    </w:tblStylePr>
    <w:tblStylePr w:type="band1Horz">
      <w:tblPr/>
      <w:tcPr>
        <w:shd w:val="clear" w:color="auto" w:fill="EAE7E5" w:themeFill="accent4" w:themeFillTint="33"/>
      </w:tcPr>
    </w:tblStylePr>
  </w:style>
  <w:style w:type="paragraph" w:customStyle="1" w:styleId="Default">
    <w:name w:val="Default"/>
    <w:rsid w:val="00621BEA"/>
    <w:pPr>
      <w:autoSpaceDE w:val="0"/>
      <w:autoSpaceDN w:val="0"/>
      <w:adjustRightInd w:val="0"/>
    </w:pPr>
    <w:rPr>
      <w:rFonts w:eastAsiaTheme="minorHAnsi"/>
      <w:color w:val="000000"/>
      <w:sz w:val="24"/>
      <w:szCs w:val="24"/>
    </w:rPr>
  </w:style>
  <w:style w:type="table" w:customStyle="1" w:styleId="Tblzategyszer21">
    <w:name w:val="Táblázat (egyszerű) 21"/>
    <w:basedOn w:val="Normltblzat"/>
    <w:uiPriority w:val="42"/>
    <w:rsid w:val="00A05B7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sostblzat1">
    <w:name w:val="Rácsos táblázat1"/>
    <w:basedOn w:val="Normltblzat"/>
    <w:next w:val="Rcsostblzat"/>
    <w:uiPriority w:val="59"/>
    <w:rsid w:val="00B86F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59"/>
    <w:rsid w:val="00B86F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B86F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
    <w:name w:val="Emphasis"/>
    <w:basedOn w:val="Bekezdsalapbettpusa"/>
    <w:uiPriority w:val="20"/>
    <w:qFormat/>
    <w:rsid w:val="00B86FE8"/>
    <w:rPr>
      <w:i/>
      <w:iCs/>
    </w:rPr>
  </w:style>
  <w:style w:type="character" w:customStyle="1" w:styleId="apple-converted-space">
    <w:name w:val="apple-converted-space"/>
    <w:basedOn w:val="Bekezdsalapbettpusa"/>
    <w:rsid w:val="00B86FE8"/>
  </w:style>
  <w:style w:type="character" w:styleId="Kiemels2">
    <w:name w:val="Strong"/>
    <w:basedOn w:val="Bekezdsalapbettpusa"/>
    <w:uiPriority w:val="22"/>
    <w:qFormat/>
    <w:rsid w:val="00B86FE8"/>
    <w:rPr>
      <w:b/>
      <w:bCs/>
    </w:rPr>
  </w:style>
  <w:style w:type="table" w:customStyle="1" w:styleId="Tblzategyszer31">
    <w:name w:val="Táblázat (egyszerű) 31"/>
    <w:basedOn w:val="Normltblzat"/>
    <w:uiPriority w:val="43"/>
    <w:rsid w:val="00B86FE8"/>
    <w:rPr>
      <w:rFonts w:asciiTheme="minorHAnsi" w:eastAsiaTheme="minorHAnsi" w:hAnsiTheme="minorHAnsi" w:cs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zveg">
    <w:name w:val="szöveg"/>
    <w:qFormat/>
    <w:rsid w:val="00B86FE8"/>
    <w:pPr>
      <w:ind w:firstLine="567"/>
      <w:jc w:val="both"/>
    </w:pPr>
    <w:rPr>
      <w:rFonts w:eastAsiaTheme="majorEastAsia" w:cstheme="majorBidi"/>
      <w:color w:val="000000" w:themeColor="text1"/>
      <w:sz w:val="22"/>
      <w:szCs w:val="32"/>
    </w:rPr>
  </w:style>
  <w:style w:type="paragraph" w:customStyle="1" w:styleId="Kp">
    <w:name w:val="Kép"/>
    <w:basedOn w:val="Norml"/>
    <w:qFormat/>
    <w:rsid w:val="00B86FE8"/>
    <w:pPr>
      <w:spacing w:after="160" w:line="259" w:lineRule="auto"/>
      <w:jc w:val="center"/>
    </w:pPr>
    <w:rPr>
      <w:rFonts w:ascii="Times New Roman" w:eastAsiaTheme="minorHAnsi" w:hAnsi="Times New Roman" w:cs="Times New Roman"/>
      <w:noProof/>
      <w:sz w:val="22"/>
      <w:szCs w:val="22"/>
      <w:lang w:eastAsia="hu-HU"/>
    </w:rPr>
  </w:style>
  <w:style w:type="table" w:customStyle="1" w:styleId="Tblzategyszer51">
    <w:name w:val="Táblázat (egyszerű) 51"/>
    <w:basedOn w:val="Normltblzat"/>
    <w:uiPriority w:val="45"/>
    <w:rsid w:val="00B86FE8"/>
    <w:rPr>
      <w:rFonts w:asciiTheme="minorHAnsi" w:eastAsiaTheme="minorHAnsi" w:hAnsiTheme="minorHAnsi" w:cs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blzategyszer41">
    <w:name w:val="Táblázat (egyszerű) 41"/>
    <w:basedOn w:val="Normltblzat"/>
    <w:uiPriority w:val="44"/>
    <w:rsid w:val="00B86FE8"/>
    <w:rPr>
      <w:rFonts w:asciiTheme="minorHAnsi" w:eastAsiaTheme="minorHAnsi" w:hAnsiTheme="minorHAnsi" w:cs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l"/>
    <w:rsid w:val="0051277E"/>
    <w:pPr>
      <w:spacing w:before="100" w:beforeAutospacing="1" w:after="100" w:afterAutospacing="1" w:line="240" w:lineRule="auto"/>
      <w:jc w:val="left"/>
    </w:pPr>
    <w:rPr>
      <w:rFonts w:ascii="Times New Roman" w:hAnsi="Times New Roman" w:cs="Times New Roman"/>
      <w:lang w:eastAsia="hu-HU"/>
    </w:rPr>
  </w:style>
  <w:style w:type="table" w:customStyle="1" w:styleId="Tblzatrcsos22jellszn1">
    <w:name w:val="Táblázat (rácsos) 2 – 2. jelölőszín1"/>
    <w:basedOn w:val="Normltblzat"/>
    <w:uiPriority w:val="47"/>
    <w:rsid w:val="00FE077E"/>
    <w:tblPr>
      <w:tblStyleRowBandSize w:val="1"/>
      <w:tblStyleColBandSize w:val="1"/>
      <w:tblBorders>
        <w:top w:val="single" w:sz="2" w:space="0" w:color="A57B5F" w:themeColor="accent2" w:themeTint="99"/>
        <w:bottom w:val="single" w:sz="2" w:space="0" w:color="A57B5F" w:themeColor="accent2" w:themeTint="99"/>
        <w:insideH w:val="single" w:sz="2" w:space="0" w:color="A57B5F" w:themeColor="accent2" w:themeTint="99"/>
        <w:insideV w:val="single" w:sz="2" w:space="0" w:color="A57B5F" w:themeColor="accent2" w:themeTint="99"/>
      </w:tblBorders>
    </w:tblPr>
    <w:tblStylePr w:type="firstRow">
      <w:rPr>
        <w:b/>
        <w:bCs/>
      </w:rPr>
      <w:tblPr/>
      <w:tcPr>
        <w:tcBorders>
          <w:top w:val="nil"/>
          <w:bottom w:val="single" w:sz="12" w:space="0" w:color="A57B5F" w:themeColor="accent2" w:themeTint="99"/>
          <w:insideH w:val="nil"/>
          <w:insideV w:val="nil"/>
        </w:tcBorders>
        <w:shd w:val="clear" w:color="auto" w:fill="FFFFFF" w:themeFill="background1"/>
      </w:tcPr>
    </w:tblStylePr>
    <w:tblStylePr w:type="lastRow">
      <w:rPr>
        <w:b/>
        <w:bCs/>
      </w:rPr>
      <w:tblPr/>
      <w:tcPr>
        <w:tcBorders>
          <w:top w:val="double" w:sz="2" w:space="0" w:color="A57B5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3C9" w:themeFill="accent2" w:themeFillTint="33"/>
      </w:tcPr>
    </w:tblStylePr>
    <w:tblStylePr w:type="band1Horz">
      <w:tblPr/>
      <w:tcPr>
        <w:shd w:val="clear" w:color="auto" w:fill="E1D3C9" w:themeFill="accent2" w:themeFillTint="33"/>
      </w:tcPr>
    </w:tblStylePr>
  </w:style>
  <w:style w:type="table" w:customStyle="1" w:styleId="Tblzatrcsos32jellszn1">
    <w:name w:val="Táblázat (rácsos) 3 – 2. jelölőszín1"/>
    <w:basedOn w:val="Normltblzat"/>
    <w:uiPriority w:val="48"/>
    <w:rsid w:val="00FE077E"/>
    <w:tblPr>
      <w:tblStyleRowBandSize w:val="1"/>
      <w:tblStyleColBandSize w:val="1"/>
      <w:tblBorders>
        <w:top w:val="single" w:sz="4" w:space="0" w:color="A57B5F" w:themeColor="accent2" w:themeTint="99"/>
        <w:left w:val="single" w:sz="4" w:space="0" w:color="A57B5F" w:themeColor="accent2" w:themeTint="99"/>
        <w:bottom w:val="single" w:sz="4" w:space="0" w:color="A57B5F" w:themeColor="accent2" w:themeTint="99"/>
        <w:right w:val="single" w:sz="4" w:space="0" w:color="A57B5F" w:themeColor="accent2" w:themeTint="99"/>
        <w:insideH w:val="single" w:sz="4" w:space="0" w:color="A57B5F" w:themeColor="accent2" w:themeTint="99"/>
        <w:insideV w:val="single" w:sz="4" w:space="0" w:color="A57B5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3C9" w:themeFill="accent2" w:themeFillTint="33"/>
      </w:tcPr>
    </w:tblStylePr>
    <w:tblStylePr w:type="band1Horz">
      <w:tblPr/>
      <w:tcPr>
        <w:shd w:val="clear" w:color="auto" w:fill="E1D3C9" w:themeFill="accent2" w:themeFillTint="33"/>
      </w:tcPr>
    </w:tblStylePr>
    <w:tblStylePr w:type="neCell">
      <w:tblPr/>
      <w:tcPr>
        <w:tcBorders>
          <w:bottom w:val="single" w:sz="4" w:space="0" w:color="A57B5F" w:themeColor="accent2" w:themeTint="99"/>
        </w:tcBorders>
      </w:tcPr>
    </w:tblStylePr>
    <w:tblStylePr w:type="nwCell">
      <w:tblPr/>
      <w:tcPr>
        <w:tcBorders>
          <w:bottom w:val="single" w:sz="4" w:space="0" w:color="A57B5F" w:themeColor="accent2" w:themeTint="99"/>
        </w:tcBorders>
      </w:tcPr>
    </w:tblStylePr>
    <w:tblStylePr w:type="seCell">
      <w:tblPr/>
      <w:tcPr>
        <w:tcBorders>
          <w:top w:val="single" w:sz="4" w:space="0" w:color="A57B5F" w:themeColor="accent2" w:themeTint="99"/>
        </w:tcBorders>
      </w:tcPr>
    </w:tblStylePr>
    <w:tblStylePr w:type="swCell">
      <w:tblPr/>
      <w:tcPr>
        <w:tcBorders>
          <w:top w:val="single" w:sz="4" w:space="0" w:color="A57B5F" w:themeColor="accent2" w:themeTint="99"/>
        </w:tcBorders>
      </w:tcPr>
    </w:tblStylePr>
  </w:style>
  <w:style w:type="table" w:customStyle="1" w:styleId="Listaszertblzat7tarka2jellszn1">
    <w:name w:val="Listaszerű táblázat 7 – tarka – 2. jelölőszín1"/>
    <w:basedOn w:val="Normltblzat"/>
    <w:uiPriority w:val="52"/>
    <w:rsid w:val="00FE077E"/>
    <w:rPr>
      <w:color w:val="2D211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D2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D2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D2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D22" w:themeColor="accent2"/>
        </w:tcBorders>
        <w:shd w:val="clear" w:color="auto" w:fill="FFFFFF" w:themeFill="background1"/>
      </w:tcPr>
    </w:tblStylePr>
    <w:tblStylePr w:type="band1Vert">
      <w:tblPr/>
      <w:tcPr>
        <w:shd w:val="clear" w:color="auto" w:fill="E1D3C9" w:themeFill="accent2" w:themeFillTint="33"/>
      </w:tcPr>
    </w:tblStylePr>
    <w:tblStylePr w:type="band1Horz">
      <w:tblPr/>
      <w:tcPr>
        <w:shd w:val="clear" w:color="auto" w:fill="E1D3C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blzatrcsos6tarka3jellszn1">
    <w:name w:val="Táblázat (rácsos) 6 – tarka – 3. jelölőszín1"/>
    <w:basedOn w:val="Normltblzat"/>
    <w:uiPriority w:val="51"/>
    <w:rsid w:val="00FE077E"/>
    <w:rPr>
      <w:color w:val="4D3B30" w:themeColor="accent3" w:themeShade="BF"/>
    </w:rPr>
    <w:tblPr>
      <w:tblStyleRowBandSize w:val="1"/>
      <w:tblStyleColBandSize w:val="1"/>
      <w:tblBorders>
        <w:top w:val="single" w:sz="4" w:space="0" w:color="B0937F" w:themeColor="accent3" w:themeTint="99"/>
        <w:left w:val="single" w:sz="4" w:space="0" w:color="B0937F" w:themeColor="accent3" w:themeTint="99"/>
        <w:bottom w:val="single" w:sz="4" w:space="0" w:color="B0937F" w:themeColor="accent3" w:themeTint="99"/>
        <w:right w:val="single" w:sz="4" w:space="0" w:color="B0937F" w:themeColor="accent3" w:themeTint="99"/>
        <w:insideH w:val="single" w:sz="4" w:space="0" w:color="B0937F" w:themeColor="accent3" w:themeTint="99"/>
        <w:insideV w:val="single" w:sz="4" w:space="0" w:color="B0937F" w:themeColor="accent3" w:themeTint="99"/>
      </w:tblBorders>
    </w:tblPr>
    <w:tblStylePr w:type="firstRow">
      <w:rPr>
        <w:b/>
        <w:bCs/>
      </w:rPr>
      <w:tblPr/>
      <w:tcPr>
        <w:tcBorders>
          <w:bottom w:val="single" w:sz="12" w:space="0" w:color="B0937F" w:themeColor="accent3" w:themeTint="99"/>
        </w:tcBorders>
      </w:tcPr>
    </w:tblStylePr>
    <w:tblStylePr w:type="lastRow">
      <w:rPr>
        <w:b/>
        <w:bCs/>
      </w:rPr>
      <w:tblPr/>
      <w:tcPr>
        <w:tcBorders>
          <w:top w:val="double" w:sz="4" w:space="0" w:color="B0937F" w:themeColor="accent3" w:themeTint="99"/>
        </w:tcBorders>
      </w:tcPr>
    </w:tblStylePr>
    <w:tblStylePr w:type="firstCol">
      <w:rPr>
        <w:b/>
        <w:bCs/>
      </w:rPr>
    </w:tblStylePr>
    <w:tblStylePr w:type="lastCol">
      <w:rPr>
        <w:b/>
        <w:bCs/>
      </w:rPr>
    </w:tblStylePr>
    <w:tblStylePr w:type="band1Vert">
      <w:tblPr/>
      <w:tcPr>
        <w:shd w:val="clear" w:color="auto" w:fill="E5DBD4" w:themeFill="accent3" w:themeFillTint="33"/>
      </w:tcPr>
    </w:tblStylePr>
    <w:tblStylePr w:type="band1Horz">
      <w:tblPr/>
      <w:tcPr>
        <w:shd w:val="clear" w:color="auto" w:fill="E5DBD4" w:themeFill="accent3" w:themeFillTint="33"/>
      </w:tcPr>
    </w:tblStylePr>
  </w:style>
  <w:style w:type="table" w:customStyle="1" w:styleId="Tblzatrcsos1vilgos3jellszn1">
    <w:name w:val="Táblázat (rácsos) 1 – világos – 3. jelölőszín1"/>
    <w:basedOn w:val="Normltblzat"/>
    <w:uiPriority w:val="46"/>
    <w:rsid w:val="007B3C0F"/>
    <w:tblPr>
      <w:tblStyleRowBandSize w:val="1"/>
      <w:tblStyleColBandSize w:val="1"/>
      <w:tblBorders>
        <w:top w:val="single" w:sz="4" w:space="0" w:color="CAB7AA" w:themeColor="accent3" w:themeTint="66"/>
        <w:left w:val="single" w:sz="4" w:space="0" w:color="CAB7AA" w:themeColor="accent3" w:themeTint="66"/>
        <w:bottom w:val="single" w:sz="4" w:space="0" w:color="CAB7AA" w:themeColor="accent3" w:themeTint="66"/>
        <w:right w:val="single" w:sz="4" w:space="0" w:color="CAB7AA" w:themeColor="accent3" w:themeTint="66"/>
        <w:insideH w:val="single" w:sz="4" w:space="0" w:color="CAB7AA" w:themeColor="accent3" w:themeTint="66"/>
        <w:insideV w:val="single" w:sz="4" w:space="0" w:color="CAB7AA" w:themeColor="accent3" w:themeTint="66"/>
      </w:tblBorders>
    </w:tblPr>
    <w:tblStylePr w:type="firstRow">
      <w:rPr>
        <w:b/>
        <w:bCs/>
      </w:rPr>
      <w:tblPr/>
      <w:tcPr>
        <w:tcBorders>
          <w:bottom w:val="single" w:sz="12" w:space="0" w:color="B0937F" w:themeColor="accent3" w:themeTint="99"/>
        </w:tcBorders>
      </w:tcPr>
    </w:tblStylePr>
    <w:tblStylePr w:type="lastRow">
      <w:rPr>
        <w:b/>
        <w:bCs/>
      </w:rPr>
      <w:tblPr/>
      <w:tcPr>
        <w:tcBorders>
          <w:top w:val="double" w:sz="2" w:space="0" w:color="B0937F" w:themeColor="accent3" w:themeTint="99"/>
        </w:tcBorders>
      </w:tcPr>
    </w:tblStylePr>
    <w:tblStylePr w:type="firstCol">
      <w:rPr>
        <w:b/>
        <w:bCs/>
      </w:rPr>
    </w:tblStylePr>
    <w:tblStylePr w:type="lastCol">
      <w:rPr>
        <w:b/>
        <w:bCs/>
      </w:rPr>
    </w:tblStylePr>
  </w:style>
  <w:style w:type="table" w:customStyle="1" w:styleId="Tblzatrcsos33jellszn1">
    <w:name w:val="Táblázat (rácsos) 3 – 3. jelölőszín1"/>
    <w:basedOn w:val="Normltblzat"/>
    <w:uiPriority w:val="48"/>
    <w:rsid w:val="003D0D4B"/>
    <w:tblPr>
      <w:tblStyleRowBandSize w:val="1"/>
      <w:tblStyleColBandSize w:val="1"/>
      <w:tblBorders>
        <w:top w:val="single" w:sz="4" w:space="0" w:color="B0937F" w:themeColor="accent3" w:themeTint="99"/>
        <w:left w:val="single" w:sz="4" w:space="0" w:color="B0937F" w:themeColor="accent3" w:themeTint="99"/>
        <w:bottom w:val="single" w:sz="4" w:space="0" w:color="B0937F" w:themeColor="accent3" w:themeTint="99"/>
        <w:right w:val="single" w:sz="4" w:space="0" w:color="B0937F" w:themeColor="accent3" w:themeTint="99"/>
        <w:insideH w:val="single" w:sz="4" w:space="0" w:color="B0937F" w:themeColor="accent3" w:themeTint="99"/>
        <w:insideV w:val="single" w:sz="4" w:space="0" w:color="B093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BD4" w:themeFill="accent3" w:themeFillTint="33"/>
      </w:tcPr>
    </w:tblStylePr>
    <w:tblStylePr w:type="band1Horz">
      <w:tblPr/>
      <w:tcPr>
        <w:shd w:val="clear" w:color="auto" w:fill="E5DBD4" w:themeFill="accent3" w:themeFillTint="33"/>
      </w:tcPr>
    </w:tblStylePr>
    <w:tblStylePr w:type="neCell">
      <w:tblPr/>
      <w:tcPr>
        <w:tcBorders>
          <w:bottom w:val="single" w:sz="4" w:space="0" w:color="B0937F" w:themeColor="accent3" w:themeTint="99"/>
        </w:tcBorders>
      </w:tcPr>
    </w:tblStylePr>
    <w:tblStylePr w:type="nwCell">
      <w:tblPr/>
      <w:tcPr>
        <w:tcBorders>
          <w:bottom w:val="single" w:sz="4" w:space="0" w:color="B0937F" w:themeColor="accent3" w:themeTint="99"/>
        </w:tcBorders>
      </w:tcPr>
    </w:tblStylePr>
    <w:tblStylePr w:type="seCell">
      <w:tblPr/>
      <w:tcPr>
        <w:tcBorders>
          <w:top w:val="single" w:sz="4" w:space="0" w:color="B0937F" w:themeColor="accent3" w:themeTint="99"/>
        </w:tcBorders>
      </w:tcPr>
    </w:tblStylePr>
    <w:tblStylePr w:type="swCell">
      <w:tblPr/>
      <w:tcPr>
        <w:tcBorders>
          <w:top w:val="single" w:sz="4" w:space="0" w:color="B0937F" w:themeColor="accent3" w:themeTint="99"/>
        </w:tcBorders>
      </w:tcPr>
    </w:tblStylePr>
  </w:style>
  <w:style w:type="table" w:styleId="Vilgosrcs6jellszn">
    <w:name w:val="Light Grid Accent 6"/>
    <w:basedOn w:val="Normltblzat"/>
    <w:uiPriority w:val="62"/>
    <w:rsid w:val="00C851E4"/>
    <w:rPr>
      <w:rFonts w:asciiTheme="minorHAnsi" w:eastAsiaTheme="minorHAnsi" w:hAnsiTheme="minorHAnsi" w:cstheme="minorBidi"/>
      <w:sz w:val="22"/>
      <w:szCs w:val="22"/>
    </w:rPr>
    <w:tblPr>
      <w:tblStyleRowBandSize w:val="1"/>
      <w:tblStyleColBandSize w:val="1"/>
      <w:tblBorders>
        <w:top w:val="single" w:sz="8" w:space="0" w:color="E8E7E7" w:themeColor="accent6"/>
        <w:left w:val="single" w:sz="8" w:space="0" w:color="E8E7E7" w:themeColor="accent6"/>
        <w:bottom w:val="single" w:sz="8" w:space="0" w:color="E8E7E7" w:themeColor="accent6"/>
        <w:right w:val="single" w:sz="8" w:space="0" w:color="E8E7E7" w:themeColor="accent6"/>
        <w:insideH w:val="single" w:sz="8" w:space="0" w:color="E8E7E7" w:themeColor="accent6"/>
        <w:insideV w:val="single" w:sz="8" w:space="0" w:color="E8E7E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E7E7" w:themeColor="accent6"/>
          <w:left w:val="single" w:sz="8" w:space="0" w:color="E8E7E7" w:themeColor="accent6"/>
          <w:bottom w:val="single" w:sz="18" w:space="0" w:color="E8E7E7" w:themeColor="accent6"/>
          <w:right w:val="single" w:sz="8" w:space="0" w:color="E8E7E7" w:themeColor="accent6"/>
          <w:insideH w:val="nil"/>
          <w:insideV w:val="single" w:sz="8" w:space="0" w:color="E8E7E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E7E7" w:themeColor="accent6"/>
          <w:left w:val="single" w:sz="8" w:space="0" w:color="E8E7E7" w:themeColor="accent6"/>
          <w:bottom w:val="single" w:sz="8" w:space="0" w:color="E8E7E7" w:themeColor="accent6"/>
          <w:right w:val="single" w:sz="8" w:space="0" w:color="E8E7E7" w:themeColor="accent6"/>
          <w:insideH w:val="nil"/>
          <w:insideV w:val="single" w:sz="8" w:space="0" w:color="E8E7E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E7E7" w:themeColor="accent6"/>
          <w:left w:val="single" w:sz="8" w:space="0" w:color="E8E7E7" w:themeColor="accent6"/>
          <w:bottom w:val="single" w:sz="8" w:space="0" w:color="E8E7E7" w:themeColor="accent6"/>
          <w:right w:val="single" w:sz="8" w:space="0" w:color="E8E7E7" w:themeColor="accent6"/>
        </w:tcBorders>
      </w:tcPr>
    </w:tblStylePr>
    <w:tblStylePr w:type="band1Vert">
      <w:tblPr/>
      <w:tcPr>
        <w:tcBorders>
          <w:top w:val="single" w:sz="8" w:space="0" w:color="E8E7E7" w:themeColor="accent6"/>
          <w:left w:val="single" w:sz="8" w:space="0" w:color="E8E7E7" w:themeColor="accent6"/>
          <w:bottom w:val="single" w:sz="8" w:space="0" w:color="E8E7E7" w:themeColor="accent6"/>
          <w:right w:val="single" w:sz="8" w:space="0" w:color="E8E7E7" w:themeColor="accent6"/>
        </w:tcBorders>
        <w:shd w:val="clear" w:color="auto" w:fill="F9F9F9" w:themeFill="accent6" w:themeFillTint="3F"/>
      </w:tcPr>
    </w:tblStylePr>
    <w:tblStylePr w:type="band1Horz">
      <w:tblPr/>
      <w:tcPr>
        <w:tcBorders>
          <w:top w:val="single" w:sz="8" w:space="0" w:color="E8E7E7" w:themeColor="accent6"/>
          <w:left w:val="single" w:sz="8" w:space="0" w:color="E8E7E7" w:themeColor="accent6"/>
          <w:bottom w:val="single" w:sz="8" w:space="0" w:color="E8E7E7" w:themeColor="accent6"/>
          <w:right w:val="single" w:sz="8" w:space="0" w:color="E8E7E7" w:themeColor="accent6"/>
          <w:insideV w:val="single" w:sz="8" w:space="0" w:color="E8E7E7" w:themeColor="accent6"/>
        </w:tcBorders>
        <w:shd w:val="clear" w:color="auto" w:fill="F9F9F9" w:themeFill="accent6" w:themeFillTint="3F"/>
      </w:tcPr>
    </w:tblStylePr>
    <w:tblStylePr w:type="band2Horz">
      <w:tblPr/>
      <w:tcPr>
        <w:tcBorders>
          <w:top w:val="single" w:sz="8" w:space="0" w:color="E8E7E7" w:themeColor="accent6"/>
          <w:left w:val="single" w:sz="8" w:space="0" w:color="E8E7E7" w:themeColor="accent6"/>
          <w:bottom w:val="single" w:sz="8" w:space="0" w:color="E8E7E7" w:themeColor="accent6"/>
          <w:right w:val="single" w:sz="8" w:space="0" w:color="E8E7E7" w:themeColor="accent6"/>
          <w:insideV w:val="single" w:sz="8" w:space="0" w:color="E8E7E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842">
      <w:bodyDiv w:val="1"/>
      <w:marLeft w:val="0"/>
      <w:marRight w:val="0"/>
      <w:marTop w:val="0"/>
      <w:marBottom w:val="0"/>
      <w:divBdr>
        <w:top w:val="none" w:sz="0" w:space="0" w:color="auto"/>
        <w:left w:val="none" w:sz="0" w:space="0" w:color="auto"/>
        <w:bottom w:val="none" w:sz="0" w:space="0" w:color="auto"/>
        <w:right w:val="none" w:sz="0" w:space="0" w:color="auto"/>
      </w:divBdr>
    </w:div>
    <w:div w:id="31344316">
      <w:bodyDiv w:val="1"/>
      <w:marLeft w:val="0"/>
      <w:marRight w:val="0"/>
      <w:marTop w:val="0"/>
      <w:marBottom w:val="0"/>
      <w:divBdr>
        <w:top w:val="none" w:sz="0" w:space="0" w:color="auto"/>
        <w:left w:val="none" w:sz="0" w:space="0" w:color="auto"/>
        <w:bottom w:val="none" w:sz="0" w:space="0" w:color="auto"/>
        <w:right w:val="none" w:sz="0" w:space="0" w:color="auto"/>
      </w:divBdr>
    </w:div>
    <w:div w:id="38167343">
      <w:bodyDiv w:val="1"/>
      <w:marLeft w:val="0"/>
      <w:marRight w:val="0"/>
      <w:marTop w:val="0"/>
      <w:marBottom w:val="0"/>
      <w:divBdr>
        <w:top w:val="none" w:sz="0" w:space="0" w:color="auto"/>
        <w:left w:val="none" w:sz="0" w:space="0" w:color="auto"/>
        <w:bottom w:val="none" w:sz="0" w:space="0" w:color="auto"/>
        <w:right w:val="none" w:sz="0" w:space="0" w:color="auto"/>
      </w:divBdr>
    </w:div>
    <w:div w:id="115876894">
      <w:bodyDiv w:val="1"/>
      <w:marLeft w:val="0"/>
      <w:marRight w:val="0"/>
      <w:marTop w:val="0"/>
      <w:marBottom w:val="0"/>
      <w:divBdr>
        <w:top w:val="none" w:sz="0" w:space="0" w:color="auto"/>
        <w:left w:val="none" w:sz="0" w:space="0" w:color="auto"/>
        <w:bottom w:val="none" w:sz="0" w:space="0" w:color="auto"/>
        <w:right w:val="none" w:sz="0" w:space="0" w:color="auto"/>
      </w:divBdr>
    </w:div>
    <w:div w:id="122233621">
      <w:bodyDiv w:val="1"/>
      <w:marLeft w:val="0"/>
      <w:marRight w:val="0"/>
      <w:marTop w:val="0"/>
      <w:marBottom w:val="0"/>
      <w:divBdr>
        <w:top w:val="none" w:sz="0" w:space="0" w:color="auto"/>
        <w:left w:val="none" w:sz="0" w:space="0" w:color="auto"/>
        <w:bottom w:val="none" w:sz="0" w:space="0" w:color="auto"/>
        <w:right w:val="none" w:sz="0" w:space="0" w:color="auto"/>
      </w:divBdr>
    </w:div>
    <w:div w:id="184291506">
      <w:bodyDiv w:val="1"/>
      <w:marLeft w:val="0"/>
      <w:marRight w:val="0"/>
      <w:marTop w:val="0"/>
      <w:marBottom w:val="0"/>
      <w:divBdr>
        <w:top w:val="none" w:sz="0" w:space="0" w:color="auto"/>
        <w:left w:val="none" w:sz="0" w:space="0" w:color="auto"/>
        <w:bottom w:val="none" w:sz="0" w:space="0" w:color="auto"/>
        <w:right w:val="none" w:sz="0" w:space="0" w:color="auto"/>
      </w:divBdr>
    </w:div>
    <w:div w:id="193420480">
      <w:bodyDiv w:val="1"/>
      <w:marLeft w:val="0"/>
      <w:marRight w:val="0"/>
      <w:marTop w:val="0"/>
      <w:marBottom w:val="0"/>
      <w:divBdr>
        <w:top w:val="none" w:sz="0" w:space="0" w:color="auto"/>
        <w:left w:val="none" w:sz="0" w:space="0" w:color="auto"/>
        <w:bottom w:val="none" w:sz="0" w:space="0" w:color="auto"/>
        <w:right w:val="none" w:sz="0" w:space="0" w:color="auto"/>
      </w:divBdr>
    </w:div>
    <w:div w:id="219177281">
      <w:bodyDiv w:val="1"/>
      <w:marLeft w:val="0"/>
      <w:marRight w:val="0"/>
      <w:marTop w:val="0"/>
      <w:marBottom w:val="0"/>
      <w:divBdr>
        <w:top w:val="none" w:sz="0" w:space="0" w:color="auto"/>
        <w:left w:val="none" w:sz="0" w:space="0" w:color="auto"/>
        <w:bottom w:val="none" w:sz="0" w:space="0" w:color="auto"/>
        <w:right w:val="none" w:sz="0" w:space="0" w:color="auto"/>
      </w:divBdr>
    </w:div>
    <w:div w:id="220794053">
      <w:bodyDiv w:val="1"/>
      <w:marLeft w:val="0"/>
      <w:marRight w:val="0"/>
      <w:marTop w:val="0"/>
      <w:marBottom w:val="0"/>
      <w:divBdr>
        <w:top w:val="none" w:sz="0" w:space="0" w:color="auto"/>
        <w:left w:val="none" w:sz="0" w:space="0" w:color="auto"/>
        <w:bottom w:val="none" w:sz="0" w:space="0" w:color="auto"/>
        <w:right w:val="none" w:sz="0" w:space="0" w:color="auto"/>
      </w:divBdr>
      <w:divsChild>
        <w:div w:id="1275138256">
          <w:marLeft w:val="0"/>
          <w:marRight w:val="0"/>
          <w:marTop w:val="0"/>
          <w:marBottom w:val="0"/>
          <w:divBdr>
            <w:top w:val="none" w:sz="0" w:space="0" w:color="auto"/>
            <w:left w:val="none" w:sz="0" w:space="0" w:color="auto"/>
            <w:bottom w:val="none" w:sz="0" w:space="0" w:color="auto"/>
            <w:right w:val="none" w:sz="0" w:space="0" w:color="auto"/>
          </w:divBdr>
        </w:div>
        <w:div w:id="2144157829">
          <w:marLeft w:val="0"/>
          <w:marRight w:val="0"/>
          <w:marTop w:val="0"/>
          <w:marBottom w:val="0"/>
          <w:divBdr>
            <w:top w:val="none" w:sz="0" w:space="0" w:color="auto"/>
            <w:left w:val="none" w:sz="0" w:space="0" w:color="auto"/>
            <w:bottom w:val="none" w:sz="0" w:space="0" w:color="auto"/>
            <w:right w:val="none" w:sz="0" w:space="0" w:color="auto"/>
          </w:divBdr>
        </w:div>
      </w:divsChild>
    </w:div>
    <w:div w:id="280114874">
      <w:bodyDiv w:val="1"/>
      <w:marLeft w:val="0"/>
      <w:marRight w:val="0"/>
      <w:marTop w:val="0"/>
      <w:marBottom w:val="0"/>
      <w:divBdr>
        <w:top w:val="none" w:sz="0" w:space="0" w:color="auto"/>
        <w:left w:val="none" w:sz="0" w:space="0" w:color="auto"/>
        <w:bottom w:val="none" w:sz="0" w:space="0" w:color="auto"/>
        <w:right w:val="none" w:sz="0" w:space="0" w:color="auto"/>
      </w:divBdr>
    </w:div>
    <w:div w:id="322439878">
      <w:bodyDiv w:val="1"/>
      <w:marLeft w:val="0"/>
      <w:marRight w:val="0"/>
      <w:marTop w:val="0"/>
      <w:marBottom w:val="0"/>
      <w:divBdr>
        <w:top w:val="none" w:sz="0" w:space="0" w:color="auto"/>
        <w:left w:val="none" w:sz="0" w:space="0" w:color="auto"/>
        <w:bottom w:val="none" w:sz="0" w:space="0" w:color="auto"/>
        <w:right w:val="none" w:sz="0" w:space="0" w:color="auto"/>
      </w:divBdr>
    </w:div>
    <w:div w:id="372391259">
      <w:bodyDiv w:val="1"/>
      <w:marLeft w:val="0"/>
      <w:marRight w:val="0"/>
      <w:marTop w:val="0"/>
      <w:marBottom w:val="0"/>
      <w:divBdr>
        <w:top w:val="none" w:sz="0" w:space="0" w:color="auto"/>
        <w:left w:val="none" w:sz="0" w:space="0" w:color="auto"/>
        <w:bottom w:val="none" w:sz="0" w:space="0" w:color="auto"/>
        <w:right w:val="none" w:sz="0" w:space="0" w:color="auto"/>
      </w:divBdr>
    </w:div>
    <w:div w:id="426969415">
      <w:bodyDiv w:val="1"/>
      <w:marLeft w:val="0"/>
      <w:marRight w:val="0"/>
      <w:marTop w:val="0"/>
      <w:marBottom w:val="0"/>
      <w:divBdr>
        <w:top w:val="none" w:sz="0" w:space="0" w:color="auto"/>
        <w:left w:val="none" w:sz="0" w:space="0" w:color="auto"/>
        <w:bottom w:val="none" w:sz="0" w:space="0" w:color="auto"/>
        <w:right w:val="none" w:sz="0" w:space="0" w:color="auto"/>
      </w:divBdr>
    </w:div>
    <w:div w:id="508250880">
      <w:bodyDiv w:val="1"/>
      <w:marLeft w:val="0"/>
      <w:marRight w:val="0"/>
      <w:marTop w:val="0"/>
      <w:marBottom w:val="0"/>
      <w:divBdr>
        <w:top w:val="none" w:sz="0" w:space="0" w:color="auto"/>
        <w:left w:val="none" w:sz="0" w:space="0" w:color="auto"/>
        <w:bottom w:val="none" w:sz="0" w:space="0" w:color="auto"/>
        <w:right w:val="none" w:sz="0" w:space="0" w:color="auto"/>
      </w:divBdr>
    </w:div>
    <w:div w:id="521089519">
      <w:bodyDiv w:val="1"/>
      <w:marLeft w:val="0"/>
      <w:marRight w:val="0"/>
      <w:marTop w:val="0"/>
      <w:marBottom w:val="0"/>
      <w:divBdr>
        <w:top w:val="none" w:sz="0" w:space="0" w:color="auto"/>
        <w:left w:val="none" w:sz="0" w:space="0" w:color="auto"/>
        <w:bottom w:val="none" w:sz="0" w:space="0" w:color="auto"/>
        <w:right w:val="none" w:sz="0" w:space="0" w:color="auto"/>
      </w:divBdr>
    </w:div>
    <w:div w:id="521238738">
      <w:bodyDiv w:val="1"/>
      <w:marLeft w:val="0"/>
      <w:marRight w:val="0"/>
      <w:marTop w:val="0"/>
      <w:marBottom w:val="0"/>
      <w:divBdr>
        <w:top w:val="none" w:sz="0" w:space="0" w:color="auto"/>
        <w:left w:val="none" w:sz="0" w:space="0" w:color="auto"/>
        <w:bottom w:val="none" w:sz="0" w:space="0" w:color="auto"/>
        <w:right w:val="none" w:sz="0" w:space="0" w:color="auto"/>
      </w:divBdr>
    </w:div>
    <w:div w:id="576092435">
      <w:bodyDiv w:val="1"/>
      <w:marLeft w:val="0"/>
      <w:marRight w:val="0"/>
      <w:marTop w:val="0"/>
      <w:marBottom w:val="0"/>
      <w:divBdr>
        <w:top w:val="none" w:sz="0" w:space="0" w:color="auto"/>
        <w:left w:val="none" w:sz="0" w:space="0" w:color="auto"/>
        <w:bottom w:val="none" w:sz="0" w:space="0" w:color="auto"/>
        <w:right w:val="none" w:sz="0" w:space="0" w:color="auto"/>
      </w:divBdr>
    </w:div>
    <w:div w:id="599262931">
      <w:bodyDiv w:val="1"/>
      <w:marLeft w:val="0"/>
      <w:marRight w:val="0"/>
      <w:marTop w:val="0"/>
      <w:marBottom w:val="0"/>
      <w:divBdr>
        <w:top w:val="none" w:sz="0" w:space="0" w:color="auto"/>
        <w:left w:val="none" w:sz="0" w:space="0" w:color="auto"/>
        <w:bottom w:val="none" w:sz="0" w:space="0" w:color="auto"/>
        <w:right w:val="none" w:sz="0" w:space="0" w:color="auto"/>
      </w:divBdr>
    </w:div>
    <w:div w:id="615676926">
      <w:bodyDiv w:val="1"/>
      <w:marLeft w:val="0"/>
      <w:marRight w:val="0"/>
      <w:marTop w:val="0"/>
      <w:marBottom w:val="0"/>
      <w:divBdr>
        <w:top w:val="none" w:sz="0" w:space="0" w:color="auto"/>
        <w:left w:val="none" w:sz="0" w:space="0" w:color="auto"/>
        <w:bottom w:val="none" w:sz="0" w:space="0" w:color="auto"/>
        <w:right w:val="none" w:sz="0" w:space="0" w:color="auto"/>
      </w:divBdr>
    </w:div>
    <w:div w:id="622349374">
      <w:bodyDiv w:val="1"/>
      <w:marLeft w:val="0"/>
      <w:marRight w:val="0"/>
      <w:marTop w:val="0"/>
      <w:marBottom w:val="0"/>
      <w:divBdr>
        <w:top w:val="none" w:sz="0" w:space="0" w:color="auto"/>
        <w:left w:val="none" w:sz="0" w:space="0" w:color="auto"/>
        <w:bottom w:val="none" w:sz="0" w:space="0" w:color="auto"/>
        <w:right w:val="none" w:sz="0" w:space="0" w:color="auto"/>
      </w:divBdr>
    </w:div>
    <w:div w:id="631251340">
      <w:bodyDiv w:val="1"/>
      <w:marLeft w:val="0"/>
      <w:marRight w:val="0"/>
      <w:marTop w:val="0"/>
      <w:marBottom w:val="0"/>
      <w:divBdr>
        <w:top w:val="none" w:sz="0" w:space="0" w:color="auto"/>
        <w:left w:val="none" w:sz="0" w:space="0" w:color="auto"/>
        <w:bottom w:val="none" w:sz="0" w:space="0" w:color="auto"/>
        <w:right w:val="none" w:sz="0" w:space="0" w:color="auto"/>
      </w:divBdr>
    </w:div>
    <w:div w:id="635990457">
      <w:bodyDiv w:val="1"/>
      <w:marLeft w:val="0"/>
      <w:marRight w:val="0"/>
      <w:marTop w:val="0"/>
      <w:marBottom w:val="0"/>
      <w:divBdr>
        <w:top w:val="none" w:sz="0" w:space="0" w:color="auto"/>
        <w:left w:val="none" w:sz="0" w:space="0" w:color="auto"/>
        <w:bottom w:val="none" w:sz="0" w:space="0" w:color="auto"/>
        <w:right w:val="none" w:sz="0" w:space="0" w:color="auto"/>
      </w:divBdr>
      <w:divsChild>
        <w:div w:id="73280064">
          <w:marLeft w:val="274"/>
          <w:marRight w:val="0"/>
          <w:marTop w:val="150"/>
          <w:marBottom w:val="0"/>
          <w:divBdr>
            <w:top w:val="none" w:sz="0" w:space="0" w:color="auto"/>
            <w:left w:val="none" w:sz="0" w:space="0" w:color="auto"/>
            <w:bottom w:val="none" w:sz="0" w:space="0" w:color="auto"/>
            <w:right w:val="none" w:sz="0" w:space="0" w:color="auto"/>
          </w:divBdr>
        </w:div>
        <w:div w:id="304508819">
          <w:marLeft w:val="274"/>
          <w:marRight w:val="0"/>
          <w:marTop w:val="150"/>
          <w:marBottom w:val="0"/>
          <w:divBdr>
            <w:top w:val="none" w:sz="0" w:space="0" w:color="auto"/>
            <w:left w:val="none" w:sz="0" w:space="0" w:color="auto"/>
            <w:bottom w:val="none" w:sz="0" w:space="0" w:color="auto"/>
            <w:right w:val="none" w:sz="0" w:space="0" w:color="auto"/>
          </w:divBdr>
        </w:div>
        <w:div w:id="342049373">
          <w:marLeft w:val="274"/>
          <w:marRight w:val="0"/>
          <w:marTop w:val="150"/>
          <w:marBottom w:val="0"/>
          <w:divBdr>
            <w:top w:val="none" w:sz="0" w:space="0" w:color="auto"/>
            <w:left w:val="none" w:sz="0" w:space="0" w:color="auto"/>
            <w:bottom w:val="none" w:sz="0" w:space="0" w:color="auto"/>
            <w:right w:val="none" w:sz="0" w:space="0" w:color="auto"/>
          </w:divBdr>
        </w:div>
        <w:div w:id="556160672">
          <w:marLeft w:val="274"/>
          <w:marRight w:val="0"/>
          <w:marTop w:val="150"/>
          <w:marBottom w:val="0"/>
          <w:divBdr>
            <w:top w:val="none" w:sz="0" w:space="0" w:color="auto"/>
            <w:left w:val="none" w:sz="0" w:space="0" w:color="auto"/>
            <w:bottom w:val="none" w:sz="0" w:space="0" w:color="auto"/>
            <w:right w:val="none" w:sz="0" w:space="0" w:color="auto"/>
          </w:divBdr>
        </w:div>
        <w:div w:id="925071577">
          <w:marLeft w:val="274"/>
          <w:marRight w:val="0"/>
          <w:marTop w:val="150"/>
          <w:marBottom w:val="0"/>
          <w:divBdr>
            <w:top w:val="none" w:sz="0" w:space="0" w:color="auto"/>
            <w:left w:val="none" w:sz="0" w:space="0" w:color="auto"/>
            <w:bottom w:val="none" w:sz="0" w:space="0" w:color="auto"/>
            <w:right w:val="none" w:sz="0" w:space="0" w:color="auto"/>
          </w:divBdr>
        </w:div>
        <w:div w:id="998118522">
          <w:marLeft w:val="274"/>
          <w:marRight w:val="0"/>
          <w:marTop w:val="150"/>
          <w:marBottom w:val="0"/>
          <w:divBdr>
            <w:top w:val="none" w:sz="0" w:space="0" w:color="auto"/>
            <w:left w:val="none" w:sz="0" w:space="0" w:color="auto"/>
            <w:bottom w:val="none" w:sz="0" w:space="0" w:color="auto"/>
            <w:right w:val="none" w:sz="0" w:space="0" w:color="auto"/>
          </w:divBdr>
        </w:div>
        <w:div w:id="1796218233">
          <w:marLeft w:val="274"/>
          <w:marRight w:val="0"/>
          <w:marTop w:val="150"/>
          <w:marBottom w:val="0"/>
          <w:divBdr>
            <w:top w:val="none" w:sz="0" w:space="0" w:color="auto"/>
            <w:left w:val="none" w:sz="0" w:space="0" w:color="auto"/>
            <w:bottom w:val="none" w:sz="0" w:space="0" w:color="auto"/>
            <w:right w:val="none" w:sz="0" w:space="0" w:color="auto"/>
          </w:divBdr>
        </w:div>
      </w:divsChild>
    </w:div>
    <w:div w:id="647200139">
      <w:bodyDiv w:val="1"/>
      <w:marLeft w:val="0"/>
      <w:marRight w:val="0"/>
      <w:marTop w:val="0"/>
      <w:marBottom w:val="0"/>
      <w:divBdr>
        <w:top w:val="none" w:sz="0" w:space="0" w:color="auto"/>
        <w:left w:val="none" w:sz="0" w:space="0" w:color="auto"/>
        <w:bottom w:val="none" w:sz="0" w:space="0" w:color="auto"/>
        <w:right w:val="none" w:sz="0" w:space="0" w:color="auto"/>
      </w:divBdr>
    </w:div>
    <w:div w:id="698119044">
      <w:bodyDiv w:val="1"/>
      <w:marLeft w:val="0"/>
      <w:marRight w:val="0"/>
      <w:marTop w:val="0"/>
      <w:marBottom w:val="0"/>
      <w:divBdr>
        <w:top w:val="none" w:sz="0" w:space="0" w:color="auto"/>
        <w:left w:val="none" w:sz="0" w:space="0" w:color="auto"/>
        <w:bottom w:val="none" w:sz="0" w:space="0" w:color="auto"/>
        <w:right w:val="none" w:sz="0" w:space="0" w:color="auto"/>
      </w:divBdr>
    </w:div>
    <w:div w:id="712966370">
      <w:bodyDiv w:val="1"/>
      <w:marLeft w:val="0"/>
      <w:marRight w:val="0"/>
      <w:marTop w:val="0"/>
      <w:marBottom w:val="0"/>
      <w:divBdr>
        <w:top w:val="none" w:sz="0" w:space="0" w:color="auto"/>
        <w:left w:val="none" w:sz="0" w:space="0" w:color="auto"/>
        <w:bottom w:val="none" w:sz="0" w:space="0" w:color="auto"/>
        <w:right w:val="none" w:sz="0" w:space="0" w:color="auto"/>
      </w:divBdr>
    </w:div>
    <w:div w:id="773286736">
      <w:bodyDiv w:val="1"/>
      <w:marLeft w:val="0"/>
      <w:marRight w:val="0"/>
      <w:marTop w:val="0"/>
      <w:marBottom w:val="0"/>
      <w:divBdr>
        <w:top w:val="none" w:sz="0" w:space="0" w:color="auto"/>
        <w:left w:val="none" w:sz="0" w:space="0" w:color="auto"/>
        <w:bottom w:val="none" w:sz="0" w:space="0" w:color="auto"/>
        <w:right w:val="none" w:sz="0" w:space="0" w:color="auto"/>
      </w:divBdr>
    </w:div>
    <w:div w:id="829179639">
      <w:bodyDiv w:val="1"/>
      <w:marLeft w:val="0"/>
      <w:marRight w:val="0"/>
      <w:marTop w:val="0"/>
      <w:marBottom w:val="0"/>
      <w:divBdr>
        <w:top w:val="none" w:sz="0" w:space="0" w:color="auto"/>
        <w:left w:val="none" w:sz="0" w:space="0" w:color="auto"/>
        <w:bottom w:val="none" w:sz="0" w:space="0" w:color="auto"/>
        <w:right w:val="none" w:sz="0" w:space="0" w:color="auto"/>
      </w:divBdr>
    </w:div>
    <w:div w:id="879051563">
      <w:bodyDiv w:val="1"/>
      <w:marLeft w:val="0"/>
      <w:marRight w:val="0"/>
      <w:marTop w:val="0"/>
      <w:marBottom w:val="0"/>
      <w:divBdr>
        <w:top w:val="none" w:sz="0" w:space="0" w:color="auto"/>
        <w:left w:val="none" w:sz="0" w:space="0" w:color="auto"/>
        <w:bottom w:val="none" w:sz="0" w:space="0" w:color="auto"/>
        <w:right w:val="none" w:sz="0" w:space="0" w:color="auto"/>
      </w:divBdr>
    </w:div>
    <w:div w:id="895704333">
      <w:bodyDiv w:val="1"/>
      <w:marLeft w:val="0"/>
      <w:marRight w:val="0"/>
      <w:marTop w:val="0"/>
      <w:marBottom w:val="0"/>
      <w:divBdr>
        <w:top w:val="none" w:sz="0" w:space="0" w:color="auto"/>
        <w:left w:val="none" w:sz="0" w:space="0" w:color="auto"/>
        <w:bottom w:val="none" w:sz="0" w:space="0" w:color="auto"/>
        <w:right w:val="none" w:sz="0" w:space="0" w:color="auto"/>
      </w:divBdr>
    </w:div>
    <w:div w:id="934165254">
      <w:bodyDiv w:val="1"/>
      <w:marLeft w:val="0"/>
      <w:marRight w:val="0"/>
      <w:marTop w:val="0"/>
      <w:marBottom w:val="0"/>
      <w:divBdr>
        <w:top w:val="none" w:sz="0" w:space="0" w:color="auto"/>
        <w:left w:val="none" w:sz="0" w:space="0" w:color="auto"/>
        <w:bottom w:val="none" w:sz="0" w:space="0" w:color="auto"/>
        <w:right w:val="none" w:sz="0" w:space="0" w:color="auto"/>
      </w:divBdr>
    </w:div>
    <w:div w:id="943148001">
      <w:bodyDiv w:val="1"/>
      <w:marLeft w:val="0"/>
      <w:marRight w:val="0"/>
      <w:marTop w:val="0"/>
      <w:marBottom w:val="0"/>
      <w:divBdr>
        <w:top w:val="none" w:sz="0" w:space="0" w:color="auto"/>
        <w:left w:val="none" w:sz="0" w:space="0" w:color="auto"/>
        <w:bottom w:val="none" w:sz="0" w:space="0" w:color="auto"/>
        <w:right w:val="none" w:sz="0" w:space="0" w:color="auto"/>
      </w:divBdr>
    </w:div>
    <w:div w:id="947542269">
      <w:bodyDiv w:val="1"/>
      <w:marLeft w:val="0"/>
      <w:marRight w:val="0"/>
      <w:marTop w:val="0"/>
      <w:marBottom w:val="0"/>
      <w:divBdr>
        <w:top w:val="none" w:sz="0" w:space="0" w:color="auto"/>
        <w:left w:val="none" w:sz="0" w:space="0" w:color="auto"/>
        <w:bottom w:val="none" w:sz="0" w:space="0" w:color="auto"/>
        <w:right w:val="none" w:sz="0" w:space="0" w:color="auto"/>
      </w:divBdr>
    </w:div>
    <w:div w:id="948320496">
      <w:bodyDiv w:val="1"/>
      <w:marLeft w:val="0"/>
      <w:marRight w:val="0"/>
      <w:marTop w:val="0"/>
      <w:marBottom w:val="0"/>
      <w:divBdr>
        <w:top w:val="none" w:sz="0" w:space="0" w:color="auto"/>
        <w:left w:val="none" w:sz="0" w:space="0" w:color="auto"/>
        <w:bottom w:val="none" w:sz="0" w:space="0" w:color="auto"/>
        <w:right w:val="none" w:sz="0" w:space="0" w:color="auto"/>
      </w:divBdr>
    </w:div>
    <w:div w:id="968705273">
      <w:bodyDiv w:val="1"/>
      <w:marLeft w:val="0"/>
      <w:marRight w:val="0"/>
      <w:marTop w:val="0"/>
      <w:marBottom w:val="0"/>
      <w:divBdr>
        <w:top w:val="none" w:sz="0" w:space="0" w:color="auto"/>
        <w:left w:val="none" w:sz="0" w:space="0" w:color="auto"/>
        <w:bottom w:val="none" w:sz="0" w:space="0" w:color="auto"/>
        <w:right w:val="none" w:sz="0" w:space="0" w:color="auto"/>
      </w:divBdr>
    </w:div>
    <w:div w:id="1025323951">
      <w:bodyDiv w:val="1"/>
      <w:marLeft w:val="0"/>
      <w:marRight w:val="0"/>
      <w:marTop w:val="0"/>
      <w:marBottom w:val="0"/>
      <w:divBdr>
        <w:top w:val="none" w:sz="0" w:space="0" w:color="auto"/>
        <w:left w:val="none" w:sz="0" w:space="0" w:color="auto"/>
        <w:bottom w:val="none" w:sz="0" w:space="0" w:color="auto"/>
        <w:right w:val="none" w:sz="0" w:space="0" w:color="auto"/>
      </w:divBdr>
    </w:div>
    <w:div w:id="1035736957">
      <w:bodyDiv w:val="1"/>
      <w:marLeft w:val="0"/>
      <w:marRight w:val="0"/>
      <w:marTop w:val="0"/>
      <w:marBottom w:val="0"/>
      <w:divBdr>
        <w:top w:val="none" w:sz="0" w:space="0" w:color="auto"/>
        <w:left w:val="none" w:sz="0" w:space="0" w:color="auto"/>
        <w:bottom w:val="none" w:sz="0" w:space="0" w:color="auto"/>
        <w:right w:val="none" w:sz="0" w:space="0" w:color="auto"/>
      </w:divBdr>
    </w:div>
    <w:div w:id="1049839822">
      <w:bodyDiv w:val="1"/>
      <w:marLeft w:val="0"/>
      <w:marRight w:val="0"/>
      <w:marTop w:val="0"/>
      <w:marBottom w:val="0"/>
      <w:divBdr>
        <w:top w:val="none" w:sz="0" w:space="0" w:color="auto"/>
        <w:left w:val="none" w:sz="0" w:space="0" w:color="auto"/>
        <w:bottom w:val="none" w:sz="0" w:space="0" w:color="auto"/>
        <w:right w:val="none" w:sz="0" w:space="0" w:color="auto"/>
      </w:divBdr>
      <w:divsChild>
        <w:div w:id="190002065">
          <w:marLeft w:val="274"/>
          <w:marRight w:val="0"/>
          <w:marTop w:val="150"/>
          <w:marBottom w:val="0"/>
          <w:divBdr>
            <w:top w:val="none" w:sz="0" w:space="0" w:color="auto"/>
            <w:left w:val="none" w:sz="0" w:space="0" w:color="auto"/>
            <w:bottom w:val="none" w:sz="0" w:space="0" w:color="auto"/>
            <w:right w:val="none" w:sz="0" w:space="0" w:color="auto"/>
          </w:divBdr>
        </w:div>
        <w:div w:id="228620248">
          <w:marLeft w:val="274"/>
          <w:marRight w:val="0"/>
          <w:marTop w:val="150"/>
          <w:marBottom w:val="0"/>
          <w:divBdr>
            <w:top w:val="none" w:sz="0" w:space="0" w:color="auto"/>
            <w:left w:val="none" w:sz="0" w:space="0" w:color="auto"/>
            <w:bottom w:val="none" w:sz="0" w:space="0" w:color="auto"/>
            <w:right w:val="none" w:sz="0" w:space="0" w:color="auto"/>
          </w:divBdr>
        </w:div>
        <w:div w:id="531922188">
          <w:marLeft w:val="274"/>
          <w:marRight w:val="0"/>
          <w:marTop w:val="150"/>
          <w:marBottom w:val="0"/>
          <w:divBdr>
            <w:top w:val="none" w:sz="0" w:space="0" w:color="auto"/>
            <w:left w:val="none" w:sz="0" w:space="0" w:color="auto"/>
            <w:bottom w:val="none" w:sz="0" w:space="0" w:color="auto"/>
            <w:right w:val="none" w:sz="0" w:space="0" w:color="auto"/>
          </w:divBdr>
        </w:div>
      </w:divsChild>
    </w:div>
    <w:div w:id="1082458188">
      <w:bodyDiv w:val="1"/>
      <w:marLeft w:val="0"/>
      <w:marRight w:val="0"/>
      <w:marTop w:val="0"/>
      <w:marBottom w:val="0"/>
      <w:divBdr>
        <w:top w:val="none" w:sz="0" w:space="0" w:color="auto"/>
        <w:left w:val="none" w:sz="0" w:space="0" w:color="auto"/>
        <w:bottom w:val="none" w:sz="0" w:space="0" w:color="auto"/>
        <w:right w:val="none" w:sz="0" w:space="0" w:color="auto"/>
      </w:divBdr>
      <w:divsChild>
        <w:div w:id="350494200">
          <w:marLeft w:val="0"/>
          <w:marRight w:val="0"/>
          <w:marTop w:val="0"/>
          <w:marBottom w:val="0"/>
          <w:divBdr>
            <w:top w:val="none" w:sz="0" w:space="0" w:color="auto"/>
            <w:left w:val="none" w:sz="0" w:space="0" w:color="auto"/>
            <w:bottom w:val="none" w:sz="0" w:space="0" w:color="auto"/>
            <w:right w:val="none" w:sz="0" w:space="0" w:color="auto"/>
          </w:divBdr>
        </w:div>
        <w:div w:id="388574259">
          <w:marLeft w:val="0"/>
          <w:marRight w:val="0"/>
          <w:marTop w:val="0"/>
          <w:marBottom w:val="0"/>
          <w:divBdr>
            <w:top w:val="none" w:sz="0" w:space="0" w:color="auto"/>
            <w:left w:val="none" w:sz="0" w:space="0" w:color="auto"/>
            <w:bottom w:val="none" w:sz="0" w:space="0" w:color="auto"/>
            <w:right w:val="none" w:sz="0" w:space="0" w:color="auto"/>
          </w:divBdr>
        </w:div>
        <w:div w:id="855385715">
          <w:marLeft w:val="0"/>
          <w:marRight w:val="0"/>
          <w:marTop w:val="0"/>
          <w:marBottom w:val="0"/>
          <w:divBdr>
            <w:top w:val="none" w:sz="0" w:space="0" w:color="auto"/>
            <w:left w:val="none" w:sz="0" w:space="0" w:color="auto"/>
            <w:bottom w:val="none" w:sz="0" w:space="0" w:color="auto"/>
            <w:right w:val="none" w:sz="0" w:space="0" w:color="auto"/>
          </w:divBdr>
        </w:div>
      </w:divsChild>
    </w:div>
    <w:div w:id="1158573869">
      <w:bodyDiv w:val="1"/>
      <w:marLeft w:val="0"/>
      <w:marRight w:val="0"/>
      <w:marTop w:val="0"/>
      <w:marBottom w:val="0"/>
      <w:divBdr>
        <w:top w:val="none" w:sz="0" w:space="0" w:color="auto"/>
        <w:left w:val="none" w:sz="0" w:space="0" w:color="auto"/>
        <w:bottom w:val="none" w:sz="0" w:space="0" w:color="auto"/>
        <w:right w:val="none" w:sz="0" w:space="0" w:color="auto"/>
      </w:divBdr>
    </w:div>
    <w:div w:id="1184827926">
      <w:bodyDiv w:val="1"/>
      <w:marLeft w:val="0"/>
      <w:marRight w:val="0"/>
      <w:marTop w:val="0"/>
      <w:marBottom w:val="0"/>
      <w:divBdr>
        <w:top w:val="none" w:sz="0" w:space="0" w:color="auto"/>
        <w:left w:val="none" w:sz="0" w:space="0" w:color="auto"/>
        <w:bottom w:val="none" w:sz="0" w:space="0" w:color="auto"/>
        <w:right w:val="none" w:sz="0" w:space="0" w:color="auto"/>
      </w:divBdr>
    </w:div>
    <w:div w:id="1209147871">
      <w:bodyDiv w:val="1"/>
      <w:marLeft w:val="0"/>
      <w:marRight w:val="0"/>
      <w:marTop w:val="0"/>
      <w:marBottom w:val="0"/>
      <w:divBdr>
        <w:top w:val="none" w:sz="0" w:space="0" w:color="auto"/>
        <w:left w:val="none" w:sz="0" w:space="0" w:color="auto"/>
        <w:bottom w:val="none" w:sz="0" w:space="0" w:color="auto"/>
        <w:right w:val="none" w:sz="0" w:space="0" w:color="auto"/>
      </w:divBdr>
    </w:div>
    <w:div w:id="1213806539">
      <w:bodyDiv w:val="1"/>
      <w:marLeft w:val="0"/>
      <w:marRight w:val="0"/>
      <w:marTop w:val="0"/>
      <w:marBottom w:val="0"/>
      <w:divBdr>
        <w:top w:val="none" w:sz="0" w:space="0" w:color="auto"/>
        <w:left w:val="none" w:sz="0" w:space="0" w:color="auto"/>
        <w:bottom w:val="none" w:sz="0" w:space="0" w:color="auto"/>
        <w:right w:val="none" w:sz="0" w:space="0" w:color="auto"/>
      </w:divBdr>
    </w:div>
    <w:div w:id="1228418074">
      <w:bodyDiv w:val="1"/>
      <w:marLeft w:val="0"/>
      <w:marRight w:val="0"/>
      <w:marTop w:val="0"/>
      <w:marBottom w:val="0"/>
      <w:divBdr>
        <w:top w:val="none" w:sz="0" w:space="0" w:color="auto"/>
        <w:left w:val="none" w:sz="0" w:space="0" w:color="auto"/>
        <w:bottom w:val="none" w:sz="0" w:space="0" w:color="auto"/>
        <w:right w:val="none" w:sz="0" w:space="0" w:color="auto"/>
      </w:divBdr>
    </w:div>
    <w:div w:id="1260333806">
      <w:bodyDiv w:val="1"/>
      <w:marLeft w:val="0"/>
      <w:marRight w:val="0"/>
      <w:marTop w:val="0"/>
      <w:marBottom w:val="0"/>
      <w:divBdr>
        <w:top w:val="none" w:sz="0" w:space="0" w:color="auto"/>
        <w:left w:val="none" w:sz="0" w:space="0" w:color="auto"/>
        <w:bottom w:val="none" w:sz="0" w:space="0" w:color="auto"/>
        <w:right w:val="none" w:sz="0" w:space="0" w:color="auto"/>
      </w:divBdr>
    </w:div>
    <w:div w:id="1266112451">
      <w:bodyDiv w:val="1"/>
      <w:marLeft w:val="0"/>
      <w:marRight w:val="0"/>
      <w:marTop w:val="0"/>
      <w:marBottom w:val="0"/>
      <w:divBdr>
        <w:top w:val="none" w:sz="0" w:space="0" w:color="auto"/>
        <w:left w:val="none" w:sz="0" w:space="0" w:color="auto"/>
        <w:bottom w:val="none" w:sz="0" w:space="0" w:color="auto"/>
        <w:right w:val="none" w:sz="0" w:space="0" w:color="auto"/>
      </w:divBdr>
    </w:div>
    <w:div w:id="1278104928">
      <w:bodyDiv w:val="1"/>
      <w:marLeft w:val="0"/>
      <w:marRight w:val="0"/>
      <w:marTop w:val="0"/>
      <w:marBottom w:val="0"/>
      <w:divBdr>
        <w:top w:val="none" w:sz="0" w:space="0" w:color="auto"/>
        <w:left w:val="none" w:sz="0" w:space="0" w:color="auto"/>
        <w:bottom w:val="none" w:sz="0" w:space="0" w:color="auto"/>
        <w:right w:val="none" w:sz="0" w:space="0" w:color="auto"/>
      </w:divBdr>
    </w:div>
    <w:div w:id="1295598256">
      <w:bodyDiv w:val="1"/>
      <w:marLeft w:val="0"/>
      <w:marRight w:val="0"/>
      <w:marTop w:val="0"/>
      <w:marBottom w:val="0"/>
      <w:divBdr>
        <w:top w:val="none" w:sz="0" w:space="0" w:color="auto"/>
        <w:left w:val="none" w:sz="0" w:space="0" w:color="auto"/>
        <w:bottom w:val="none" w:sz="0" w:space="0" w:color="auto"/>
        <w:right w:val="none" w:sz="0" w:space="0" w:color="auto"/>
      </w:divBdr>
    </w:div>
    <w:div w:id="1312633674">
      <w:bodyDiv w:val="1"/>
      <w:marLeft w:val="0"/>
      <w:marRight w:val="0"/>
      <w:marTop w:val="0"/>
      <w:marBottom w:val="0"/>
      <w:divBdr>
        <w:top w:val="none" w:sz="0" w:space="0" w:color="auto"/>
        <w:left w:val="none" w:sz="0" w:space="0" w:color="auto"/>
        <w:bottom w:val="none" w:sz="0" w:space="0" w:color="auto"/>
        <w:right w:val="none" w:sz="0" w:space="0" w:color="auto"/>
      </w:divBdr>
    </w:div>
    <w:div w:id="1316183833">
      <w:bodyDiv w:val="1"/>
      <w:marLeft w:val="0"/>
      <w:marRight w:val="0"/>
      <w:marTop w:val="0"/>
      <w:marBottom w:val="0"/>
      <w:divBdr>
        <w:top w:val="none" w:sz="0" w:space="0" w:color="auto"/>
        <w:left w:val="none" w:sz="0" w:space="0" w:color="auto"/>
        <w:bottom w:val="none" w:sz="0" w:space="0" w:color="auto"/>
        <w:right w:val="none" w:sz="0" w:space="0" w:color="auto"/>
      </w:divBdr>
    </w:div>
    <w:div w:id="1341810003">
      <w:bodyDiv w:val="1"/>
      <w:marLeft w:val="0"/>
      <w:marRight w:val="0"/>
      <w:marTop w:val="0"/>
      <w:marBottom w:val="0"/>
      <w:divBdr>
        <w:top w:val="none" w:sz="0" w:space="0" w:color="auto"/>
        <w:left w:val="none" w:sz="0" w:space="0" w:color="auto"/>
        <w:bottom w:val="none" w:sz="0" w:space="0" w:color="auto"/>
        <w:right w:val="none" w:sz="0" w:space="0" w:color="auto"/>
      </w:divBdr>
    </w:div>
    <w:div w:id="1352344326">
      <w:bodyDiv w:val="1"/>
      <w:marLeft w:val="0"/>
      <w:marRight w:val="0"/>
      <w:marTop w:val="0"/>
      <w:marBottom w:val="0"/>
      <w:divBdr>
        <w:top w:val="none" w:sz="0" w:space="0" w:color="auto"/>
        <w:left w:val="none" w:sz="0" w:space="0" w:color="auto"/>
        <w:bottom w:val="none" w:sz="0" w:space="0" w:color="auto"/>
        <w:right w:val="none" w:sz="0" w:space="0" w:color="auto"/>
      </w:divBdr>
    </w:div>
    <w:div w:id="1355840893">
      <w:bodyDiv w:val="1"/>
      <w:marLeft w:val="0"/>
      <w:marRight w:val="0"/>
      <w:marTop w:val="0"/>
      <w:marBottom w:val="0"/>
      <w:divBdr>
        <w:top w:val="none" w:sz="0" w:space="0" w:color="auto"/>
        <w:left w:val="none" w:sz="0" w:space="0" w:color="auto"/>
        <w:bottom w:val="none" w:sz="0" w:space="0" w:color="auto"/>
        <w:right w:val="none" w:sz="0" w:space="0" w:color="auto"/>
      </w:divBdr>
    </w:div>
    <w:div w:id="1355961015">
      <w:bodyDiv w:val="1"/>
      <w:marLeft w:val="0"/>
      <w:marRight w:val="0"/>
      <w:marTop w:val="0"/>
      <w:marBottom w:val="0"/>
      <w:divBdr>
        <w:top w:val="none" w:sz="0" w:space="0" w:color="auto"/>
        <w:left w:val="none" w:sz="0" w:space="0" w:color="auto"/>
        <w:bottom w:val="none" w:sz="0" w:space="0" w:color="auto"/>
        <w:right w:val="none" w:sz="0" w:space="0" w:color="auto"/>
      </w:divBdr>
    </w:div>
    <w:div w:id="1381245535">
      <w:bodyDiv w:val="1"/>
      <w:marLeft w:val="0"/>
      <w:marRight w:val="0"/>
      <w:marTop w:val="0"/>
      <w:marBottom w:val="0"/>
      <w:divBdr>
        <w:top w:val="none" w:sz="0" w:space="0" w:color="auto"/>
        <w:left w:val="none" w:sz="0" w:space="0" w:color="auto"/>
        <w:bottom w:val="none" w:sz="0" w:space="0" w:color="auto"/>
        <w:right w:val="none" w:sz="0" w:space="0" w:color="auto"/>
      </w:divBdr>
    </w:div>
    <w:div w:id="1416244055">
      <w:bodyDiv w:val="1"/>
      <w:marLeft w:val="0"/>
      <w:marRight w:val="0"/>
      <w:marTop w:val="0"/>
      <w:marBottom w:val="0"/>
      <w:divBdr>
        <w:top w:val="none" w:sz="0" w:space="0" w:color="auto"/>
        <w:left w:val="none" w:sz="0" w:space="0" w:color="auto"/>
        <w:bottom w:val="none" w:sz="0" w:space="0" w:color="auto"/>
        <w:right w:val="none" w:sz="0" w:space="0" w:color="auto"/>
      </w:divBdr>
    </w:div>
    <w:div w:id="1421557413">
      <w:bodyDiv w:val="1"/>
      <w:marLeft w:val="0"/>
      <w:marRight w:val="0"/>
      <w:marTop w:val="0"/>
      <w:marBottom w:val="0"/>
      <w:divBdr>
        <w:top w:val="none" w:sz="0" w:space="0" w:color="auto"/>
        <w:left w:val="none" w:sz="0" w:space="0" w:color="auto"/>
        <w:bottom w:val="none" w:sz="0" w:space="0" w:color="auto"/>
        <w:right w:val="none" w:sz="0" w:space="0" w:color="auto"/>
      </w:divBdr>
    </w:div>
    <w:div w:id="1434740868">
      <w:bodyDiv w:val="1"/>
      <w:marLeft w:val="0"/>
      <w:marRight w:val="0"/>
      <w:marTop w:val="0"/>
      <w:marBottom w:val="0"/>
      <w:divBdr>
        <w:top w:val="none" w:sz="0" w:space="0" w:color="auto"/>
        <w:left w:val="none" w:sz="0" w:space="0" w:color="auto"/>
        <w:bottom w:val="none" w:sz="0" w:space="0" w:color="auto"/>
        <w:right w:val="none" w:sz="0" w:space="0" w:color="auto"/>
      </w:divBdr>
    </w:div>
    <w:div w:id="1477642119">
      <w:bodyDiv w:val="1"/>
      <w:marLeft w:val="0"/>
      <w:marRight w:val="0"/>
      <w:marTop w:val="0"/>
      <w:marBottom w:val="0"/>
      <w:divBdr>
        <w:top w:val="none" w:sz="0" w:space="0" w:color="auto"/>
        <w:left w:val="none" w:sz="0" w:space="0" w:color="auto"/>
        <w:bottom w:val="none" w:sz="0" w:space="0" w:color="auto"/>
        <w:right w:val="none" w:sz="0" w:space="0" w:color="auto"/>
      </w:divBdr>
    </w:div>
    <w:div w:id="1514687917">
      <w:bodyDiv w:val="1"/>
      <w:marLeft w:val="0"/>
      <w:marRight w:val="0"/>
      <w:marTop w:val="0"/>
      <w:marBottom w:val="0"/>
      <w:divBdr>
        <w:top w:val="none" w:sz="0" w:space="0" w:color="auto"/>
        <w:left w:val="none" w:sz="0" w:space="0" w:color="auto"/>
        <w:bottom w:val="none" w:sz="0" w:space="0" w:color="auto"/>
        <w:right w:val="none" w:sz="0" w:space="0" w:color="auto"/>
      </w:divBdr>
    </w:div>
    <w:div w:id="1526823906">
      <w:bodyDiv w:val="1"/>
      <w:marLeft w:val="0"/>
      <w:marRight w:val="0"/>
      <w:marTop w:val="0"/>
      <w:marBottom w:val="0"/>
      <w:divBdr>
        <w:top w:val="none" w:sz="0" w:space="0" w:color="auto"/>
        <w:left w:val="none" w:sz="0" w:space="0" w:color="auto"/>
        <w:bottom w:val="none" w:sz="0" w:space="0" w:color="auto"/>
        <w:right w:val="none" w:sz="0" w:space="0" w:color="auto"/>
      </w:divBdr>
    </w:div>
    <w:div w:id="1574004515">
      <w:bodyDiv w:val="1"/>
      <w:marLeft w:val="0"/>
      <w:marRight w:val="0"/>
      <w:marTop w:val="0"/>
      <w:marBottom w:val="0"/>
      <w:divBdr>
        <w:top w:val="none" w:sz="0" w:space="0" w:color="auto"/>
        <w:left w:val="none" w:sz="0" w:space="0" w:color="auto"/>
        <w:bottom w:val="none" w:sz="0" w:space="0" w:color="auto"/>
        <w:right w:val="none" w:sz="0" w:space="0" w:color="auto"/>
      </w:divBdr>
    </w:div>
    <w:div w:id="1581519216">
      <w:bodyDiv w:val="1"/>
      <w:marLeft w:val="0"/>
      <w:marRight w:val="0"/>
      <w:marTop w:val="0"/>
      <w:marBottom w:val="0"/>
      <w:divBdr>
        <w:top w:val="none" w:sz="0" w:space="0" w:color="auto"/>
        <w:left w:val="none" w:sz="0" w:space="0" w:color="auto"/>
        <w:bottom w:val="none" w:sz="0" w:space="0" w:color="auto"/>
        <w:right w:val="none" w:sz="0" w:space="0" w:color="auto"/>
      </w:divBdr>
    </w:div>
    <w:div w:id="1590961376">
      <w:bodyDiv w:val="1"/>
      <w:marLeft w:val="0"/>
      <w:marRight w:val="0"/>
      <w:marTop w:val="0"/>
      <w:marBottom w:val="0"/>
      <w:divBdr>
        <w:top w:val="none" w:sz="0" w:space="0" w:color="auto"/>
        <w:left w:val="none" w:sz="0" w:space="0" w:color="auto"/>
        <w:bottom w:val="none" w:sz="0" w:space="0" w:color="auto"/>
        <w:right w:val="none" w:sz="0" w:space="0" w:color="auto"/>
      </w:divBdr>
    </w:div>
    <w:div w:id="1606040495">
      <w:bodyDiv w:val="1"/>
      <w:marLeft w:val="0"/>
      <w:marRight w:val="0"/>
      <w:marTop w:val="0"/>
      <w:marBottom w:val="0"/>
      <w:divBdr>
        <w:top w:val="none" w:sz="0" w:space="0" w:color="auto"/>
        <w:left w:val="none" w:sz="0" w:space="0" w:color="auto"/>
        <w:bottom w:val="none" w:sz="0" w:space="0" w:color="auto"/>
        <w:right w:val="none" w:sz="0" w:space="0" w:color="auto"/>
      </w:divBdr>
    </w:div>
    <w:div w:id="1616326816">
      <w:bodyDiv w:val="1"/>
      <w:marLeft w:val="0"/>
      <w:marRight w:val="0"/>
      <w:marTop w:val="0"/>
      <w:marBottom w:val="0"/>
      <w:divBdr>
        <w:top w:val="none" w:sz="0" w:space="0" w:color="auto"/>
        <w:left w:val="none" w:sz="0" w:space="0" w:color="auto"/>
        <w:bottom w:val="none" w:sz="0" w:space="0" w:color="auto"/>
        <w:right w:val="none" w:sz="0" w:space="0" w:color="auto"/>
      </w:divBdr>
    </w:div>
    <w:div w:id="1623419377">
      <w:bodyDiv w:val="1"/>
      <w:marLeft w:val="0"/>
      <w:marRight w:val="0"/>
      <w:marTop w:val="0"/>
      <w:marBottom w:val="0"/>
      <w:divBdr>
        <w:top w:val="none" w:sz="0" w:space="0" w:color="auto"/>
        <w:left w:val="none" w:sz="0" w:space="0" w:color="auto"/>
        <w:bottom w:val="none" w:sz="0" w:space="0" w:color="auto"/>
        <w:right w:val="none" w:sz="0" w:space="0" w:color="auto"/>
      </w:divBdr>
    </w:div>
    <w:div w:id="1643193173">
      <w:bodyDiv w:val="1"/>
      <w:marLeft w:val="0"/>
      <w:marRight w:val="0"/>
      <w:marTop w:val="0"/>
      <w:marBottom w:val="0"/>
      <w:divBdr>
        <w:top w:val="none" w:sz="0" w:space="0" w:color="auto"/>
        <w:left w:val="none" w:sz="0" w:space="0" w:color="auto"/>
        <w:bottom w:val="none" w:sz="0" w:space="0" w:color="auto"/>
        <w:right w:val="none" w:sz="0" w:space="0" w:color="auto"/>
      </w:divBdr>
    </w:div>
    <w:div w:id="1666133087">
      <w:bodyDiv w:val="1"/>
      <w:marLeft w:val="0"/>
      <w:marRight w:val="0"/>
      <w:marTop w:val="0"/>
      <w:marBottom w:val="0"/>
      <w:divBdr>
        <w:top w:val="none" w:sz="0" w:space="0" w:color="auto"/>
        <w:left w:val="none" w:sz="0" w:space="0" w:color="auto"/>
        <w:bottom w:val="none" w:sz="0" w:space="0" w:color="auto"/>
        <w:right w:val="none" w:sz="0" w:space="0" w:color="auto"/>
      </w:divBdr>
    </w:div>
    <w:div w:id="1689483156">
      <w:bodyDiv w:val="1"/>
      <w:marLeft w:val="0"/>
      <w:marRight w:val="0"/>
      <w:marTop w:val="0"/>
      <w:marBottom w:val="0"/>
      <w:divBdr>
        <w:top w:val="none" w:sz="0" w:space="0" w:color="auto"/>
        <w:left w:val="none" w:sz="0" w:space="0" w:color="auto"/>
        <w:bottom w:val="none" w:sz="0" w:space="0" w:color="auto"/>
        <w:right w:val="none" w:sz="0" w:space="0" w:color="auto"/>
      </w:divBdr>
    </w:div>
    <w:div w:id="1730953619">
      <w:bodyDiv w:val="1"/>
      <w:marLeft w:val="0"/>
      <w:marRight w:val="0"/>
      <w:marTop w:val="0"/>
      <w:marBottom w:val="0"/>
      <w:divBdr>
        <w:top w:val="none" w:sz="0" w:space="0" w:color="auto"/>
        <w:left w:val="none" w:sz="0" w:space="0" w:color="auto"/>
        <w:bottom w:val="none" w:sz="0" w:space="0" w:color="auto"/>
        <w:right w:val="none" w:sz="0" w:space="0" w:color="auto"/>
      </w:divBdr>
    </w:div>
    <w:div w:id="1779518010">
      <w:bodyDiv w:val="1"/>
      <w:marLeft w:val="0"/>
      <w:marRight w:val="0"/>
      <w:marTop w:val="0"/>
      <w:marBottom w:val="0"/>
      <w:divBdr>
        <w:top w:val="none" w:sz="0" w:space="0" w:color="auto"/>
        <w:left w:val="none" w:sz="0" w:space="0" w:color="auto"/>
        <w:bottom w:val="none" w:sz="0" w:space="0" w:color="auto"/>
        <w:right w:val="none" w:sz="0" w:space="0" w:color="auto"/>
      </w:divBdr>
    </w:div>
    <w:div w:id="1780711273">
      <w:bodyDiv w:val="1"/>
      <w:marLeft w:val="0"/>
      <w:marRight w:val="0"/>
      <w:marTop w:val="0"/>
      <w:marBottom w:val="0"/>
      <w:divBdr>
        <w:top w:val="none" w:sz="0" w:space="0" w:color="auto"/>
        <w:left w:val="none" w:sz="0" w:space="0" w:color="auto"/>
        <w:bottom w:val="none" w:sz="0" w:space="0" w:color="auto"/>
        <w:right w:val="none" w:sz="0" w:space="0" w:color="auto"/>
      </w:divBdr>
    </w:div>
    <w:div w:id="1795710221">
      <w:bodyDiv w:val="1"/>
      <w:marLeft w:val="0"/>
      <w:marRight w:val="0"/>
      <w:marTop w:val="0"/>
      <w:marBottom w:val="0"/>
      <w:divBdr>
        <w:top w:val="none" w:sz="0" w:space="0" w:color="auto"/>
        <w:left w:val="none" w:sz="0" w:space="0" w:color="auto"/>
        <w:bottom w:val="none" w:sz="0" w:space="0" w:color="auto"/>
        <w:right w:val="none" w:sz="0" w:space="0" w:color="auto"/>
      </w:divBdr>
    </w:div>
    <w:div w:id="1833985450">
      <w:bodyDiv w:val="1"/>
      <w:marLeft w:val="0"/>
      <w:marRight w:val="0"/>
      <w:marTop w:val="0"/>
      <w:marBottom w:val="0"/>
      <w:divBdr>
        <w:top w:val="none" w:sz="0" w:space="0" w:color="auto"/>
        <w:left w:val="none" w:sz="0" w:space="0" w:color="auto"/>
        <w:bottom w:val="none" w:sz="0" w:space="0" w:color="auto"/>
        <w:right w:val="none" w:sz="0" w:space="0" w:color="auto"/>
      </w:divBdr>
    </w:div>
    <w:div w:id="1837071747">
      <w:bodyDiv w:val="1"/>
      <w:marLeft w:val="0"/>
      <w:marRight w:val="0"/>
      <w:marTop w:val="0"/>
      <w:marBottom w:val="0"/>
      <w:divBdr>
        <w:top w:val="none" w:sz="0" w:space="0" w:color="auto"/>
        <w:left w:val="none" w:sz="0" w:space="0" w:color="auto"/>
        <w:bottom w:val="none" w:sz="0" w:space="0" w:color="auto"/>
        <w:right w:val="none" w:sz="0" w:space="0" w:color="auto"/>
      </w:divBdr>
    </w:div>
    <w:div w:id="1907956501">
      <w:bodyDiv w:val="1"/>
      <w:marLeft w:val="0"/>
      <w:marRight w:val="0"/>
      <w:marTop w:val="0"/>
      <w:marBottom w:val="0"/>
      <w:divBdr>
        <w:top w:val="none" w:sz="0" w:space="0" w:color="auto"/>
        <w:left w:val="none" w:sz="0" w:space="0" w:color="auto"/>
        <w:bottom w:val="none" w:sz="0" w:space="0" w:color="auto"/>
        <w:right w:val="none" w:sz="0" w:space="0" w:color="auto"/>
      </w:divBdr>
      <w:divsChild>
        <w:div w:id="275648050">
          <w:marLeft w:val="0"/>
          <w:marRight w:val="0"/>
          <w:marTop w:val="0"/>
          <w:marBottom w:val="0"/>
          <w:divBdr>
            <w:top w:val="none" w:sz="0" w:space="0" w:color="auto"/>
            <w:left w:val="none" w:sz="0" w:space="0" w:color="auto"/>
            <w:bottom w:val="none" w:sz="0" w:space="0" w:color="auto"/>
            <w:right w:val="none" w:sz="0" w:space="0" w:color="auto"/>
          </w:divBdr>
        </w:div>
        <w:div w:id="736170292">
          <w:marLeft w:val="0"/>
          <w:marRight w:val="0"/>
          <w:marTop w:val="0"/>
          <w:marBottom w:val="0"/>
          <w:divBdr>
            <w:top w:val="none" w:sz="0" w:space="0" w:color="auto"/>
            <w:left w:val="none" w:sz="0" w:space="0" w:color="auto"/>
            <w:bottom w:val="none" w:sz="0" w:space="0" w:color="auto"/>
            <w:right w:val="none" w:sz="0" w:space="0" w:color="auto"/>
          </w:divBdr>
        </w:div>
        <w:div w:id="817840352">
          <w:marLeft w:val="0"/>
          <w:marRight w:val="0"/>
          <w:marTop w:val="0"/>
          <w:marBottom w:val="0"/>
          <w:divBdr>
            <w:top w:val="none" w:sz="0" w:space="0" w:color="auto"/>
            <w:left w:val="none" w:sz="0" w:space="0" w:color="auto"/>
            <w:bottom w:val="none" w:sz="0" w:space="0" w:color="auto"/>
            <w:right w:val="none" w:sz="0" w:space="0" w:color="auto"/>
          </w:divBdr>
        </w:div>
        <w:div w:id="821853328">
          <w:marLeft w:val="0"/>
          <w:marRight w:val="0"/>
          <w:marTop w:val="0"/>
          <w:marBottom w:val="0"/>
          <w:divBdr>
            <w:top w:val="none" w:sz="0" w:space="0" w:color="auto"/>
            <w:left w:val="none" w:sz="0" w:space="0" w:color="auto"/>
            <w:bottom w:val="none" w:sz="0" w:space="0" w:color="auto"/>
            <w:right w:val="none" w:sz="0" w:space="0" w:color="auto"/>
          </w:divBdr>
        </w:div>
        <w:div w:id="1203782782">
          <w:marLeft w:val="0"/>
          <w:marRight w:val="0"/>
          <w:marTop w:val="0"/>
          <w:marBottom w:val="0"/>
          <w:divBdr>
            <w:top w:val="none" w:sz="0" w:space="0" w:color="auto"/>
            <w:left w:val="none" w:sz="0" w:space="0" w:color="auto"/>
            <w:bottom w:val="none" w:sz="0" w:space="0" w:color="auto"/>
            <w:right w:val="none" w:sz="0" w:space="0" w:color="auto"/>
          </w:divBdr>
        </w:div>
      </w:divsChild>
    </w:div>
    <w:div w:id="1909071836">
      <w:bodyDiv w:val="1"/>
      <w:marLeft w:val="0"/>
      <w:marRight w:val="0"/>
      <w:marTop w:val="0"/>
      <w:marBottom w:val="0"/>
      <w:divBdr>
        <w:top w:val="none" w:sz="0" w:space="0" w:color="auto"/>
        <w:left w:val="none" w:sz="0" w:space="0" w:color="auto"/>
        <w:bottom w:val="none" w:sz="0" w:space="0" w:color="auto"/>
        <w:right w:val="none" w:sz="0" w:space="0" w:color="auto"/>
      </w:divBdr>
    </w:div>
    <w:div w:id="1920362989">
      <w:bodyDiv w:val="1"/>
      <w:marLeft w:val="0"/>
      <w:marRight w:val="0"/>
      <w:marTop w:val="0"/>
      <w:marBottom w:val="0"/>
      <w:divBdr>
        <w:top w:val="none" w:sz="0" w:space="0" w:color="auto"/>
        <w:left w:val="none" w:sz="0" w:space="0" w:color="auto"/>
        <w:bottom w:val="none" w:sz="0" w:space="0" w:color="auto"/>
        <w:right w:val="none" w:sz="0" w:space="0" w:color="auto"/>
      </w:divBdr>
    </w:div>
    <w:div w:id="2011789904">
      <w:bodyDiv w:val="1"/>
      <w:marLeft w:val="0"/>
      <w:marRight w:val="0"/>
      <w:marTop w:val="0"/>
      <w:marBottom w:val="0"/>
      <w:divBdr>
        <w:top w:val="none" w:sz="0" w:space="0" w:color="auto"/>
        <w:left w:val="none" w:sz="0" w:space="0" w:color="auto"/>
        <w:bottom w:val="none" w:sz="0" w:space="0" w:color="auto"/>
        <w:right w:val="none" w:sz="0" w:space="0" w:color="auto"/>
      </w:divBdr>
    </w:div>
    <w:div w:id="210253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6.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naih.hu/files/Adatved_allasfoglalas_NAIH-2020-2888.pdf" TargetMode="External"/><Relationship Id="rId2" Type="http://schemas.openxmlformats.org/officeDocument/2006/relationships/hyperlink" Target="https://www.oktatas.hu/pub_bin/dload/kozoktatas/meresek/talis/TALIS_jelentes_2018.pdf" TargetMode="External"/><Relationship Id="rId1" Type="http://schemas.openxmlformats.org/officeDocument/2006/relationships/hyperlink" Target="https://regionalispolitika.kormany.hu/download/a/c9/e0000/MK14001.pdf" TargetMode="External"/><Relationship Id="rId5" Type="http://schemas.openxmlformats.org/officeDocument/2006/relationships/hyperlink" Target="https://digitalisjoletprogram.hu/hu/tartalom/digkomp" TargetMode="External"/><Relationship Id="rId4" Type="http://schemas.openxmlformats.org/officeDocument/2006/relationships/hyperlink" Target="https://read.oecd-ilibrary.org/education/education-at-a-glance-2019_f8d7880d-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vvrcommon10\gvvrcommon10\lun04\EMMI_PALYPROJ\10_El&#337;terjeszt&#233;sek\2020_el&#337;terjeszt&#233;s\K&#246;znev_strat\Munkaanyagok\Sz&#252;let&#233;s_198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ktat&#243;1\Desktop\2018_19_II\Oktstrat\fir_stat2017_stat2017_1_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kinga\Desktop\&#246;sszes&#237;t&#233;s____B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vvrcommon10\gvvrcommon10\lun04\EMMI_PALYPROJ\10_El&#337;terjeszt&#233;sek\2020_el&#337;terjeszt&#233;s\K&#246;znev_strat\7_Kodifik&#225;ci&#243;\hozz&#225;sz&#243;l&#225;sok\tan&#237;t&#243;_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kinga\Desktop\&#246;sszes&#237;t&#233;s____BK.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unkaf&#252;zet1"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927526195191497"/>
          <c:y val="5.0696436917988127E-2"/>
          <c:w val="0.7869869390625025"/>
          <c:h val="0.81293513886313329"/>
        </c:manualLayout>
      </c:layout>
      <c:lineChart>
        <c:grouping val="standard"/>
        <c:varyColors val="0"/>
        <c:ser>
          <c:idx val="1"/>
          <c:order val="0"/>
          <c:tx>
            <c:strRef>
              <c:f>'[Születés_1980-2019.xlsx]születés'!$B$4</c:f>
              <c:strCache>
                <c:ptCount val="1"/>
                <c:pt idx="0">
                  <c:v>–14</c:v>
                </c:pt>
              </c:strCache>
            </c:strRef>
          </c:tx>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'[Születés_1980-2019.xlsx]születés'!$B$5:$B$43</c:f>
            </c:numRef>
          </c:val>
          <c:smooth val="0"/>
          <c:extLst xmlns:c16r2="http://schemas.microsoft.com/office/drawing/2015/06/chart">
            <c:ext xmlns:c16="http://schemas.microsoft.com/office/drawing/2014/chart" uri="{C3380CC4-5D6E-409C-BE32-E72D297353CC}">
              <c16:uniqueId val="{00000000-CCC0-4549-8A72-94F03E8A91FA}"/>
            </c:ext>
          </c:extLst>
        </c:ser>
        <c:ser>
          <c:idx val="2"/>
          <c:order val="1"/>
          <c:tx>
            <c:strRef>
              <c:f>'[Születés_1980-2019.xlsx]születés'!$C$4</c:f>
              <c:strCache>
                <c:ptCount val="1"/>
                <c:pt idx="0">
                  <c:v>15–19</c:v>
                </c:pt>
              </c:strCache>
            </c:strRef>
          </c:tx>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'[Születés_1980-2019.xlsx]születés'!$C$5:$C$43</c:f>
            </c:numRef>
          </c:val>
          <c:smooth val="0"/>
          <c:extLst xmlns:c16r2="http://schemas.microsoft.com/office/drawing/2015/06/chart">
            <c:ext xmlns:c16="http://schemas.microsoft.com/office/drawing/2014/chart" uri="{C3380CC4-5D6E-409C-BE32-E72D297353CC}">
              <c16:uniqueId val="{00000001-CCC0-4549-8A72-94F03E8A91FA}"/>
            </c:ext>
          </c:extLst>
        </c:ser>
        <c:ser>
          <c:idx val="3"/>
          <c:order val="2"/>
          <c:tx>
            <c:strRef>
              <c:f>'[Születés_1980-2019.xlsx]születés'!$D$4</c:f>
              <c:strCache>
                <c:ptCount val="1"/>
                <c:pt idx="0">
                  <c:v>20–24</c:v>
                </c:pt>
              </c:strCache>
            </c:strRef>
          </c:tx>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'[Születés_1980-2019.xlsx]születés'!$D$5:$D$43</c:f>
            </c:numRef>
          </c:val>
          <c:smooth val="0"/>
          <c:extLst xmlns:c16r2="http://schemas.microsoft.com/office/drawing/2015/06/chart">
            <c:ext xmlns:c16="http://schemas.microsoft.com/office/drawing/2014/chart" uri="{C3380CC4-5D6E-409C-BE32-E72D297353CC}">
              <c16:uniqueId val="{00000002-CCC0-4549-8A72-94F03E8A91FA}"/>
            </c:ext>
          </c:extLst>
        </c:ser>
        <c:ser>
          <c:idx val="4"/>
          <c:order val="3"/>
          <c:tx>
            <c:strRef>
              <c:f>'[Születés_1980-2019.xlsx]születés'!$E$4</c:f>
              <c:strCache>
                <c:ptCount val="1"/>
                <c:pt idx="0">
                  <c:v>25–29</c:v>
                </c:pt>
              </c:strCache>
            </c:strRef>
          </c:tx>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'[Születés_1980-2019.xlsx]születés'!$E$5:$E$43</c:f>
            </c:numRef>
          </c:val>
          <c:smooth val="0"/>
          <c:extLst xmlns:c16r2="http://schemas.microsoft.com/office/drawing/2015/06/chart">
            <c:ext xmlns:c16="http://schemas.microsoft.com/office/drawing/2014/chart" uri="{C3380CC4-5D6E-409C-BE32-E72D297353CC}">
              <c16:uniqueId val="{00000003-CCC0-4549-8A72-94F03E8A91FA}"/>
            </c:ext>
          </c:extLst>
        </c:ser>
        <c:ser>
          <c:idx val="5"/>
          <c:order val="4"/>
          <c:tx>
            <c:strRef>
              <c:f>'[Születés_1980-2019.xlsx]születés'!$F$4</c:f>
              <c:strCache>
                <c:ptCount val="1"/>
                <c:pt idx="0">
                  <c:v>30–34</c:v>
                </c:pt>
              </c:strCache>
            </c:strRef>
          </c:tx>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'[Születés_1980-2019.xlsx]születés'!$F$5:$F$43</c:f>
            </c:numRef>
          </c:val>
          <c:smooth val="0"/>
          <c:extLst xmlns:c16r2="http://schemas.microsoft.com/office/drawing/2015/06/chart">
            <c:ext xmlns:c16="http://schemas.microsoft.com/office/drawing/2014/chart" uri="{C3380CC4-5D6E-409C-BE32-E72D297353CC}">
              <c16:uniqueId val="{00000004-CCC0-4549-8A72-94F03E8A91FA}"/>
            </c:ext>
          </c:extLst>
        </c:ser>
        <c:ser>
          <c:idx val="6"/>
          <c:order val="5"/>
          <c:tx>
            <c:strRef>
              <c:f>'[Születés_1980-2019.xlsx]születés'!$G$4</c:f>
              <c:strCache>
                <c:ptCount val="1"/>
                <c:pt idx="0">
                  <c:v>35–39</c:v>
                </c:pt>
              </c:strCache>
            </c:strRef>
          </c:tx>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'[Születés_1980-2019.xlsx]születés'!$G$5:$G$43</c:f>
            </c:numRef>
          </c:val>
          <c:smooth val="0"/>
          <c:extLst xmlns:c16r2="http://schemas.microsoft.com/office/drawing/2015/06/chart">
            <c:ext xmlns:c16="http://schemas.microsoft.com/office/drawing/2014/chart" uri="{C3380CC4-5D6E-409C-BE32-E72D297353CC}">
              <c16:uniqueId val="{00000005-CCC0-4549-8A72-94F03E8A91FA}"/>
            </c:ext>
          </c:extLst>
        </c:ser>
        <c:ser>
          <c:idx val="7"/>
          <c:order val="6"/>
          <c:tx>
            <c:strRef>
              <c:f>'[Születés_1980-2019.xlsx]születés'!$H$4</c:f>
              <c:strCache>
                <c:ptCount val="1"/>
                <c:pt idx="0">
                  <c:v>40–44</c:v>
                </c:pt>
              </c:strCache>
            </c:strRef>
          </c:tx>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'[Születés_1980-2019.xlsx]születés'!$H$5:$H$43</c:f>
            </c:numRef>
          </c:val>
          <c:smooth val="0"/>
          <c:extLst xmlns:c16r2="http://schemas.microsoft.com/office/drawing/2015/06/chart">
            <c:ext xmlns:c16="http://schemas.microsoft.com/office/drawing/2014/chart" uri="{C3380CC4-5D6E-409C-BE32-E72D297353CC}">
              <c16:uniqueId val="{00000006-CCC0-4549-8A72-94F03E8A91FA}"/>
            </c:ext>
          </c:extLst>
        </c:ser>
        <c:ser>
          <c:idx val="8"/>
          <c:order val="7"/>
          <c:tx>
            <c:strRef>
              <c:f>'[Születés_1980-2019.xlsx]születés'!$I$4</c:f>
              <c:strCache>
                <c:ptCount val="1"/>
                <c:pt idx="0">
                  <c:v>45–49</c:v>
                </c:pt>
              </c:strCache>
            </c:strRef>
          </c:tx>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'[Születés_1980-2019.xlsx]születés'!$I$5:$I$43</c:f>
            </c:numRef>
          </c:val>
          <c:smooth val="0"/>
          <c:extLst xmlns:c16r2="http://schemas.microsoft.com/office/drawing/2015/06/chart">
            <c:ext xmlns:c16="http://schemas.microsoft.com/office/drawing/2014/chart" uri="{C3380CC4-5D6E-409C-BE32-E72D297353CC}">
              <c16:uniqueId val="{00000007-CCC0-4549-8A72-94F03E8A91FA}"/>
            </c:ext>
          </c:extLst>
        </c:ser>
        <c:ser>
          <c:idx val="9"/>
          <c:order val="8"/>
          <c:tx>
            <c:strRef>
              <c:f>'[Születés_1980-2019.xlsx]születés'!$J$4</c:f>
              <c:strCache>
                <c:ptCount val="1"/>
                <c:pt idx="0">
                  <c:v>50–</c:v>
                </c:pt>
              </c:strCache>
            </c:strRef>
          </c:tx>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'[Születés_1980-2019.xlsx]születés'!$J$5:$J$43</c:f>
            </c:numRef>
          </c:val>
          <c:smooth val="0"/>
          <c:extLst xmlns:c16r2="http://schemas.microsoft.com/office/drawing/2015/06/chart">
            <c:ext xmlns:c16="http://schemas.microsoft.com/office/drawing/2014/chart" uri="{C3380CC4-5D6E-409C-BE32-E72D297353CC}">
              <c16:uniqueId val="{00000008-CCC0-4549-8A72-94F03E8A91FA}"/>
            </c:ext>
          </c:extLst>
        </c:ser>
        <c:ser>
          <c:idx val="10"/>
          <c:order val="9"/>
          <c:tx>
            <c:strRef>
              <c:f>'[Születés_1980-2019.xlsx]születés'!$K$4</c:f>
              <c:strCache>
                <c:ptCount val="1"/>
                <c:pt idx="0">
                  <c:v>15-49 éves nők</c:v>
                </c:pt>
              </c:strCache>
            </c:strRef>
          </c:tx>
          <c:spPr>
            <a:ln w="31750">
              <a:solidFill>
                <a:schemeClr val="accent4">
                  <a:lumMod val="50000"/>
                </a:schemeClr>
              </a:solidFill>
            </a:ln>
          </c:spPr>
          <c:marker>
            <c:symbol val="none"/>
          </c:marker>
          <c:cat>
            <c:strRef>
              <c:f>'[Születés_1980-2019.xlsx]születés'!$A$5:$A$43</c:f>
              <c:strCache>
                <c:ptCount val="39"/>
                <c:pt idx="0">
                  <c:v>1980</c:v>
                </c:pt>
                <c:pt idx="5">
                  <c:v>1985</c:v>
                </c:pt>
                <c:pt idx="10">
                  <c:v>1990</c:v>
                </c:pt>
                <c:pt idx="15">
                  <c:v>1995</c:v>
                </c:pt>
                <c:pt idx="20">
                  <c:v>2000</c:v>
                </c:pt>
                <c:pt idx="25">
                  <c:v>2005</c:v>
                </c:pt>
                <c:pt idx="30">
                  <c:v>2010</c:v>
                </c:pt>
                <c:pt idx="35">
                  <c:v>2015</c:v>
                </c:pt>
                <c:pt idx="38">
                  <c:v>2018</c:v>
                </c:pt>
              </c:strCache>
            </c:strRef>
          </c:cat>
          <c:val>
            <c:numRef>
              <c:f>'[Születés_1980-2019.xlsx]születés'!$K$5:$K$43</c:f>
              <c:numCache>
                <c:formatCode>0</c:formatCode>
                <c:ptCount val="39"/>
                <c:pt idx="0">
                  <c:v>148434</c:v>
                </c:pt>
                <c:pt idx="1">
                  <c:v>142716</c:v>
                </c:pt>
                <c:pt idx="2">
                  <c:v>133352</c:v>
                </c:pt>
                <c:pt idx="3">
                  <c:v>127069</c:v>
                </c:pt>
                <c:pt idx="4">
                  <c:v>125148</c:v>
                </c:pt>
                <c:pt idx="5">
                  <c:v>130002</c:v>
                </c:pt>
                <c:pt idx="6">
                  <c:v>128006</c:v>
                </c:pt>
                <c:pt idx="7">
                  <c:v>125673</c:v>
                </c:pt>
                <c:pt idx="8">
                  <c:v>124095</c:v>
                </c:pt>
                <c:pt idx="9">
                  <c:v>123134</c:v>
                </c:pt>
                <c:pt idx="10">
                  <c:v>125442</c:v>
                </c:pt>
                <c:pt idx="11">
                  <c:v>126995</c:v>
                </c:pt>
                <c:pt idx="12">
                  <c:v>121516</c:v>
                </c:pt>
                <c:pt idx="13">
                  <c:v>116834</c:v>
                </c:pt>
                <c:pt idx="14">
                  <c:v>115393</c:v>
                </c:pt>
                <c:pt idx="15">
                  <c:v>111879</c:v>
                </c:pt>
                <c:pt idx="16">
                  <c:v>105104</c:v>
                </c:pt>
                <c:pt idx="17">
                  <c:v>100206</c:v>
                </c:pt>
                <c:pt idx="18">
                  <c:v>97165</c:v>
                </c:pt>
                <c:pt idx="19">
                  <c:v>94542</c:v>
                </c:pt>
                <c:pt idx="20">
                  <c:v>97496</c:v>
                </c:pt>
                <c:pt idx="21">
                  <c:v>96943</c:v>
                </c:pt>
                <c:pt idx="22">
                  <c:v>96711</c:v>
                </c:pt>
                <c:pt idx="23">
                  <c:v>94528</c:v>
                </c:pt>
                <c:pt idx="24">
                  <c:v>95043</c:v>
                </c:pt>
                <c:pt idx="25">
                  <c:v>97373</c:v>
                </c:pt>
                <c:pt idx="26">
                  <c:v>99782</c:v>
                </c:pt>
                <c:pt idx="27">
                  <c:v>97510</c:v>
                </c:pt>
                <c:pt idx="28">
                  <c:v>99048</c:v>
                </c:pt>
                <c:pt idx="29">
                  <c:v>96346</c:v>
                </c:pt>
                <c:pt idx="30">
                  <c:v>90254</c:v>
                </c:pt>
                <c:pt idx="31">
                  <c:v>87966</c:v>
                </c:pt>
                <c:pt idx="32">
                  <c:v>90187</c:v>
                </c:pt>
                <c:pt idx="33">
                  <c:v>88596</c:v>
                </c:pt>
                <c:pt idx="34">
                  <c:v>91444</c:v>
                </c:pt>
                <c:pt idx="35">
                  <c:v>91605</c:v>
                </c:pt>
                <c:pt idx="36">
                  <c:v>92983</c:v>
                </c:pt>
                <c:pt idx="37">
                  <c:v>91503</c:v>
                </c:pt>
                <c:pt idx="38">
                  <c:v>89727</c:v>
                </c:pt>
              </c:numCache>
            </c:numRef>
          </c:val>
          <c:smooth val="0"/>
          <c:extLst xmlns:c16r2="http://schemas.microsoft.com/office/drawing/2015/06/chart">
            <c:ext xmlns:c16="http://schemas.microsoft.com/office/drawing/2014/chart" uri="{C3380CC4-5D6E-409C-BE32-E72D297353CC}">
              <c16:uniqueId val="{00000009-CCC0-4549-8A72-94F03E8A91FA}"/>
            </c:ext>
          </c:extLst>
        </c:ser>
        <c:dLbls>
          <c:showLegendKey val="0"/>
          <c:showVal val="0"/>
          <c:showCatName val="0"/>
          <c:showSerName val="0"/>
          <c:showPercent val="0"/>
          <c:showBubbleSize val="0"/>
        </c:dLbls>
        <c:marker val="1"/>
        <c:smooth val="0"/>
        <c:axId val="370792704"/>
        <c:axId val="371331072"/>
      </c:lineChart>
      <c:dateAx>
        <c:axId val="370792704"/>
        <c:scaling>
          <c:orientation val="minMax"/>
        </c:scaling>
        <c:delete val="0"/>
        <c:axPos val="b"/>
        <c:numFmt formatCode="General" sourceLinked="0"/>
        <c:majorTickMark val="none"/>
        <c:minorTickMark val="none"/>
        <c:tickLblPos val="nextTo"/>
        <c:crossAx val="371331072"/>
        <c:crosses val="autoZero"/>
        <c:auto val="0"/>
        <c:lblOffset val="100"/>
        <c:baseTimeUnit val="days"/>
      </c:dateAx>
      <c:valAx>
        <c:axId val="371331072"/>
        <c:scaling>
          <c:orientation val="minMax"/>
        </c:scaling>
        <c:delete val="0"/>
        <c:axPos val="l"/>
        <c:majorGridlines/>
        <c:title>
          <c:tx>
            <c:rich>
              <a:bodyPr/>
              <a:lstStyle/>
              <a:p>
                <a:pPr>
                  <a:defRPr/>
                </a:pPr>
                <a:r>
                  <a:rPr lang="en-US"/>
                  <a:t>Élveszülések száma</a:t>
                </a:r>
              </a:p>
            </c:rich>
          </c:tx>
          <c:layout>
            <c:manualLayout>
              <c:xMode val="edge"/>
              <c:yMode val="edge"/>
              <c:x val="2.7707808119228561E-2"/>
              <c:y val="0.19462091583616883"/>
            </c:manualLayout>
          </c:layout>
          <c:overlay val="0"/>
        </c:title>
        <c:numFmt formatCode="0" sourceLinked="1"/>
        <c:majorTickMark val="none"/>
        <c:minorTickMark val="none"/>
        <c:tickLblPos val="nextTo"/>
        <c:crossAx val="3707927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stat2017_1_12!$A$13</c:f>
              <c:strCache>
                <c:ptCount val="1"/>
                <c:pt idx="0">
                  <c:v>Összes munkarenden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stat2017_1_12!$B$11:$F$12</c:f>
              <c:multiLvlStrCache>
                <c:ptCount val="5"/>
                <c:lvl>
                  <c:pt idx="0">
                    <c:v>2013/14 ősz</c:v>
                  </c:pt>
                  <c:pt idx="1">
                    <c:v>2014/15 ősz</c:v>
                  </c:pt>
                  <c:pt idx="2">
                    <c:v>2015/16 ősz</c:v>
                  </c:pt>
                  <c:pt idx="3">
                    <c:v>2016/17 ősz</c:v>
                  </c:pt>
                  <c:pt idx="4">
                    <c:v>2017/18 ősz</c:v>
                  </c:pt>
                </c:lvl>
                <c:lvl>
                  <c:pt idx="0">
                    <c:v>Képzési időszak név</c:v>
                  </c:pt>
                </c:lvl>
              </c:multiLvlStrCache>
            </c:multiLvlStrRef>
          </c:cat>
          <c:val>
            <c:numRef>
              <c:f>stat2017_1_12!$B$13:$F$13</c:f>
              <c:numCache>
                <c:formatCode>#,##0</c:formatCode>
                <c:ptCount val="5"/>
                <c:pt idx="0">
                  <c:v>19880</c:v>
                </c:pt>
                <c:pt idx="1">
                  <c:v>21430</c:v>
                </c:pt>
                <c:pt idx="2">
                  <c:v>23778</c:v>
                </c:pt>
                <c:pt idx="3">
                  <c:v>26469</c:v>
                </c:pt>
                <c:pt idx="4">
                  <c:v>27697</c:v>
                </c:pt>
              </c:numCache>
            </c:numRef>
          </c:val>
          <c:extLst xmlns:c16r2="http://schemas.microsoft.com/office/drawing/2015/06/chart">
            <c:ext xmlns:c16="http://schemas.microsoft.com/office/drawing/2014/chart" uri="{C3380CC4-5D6E-409C-BE32-E72D297353CC}">
              <c16:uniqueId val="{00000000-A99B-4B92-B76D-693C94EEF0FD}"/>
            </c:ext>
          </c:extLst>
        </c:ser>
        <c:ser>
          <c:idx val="1"/>
          <c:order val="1"/>
          <c:tx>
            <c:strRef>
              <c:f>stat2017_1_12!$A$14</c:f>
              <c:strCache>
                <c:ptCount val="1"/>
                <c:pt idx="0">
                  <c:v>Nappali munkarenden</c:v>
                </c:pt>
              </c:strCache>
            </c:strRef>
          </c:tx>
          <c:spPr>
            <a:solidFill>
              <a:schemeClr val="accent2"/>
            </a:solidFill>
            <a:ln>
              <a:noFill/>
            </a:ln>
            <a:effectLst/>
          </c:spPr>
          <c:invertIfNegative val="0"/>
          <c:dLbls>
            <c:dLbl>
              <c:idx val="0"/>
              <c:layout>
                <c:manualLayout>
                  <c:x val="1.5037593984962433E-2"/>
                  <c:y val="0"/>
                </c:manualLayout>
              </c:layout>
              <c:showLegendKey val="0"/>
              <c:showVal val="1"/>
              <c:showCatName val="0"/>
              <c:showSerName val="0"/>
              <c:showPercent val="0"/>
              <c:showBubbleSize val="0"/>
            </c:dLbl>
            <c:dLbl>
              <c:idx val="1"/>
              <c:layout>
                <c:manualLayout>
                  <c:x val="1.8124150430448571E-2"/>
                  <c:y val="0"/>
                </c:manualLayout>
              </c:layout>
              <c:showLegendKey val="0"/>
              <c:showVal val="1"/>
              <c:showCatName val="0"/>
              <c:showSerName val="0"/>
              <c:showPercent val="0"/>
              <c:showBubbleSize val="0"/>
            </c:dLbl>
            <c:dLbl>
              <c:idx val="2"/>
              <c:layout>
                <c:manualLayout>
                  <c:x val="2.1148036253776436E-2"/>
                  <c:y val="5.6657223796033997E-3"/>
                </c:manualLayout>
              </c:layout>
              <c:showLegendKey val="0"/>
              <c:showVal val="1"/>
              <c:showCatName val="0"/>
              <c:showSerName val="0"/>
              <c:showPercent val="0"/>
              <c:showBubbleSize val="0"/>
            </c:dLbl>
            <c:dLbl>
              <c:idx val="3"/>
              <c:layout>
                <c:manualLayout>
                  <c:x val="1.812688821752266E-2"/>
                  <c:y val="0"/>
                </c:manualLayout>
              </c:layout>
              <c:showLegendKey val="0"/>
              <c:showVal val="1"/>
              <c:showCatName val="0"/>
              <c:showSerName val="0"/>
              <c:showPercent val="0"/>
              <c:showBubbleSize val="0"/>
            </c:dLbl>
            <c:dLbl>
              <c:idx val="4"/>
              <c:layout>
                <c:manualLayout>
                  <c:x val="3.0211480362537766E-2"/>
                  <c:y val="0"/>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stat2017_1_12!$B$11:$F$12</c:f>
              <c:multiLvlStrCache>
                <c:ptCount val="5"/>
                <c:lvl>
                  <c:pt idx="0">
                    <c:v>2013/14 ősz</c:v>
                  </c:pt>
                  <c:pt idx="1">
                    <c:v>2014/15 ősz</c:v>
                  </c:pt>
                  <c:pt idx="2">
                    <c:v>2015/16 ősz</c:v>
                  </c:pt>
                  <c:pt idx="3">
                    <c:v>2016/17 ősz</c:v>
                  </c:pt>
                  <c:pt idx="4">
                    <c:v>2017/18 ősz</c:v>
                  </c:pt>
                </c:lvl>
                <c:lvl>
                  <c:pt idx="0">
                    <c:v>Képzési időszak név</c:v>
                  </c:pt>
                </c:lvl>
              </c:multiLvlStrCache>
            </c:multiLvlStrRef>
          </c:cat>
          <c:val>
            <c:numRef>
              <c:f>stat2017_1_12!$B$14:$F$14</c:f>
              <c:numCache>
                <c:formatCode>#,##0</c:formatCode>
                <c:ptCount val="5"/>
                <c:pt idx="0">
                  <c:v>11369</c:v>
                </c:pt>
                <c:pt idx="1">
                  <c:v>12964</c:v>
                </c:pt>
                <c:pt idx="2">
                  <c:v>14503</c:v>
                </c:pt>
                <c:pt idx="3">
                  <c:v>16036</c:v>
                </c:pt>
                <c:pt idx="4">
                  <c:v>16592</c:v>
                </c:pt>
              </c:numCache>
            </c:numRef>
          </c:val>
          <c:extLst xmlns:c16r2="http://schemas.microsoft.com/office/drawing/2015/06/chart">
            <c:ext xmlns:c16="http://schemas.microsoft.com/office/drawing/2014/chart" uri="{C3380CC4-5D6E-409C-BE32-E72D297353CC}">
              <c16:uniqueId val="{00000001-A99B-4B92-B76D-693C94EEF0FD}"/>
            </c:ext>
          </c:extLst>
        </c:ser>
        <c:dLbls>
          <c:showLegendKey val="0"/>
          <c:showVal val="0"/>
          <c:showCatName val="0"/>
          <c:showSerName val="0"/>
          <c:showPercent val="0"/>
          <c:showBubbleSize val="0"/>
        </c:dLbls>
        <c:gapWidth val="219"/>
        <c:overlap val="-27"/>
        <c:axId val="372717440"/>
        <c:axId val="372718976"/>
      </c:barChart>
      <c:catAx>
        <c:axId val="37271744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72718976"/>
        <c:crosses val="autoZero"/>
        <c:auto val="1"/>
        <c:lblAlgn val="ctr"/>
        <c:lblOffset val="100"/>
        <c:noMultiLvlLbl val="0"/>
      </c:catAx>
      <c:valAx>
        <c:axId val="372718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72717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Összes első helyen jelentkező</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Munka2!$Q$15:$W$15</c:f>
              <c:numCache>
                <c:formatCode>General</c:formatCode>
                <c:ptCount val="7"/>
                <c:pt idx="0">
                  <c:v>2013</c:v>
                </c:pt>
                <c:pt idx="1">
                  <c:v>2014</c:v>
                </c:pt>
                <c:pt idx="2">
                  <c:v>2015</c:v>
                </c:pt>
                <c:pt idx="3">
                  <c:v>2016</c:v>
                </c:pt>
                <c:pt idx="4">
                  <c:v>2017</c:v>
                </c:pt>
                <c:pt idx="5">
                  <c:v>2018</c:v>
                </c:pt>
                <c:pt idx="6">
                  <c:v>2019</c:v>
                </c:pt>
              </c:numCache>
            </c:numRef>
          </c:cat>
          <c:val>
            <c:numRef>
              <c:f>Munka2!$Q$16:$W$16</c:f>
              <c:numCache>
                <c:formatCode>General</c:formatCode>
                <c:ptCount val="7"/>
                <c:pt idx="0">
                  <c:v>2067</c:v>
                </c:pt>
                <c:pt idx="1">
                  <c:v>2953</c:v>
                </c:pt>
                <c:pt idx="2">
                  <c:v>3296</c:v>
                </c:pt>
                <c:pt idx="3">
                  <c:v>3403</c:v>
                </c:pt>
                <c:pt idx="4">
                  <c:v>3504</c:v>
                </c:pt>
                <c:pt idx="5">
                  <c:v>3398</c:v>
                </c:pt>
                <c:pt idx="6">
                  <c:v>3599</c:v>
                </c:pt>
              </c:numCache>
            </c:numRef>
          </c:val>
          <c:extLst xmlns:c16r2="http://schemas.microsoft.com/office/drawing/2015/06/chart">
            <c:ext xmlns:c16="http://schemas.microsoft.com/office/drawing/2014/chart" uri="{C3380CC4-5D6E-409C-BE32-E72D297353CC}">
              <c16:uniqueId val="{00000000-24B3-4C66-8E33-F09AFC55578B}"/>
            </c:ext>
          </c:extLst>
        </c:ser>
        <c:ser>
          <c:idx val="1"/>
          <c:order val="1"/>
          <c:tx>
            <c:v>Összes felvett</c:v>
          </c:tx>
          <c:spPr>
            <a:solidFill>
              <a:schemeClr val="accent2"/>
            </a:solidFill>
            <a:ln>
              <a:noFill/>
            </a:ln>
            <a:effectLst/>
          </c:spPr>
          <c:invertIfNegative val="0"/>
          <c:dLbls>
            <c:dLbl>
              <c:idx val="0"/>
              <c:layout>
                <c:manualLayout>
                  <c:x val="7.8781512605042014E-3"/>
                  <c:y val="-4.3817212111732288E-17"/>
                </c:manualLayout>
              </c:layout>
              <c:showLegendKey val="0"/>
              <c:showVal val="1"/>
              <c:showCatName val="0"/>
              <c:showSerName val="0"/>
              <c:showPercent val="0"/>
              <c:showBubbleSize val="0"/>
            </c:dLbl>
            <c:dLbl>
              <c:idx val="1"/>
              <c:layout>
                <c:manualLayout>
                  <c:x val="1.3133701076963489E-2"/>
                  <c:y val="0"/>
                </c:manualLayout>
              </c:layout>
              <c:showLegendKey val="0"/>
              <c:showVal val="1"/>
              <c:showCatName val="0"/>
              <c:showSerName val="0"/>
              <c:showPercent val="0"/>
              <c:showBubbleSize val="0"/>
            </c:dLbl>
            <c:dLbl>
              <c:idx val="2"/>
              <c:layout>
                <c:manualLayout>
                  <c:x val="1.5772870662460567E-2"/>
                  <c:y val="0"/>
                </c:manualLayout>
              </c:layout>
              <c:showLegendKey val="0"/>
              <c:showVal val="1"/>
              <c:showCatName val="0"/>
              <c:showSerName val="0"/>
              <c:showPercent val="0"/>
              <c:showBubbleSize val="0"/>
            </c:dLbl>
            <c:dLbl>
              <c:idx val="3"/>
              <c:layout>
                <c:manualLayout>
                  <c:x val="1.0515247108307046E-2"/>
                  <c:y val="0"/>
                </c:manualLayout>
              </c:layout>
              <c:showLegendKey val="0"/>
              <c:showVal val="1"/>
              <c:showCatName val="0"/>
              <c:showSerName val="0"/>
              <c:showPercent val="0"/>
              <c:showBubbleSize val="0"/>
            </c:dLbl>
            <c:dLbl>
              <c:idx val="4"/>
              <c:layout>
                <c:manualLayout>
                  <c:x val="1.5772870662460567E-2"/>
                  <c:y val="-4.7801147227533461E-3"/>
                </c:manualLayout>
              </c:layout>
              <c:showLegendKey val="0"/>
              <c:showVal val="1"/>
              <c:showCatName val="0"/>
              <c:showSerName val="0"/>
              <c:showPercent val="0"/>
              <c:showBubbleSize val="0"/>
            </c:dLbl>
            <c:dLbl>
              <c:idx val="5"/>
              <c:layout>
                <c:manualLayout>
                  <c:x val="1.3144058885383806E-2"/>
                  <c:y val="0"/>
                </c:manualLayout>
              </c:layout>
              <c:showLegendKey val="0"/>
              <c:showVal val="1"/>
              <c:showCatName val="0"/>
              <c:showSerName val="0"/>
              <c:showPercent val="0"/>
              <c:showBubbleSize val="0"/>
            </c:dLbl>
            <c:dLbl>
              <c:idx val="6"/>
              <c:layout>
                <c:manualLayout>
                  <c:x val="1.0515247108307046E-2"/>
                  <c:y val="-4.7801147227533461E-3"/>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Munka2!$Q$15:$W$15</c:f>
              <c:numCache>
                <c:formatCode>General</c:formatCode>
                <c:ptCount val="7"/>
                <c:pt idx="0">
                  <c:v>2013</c:v>
                </c:pt>
                <c:pt idx="1">
                  <c:v>2014</c:v>
                </c:pt>
                <c:pt idx="2">
                  <c:v>2015</c:v>
                </c:pt>
                <c:pt idx="3">
                  <c:v>2016</c:v>
                </c:pt>
                <c:pt idx="4">
                  <c:v>2017</c:v>
                </c:pt>
                <c:pt idx="5">
                  <c:v>2018</c:v>
                </c:pt>
                <c:pt idx="6">
                  <c:v>2019</c:v>
                </c:pt>
              </c:numCache>
            </c:numRef>
          </c:cat>
          <c:val>
            <c:numRef>
              <c:f>Munka2!$Q$17:$W$17</c:f>
              <c:numCache>
                <c:formatCode>General</c:formatCode>
                <c:ptCount val="7"/>
                <c:pt idx="0">
                  <c:v>1478</c:v>
                </c:pt>
                <c:pt idx="1">
                  <c:v>1799</c:v>
                </c:pt>
                <c:pt idx="2">
                  <c:v>1763</c:v>
                </c:pt>
                <c:pt idx="3">
                  <c:v>1799</c:v>
                </c:pt>
                <c:pt idx="4">
                  <c:v>1820</c:v>
                </c:pt>
                <c:pt idx="5">
                  <c:v>1748</c:v>
                </c:pt>
                <c:pt idx="6">
                  <c:v>1981</c:v>
                </c:pt>
              </c:numCache>
            </c:numRef>
          </c:val>
          <c:extLst xmlns:c16r2="http://schemas.microsoft.com/office/drawing/2015/06/chart">
            <c:ext xmlns:c16="http://schemas.microsoft.com/office/drawing/2014/chart" uri="{C3380CC4-5D6E-409C-BE32-E72D297353CC}">
              <c16:uniqueId val="{00000001-24B3-4C66-8E33-F09AFC55578B}"/>
            </c:ext>
          </c:extLst>
        </c:ser>
        <c:dLbls>
          <c:showLegendKey val="0"/>
          <c:showVal val="0"/>
          <c:showCatName val="0"/>
          <c:showSerName val="0"/>
          <c:showPercent val="0"/>
          <c:showBubbleSize val="0"/>
        </c:dLbls>
        <c:gapWidth val="219"/>
        <c:overlap val="-27"/>
        <c:axId val="372893952"/>
        <c:axId val="372969472"/>
      </c:barChart>
      <c:catAx>
        <c:axId val="37289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72969472"/>
        <c:crosses val="autoZero"/>
        <c:auto val="1"/>
        <c:lblAlgn val="ctr"/>
        <c:lblOffset val="100"/>
        <c:noMultiLvlLbl val="0"/>
      </c:catAx>
      <c:valAx>
        <c:axId val="37296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7289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Munka1!$K$2</c:f>
              <c:strCache>
                <c:ptCount val="1"/>
                <c:pt idx="0">
                  <c:v>Összes első helyen jelenkezett</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Munka1!$J$3:$J$9</c:f>
              <c:numCache>
                <c:formatCode>General</c:formatCode>
                <c:ptCount val="7"/>
                <c:pt idx="0">
                  <c:v>2013</c:v>
                </c:pt>
                <c:pt idx="1">
                  <c:v>2014</c:v>
                </c:pt>
                <c:pt idx="2">
                  <c:v>2015</c:v>
                </c:pt>
                <c:pt idx="3">
                  <c:v>2016</c:v>
                </c:pt>
                <c:pt idx="4">
                  <c:v>2017</c:v>
                </c:pt>
                <c:pt idx="5">
                  <c:v>2018</c:v>
                </c:pt>
                <c:pt idx="6">
                  <c:v>2019</c:v>
                </c:pt>
              </c:numCache>
            </c:numRef>
          </c:cat>
          <c:val>
            <c:numRef>
              <c:f>Munka1!$K$3:$K$9</c:f>
              <c:numCache>
                <c:formatCode>General</c:formatCode>
                <c:ptCount val="7"/>
                <c:pt idx="0">
                  <c:v>1133</c:v>
                </c:pt>
                <c:pt idx="1">
                  <c:v>1623</c:v>
                </c:pt>
                <c:pt idx="2">
                  <c:v>1843</c:v>
                </c:pt>
                <c:pt idx="3">
                  <c:v>1811</c:v>
                </c:pt>
                <c:pt idx="4">
                  <c:v>1861</c:v>
                </c:pt>
                <c:pt idx="5">
                  <c:v>1820</c:v>
                </c:pt>
                <c:pt idx="6">
                  <c:v>1787</c:v>
                </c:pt>
              </c:numCache>
            </c:numRef>
          </c:val>
          <c:extLst xmlns:c16r2="http://schemas.microsoft.com/office/drawing/2015/06/chart">
            <c:ext xmlns:c16="http://schemas.microsoft.com/office/drawing/2014/chart" uri="{C3380CC4-5D6E-409C-BE32-E72D297353CC}">
              <c16:uniqueId val="{00000000-CB8F-4E63-BEA1-E9C58B9944CF}"/>
            </c:ext>
          </c:extLst>
        </c:ser>
        <c:ser>
          <c:idx val="1"/>
          <c:order val="1"/>
          <c:tx>
            <c:strRef>
              <c:f>Munka1!$L$2</c:f>
              <c:strCache>
                <c:ptCount val="1"/>
                <c:pt idx="0">
                  <c:v>Összes felvett</c:v>
                </c:pt>
              </c:strCache>
            </c:strRef>
          </c:tx>
          <c:invertIfNegative val="0"/>
          <c:dLbls>
            <c:dLbl>
              <c:idx val="1"/>
              <c:layout>
                <c:manualLayout>
                  <c:x val="1.5331470662941327E-2"/>
                  <c:y val="-4.6097866601832514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B8F-4E63-BEA1-E9C58B9944CF}"/>
                </c:ext>
                <c:ext xmlns:c15="http://schemas.microsoft.com/office/drawing/2012/chart" uri="{CE6537A1-D6FC-4f65-9D91-7224C49458BB}"/>
              </c:extLst>
            </c:dLbl>
            <c:dLbl>
              <c:idx val="2"/>
              <c:layout>
                <c:manualLayout>
                  <c:x val="1.3736263736263736E-2"/>
                  <c:y val="-4.0151383152756879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B8F-4E63-BEA1-E9C58B9944CF}"/>
                </c:ext>
                <c:ext xmlns:c15="http://schemas.microsoft.com/office/drawing/2012/chart" uri="{CE6537A1-D6FC-4f65-9D91-7224C49458BB}"/>
              </c:extLst>
            </c:dLbl>
            <c:dLbl>
              <c:idx val="3"/>
              <c:layout>
                <c:manualLayout>
                  <c:x val="9.1575091575091579E-3"/>
                  <c:y val="-4.380201489268506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B8F-4E63-BEA1-E9C58B9944CF}"/>
                </c:ext>
                <c:ext xmlns:c15="http://schemas.microsoft.com/office/drawing/2012/chart" uri="{CE6537A1-D6FC-4f65-9D91-7224C49458BB}"/>
              </c:extLst>
            </c:dLbl>
            <c:dLbl>
              <c:idx val="4"/>
              <c:layout>
                <c:manualLayout>
                  <c:x val="1.373626373626382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B8F-4E63-BEA1-E9C58B9944CF}"/>
                </c:ext>
                <c:ext xmlns:c15="http://schemas.microsoft.com/office/drawing/2012/chart" uri="{CE6537A1-D6FC-4f65-9D91-7224C49458BB}"/>
              </c:extLst>
            </c:dLbl>
            <c:dLbl>
              <c:idx val="5"/>
              <c:layout>
                <c:manualLayout>
                  <c:x val="9.1575091575091579E-3"/>
                  <c:y val="4.0151383152756879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B8F-4E63-BEA1-E9C58B9944CF}"/>
                </c:ext>
                <c:ext xmlns:c15="http://schemas.microsoft.com/office/drawing/2012/chart" uri="{CE6537A1-D6FC-4f65-9D91-7224C49458BB}"/>
              </c:extLst>
            </c:dLbl>
            <c:dLbl>
              <c:idx val="6"/>
              <c:layout>
                <c:manualLayout>
                  <c:x val="1.1446886446886446E-2"/>
                  <c:y val="4.380201489268506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B8F-4E63-BEA1-E9C58B9944CF}"/>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Munka1!$J$3:$J$9</c:f>
              <c:numCache>
                <c:formatCode>General</c:formatCode>
                <c:ptCount val="7"/>
                <c:pt idx="0">
                  <c:v>2013</c:v>
                </c:pt>
                <c:pt idx="1">
                  <c:v>2014</c:v>
                </c:pt>
                <c:pt idx="2">
                  <c:v>2015</c:v>
                </c:pt>
                <c:pt idx="3">
                  <c:v>2016</c:v>
                </c:pt>
                <c:pt idx="4">
                  <c:v>2017</c:v>
                </c:pt>
                <c:pt idx="5">
                  <c:v>2018</c:v>
                </c:pt>
                <c:pt idx="6">
                  <c:v>2019</c:v>
                </c:pt>
              </c:numCache>
            </c:numRef>
          </c:cat>
          <c:val>
            <c:numRef>
              <c:f>Munka1!$L$3:$L$9</c:f>
              <c:numCache>
                <c:formatCode>General</c:formatCode>
                <c:ptCount val="7"/>
                <c:pt idx="0">
                  <c:v>897</c:v>
                </c:pt>
                <c:pt idx="1">
                  <c:v>1135</c:v>
                </c:pt>
                <c:pt idx="2">
                  <c:v>1148</c:v>
                </c:pt>
                <c:pt idx="3">
                  <c:v>1143</c:v>
                </c:pt>
                <c:pt idx="4">
                  <c:v>1151</c:v>
                </c:pt>
                <c:pt idx="5">
                  <c:v>1086</c:v>
                </c:pt>
                <c:pt idx="6">
                  <c:v>1115</c:v>
                </c:pt>
              </c:numCache>
            </c:numRef>
          </c:val>
          <c:extLst xmlns:c16r2="http://schemas.microsoft.com/office/drawing/2015/06/chart">
            <c:ext xmlns:c16="http://schemas.microsoft.com/office/drawing/2014/chart" uri="{C3380CC4-5D6E-409C-BE32-E72D297353CC}">
              <c16:uniqueId val="{00000007-CB8F-4E63-BEA1-E9C58B9944CF}"/>
            </c:ext>
          </c:extLst>
        </c:ser>
        <c:dLbls>
          <c:showLegendKey val="0"/>
          <c:showVal val="1"/>
          <c:showCatName val="0"/>
          <c:showSerName val="0"/>
          <c:showPercent val="0"/>
          <c:showBubbleSize val="0"/>
        </c:dLbls>
        <c:gapWidth val="75"/>
        <c:axId val="372990336"/>
        <c:axId val="372991872"/>
      </c:barChart>
      <c:catAx>
        <c:axId val="372990336"/>
        <c:scaling>
          <c:orientation val="minMax"/>
        </c:scaling>
        <c:delete val="0"/>
        <c:axPos val="b"/>
        <c:numFmt formatCode="General" sourceLinked="1"/>
        <c:majorTickMark val="none"/>
        <c:minorTickMark val="none"/>
        <c:tickLblPos val="nextTo"/>
        <c:crossAx val="372991872"/>
        <c:crosses val="autoZero"/>
        <c:auto val="1"/>
        <c:lblAlgn val="ctr"/>
        <c:lblOffset val="100"/>
        <c:noMultiLvlLbl val="0"/>
      </c:catAx>
      <c:valAx>
        <c:axId val="372991872"/>
        <c:scaling>
          <c:orientation val="minMax"/>
        </c:scaling>
        <c:delete val="0"/>
        <c:axPos val="l"/>
        <c:numFmt formatCode="General" sourceLinked="1"/>
        <c:majorTickMark val="none"/>
        <c:minorTickMark val="none"/>
        <c:tickLblPos val="nextTo"/>
        <c:crossAx val="372990336"/>
        <c:crosses val="autoZero"/>
        <c:crossBetween val="between"/>
        <c:majorUnit val="500"/>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6981627296588"/>
          <c:y val="6.9444444444444503E-2"/>
          <c:w val="0.87753018372703306"/>
          <c:h val="0.73577136191309522"/>
        </c:manualLayout>
      </c:layout>
      <c:barChart>
        <c:barDir val="col"/>
        <c:grouping val="clustered"/>
        <c:varyColors val="0"/>
        <c:ser>
          <c:idx val="0"/>
          <c:order val="0"/>
          <c:tx>
            <c:v>Összes első helyen jelentkező</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Munka2!$Q$12:$W$12</c:f>
              <c:numCache>
                <c:formatCode>General</c:formatCode>
                <c:ptCount val="7"/>
                <c:pt idx="0">
                  <c:v>2013</c:v>
                </c:pt>
                <c:pt idx="1">
                  <c:v>2014</c:v>
                </c:pt>
                <c:pt idx="2">
                  <c:v>2015</c:v>
                </c:pt>
                <c:pt idx="3">
                  <c:v>2016</c:v>
                </c:pt>
                <c:pt idx="4">
                  <c:v>2017</c:v>
                </c:pt>
                <c:pt idx="5">
                  <c:v>2018</c:v>
                </c:pt>
                <c:pt idx="6">
                  <c:v>2019</c:v>
                </c:pt>
              </c:numCache>
            </c:numRef>
          </c:cat>
          <c:val>
            <c:numRef>
              <c:f>Munka2!$Q$13:$W$13</c:f>
              <c:numCache>
                <c:formatCode>General</c:formatCode>
                <c:ptCount val="7"/>
                <c:pt idx="0">
                  <c:v>1413</c:v>
                </c:pt>
                <c:pt idx="1">
                  <c:v>1749</c:v>
                </c:pt>
                <c:pt idx="2">
                  <c:v>1668</c:v>
                </c:pt>
                <c:pt idx="3">
                  <c:v>1741</c:v>
                </c:pt>
                <c:pt idx="4">
                  <c:v>2345</c:v>
                </c:pt>
                <c:pt idx="5">
                  <c:v>2585</c:v>
                </c:pt>
                <c:pt idx="6">
                  <c:v>2922</c:v>
                </c:pt>
              </c:numCache>
            </c:numRef>
          </c:val>
          <c:extLst xmlns:c16r2="http://schemas.microsoft.com/office/drawing/2015/06/chart">
            <c:ext xmlns:c16="http://schemas.microsoft.com/office/drawing/2014/chart" uri="{C3380CC4-5D6E-409C-BE32-E72D297353CC}">
              <c16:uniqueId val="{00000000-E304-4D27-9584-D684D1B3304D}"/>
            </c:ext>
          </c:extLst>
        </c:ser>
        <c:ser>
          <c:idx val="1"/>
          <c:order val="1"/>
          <c:tx>
            <c:v>Összes felvett</c:v>
          </c:tx>
          <c:spPr>
            <a:solidFill>
              <a:schemeClr val="accent2"/>
            </a:solidFill>
            <a:ln>
              <a:noFill/>
            </a:ln>
            <a:effectLst/>
          </c:spPr>
          <c:invertIfNegative val="0"/>
          <c:dLbls>
            <c:dLbl>
              <c:idx val="4"/>
              <c:layout>
                <c:manualLayout>
                  <c:x val="1.2562814070351851E-2"/>
                  <c:y val="0"/>
                </c:manualLayout>
              </c:layout>
              <c:showLegendKey val="0"/>
              <c:showVal val="1"/>
              <c:showCatName val="0"/>
              <c:showSerName val="0"/>
              <c:showPercent val="0"/>
              <c:showBubbleSize val="0"/>
            </c:dLbl>
            <c:dLbl>
              <c:idx val="5"/>
              <c:layout>
                <c:manualLayout>
                  <c:x val="1.2562814070351667E-2"/>
                  <c:y val="0"/>
                </c:manualLayout>
              </c:layout>
              <c:showLegendKey val="0"/>
              <c:showVal val="1"/>
              <c:showCatName val="0"/>
              <c:showSerName val="0"/>
              <c:showPercent val="0"/>
              <c:showBubbleSize val="0"/>
            </c:dLbl>
            <c:dLbl>
              <c:idx val="6"/>
              <c:layout>
                <c:manualLayout>
                  <c:x val="1.0050251256281407E-2"/>
                  <c:y val="0"/>
                </c:manualLayout>
              </c:layou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Munka2!$Q$12:$W$12</c:f>
              <c:numCache>
                <c:formatCode>General</c:formatCode>
                <c:ptCount val="7"/>
                <c:pt idx="0">
                  <c:v>2013</c:v>
                </c:pt>
                <c:pt idx="1">
                  <c:v>2014</c:v>
                </c:pt>
                <c:pt idx="2">
                  <c:v>2015</c:v>
                </c:pt>
                <c:pt idx="3">
                  <c:v>2016</c:v>
                </c:pt>
                <c:pt idx="4">
                  <c:v>2017</c:v>
                </c:pt>
                <c:pt idx="5">
                  <c:v>2018</c:v>
                </c:pt>
                <c:pt idx="6">
                  <c:v>2019</c:v>
                </c:pt>
              </c:numCache>
            </c:numRef>
          </c:cat>
          <c:val>
            <c:numRef>
              <c:f>Munka2!$Q$14:$W$14</c:f>
              <c:numCache>
                <c:formatCode>General</c:formatCode>
                <c:ptCount val="7"/>
                <c:pt idx="0">
                  <c:v>932</c:v>
                </c:pt>
                <c:pt idx="1">
                  <c:v>826</c:v>
                </c:pt>
                <c:pt idx="2">
                  <c:v>833</c:v>
                </c:pt>
                <c:pt idx="3">
                  <c:v>937</c:v>
                </c:pt>
                <c:pt idx="4">
                  <c:v>1451</c:v>
                </c:pt>
                <c:pt idx="5">
                  <c:v>1858</c:v>
                </c:pt>
                <c:pt idx="6">
                  <c:v>2098</c:v>
                </c:pt>
              </c:numCache>
            </c:numRef>
          </c:val>
          <c:extLst xmlns:c16r2="http://schemas.microsoft.com/office/drawing/2015/06/chart">
            <c:ext xmlns:c16="http://schemas.microsoft.com/office/drawing/2014/chart" uri="{C3380CC4-5D6E-409C-BE32-E72D297353CC}">
              <c16:uniqueId val="{00000001-E304-4D27-9584-D684D1B3304D}"/>
            </c:ext>
          </c:extLst>
        </c:ser>
        <c:dLbls>
          <c:showLegendKey val="0"/>
          <c:showVal val="0"/>
          <c:showCatName val="0"/>
          <c:showSerName val="0"/>
          <c:showPercent val="0"/>
          <c:showBubbleSize val="0"/>
        </c:dLbls>
        <c:gapWidth val="219"/>
        <c:overlap val="-27"/>
        <c:axId val="373027584"/>
        <c:axId val="373029120"/>
      </c:barChart>
      <c:catAx>
        <c:axId val="37302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73029120"/>
        <c:crosses val="autoZero"/>
        <c:auto val="1"/>
        <c:lblAlgn val="ctr"/>
        <c:lblOffset val="100"/>
        <c:noMultiLvlLbl val="0"/>
      </c:catAx>
      <c:valAx>
        <c:axId val="37302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73027584"/>
        <c:crosses val="autoZero"/>
        <c:crossBetween val="between"/>
      </c:valAx>
      <c:spPr>
        <a:noFill/>
        <a:ln>
          <a:noFill/>
        </a:ln>
        <a:effectLst/>
      </c:spPr>
    </c:plotArea>
    <c:legend>
      <c:legendPos val="b"/>
      <c:layout>
        <c:manualLayout>
          <c:xMode val="edge"/>
          <c:yMode val="edge"/>
          <c:x val="0.15586461576023924"/>
          <c:y val="0.87785838142073391"/>
          <c:w val="0.70635862377667913"/>
          <c:h val="0.1004809687597713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Munka1!$A$2</c:f>
              <c:strCache>
                <c:ptCount val="1"/>
                <c:pt idx="0">
                  <c:v>Magyarország</c:v>
                </c:pt>
              </c:strCache>
            </c:strRef>
          </c:tx>
          <c:dLbls>
            <c:dLbl>
              <c:idx val="0"/>
              <c:layout>
                <c:manualLayout>
                  <c:x val="-3.8284839203675342E-2"/>
                  <c:y val="-3.8446751249519413E-2"/>
                </c:manualLayout>
              </c:layout>
              <c:showLegendKey val="0"/>
              <c:showVal val="1"/>
              <c:showCatName val="0"/>
              <c:showSerName val="0"/>
              <c:showPercent val="0"/>
              <c:showBubbleSize val="0"/>
            </c:dLbl>
            <c:dLbl>
              <c:idx val="1"/>
              <c:layout>
                <c:manualLayout>
                  <c:x val="-1.5306122448979591E-2"/>
                  <c:y val="-3.0721966205837174E-2"/>
                </c:manualLayout>
              </c:layout>
              <c:showLegendKey val="0"/>
              <c:showVal val="1"/>
              <c:showCatName val="0"/>
              <c:showSerName val="0"/>
              <c:showPercent val="0"/>
              <c:showBubbleSize val="0"/>
            </c:dLbl>
            <c:dLbl>
              <c:idx val="2"/>
              <c:layout>
                <c:manualLayout>
                  <c:x val="-3.3163265306122493E-2"/>
                  <c:y val="5.3763440860215055E-2"/>
                </c:manualLayout>
              </c:layout>
              <c:showLegendKey val="0"/>
              <c:showVal val="1"/>
              <c:showCatName val="0"/>
              <c:showSerName val="0"/>
              <c:showPercent val="0"/>
              <c:showBubbleSize val="0"/>
            </c:dLbl>
            <c:dLbl>
              <c:idx val="3"/>
              <c:layout>
                <c:manualLayout>
                  <c:x val="-2.0408163265306121E-2"/>
                  <c:y val="5.3763440860215055E-2"/>
                </c:manualLayout>
              </c:layout>
              <c:showLegendKey val="0"/>
              <c:showVal val="1"/>
              <c:showCatName val="0"/>
              <c:showSerName val="0"/>
              <c:showPercent val="0"/>
              <c:showBubbleSize val="0"/>
            </c:dLbl>
            <c:dLbl>
              <c:idx val="4"/>
              <c:layout>
                <c:manualLayout>
                  <c:x val="-2.8061224489796012E-2"/>
                  <c:y val="-4.2242703533026116E-2"/>
                </c:manualLayout>
              </c:layout>
              <c:showLegendKey val="0"/>
              <c:showVal val="1"/>
              <c:showCatName val="0"/>
              <c:showSerName val="0"/>
              <c:showPercent val="0"/>
              <c:showBubbleSize val="0"/>
            </c:dLbl>
            <c:dLbl>
              <c:idx val="5"/>
              <c:layout>
                <c:manualLayout>
                  <c:x val="-1.7857142857142856E-2"/>
                  <c:y val="-4.608294930875576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Munka1!$B$1:$H$1</c:f>
              <c:numCache>
                <c:formatCode>General</c:formatCode>
                <c:ptCount val="7"/>
                <c:pt idx="0">
                  <c:v>2003</c:v>
                </c:pt>
                <c:pt idx="1">
                  <c:v>2006</c:v>
                </c:pt>
                <c:pt idx="2">
                  <c:v>2009</c:v>
                </c:pt>
                <c:pt idx="3">
                  <c:v>2012</c:v>
                </c:pt>
                <c:pt idx="4">
                  <c:v>2015</c:v>
                </c:pt>
                <c:pt idx="5">
                  <c:v>2018</c:v>
                </c:pt>
                <c:pt idx="6">
                  <c:v>2019</c:v>
                </c:pt>
              </c:numCache>
            </c:numRef>
          </c:cat>
          <c:val>
            <c:numRef>
              <c:f>Munka1!$B$2:$H$2</c:f>
              <c:numCache>
                <c:formatCode>General</c:formatCode>
                <c:ptCount val="7"/>
                <c:pt idx="0">
                  <c:v>12</c:v>
                </c:pt>
                <c:pt idx="1">
                  <c:v>12.5</c:v>
                </c:pt>
                <c:pt idx="2">
                  <c:v>11.7</c:v>
                </c:pt>
                <c:pt idx="3">
                  <c:v>11.4</c:v>
                </c:pt>
                <c:pt idx="4">
                  <c:v>11.6</c:v>
                </c:pt>
                <c:pt idx="5">
                  <c:v>12.5</c:v>
                </c:pt>
                <c:pt idx="6">
                  <c:v>11.8</c:v>
                </c:pt>
              </c:numCache>
            </c:numRef>
          </c:val>
          <c:smooth val="0"/>
        </c:ser>
        <c:ser>
          <c:idx val="1"/>
          <c:order val="1"/>
          <c:tx>
            <c:strRef>
              <c:f>Munka1!$A$3</c:f>
              <c:strCache>
                <c:ptCount val="1"/>
                <c:pt idx="0">
                  <c:v>EU átlag (EU 28)</c:v>
                </c:pt>
              </c:strCache>
            </c:strRef>
          </c:tx>
          <c:dLbls>
            <c:dLbl>
              <c:idx val="4"/>
              <c:layout>
                <c:manualLayout>
                  <c:x val="-2.2959183673469483E-2"/>
                  <c:y val="4.6082949308755762E-2"/>
                </c:manualLayout>
              </c:layout>
              <c:showLegendKey val="0"/>
              <c:showVal val="1"/>
              <c:showCatName val="0"/>
              <c:showSerName val="0"/>
              <c:showPercent val="0"/>
              <c:showBubbleSize val="0"/>
            </c:dLbl>
            <c:dLbl>
              <c:idx val="5"/>
              <c:layout>
                <c:manualLayout>
                  <c:x val="-2.0408163265306121E-2"/>
                  <c:y val="5.760368663594470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Munka1!$B$1:$H$1</c:f>
              <c:numCache>
                <c:formatCode>General</c:formatCode>
                <c:ptCount val="7"/>
                <c:pt idx="0">
                  <c:v>2003</c:v>
                </c:pt>
                <c:pt idx="1">
                  <c:v>2006</c:v>
                </c:pt>
                <c:pt idx="2">
                  <c:v>2009</c:v>
                </c:pt>
                <c:pt idx="3">
                  <c:v>2012</c:v>
                </c:pt>
                <c:pt idx="4">
                  <c:v>2015</c:v>
                </c:pt>
                <c:pt idx="5">
                  <c:v>2018</c:v>
                </c:pt>
                <c:pt idx="6">
                  <c:v>2019</c:v>
                </c:pt>
              </c:numCache>
            </c:numRef>
          </c:cat>
          <c:val>
            <c:numRef>
              <c:f>Munka1!$B$3:$H$3</c:f>
              <c:numCache>
                <c:formatCode>General</c:formatCode>
                <c:ptCount val="7"/>
                <c:pt idx="0">
                  <c:v>16.399999999999999</c:v>
                </c:pt>
                <c:pt idx="1">
                  <c:v>15.3</c:v>
                </c:pt>
                <c:pt idx="2">
                  <c:v>14.2</c:v>
                </c:pt>
                <c:pt idx="3">
                  <c:v>12.7</c:v>
                </c:pt>
                <c:pt idx="4">
                  <c:v>11</c:v>
                </c:pt>
                <c:pt idx="5">
                  <c:v>10.5</c:v>
                </c:pt>
                <c:pt idx="6">
                  <c:v>10.3</c:v>
                </c:pt>
              </c:numCache>
            </c:numRef>
          </c:val>
          <c:smooth val="0"/>
        </c:ser>
        <c:dLbls>
          <c:showLegendKey val="0"/>
          <c:showVal val="1"/>
          <c:showCatName val="0"/>
          <c:showSerName val="0"/>
          <c:showPercent val="0"/>
          <c:showBubbleSize val="0"/>
        </c:dLbls>
        <c:marker val="1"/>
        <c:smooth val="0"/>
        <c:axId val="373255552"/>
        <c:axId val="373269632"/>
      </c:lineChart>
      <c:catAx>
        <c:axId val="373255552"/>
        <c:scaling>
          <c:orientation val="minMax"/>
        </c:scaling>
        <c:delete val="0"/>
        <c:axPos val="b"/>
        <c:numFmt formatCode="General" sourceLinked="1"/>
        <c:majorTickMark val="none"/>
        <c:minorTickMark val="none"/>
        <c:tickLblPos val="nextTo"/>
        <c:crossAx val="373269632"/>
        <c:crosses val="autoZero"/>
        <c:auto val="1"/>
        <c:lblAlgn val="ctr"/>
        <c:lblOffset val="100"/>
        <c:noMultiLvlLbl val="0"/>
      </c:catAx>
      <c:valAx>
        <c:axId val="373269632"/>
        <c:scaling>
          <c:orientation val="minMax"/>
        </c:scaling>
        <c:delete val="0"/>
        <c:axPos val="l"/>
        <c:majorGridlines/>
        <c:numFmt formatCode="General" sourceLinked="1"/>
        <c:majorTickMark val="none"/>
        <c:minorTickMark val="none"/>
        <c:tickLblPos val="nextTo"/>
        <c:crossAx val="373255552"/>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143789771592663"/>
          <c:y val="4.6908315565031965E-2"/>
          <c:w val="0.45001744958285994"/>
          <c:h val="0.7603649916894728"/>
        </c:manualLayout>
      </c:layout>
      <c:barChart>
        <c:barDir val="bar"/>
        <c:grouping val="clustered"/>
        <c:varyColors val="0"/>
        <c:ser>
          <c:idx val="0"/>
          <c:order val="0"/>
          <c:tx>
            <c:strRef>
              <c:f>Munka1!$B$1</c:f>
              <c:strCache>
                <c:ptCount val="1"/>
                <c:pt idx="0">
                  <c:v>OECD országok</c:v>
                </c:pt>
              </c:strCache>
            </c:strRef>
          </c:tx>
          <c:spPr>
            <a:solidFill>
              <a:schemeClr val="accent2"/>
            </a:solidFill>
            <a:ln>
              <a:noFill/>
            </a:ln>
            <a:effectLst/>
          </c:spPr>
          <c:invertIfNegative val="0"/>
          <c:cat>
            <c:strRef>
              <c:f>Munka1!$A$2:$A$11</c:f>
              <c:strCache>
                <c:ptCount val="10"/>
                <c:pt idx="0">
                  <c:v>Az összes vagy valamelyik tanított szaktárgy tartalmi elemei</c:v>
                </c:pt>
                <c:pt idx="1">
                  <c:v>Az összes vagy valamelyik tanított szaktárgy pedagógiája</c:v>
                </c:pt>
                <c:pt idx="2">
                  <c:v>Tanítási gyakorlat valamelyik vagy az összes szaktárgyban</c:v>
                </c:pt>
                <c:pt idx="3">
                  <c:v>Általános pedagógia</c:v>
                </c:pt>
                <c:pt idx="4">
                  <c:v>Tanulói viselkedés és tanulásszerezés</c:v>
                </c:pt>
                <c:pt idx="5">
                  <c:v>A tanulók fejlődésének és tanulásának nyomon követése</c:v>
                </c:pt>
                <c:pt idx="6">
                  <c:v>Tantárgyakon átívelő képességek fejlesztése</c:v>
                </c:pt>
                <c:pt idx="7">
                  <c:v>Tanítás olyan környezetben, ahol különböző képességű tanulók vannak</c:v>
                </c:pt>
                <c:pt idx="8">
                  <c:v>IKT eszközök használata tanítás céljából</c:v>
                </c:pt>
                <c:pt idx="9">
                  <c:v>Tanítás multikulturális vagy többnyelvű környezetben</c:v>
                </c:pt>
              </c:strCache>
            </c:strRef>
          </c:cat>
          <c:val>
            <c:numRef>
              <c:f>Munka1!$B$2:$B$11</c:f>
              <c:numCache>
                <c:formatCode>0%</c:formatCode>
                <c:ptCount val="10"/>
                <c:pt idx="0">
                  <c:v>0.8</c:v>
                </c:pt>
                <c:pt idx="1">
                  <c:v>2.0000000000000011E-2</c:v>
                </c:pt>
                <c:pt idx="2">
                  <c:v>0.71000000000000063</c:v>
                </c:pt>
                <c:pt idx="3">
                  <c:v>0.70000000000000062</c:v>
                </c:pt>
                <c:pt idx="4">
                  <c:v>0.54</c:v>
                </c:pt>
                <c:pt idx="5">
                  <c:v>0.53</c:v>
                </c:pt>
                <c:pt idx="6">
                  <c:v>0.48000000000000032</c:v>
                </c:pt>
                <c:pt idx="7">
                  <c:v>0.45</c:v>
                </c:pt>
                <c:pt idx="8">
                  <c:v>0.43000000000000038</c:v>
                </c:pt>
                <c:pt idx="9">
                  <c:v>0.25</c:v>
                </c:pt>
              </c:numCache>
            </c:numRef>
          </c:val>
          <c:extLst xmlns:c16r2="http://schemas.microsoft.com/office/drawing/2015/06/chart">
            <c:ext xmlns:c16="http://schemas.microsoft.com/office/drawing/2014/chart" uri="{C3380CC4-5D6E-409C-BE32-E72D297353CC}">
              <c16:uniqueId val="{00000000-D843-4194-9274-540A32149689}"/>
            </c:ext>
          </c:extLst>
        </c:ser>
        <c:ser>
          <c:idx val="1"/>
          <c:order val="1"/>
          <c:tx>
            <c:strRef>
              <c:f>Munka1!$C$1</c:f>
              <c:strCache>
                <c:ptCount val="1"/>
                <c:pt idx="0">
                  <c:v>Magyarország</c:v>
                </c:pt>
              </c:strCache>
            </c:strRef>
          </c:tx>
          <c:spPr>
            <a:solidFill>
              <a:schemeClr val="accent4"/>
            </a:solidFill>
            <a:ln>
              <a:noFill/>
            </a:ln>
            <a:effectLst/>
          </c:spPr>
          <c:invertIfNegative val="0"/>
          <c:cat>
            <c:strRef>
              <c:f>Munka1!$A$2:$A$11</c:f>
              <c:strCache>
                <c:ptCount val="10"/>
                <c:pt idx="0">
                  <c:v>Az összes vagy valamelyik tanított szaktárgy tartalmi elemei</c:v>
                </c:pt>
                <c:pt idx="1">
                  <c:v>Az összes vagy valamelyik tanított szaktárgy pedagógiája</c:v>
                </c:pt>
                <c:pt idx="2">
                  <c:v>Tanítási gyakorlat valamelyik vagy az összes szaktárgyban</c:v>
                </c:pt>
                <c:pt idx="3">
                  <c:v>Általános pedagógia</c:v>
                </c:pt>
                <c:pt idx="4">
                  <c:v>Tanulói viselkedés és tanulásszerezés</c:v>
                </c:pt>
                <c:pt idx="5">
                  <c:v>A tanulók fejlődésének és tanulásának nyomon követése</c:v>
                </c:pt>
                <c:pt idx="6">
                  <c:v>Tantárgyakon átívelő képességek fejlesztése</c:v>
                </c:pt>
                <c:pt idx="7">
                  <c:v>Tanítás olyan környezetben, ahol különböző képességű tanulók vannak</c:v>
                </c:pt>
                <c:pt idx="8">
                  <c:v>IKT eszközök használata tanítás céljából</c:v>
                </c:pt>
                <c:pt idx="9">
                  <c:v>Tanítás multikulturális vagy többnyelvű környezetben</c:v>
                </c:pt>
              </c:strCache>
            </c:strRef>
          </c:cat>
          <c:val>
            <c:numRef>
              <c:f>Munka1!$C$2:$C$11</c:f>
              <c:numCache>
                <c:formatCode>0%</c:formatCode>
                <c:ptCount val="10"/>
                <c:pt idx="0">
                  <c:v>0.95000000000000062</c:v>
                </c:pt>
                <c:pt idx="1">
                  <c:v>0.92</c:v>
                </c:pt>
                <c:pt idx="2">
                  <c:v>0.93</c:v>
                </c:pt>
                <c:pt idx="3">
                  <c:v>0.9</c:v>
                </c:pt>
                <c:pt idx="4">
                  <c:v>0.81</c:v>
                </c:pt>
                <c:pt idx="5">
                  <c:v>0.76000000000000101</c:v>
                </c:pt>
                <c:pt idx="6">
                  <c:v>0.750000000000001</c:v>
                </c:pt>
                <c:pt idx="7">
                  <c:v>0.76000000000000101</c:v>
                </c:pt>
                <c:pt idx="8">
                  <c:v>0.66000000000000114</c:v>
                </c:pt>
                <c:pt idx="9">
                  <c:v>0.27</c:v>
                </c:pt>
              </c:numCache>
            </c:numRef>
          </c:val>
          <c:extLst xmlns:c16r2="http://schemas.microsoft.com/office/drawing/2015/06/chart">
            <c:ext xmlns:c16="http://schemas.microsoft.com/office/drawing/2014/chart" uri="{C3380CC4-5D6E-409C-BE32-E72D297353CC}">
              <c16:uniqueId val="{00000001-D843-4194-9274-540A32149689}"/>
            </c:ext>
          </c:extLst>
        </c:ser>
        <c:dLbls>
          <c:showLegendKey val="0"/>
          <c:showVal val="0"/>
          <c:showCatName val="0"/>
          <c:showSerName val="0"/>
          <c:showPercent val="0"/>
          <c:showBubbleSize val="0"/>
        </c:dLbls>
        <c:gapWidth val="182"/>
        <c:axId val="373393664"/>
        <c:axId val="373395456"/>
      </c:barChart>
      <c:catAx>
        <c:axId val="37339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hu-HU"/>
          </a:p>
        </c:txPr>
        <c:crossAx val="373395456"/>
        <c:crosses val="autoZero"/>
        <c:auto val="0"/>
        <c:lblAlgn val="ctr"/>
        <c:lblOffset val="100"/>
        <c:tickLblSkip val="1"/>
        <c:noMultiLvlLbl val="0"/>
      </c:catAx>
      <c:valAx>
        <c:axId val="3733954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7339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Munka1!$B$1</c:f>
              <c:strCache>
                <c:ptCount val="1"/>
                <c:pt idx="0">
                  <c:v>Egy idegen nyelvet beszél</c:v>
                </c:pt>
              </c:strCache>
            </c:strRef>
          </c:tx>
          <c:spPr>
            <a:solidFill>
              <a:schemeClr val="accent1"/>
            </a:solidFill>
            <a:ln>
              <a:noFill/>
            </a:ln>
            <a:effectLst/>
          </c:spPr>
          <c:invertIfNegative val="0"/>
          <c:cat>
            <c:strRef>
              <c:f>Munka1!$A$2:$A$35</c:f>
              <c:strCache>
                <c:ptCount val="34"/>
                <c:pt idx="0">
                  <c:v>EU</c:v>
                </c:pt>
                <c:pt idx="1">
                  <c:v>Belgium</c:v>
                </c:pt>
                <c:pt idx="2">
                  <c:v>Bulgária</c:v>
                </c:pt>
                <c:pt idx="3">
                  <c:v>Csehország</c:v>
                </c:pt>
                <c:pt idx="4">
                  <c:v>Dánia</c:v>
                </c:pt>
                <c:pt idx="5">
                  <c:v>Németország</c:v>
                </c:pt>
                <c:pt idx="6">
                  <c:v>Észtország</c:v>
                </c:pt>
                <c:pt idx="7">
                  <c:v>Írország</c:v>
                </c:pt>
                <c:pt idx="8">
                  <c:v>Görögország</c:v>
                </c:pt>
                <c:pt idx="9">
                  <c:v>Spanyolország</c:v>
                </c:pt>
                <c:pt idx="10">
                  <c:v>Franciaország</c:v>
                </c:pt>
                <c:pt idx="11">
                  <c:v>Horvátország</c:v>
                </c:pt>
                <c:pt idx="12">
                  <c:v>Olaszország</c:v>
                </c:pt>
                <c:pt idx="13">
                  <c:v>Ciprus</c:v>
                </c:pt>
                <c:pt idx="14">
                  <c:v>Lettország</c:v>
                </c:pt>
                <c:pt idx="15">
                  <c:v>Litvánia</c:v>
                </c:pt>
                <c:pt idx="16">
                  <c:v>Luxemburg</c:v>
                </c:pt>
                <c:pt idx="17">
                  <c:v>Magyarország</c:v>
                </c:pt>
                <c:pt idx="18">
                  <c:v>Málta</c:v>
                </c:pt>
                <c:pt idx="19">
                  <c:v>Hollandia</c:v>
                </c:pt>
                <c:pt idx="20">
                  <c:v>Ausztria</c:v>
                </c:pt>
                <c:pt idx="21">
                  <c:v>Lengyelország</c:v>
                </c:pt>
                <c:pt idx="22">
                  <c:v>Portugália</c:v>
                </c:pt>
                <c:pt idx="23">
                  <c:v>Románia</c:v>
                </c:pt>
                <c:pt idx="24">
                  <c:v>Szlovénia</c:v>
                </c:pt>
                <c:pt idx="25">
                  <c:v>Szlovákia</c:v>
                </c:pt>
                <c:pt idx="26">
                  <c:v>Finnország</c:v>
                </c:pt>
                <c:pt idx="27">
                  <c:v>Svédország</c:v>
                </c:pt>
                <c:pt idx="28">
                  <c:v>Egyesült Királyság</c:v>
                </c:pt>
                <c:pt idx="29">
                  <c:v>Norvégia</c:v>
                </c:pt>
                <c:pt idx="30">
                  <c:v>Svájc</c:v>
                </c:pt>
                <c:pt idx="31">
                  <c:v>Észak-Macedónia</c:v>
                </c:pt>
                <c:pt idx="32">
                  <c:v>Albánia</c:v>
                </c:pt>
                <c:pt idx="33">
                  <c:v>Serbia</c:v>
                </c:pt>
              </c:strCache>
            </c:strRef>
          </c:cat>
          <c:val>
            <c:numRef>
              <c:f>Munka1!$B$2:$B$35</c:f>
              <c:numCache>
                <c:formatCode>0.00%</c:formatCode>
                <c:ptCount val="34"/>
                <c:pt idx="0">
                  <c:v>0.35200000000000031</c:v>
                </c:pt>
                <c:pt idx="1">
                  <c:v>0.18200000000000022</c:v>
                </c:pt>
                <c:pt idx="2">
                  <c:v>0.32500000000000051</c:v>
                </c:pt>
                <c:pt idx="3">
                  <c:v>0.44700000000000001</c:v>
                </c:pt>
                <c:pt idx="4">
                  <c:v>0.29900000000000032</c:v>
                </c:pt>
                <c:pt idx="5">
                  <c:v>0.48500000000000032</c:v>
                </c:pt>
                <c:pt idx="6">
                  <c:v>0.26400000000000001</c:v>
                </c:pt>
                <c:pt idx="7">
                  <c:v>0.29900000000000032</c:v>
                </c:pt>
                <c:pt idx="8">
                  <c:v>0.48500000000000032</c:v>
                </c:pt>
                <c:pt idx="9">
                  <c:v>0.34800000000000031</c:v>
                </c:pt>
                <c:pt idx="10">
                  <c:v>0.35400000000000031</c:v>
                </c:pt>
                <c:pt idx="11">
                  <c:v>0.45200000000000001</c:v>
                </c:pt>
                <c:pt idx="12">
                  <c:v>0.41600000000000031</c:v>
                </c:pt>
                <c:pt idx="13">
                  <c:v>0.62200000000000089</c:v>
                </c:pt>
                <c:pt idx="14">
                  <c:v>0.33700000000000058</c:v>
                </c:pt>
                <c:pt idx="15">
                  <c:v>0.42900000000000038</c:v>
                </c:pt>
                <c:pt idx="16">
                  <c:v>0.16200000000000001</c:v>
                </c:pt>
                <c:pt idx="17">
                  <c:v>0.28600000000000031</c:v>
                </c:pt>
                <c:pt idx="18">
                  <c:v>0.32400000000000051</c:v>
                </c:pt>
                <c:pt idx="19">
                  <c:v>0.28700000000000031</c:v>
                </c:pt>
                <c:pt idx="20">
                  <c:v>0.49600000000000044</c:v>
                </c:pt>
                <c:pt idx="21" formatCode="0%">
                  <c:v>0.45</c:v>
                </c:pt>
                <c:pt idx="22">
                  <c:v>0.28900000000000031</c:v>
                </c:pt>
                <c:pt idx="23" formatCode="0%">
                  <c:v>0.24700000000000022</c:v>
                </c:pt>
                <c:pt idx="24">
                  <c:v>0.20700000000000021</c:v>
                </c:pt>
                <c:pt idx="25">
                  <c:v>0.24500000000000022</c:v>
                </c:pt>
                <c:pt idx="26">
                  <c:v>0.15600000000000025</c:v>
                </c:pt>
                <c:pt idx="27">
                  <c:v>0.45900000000000002</c:v>
                </c:pt>
                <c:pt idx="28">
                  <c:v>0.2</c:v>
                </c:pt>
                <c:pt idx="29">
                  <c:v>0.26900000000000002</c:v>
                </c:pt>
                <c:pt idx="30">
                  <c:v>0.19700000000000001</c:v>
                </c:pt>
                <c:pt idx="31">
                  <c:v>0.38600000000000051</c:v>
                </c:pt>
                <c:pt idx="32">
                  <c:v>0.25900000000000001</c:v>
                </c:pt>
                <c:pt idx="33">
                  <c:v>0.37200000000000044</c:v>
                </c:pt>
              </c:numCache>
            </c:numRef>
          </c:val>
          <c:extLst xmlns:c16r2="http://schemas.microsoft.com/office/drawing/2015/06/chart">
            <c:ext xmlns:c16="http://schemas.microsoft.com/office/drawing/2014/chart" uri="{C3380CC4-5D6E-409C-BE32-E72D297353CC}">
              <c16:uniqueId val="{00000000-12BF-49F3-87C8-32936DBCE880}"/>
            </c:ext>
          </c:extLst>
        </c:ser>
        <c:ser>
          <c:idx val="1"/>
          <c:order val="1"/>
          <c:tx>
            <c:strRef>
              <c:f>Munka1!$C$1</c:f>
              <c:strCache>
                <c:ptCount val="1"/>
                <c:pt idx="0">
                  <c:v>Két idegen nyelvet beszél</c:v>
                </c:pt>
              </c:strCache>
            </c:strRef>
          </c:tx>
          <c:spPr>
            <a:solidFill>
              <a:schemeClr val="accent3"/>
            </a:solidFill>
            <a:ln>
              <a:noFill/>
            </a:ln>
            <a:effectLst/>
          </c:spPr>
          <c:invertIfNegative val="0"/>
          <c:cat>
            <c:strRef>
              <c:f>Munka1!$A$2:$A$35</c:f>
              <c:strCache>
                <c:ptCount val="34"/>
                <c:pt idx="0">
                  <c:v>EU</c:v>
                </c:pt>
                <c:pt idx="1">
                  <c:v>Belgium</c:v>
                </c:pt>
                <c:pt idx="2">
                  <c:v>Bulgária</c:v>
                </c:pt>
                <c:pt idx="3">
                  <c:v>Csehország</c:v>
                </c:pt>
                <c:pt idx="4">
                  <c:v>Dánia</c:v>
                </c:pt>
                <c:pt idx="5">
                  <c:v>Németország</c:v>
                </c:pt>
                <c:pt idx="6">
                  <c:v>Észtország</c:v>
                </c:pt>
                <c:pt idx="7">
                  <c:v>Írország</c:v>
                </c:pt>
                <c:pt idx="8">
                  <c:v>Görögország</c:v>
                </c:pt>
                <c:pt idx="9">
                  <c:v>Spanyolország</c:v>
                </c:pt>
                <c:pt idx="10">
                  <c:v>Franciaország</c:v>
                </c:pt>
                <c:pt idx="11">
                  <c:v>Horvátország</c:v>
                </c:pt>
                <c:pt idx="12">
                  <c:v>Olaszország</c:v>
                </c:pt>
                <c:pt idx="13">
                  <c:v>Ciprus</c:v>
                </c:pt>
                <c:pt idx="14">
                  <c:v>Lettország</c:v>
                </c:pt>
                <c:pt idx="15">
                  <c:v>Litvánia</c:v>
                </c:pt>
                <c:pt idx="16">
                  <c:v>Luxemburg</c:v>
                </c:pt>
                <c:pt idx="17">
                  <c:v>Magyarország</c:v>
                </c:pt>
                <c:pt idx="18">
                  <c:v>Málta</c:v>
                </c:pt>
                <c:pt idx="19">
                  <c:v>Hollandia</c:v>
                </c:pt>
                <c:pt idx="20">
                  <c:v>Ausztria</c:v>
                </c:pt>
                <c:pt idx="21">
                  <c:v>Lengyelország</c:v>
                </c:pt>
                <c:pt idx="22">
                  <c:v>Portugália</c:v>
                </c:pt>
                <c:pt idx="23">
                  <c:v>Románia</c:v>
                </c:pt>
                <c:pt idx="24">
                  <c:v>Szlovénia</c:v>
                </c:pt>
                <c:pt idx="25">
                  <c:v>Szlovákia</c:v>
                </c:pt>
                <c:pt idx="26">
                  <c:v>Finnország</c:v>
                </c:pt>
                <c:pt idx="27">
                  <c:v>Svédország</c:v>
                </c:pt>
                <c:pt idx="28">
                  <c:v>Egyesült Királyság</c:v>
                </c:pt>
                <c:pt idx="29">
                  <c:v>Norvégia</c:v>
                </c:pt>
                <c:pt idx="30">
                  <c:v>Svájc</c:v>
                </c:pt>
                <c:pt idx="31">
                  <c:v>Észak-Macedónia</c:v>
                </c:pt>
                <c:pt idx="32">
                  <c:v>Albánia</c:v>
                </c:pt>
                <c:pt idx="33">
                  <c:v>Serbia</c:v>
                </c:pt>
              </c:strCache>
            </c:strRef>
          </c:cat>
          <c:val>
            <c:numRef>
              <c:f>Munka1!$C$2:$C$35</c:f>
              <c:numCache>
                <c:formatCode>0.00%</c:formatCode>
                <c:ptCount val="34"/>
                <c:pt idx="0">
                  <c:v>0.21000000000000021</c:v>
                </c:pt>
                <c:pt idx="1">
                  <c:v>0.33500000000000058</c:v>
                </c:pt>
                <c:pt idx="2">
                  <c:v>0.13700000000000001</c:v>
                </c:pt>
                <c:pt idx="3">
                  <c:v>0.26900000000000002</c:v>
                </c:pt>
                <c:pt idx="4">
                  <c:v>0.41200000000000031</c:v>
                </c:pt>
                <c:pt idx="5">
                  <c:v>0.26600000000000001</c:v>
                </c:pt>
                <c:pt idx="6">
                  <c:v>0.39100000000000057</c:v>
                </c:pt>
                <c:pt idx="7">
                  <c:v>0.15400000000000022</c:v>
                </c:pt>
                <c:pt idx="8">
                  <c:v>0.15300000000000022</c:v>
                </c:pt>
                <c:pt idx="9">
                  <c:v>0.14300000000000004</c:v>
                </c:pt>
                <c:pt idx="10">
                  <c:v>0.20100000000000001</c:v>
                </c:pt>
                <c:pt idx="11">
                  <c:v>0.21800000000000025</c:v>
                </c:pt>
                <c:pt idx="12">
                  <c:v>0.20100000000000001</c:v>
                </c:pt>
                <c:pt idx="13">
                  <c:v>0.20300000000000001</c:v>
                </c:pt>
                <c:pt idx="14">
                  <c:v>0.49300000000000038</c:v>
                </c:pt>
                <c:pt idx="15" formatCode="0%">
                  <c:v>0.39000000000000051</c:v>
                </c:pt>
                <c:pt idx="16">
                  <c:v>0.27100000000000002</c:v>
                </c:pt>
                <c:pt idx="17">
                  <c:v>0.111</c:v>
                </c:pt>
                <c:pt idx="18">
                  <c:v>0.43200000000000038</c:v>
                </c:pt>
                <c:pt idx="19">
                  <c:v>0.37100000000000044</c:v>
                </c:pt>
                <c:pt idx="20">
                  <c:v>0.23300000000000001</c:v>
                </c:pt>
                <c:pt idx="21">
                  <c:v>0.192</c:v>
                </c:pt>
                <c:pt idx="22">
                  <c:v>0.24800000000000022</c:v>
                </c:pt>
                <c:pt idx="23">
                  <c:v>0.10199999999999998</c:v>
                </c:pt>
                <c:pt idx="24">
                  <c:v>0.25700000000000001</c:v>
                </c:pt>
                <c:pt idx="25">
                  <c:v>0.35700000000000032</c:v>
                </c:pt>
                <c:pt idx="26">
                  <c:v>0.3160000000000005</c:v>
                </c:pt>
                <c:pt idx="27">
                  <c:v>0.3170000000000005</c:v>
                </c:pt>
                <c:pt idx="28">
                  <c:v>9.6000000000000002E-2</c:v>
                </c:pt>
                <c:pt idx="29">
                  <c:v>0.21500000000000022</c:v>
                </c:pt>
                <c:pt idx="30">
                  <c:v>0.35500000000000032</c:v>
                </c:pt>
                <c:pt idx="31" formatCode="0%">
                  <c:v>0.2</c:v>
                </c:pt>
                <c:pt idx="32">
                  <c:v>0.10900000000000011</c:v>
                </c:pt>
                <c:pt idx="33">
                  <c:v>0.21600000000000022</c:v>
                </c:pt>
              </c:numCache>
            </c:numRef>
          </c:val>
          <c:extLst xmlns:c16r2="http://schemas.microsoft.com/office/drawing/2015/06/chart">
            <c:ext xmlns:c16="http://schemas.microsoft.com/office/drawing/2014/chart" uri="{C3380CC4-5D6E-409C-BE32-E72D297353CC}">
              <c16:uniqueId val="{00000001-12BF-49F3-87C8-32936DBCE880}"/>
            </c:ext>
          </c:extLst>
        </c:ser>
        <c:ser>
          <c:idx val="2"/>
          <c:order val="2"/>
          <c:tx>
            <c:strRef>
              <c:f>Munka1!$D$1</c:f>
              <c:strCache>
                <c:ptCount val="1"/>
                <c:pt idx="0">
                  <c:v>Három vagy több idegen nyelvet beszél</c:v>
                </c:pt>
              </c:strCache>
            </c:strRef>
          </c:tx>
          <c:spPr>
            <a:solidFill>
              <a:schemeClr val="accent5"/>
            </a:solidFill>
            <a:ln>
              <a:noFill/>
            </a:ln>
            <a:effectLst/>
          </c:spPr>
          <c:invertIfNegative val="0"/>
          <c:cat>
            <c:strRef>
              <c:f>Munka1!$A$2:$A$35</c:f>
              <c:strCache>
                <c:ptCount val="34"/>
                <c:pt idx="0">
                  <c:v>EU</c:v>
                </c:pt>
                <c:pt idx="1">
                  <c:v>Belgium</c:v>
                </c:pt>
                <c:pt idx="2">
                  <c:v>Bulgária</c:v>
                </c:pt>
                <c:pt idx="3">
                  <c:v>Csehország</c:v>
                </c:pt>
                <c:pt idx="4">
                  <c:v>Dánia</c:v>
                </c:pt>
                <c:pt idx="5">
                  <c:v>Németország</c:v>
                </c:pt>
                <c:pt idx="6">
                  <c:v>Észtország</c:v>
                </c:pt>
                <c:pt idx="7">
                  <c:v>Írország</c:v>
                </c:pt>
                <c:pt idx="8">
                  <c:v>Görögország</c:v>
                </c:pt>
                <c:pt idx="9">
                  <c:v>Spanyolország</c:v>
                </c:pt>
                <c:pt idx="10">
                  <c:v>Franciaország</c:v>
                </c:pt>
                <c:pt idx="11">
                  <c:v>Horvátország</c:v>
                </c:pt>
                <c:pt idx="12">
                  <c:v>Olaszország</c:v>
                </c:pt>
                <c:pt idx="13">
                  <c:v>Ciprus</c:v>
                </c:pt>
                <c:pt idx="14">
                  <c:v>Lettország</c:v>
                </c:pt>
                <c:pt idx="15">
                  <c:v>Litvánia</c:v>
                </c:pt>
                <c:pt idx="16">
                  <c:v>Luxemburg</c:v>
                </c:pt>
                <c:pt idx="17">
                  <c:v>Magyarország</c:v>
                </c:pt>
                <c:pt idx="18">
                  <c:v>Málta</c:v>
                </c:pt>
                <c:pt idx="19">
                  <c:v>Hollandia</c:v>
                </c:pt>
                <c:pt idx="20">
                  <c:v>Ausztria</c:v>
                </c:pt>
                <c:pt idx="21">
                  <c:v>Lengyelország</c:v>
                </c:pt>
                <c:pt idx="22">
                  <c:v>Portugália</c:v>
                </c:pt>
                <c:pt idx="23">
                  <c:v>Románia</c:v>
                </c:pt>
                <c:pt idx="24">
                  <c:v>Szlovénia</c:v>
                </c:pt>
                <c:pt idx="25">
                  <c:v>Szlovákia</c:v>
                </c:pt>
                <c:pt idx="26">
                  <c:v>Finnország</c:v>
                </c:pt>
                <c:pt idx="27">
                  <c:v>Svédország</c:v>
                </c:pt>
                <c:pt idx="28">
                  <c:v>Egyesült Királyság</c:v>
                </c:pt>
                <c:pt idx="29">
                  <c:v>Norvégia</c:v>
                </c:pt>
                <c:pt idx="30">
                  <c:v>Svájc</c:v>
                </c:pt>
                <c:pt idx="31">
                  <c:v>Észak-Macedónia</c:v>
                </c:pt>
                <c:pt idx="32">
                  <c:v>Albánia</c:v>
                </c:pt>
                <c:pt idx="33">
                  <c:v>Serbia</c:v>
                </c:pt>
              </c:strCache>
            </c:strRef>
          </c:cat>
          <c:val>
            <c:numRef>
              <c:f>Munka1!$D$2:$D$35</c:f>
              <c:numCache>
                <c:formatCode>0.00%</c:formatCode>
                <c:ptCount val="34"/>
                <c:pt idx="0">
                  <c:v>8.4000000000000047E-2</c:v>
                </c:pt>
                <c:pt idx="1">
                  <c:v>0.26900000000000002</c:v>
                </c:pt>
                <c:pt idx="2">
                  <c:v>3.3000000000000002E-2</c:v>
                </c:pt>
                <c:pt idx="3">
                  <c:v>7.3999999999999996E-2</c:v>
                </c:pt>
                <c:pt idx="4">
                  <c:v>0.24600000000000022</c:v>
                </c:pt>
                <c:pt idx="5">
                  <c:v>0.10400000000000002</c:v>
                </c:pt>
                <c:pt idx="6">
                  <c:v>0.25700000000000001</c:v>
                </c:pt>
                <c:pt idx="7">
                  <c:v>5.6000000000000001E-2</c:v>
                </c:pt>
                <c:pt idx="8">
                  <c:v>2.7000000000000041E-2</c:v>
                </c:pt>
                <c:pt idx="9">
                  <c:v>5.1999999999999998E-2</c:v>
                </c:pt>
                <c:pt idx="10">
                  <c:v>4.5999999999999999E-2</c:v>
                </c:pt>
                <c:pt idx="11">
                  <c:v>6.2000000000000034E-2</c:v>
                </c:pt>
                <c:pt idx="12">
                  <c:v>4.3999999999999997E-2</c:v>
                </c:pt>
                <c:pt idx="13" formatCode="0%">
                  <c:v>7.0000000000000021E-2</c:v>
                </c:pt>
                <c:pt idx="14">
                  <c:v>0.127</c:v>
                </c:pt>
                <c:pt idx="15">
                  <c:v>0.13700000000000001</c:v>
                </c:pt>
                <c:pt idx="16">
                  <c:v>0.51200000000000001</c:v>
                </c:pt>
                <c:pt idx="17">
                  <c:v>2.7000000000000041E-2</c:v>
                </c:pt>
                <c:pt idx="18">
                  <c:v>0.16200000000000001</c:v>
                </c:pt>
                <c:pt idx="19">
                  <c:v>0.20600000000000004</c:v>
                </c:pt>
                <c:pt idx="20">
                  <c:v>0.13400000000000001</c:v>
                </c:pt>
                <c:pt idx="21">
                  <c:v>2.8000000000000001E-2</c:v>
                </c:pt>
                <c:pt idx="22">
                  <c:v>0.15300000000000022</c:v>
                </c:pt>
                <c:pt idx="23">
                  <c:v>9.0000000000000028E-3</c:v>
                </c:pt>
                <c:pt idx="24">
                  <c:v>0.37700000000000045</c:v>
                </c:pt>
                <c:pt idx="25" formatCode="0%">
                  <c:v>0.28000000000000008</c:v>
                </c:pt>
                <c:pt idx="26">
                  <c:v>0.44900000000000001</c:v>
                </c:pt>
                <c:pt idx="27" formatCode="0%">
                  <c:v>0.19</c:v>
                </c:pt>
                <c:pt idx="28" formatCode="0%">
                  <c:v>0.05</c:v>
                </c:pt>
                <c:pt idx="29">
                  <c:v>0.43700000000000044</c:v>
                </c:pt>
                <c:pt idx="30">
                  <c:v>0.36500000000000032</c:v>
                </c:pt>
                <c:pt idx="31">
                  <c:v>9.7000000000000003E-2</c:v>
                </c:pt>
                <c:pt idx="32">
                  <c:v>3.2000000000000042E-2</c:v>
                </c:pt>
                <c:pt idx="33">
                  <c:v>0.20500000000000004</c:v>
                </c:pt>
              </c:numCache>
            </c:numRef>
          </c:val>
          <c:extLst xmlns:c16r2="http://schemas.microsoft.com/office/drawing/2015/06/chart">
            <c:ext xmlns:c16="http://schemas.microsoft.com/office/drawing/2014/chart" uri="{C3380CC4-5D6E-409C-BE32-E72D297353CC}">
              <c16:uniqueId val="{00000002-12BF-49F3-87C8-32936DBCE880}"/>
            </c:ext>
          </c:extLst>
        </c:ser>
        <c:dLbls>
          <c:showLegendKey val="0"/>
          <c:showVal val="0"/>
          <c:showCatName val="0"/>
          <c:showSerName val="0"/>
          <c:showPercent val="0"/>
          <c:showBubbleSize val="0"/>
        </c:dLbls>
        <c:gapWidth val="150"/>
        <c:overlap val="100"/>
        <c:axId val="373565696"/>
        <c:axId val="373567488"/>
      </c:barChart>
      <c:catAx>
        <c:axId val="37356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73567488"/>
        <c:crosses val="autoZero"/>
        <c:auto val="1"/>
        <c:lblAlgn val="ctr"/>
        <c:lblOffset val="100"/>
        <c:noMultiLvlLbl val="0"/>
      </c:catAx>
      <c:valAx>
        <c:axId val="3735674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37356569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1">
    <c:autoUpdate val="0"/>
  </c:externalData>
</c:chartSpace>
</file>

<file path=word/theme/theme1.xml><?xml version="1.0" encoding="utf-8"?>
<a:theme xmlns:a="http://schemas.openxmlformats.org/drawingml/2006/main" name="szazadveg">
  <a:themeElements>
    <a:clrScheme name="Századvég">
      <a:dk1>
        <a:sysClr val="windowText" lastClr="000000"/>
      </a:dk1>
      <a:lt1>
        <a:sysClr val="window" lastClr="FFFFFF"/>
      </a:lt1>
      <a:dk2>
        <a:srgbClr val="37302A"/>
      </a:dk2>
      <a:lt2>
        <a:srgbClr val="D0CCB9"/>
      </a:lt2>
      <a:accent1>
        <a:srgbClr val="000000"/>
      </a:accent1>
      <a:accent2>
        <a:srgbClr val="3D2D22"/>
      </a:accent2>
      <a:accent3>
        <a:srgbClr val="685040"/>
      </a:accent3>
      <a:accent4>
        <a:srgbClr val="978B82"/>
      </a:accent4>
      <a:accent5>
        <a:srgbClr val="C2B8B2"/>
      </a:accent5>
      <a:accent6>
        <a:srgbClr val="E8E7E7"/>
      </a:accent6>
      <a:hlink>
        <a:srgbClr val="B6A272"/>
      </a:hlink>
      <a:folHlink>
        <a:srgbClr val="8A784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8CA4-B738-42D3-8AAC-6C429496C2B2}">
  <ds:schemaRefs>
    <ds:schemaRef ds:uri="http://schemas.openxmlformats.org/officeDocument/2006/bibliography"/>
  </ds:schemaRefs>
</ds:datastoreItem>
</file>

<file path=customXml/itemProps2.xml><?xml version="1.0" encoding="utf-8"?>
<ds:datastoreItem xmlns:ds="http://schemas.openxmlformats.org/officeDocument/2006/customXml" ds:itemID="{F4C88E3D-97B9-4C45-AC66-FAF18EE4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28762</Words>
  <Characters>167689</Characters>
  <Application>Microsoft Office Word</Application>
  <DocSecurity>0</DocSecurity>
  <Lines>3048</Lines>
  <Paragraphs>958</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195493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Virovácz Péter</dc:creator>
  <cp:lastModifiedBy>Banuta Janka</cp:lastModifiedBy>
  <cp:revision>2</cp:revision>
  <cp:lastPrinted>2015-10-20T18:20:00Z</cp:lastPrinted>
  <dcterms:created xsi:type="dcterms:W3CDTF">2021-01-14T16:25:00Z</dcterms:created>
  <dcterms:modified xsi:type="dcterms:W3CDTF">2021-01-14T16:25:00Z</dcterms:modified>
</cp:coreProperties>
</file>