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E4A5" w14:textId="77777777" w:rsidR="00434DB1" w:rsidRPr="009511D7" w:rsidRDefault="0014382A">
      <w:pPr>
        <w:pStyle w:val="Szvegtrzs"/>
        <w:spacing w:before="1"/>
        <w:rPr>
          <w:rFonts w:ascii="Georgia" w:hAnsi="Georgia"/>
          <w:sz w:val="5"/>
        </w:rPr>
      </w:pPr>
      <w:r w:rsidRPr="009511D7">
        <w:rPr>
          <w:rFonts w:ascii="Georgia" w:hAnsi="Georgia"/>
          <w:noProof/>
          <w:sz w:val="20"/>
          <w:lang w:eastAsia="hu-HU"/>
        </w:rPr>
        <w:drawing>
          <wp:anchor distT="0" distB="0" distL="114300" distR="114300" simplePos="0" relativeHeight="251659264" behindDoc="0" locked="0" layoutInCell="1" allowOverlap="1" wp14:anchorId="7AFC0D5B" wp14:editId="329965A1">
            <wp:simplePos x="0" y="0"/>
            <wp:positionH relativeFrom="margin">
              <wp:posOffset>1160780</wp:posOffset>
            </wp:positionH>
            <wp:positionV relativeFrom="margin">
              <wp:posOffset>-857250</wp:posOffset>
            </wp:positionV>
            <wp:extent cx="3324225" cy="105727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gyzet 2023-09-06 12493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579B1" w14:textId="77777777" w:rsidR="00434DB1" w:rsidRPr="009511D7" w:rsidRDefault="00434DB1" w:rsidP="0014382A">
      <w:pPr>
        <w:pStyle w:val="Szvegtrzs"/>
        <w:ind w:left="2937"/>
        <w:jc w:val="center"/>
        <w:rPr>
          <w:rFonts w:ascii="Georgia" w:hAnsi="Georgia"/>
          <w:sz w:val="20"/>
        </w:rPr>
      </w:pPr>
    </w:p>
    <w:p w14:paraId="2AFA366C" w14:textId="77777777" w:rsidR="00434DB1" w:rsidRPr="009511D7" w:rsidRDefault="005A25B9">
      <w:pPr>
        <w:pStyle w:val="Szvegtrzs"/>
        <w:spacing w:before="3"/>
        <w:rPr>
          <w:rFonts w:ascii="Georgia" w:hAnsi="Georgia"/>
          <w:sz w:val="25"/>
        </w:rPr>
      </w:pPr>
      <w:r w:rsidRPr="009511D7">
        <w:rPr>
          <w:rFonts w:ascii="Georgia" w:hAnsi="Georgia"/>
          <w:noProof/>
          <w:lang w:eastAsia="hu-HU"/>
        </w:rPr>
        <w:drawing>
          <wp:anchor distT="0" distB="0" distL="0" distR="0" simplePos="0" relativeHeight="251658240" behindDoc="0" locked="0" layoutInCell="1" allowOverlap="1" wp14:anchorId="41DC97D9" wp14:editId="46BA28D0">
            <wp:simplePos x="0" y="0"/>
            <wp:positionH relativeFrom="page">
              <wp:posOffset>3110229</wp:posOffset>
            </wp:positionH>
            <wp:positionV relativeFrom="paragraph">
              <wp:posOffset>209616</wp:posOffset>
            </wp:positionV>
            <wp:extent cx="1331092" cy="53749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092" cy="53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68CC6" w14:textId="77777777" w:rsidR="00434DB1" w:rsidRPr="009511D7" w:rsidRDefault="00434DB1">
      <w:pPr>
        <w:pStyle w:val="Szvegtrzs"/>
        <w:spacing w:before="9"/>
        <w:rPr>
          <w:rFonts w:ascii="Georgia" w:hAnsi="Georgia"/>
          <w:sz w:val="11"/>
        </w:rPr>
      </w:pPr>
    </w:p>
    <w:p w14:paraId="025362F9" w14:textId="77777777" w:rsidR="00565D9C" w:rsidRPr="009511D7" w:rsidRDefault="00565D9C">
      <w:pPr>
        <w:spacing w:before="92"/>
        <w:ind w:left="1948" w:right="1949"/>
        <w:jc w:val="center"/>
        <w:rPr>
          <w:rFonts w:ascii="Georgia" w:hAnsi="Georgia"/>
          <w:b/>
          <w:color w:val="538DD3"/>
        </w:rPr>
      </w:pPr>
    </w:p>
    <w:p w14:paraId="5408922B" w14:textId="77777777" w:rsidR="00434DB1" w:rsidRPr="009511D7" w:rsidRDefault="005A25B9">
      <w:pPr>
        <w:spacing w:before="92"/>
        <w:ind w:left="1948" w:right="1949"/>
        <w:jc w:val="center"/>
        <w:rPr>
          <w:rFonts w:ascii="Georgia" w:hAnsi="Georgia"/>
          <w:b/>
          <w:sz w:val="18"/>
        </w:rPr>
      </w:pPr>
      <w:r w:rsidRPr="009511D7">
        <w:rPr>
          <w:rFonts w:ascii="Georgia" w:hAnsi="Georgia"/>
          <w:b/>
          <w:color w:val="538DD3"/>
        </w:rPr>
        <w:t xml:space="preserve">A </w:t>
      </w:r>
      <w:r w:rsidRPr="009511D7">
        <w:rPr>
          <w:rFonts w:ascii="Georgia" w:hAnsi="Georgia"/>
          <w:b/>
          <w:color w:val="538DD3"/>
          <w:sz w:val="18"/>
        </w:rPr>
        <w:t>SZOLGÁLTATÁSI BEJELENTÉSI KÖTELEZETTSÉG</w:t>
      </w:r>
    </w:p>
    <w:p w14:paraId="67DC5FCD" w14:textId="77777777" w:rsidR="00434DB1" w:rsidRPr="009511D7" w:rsidRDefault="00434DB1">
      <w:pPr>
        <w:pStyle w:val="Szvegtrzs"/>
        <w:spacing w:before="8"/>
        <w:rPr>
          <w:rFonts w:ascii="Georgia" w:hAnsi="Georgia"/>
          <w:b/>
          <w:sz w:val="21"/>
        </w:rPr>
      </w:pPr>
    </w:p>
    <w:p w14:paraId="0C5426B3" w14:textId="77777777" w:rsidR="00434DB1" w:rsidRPr="009511D7" w:rsidRDefault="005A25B9" w:rsidP="009511D7">
      <w:pPr>
        <w:pStyle w:val="Szvegtrzs"/>
        <w:spacing w:line="252" w:lineRule="exact"/>
        <w:ind w:left="116"/>
        <w:jc w:val="both"/>
        <w:rPr>
          <w:rFonts w:ascii="Georgia" w:hAnsi="Georgia"/>
        </w:rPr>
      </w:pPr>
      <w:r w:rsidRPr="009511D7">
        <w:rPr>
          <w:rFonts w:ascii="Georgia" w:hAnsi="Georgia"/>
        </w:rPr>
        <w:t>A belső piaci szolgáltatásokról szóló</w:t>
      </w:r>
      <w:hyperlink r:id="rId7">
        <w:r w:rsidRPr="009511D7">
          <w:rPr>
            <w:rFonts w:ascii="Georgia" w:hAnsi="Georgia"/>
            <w:color w:val="0000FF"/>
            <w:u w:val="single" w:color="0000FF"/>
          </w:rPr>
          <w:t xml:space="preserve"> 2006/123/EK irányelv </w:t>
        </w:r>
      </w:hyperlink>
      <w:r w:rsidRPr="009511D7">
        <w:rPr>
          <w:rFonts w:ascii="Georgia" w:hAnsi="Georgia"/>
        </w:rPr>
        <w:t>(a továbbiakban: irányelv) 15. cikkének</w:t>
      </w:r>
      <w:r w:rsidR="009511D7">
        <w:rPr>
          <w:rFonts w:ascii="Georgia" w:hAnsi="Georgia"/>
        </w:rPr>
        <w:t xml:space="preserve"> </w:t>
      </w:r>
      <w:r w:rsidRPr="009511D7">
        <w:rPr>
          <w:rFonts w:ascii="Georgia" w:hAnsi="Georgia"/>
        </w:rPr>
        <w:t xml:space="preserve">(7) bekezdése és a </w:t>
      </w:r>
      <w:r w:rsidR="0014382A" w:rsidRPr="009511D7">
        <w:rPr>
          <w:rFonts w:ascii="Georgia" w:hAnsi="Georgia"/>
        </w:rPr>
        <w:t>39. cikk (5) bekezdése, illetve az</w:t>
      </w:r>
      <w:r w:rsidRPr="009511D7">
        <w:rPr>
          <w:rFonts w:ascii="Georgia" w:hAnsi="Georgia"/>
        </w:rPr>
        <w:t xml:space="preserve"> átültető magyar keretjogszabály, a szolgáltatási tevékenység megkezdésének és folytatásának általános szabályairól szóló</w:t>
      </w:r>
      <w:hyperlink r:id="rId8">
        <w:r w:rsidRPr="009511D7">
          <w:rPr>
            <w:rFonts w:ascii="Georgia" w:hAnsi="Georgia"/>
            <w:color w:val="0000FF"/>
            <w:u w:val="single" w:color="0000FF"/>
          </w:rPr>
          <w:t xml:space="preserve"> 2009. évi LXXVI. törvény</w:t>
        </w:r>
      </w:hyperlink>
      <w:r w:rsidRPr="009511D7">
        <w:rPr>
          <w:rFonts w:ascii="Georgia" w:hAnsi="Georgia"/>
        </w:rPr>
        <w:t xml:space="preserve"> (a továbbiakban: </w:t>
      </w:r>
      <w:proofErr w:type="spellStart"/>
      <w:r w:rsidRPr="009511D7">
        <w:rPr>
          <w:rFonts w:ascii="Georgia" w:hAnsi="Georgia"/>
        </w:rPr>
        <w:t>Szolgtv</w:t>
      </w:r>
      <w:proofErr w:type="spellEnd"/>
      <w:r w:rsidRPr="009511D7">
        <w:rPr>
          <w:rFonts w:ascii="Georgia" w:hAnsi="Georgia"/>
        </w:rPr>
        <w:t>.) 51. §-a meghatározott követelmények szabályozása esetén bejelentési kötelezettséget ír elő (a továbbiakban: szolgáltatási bejelentési</w:t>
      </w:r>
      <w:r w:rsidRPr="009511D7">
        <w:rPr>
          <w:rFonts w:ascii="Georgia" w:hAnsi="Georgia"/>
          <w:spacing w:val="-10"/>
        </w:rPr>
        <w:t xml:space="preserve"> </w:t>
      </w:r>
      <w:r w:rsidRPr="009511D7">
        <w:rPr>
          <w:rFonts w:ascii="Georgia" w:hAnsi="Georgia"/>
        </w:rPr>
        <w:t>kötelezettség).</w:t>
      </w:r>
    </w:p>
    <w:p w14:paraId="135D51BC" w14:textId="77777777" w:rsidR="00434DB1" w:rsidRPr="009511D7" w:rsidRDefault="00434DB1" w:rsidP="0014382A">
      <w:pPr>
        <w:pStyle w:val="Szvegtrzs"/>
        <w:spacing w:before="10"/>
        <w:jc w:val="both"/>
        <w:rPr>
          <w:rFonts w:ascii="Georgia" w:hAnsi="Georgia"/>
          <w:sz w:val="21"/>
        </w:rPr>
      </w:pPr>
    </w:p>
    <w:p w14:paraId="7E154F51" w14:textId="77777777" w:rsidR="00434DB1" w:rsidRPr="009511D7" w:rsidRDefault="005A25B9" w:rsidP="0014382A">
      <w:pPr>
        <w:pStyle w:val="Szvegtrzs"/>
        <w:spacing w:before="1"/>
        <w:ind w:left="116" w:right="112"/>
        <w:jc w:val="both"/>
        <w:rPr>
          <w:rFonts w:ascii="Georgia" w:hAnsi="Georgia"/>
        </w:rPr>
      </w:pPr>
      <w:r w:rsidRPr="009511D7">
        <w:rPr>
          <w:rFonts w:ascii="Georgia" w:hAnsi="Georgia"/>
        </w:rPr>
        <w:t>A bejelentés eljárási szabályait és menetét a belső piaci információs rendszer hazai működéséről és az abban való részvételnek a szabályairól, valamint a bels</w:t>
      </w:r>
      <w:r w:rsidR="0014382A" w:rsidRPr="009511D7">
        <w:rPr>
          <w:rFonts w:ascii="Georgia" w:hAnsi="Georgia"/>
        </w:rPr>
        <w:t xml:space="preserve">ő piaci szolgáltatásokról szóló 2006/123/EK európai parlamenti és tanácsi irányelv </w:t>
      </w:r>
      <w:r w:rsidRPr="009511D7">
        <w:rPr>
          <w:rFonts w:ascii="Georgia" w:hAnsi="Georgia"/>
        </w:rPr>
        <w:t>szerinti bejelentési kötelezettség teljesítésérő</w:t>
      </w:r>
      <w:r w:rsidR="0014382A" w:rsidRPr="009511D7">
        <w:rPr>
          <w:rFonts w:ascii="Georgia" w:hAnsi="Georgia"/>
        </w:rPr>
        <w:t>l szóló</w:t>
      </w:r>
      <w:r w:rsidRPr="009511D7">
        <w:rPr>
          <w:rFonts w:ascii="Georgia" w:hAnsi="Georgia"/>
        </w:rPr>
        <w:t xml:space="preserve"> </w:t>
      </w:r>
      <w:hyperlink r:id="rId9">
        <w:r w:rsidRPr="009511D7">
          <w:rPr>
            <w:rFonts w:ascii="Georgia" w:hAnsi="Georgia"/>
            <w:color w:val="0000FF"/>
            <w:u w:val="single" w:color="0000FF"/>
          </w:rPr>
          <w:t xml:space="preserve">354/2013. (X. 7.) Korm. rendelet </w:t>
        </w:r>
      </w:hyperlink>
      <w:r w:rsidRPr="009511D7">
        <w:rPr>
          <w:rFonts w:ascii="Georgia" w:hAnsi="Georgia"/>
        </w:rPr>
        <w:t>3. alcíme</w:t>
      </w:r>
      <w:r w:rsidRPr="009511D7">
        <w:rPr>
          <w:rFonts w:ascii="Georgia" w:hAnsi="Georgia"/>
          <w:spacing w:val="-3"/>
        </w:rPr>
        <w:t xml:space="preserve"> </w:t>
      </w:r>
      <w:r w:rsidRPr="009511D7">
        <w:rPr>
          <w:rFonts w:ascii="Georgia" w:hAnsi="Georgia"/>
        </w:rPr>
        <w:t>szabályozza.</w:t>
      </w:r>
    </w:p>
    <w:p w14:paraId="1290D535" w14:textId="77777777" w:rsidR="00434DB1" w:rsidRPr="009511D7" w:rsidRDefault="00434DB1">
      <w:pPr>
        <w:pStyle w:val="Szvegtrzs"/>
        <w:spacing w:before="6"/>
        <w:rPr>
          <w:rFonts w:ascii="Georgia" w:hAnsi="Georgia"/>
        </w:rPr>
      </w:pPr>
    </w:p>
    <w:p w14:paraId="5950129E" w14:textId="77777777" w:rsidR="00434DB1" w:rsidRPr="009511D7" w:rsidRDefault="005A25B9">
      <w:pPr>
        <w:ind w:left="1947" w:right="1949"/>
        <w:jc w:val="center"/>
        <w:rPr>
          <w:rFonts w:ascii="Georgia" w:hAnsi="Georgia"/>
          <w:b/>
          <w:sz w:val="18"/>
        </w:rPr>
      </w:pPr>
      <w:r w:rsidRPr="009511D7">
        <w:rPr>
          <w:rFonts w:ascii="Georgia" w:hAnsi="Georgia"/>
          <w:b/>
          <w:color w:val="538DD3"/>
        </w:rPr>
        <w:t>S</w:t>
      </w:r>
      <w:r w:rsidRPr="009511D7">
        <w:rPr>
          <w:rFonts w:ascii="Georgia" w:hAnsi="Georgia"/>
          <w:b/>
          <w:color w:val="538DD3"/>
          <w:sz w:val="18"/>
        </w:rPr>
        <w:t xml:space="preserve">ZOLGÁLTATÁSI </w:t>
      </w:r>
      <w:r w:rsidRPr="009511D7">
        <w:rPr>
          <w:rFonts w:ascii="Georgia" w:hAnsi="Georgia"/>
          <w:b/>
          <w:color w:val="538DD3"/>
        </w:rPr>
        <w:t>N</w:t>
      </w:r>
      <w:r w:rsidRPr="009511D7">
        <w:rPr>
          <w:rFonts w:ascii="Georgia" w:hAnsi="Georgia"/>
          <w:b/>
          <w:color w:val="538DD3"/>
          <w:sz w:val="18"/>
        </w:rPr>
        <w:t xml:space="preserve">OTIFIKÁCIÓS </w:t>
      </w:r>
      <w:r w:rsidRPr="009511D7">
        <w:rPr>
          <w:rFonts w:ascii="Georgia" w:hAnsi="Georgia"/>
          <w:b/>
          <w:color w:val="538DD3"/>
        </w:rPr>
        <w:t>K</w:t>
      </w:r>
      <w:r w:rsidRPr="009511D7">
        <w:rPr>
          <w:rFonts w:ascii="Georgia" w:hAnsi="Georgia"/>
          <w:b/>
          <w:color w:val="538DD3"/>
          <w:sz w:val="18"/>
        </w:rPr>
        <w:t>ÖZPONT</w:t>
      </w:r>
    </w:p>
    <w:p w14:paraId="6FE7125C" w14:textId="77777777" w:rsidR="00434DB1" w:rsidRPr="009511D7" w:rsidRDefault="00434DB1">
      <w:pPr>
        <w:pStyle w:val="Szvegtrzs"/>
        <w:spacing w:before="7"/>
        <w:rPr>
          <w:rFonts w:ascii="Georgia" w:hAnsi="Georgia"/>
          <w:b/>
          <w:sz w:val="21"/>
        </w:rPr>
      </w:pPr>
    </w:p>
    <w:p w14:paraId="0EB840E5" w14:textId="77777777" w:rsidR="00434DB1" w:rsidRPr="009511D7" w:rsidRDefault="005A25B9">
      <w:pPr>
        <w:pStyle w:val="Szvegtrzs"/>
        <w:ind w:left="116" w:right="114"/>
        <w:jc w:val="both"/>
        <w:rPr>
          <w:rFonts w:ascii="Georgia" w:hAnsi="Georgia"/>
        </w:rPr>
      </w:pPr>
      <w:r w:rsidRPr="009511D7">
        <w:rPr>
          <w:rFonts w:ascii="Georgia" w:hAnsi="Georgia"/>
        </w:rPr>
        <w:t>A szolgáltatási bejelentési köteleze</w:t>
      </w:r>
      <w:r w:rsidR="0014382A" w:rsidRPr="009511D7">
        <w:rPr>
          <w:rFonts w:ascii="Georgia" w:hAnsi="Georgia"/>
        </w:rPr>
        <w:t>ttség teljesítése az Európai Uniós Ügyek</w:t>
      </w:r>
      <w:r w:rsidRPr="009511D7">
        <w:rPr>
          <w:rFonts w:ascii="Georgia" w:hAnsi="Georgia"/>
        </w:rPr>
        <w:t xml:space="preserve"> Minisztérium</w:t>
      </w:r>
      <w:r w:rsidR="0014382A" w:rsidRPr="009511D7">
        <w:rPr>
          <w:rFonts w:ascii="Georgia" w:hAnsi="Georgia"/>
        </w:rPr>
        <w:t>a</w:t>
      </w:r>
      <w:r w:rsidRPr="009511D7">
        <w:rPr>
          <w:rFonts w:ascii="Georgia" w:hAnsi="Georgia"/>
        </w:rPr>
        <w:t xml:space="preserve"> által működtetett Szolgáltatási Notifikációs Központon keresztül</w:t>
      </w:r>
      <w:r w:rsidR="0014382A" w:rsidRPr="009511D7">
        <w:rPr>
          <w:rFonts w:ascii="Georgia" w:hAnsi="Georgia"/>
        </w:rPr>
        <w:t>, a Belső Piaci Információs Rendszer</w:t>
      </w:r>
      <w:r w:rsidRPr="009511D7">
        <w:rPr>
          <w:rFonts w:ascii="Georgia" w:hAnsi="Georgia"/>
        </w:rPr>
        <w:t xml:space="preserve"> (</w:t>
      </w:r>
      <w:hyperlink r:id="rId10">
        <w:r w:rsidRPr="009511D7">
          <w:rPr>
            <w:rFonts w:ascii="Georgia" w:hAnsi="Georgia"/>
            <w:color w:val="0000FF"/>
            <w:u w:val="single" w:color="0000FF"/>
          </w:rPr>
          <w:t>IMI</w:t>
        </w:r>
      </w:hyperlink>
      <w:r w:rsidRPr="009511D7">
        <w:rPr>
          <w:rFonts w:ascii="Georgia" w:hAnsi="Georgia"/>
        </w:rPr>
        <w:t>)</w:t>
      </w:r>
      <w:r w:rsidR="0014382A" w:rsidRPr="009511D7">
        <w:rPr>
          <w:rFonts w:ascii="Georgia" w:hAnsi="Georgia"/>
        </w:rPr>
        <w:t xml:space="preserve"> alkalmazásával történik</w:t>
      </w:r>
      <w:r w:rsidRPr="009511D7">
        <w:rPr>
          <w:rFonts w:ascii="Georgia" w:hAnsi="Georgia"/>
        </w:rPr>
        <w:t>. Az ügyintézés gördülékenysége érdekében a szakminiszterek kapcsolattartó személyt vagy szervezeti egységet jelölnek ki és erről értesítik a Szolgáltatási Notifikációs Központot.</w:t>
      </w:r>
    </w:p>
    <w:p w14:paraId="4D9E5334" w14:textId="77777777" w:rsidR="00434DB1" w:rsidRPr="009511D7" w:rsidRDefault="00434DB1">
      <w:pPr>
        <w:pStyle w:val="Szvegtrzs"/>
        <w:spacing w:before="11"/>
        <w:rPr>
          <w:rFonts w:ascii="Georgia" w:hAnsi="Georgia"/>
          <w:sz w:val="21"/>
        </w:rPr>
      </w:pPr>
    </w:p>
    <w:p w14:paraId="4DEACCB4" w14:textId="77777777" w:rsidR="00434DB1" w:rsidRPr="009511D7" w:rsidRDefault="005A25B9" w:rsidP="0040126F">
      <w:pPr>
        <w:pStyle w:val="Szvegtrzs"/>
        <w:ind w:left="116"/>
        <w:jc w:val="both"/>
        <w:rPr>
          <w:rFonts w:ascii="Georgia" w:hAnsi="Georgia"/>
        </w:rPr>
      </w:pPr>
      <w:r w:rsidRPr="009511D7">
        <w:rPr>
          <w:rFonts w:ascii="Georgia" w:hAnsi="Georgia"/>
        </w:rPr>
        <w:t>A Szolgáltatási Notifikációs Köz</w:t>
      </w:r>
      <w:r w:rsidR="0040126F" w:rsidRPr="009511D7">
        <w:rPr>
          <w:rFonts w:ascii="Georgia" w:hAnsi="Georgia"/>
        </w:rPr>
        <w:t xml:space="preserve">pont elektronikus elérhetősége: </w:t>
      </w:r>
      <w:hyperlink r:id="rId11" w:history="1">
        <w:r w:rsidR="0040126F" w:rsidRPr="009511D7">
          <w:rPr>
            <w:rStyle w:val="Hiperhivatkozs"/>
            <w:rFonts w:ascii="Georgia" w:hAnsi="Georgia"/>
            <w:u w:color="0000FF"/>
          </w:rPr>
          <w:t>servicesnotification@eum.gov.hu</w:t>
        </w:r>
      </w:hyperlink>
    </w:p>
    <w:p w14:paraId="43BBF4ED" w14:textId="77777777" w:rsidR="00434DB1" w:rsidRPr="009511D7" w:rsidRDefault="00434DB1">
      <w:pPr>
        <w:pStyle w:val="Szvegtrzs"/>
        <w:spacing w:before="4"/>
        <w:rPr>
          <w:rFonts w:ascii="Georgia" w:hAnsi="Georgia"/>
          <w:sz w:val="16"/>
        </w:rPr>
      </w:pPr>
    </w:p>
    <w:p w14:paraId="1CAFF247" w14:textId="77777777" w:rsidR="00434DB1" w:rsidRPr="009511D7" w:rsidRDefault="005A25B9">
      <w:pPr>
        <w:spacing w:before="92"/>
        <w:ind w:left="1949" w:right="1949"/>
        <w:jc w:val="center"/>
        <w:rPr>
          <w:rFonts w:ascii="Georgia" w:hAnsi="Georgia"/>
          <w:b/>
          <w:sz w:val="18"/>
        </w:rPr>
      </w:pPr>
      <w:r w:rsidRPr="009511D7">
        <w:rPr>
          <w:rFonts w:ascii="Georgia" w:hAnsi="Georgia"/>
          <w:b/>
          <w:color w:val="538DD3"/>
        </w:rPr>
        <w:t xml:space="preserve">A </w:t>
      </w:r>
      <w:r w:rsidRPr="009511D7">
        <w:rPr>
          <w:rFonts w:ascii="Georgia" w:hAnsi="Georgia"/>
          <w:b/>
          <w:color w:val="538DD3"/>
          <w:sz w:val="18"/>
        </w:rPr>
        <w:t>SZOLGÁLTATÁSI BEJELENTÉSI KÖTELEZETTSÉG ESETEI</w:t>
      </w:r>
    </w:p>
    <w:p w14:paraId="24EE60E4" w14:textId="77777777" w:rsidR="00434DB1" w:rsidRPr="009511D7" w:rsidRDefault="00434DB1">
      <w:pPr>
        <w:pStyle w:val="Szvegtrzs"/>
        <w:spacing w:before="7"/>
        <w:rPr>
          <w:rFonts w:ascii="Georgia" w:hAnsi="Georgia"/>
          <w:b/>
          <w:sz w:val="21"/>
        </w:rPr>
      </w:pPr>
    </w:p>
    <w:p w14:paraId="6807CF29" w14:textId="77777777" w:rsidR="00434DB1" w:rsidRPr="009511D7" w:rsidRDefault="005A25B9" w:rsidP="00253517">
      <w:pPr>
        <w:pStyle w:val="Szvegtrzs"/>
        <w:ind w:left="116" w:right="2"/>
        <w:jc w:val="both"/>
        <w:rPr>
          <w:rFonts w:ascii="Georgia" w:hAnsi="Georgia"/>
        </w:rPr>
      </w:pPr>
      <w:r w:rsidRPr="009511D7">
        <w:rPr>
          <w:rFonts w:ascii="Georgia" w:hAnsi="Georgia"/>
        </w:rPr>
        <w:t>A bejelentési kötelezettség fennáll</w:t>
      </w:r>
      <w:r w:rsidR="00253517" w:rsidRPr="009511D7">
        <w:rPr>
          <w:rFonts w:ascii="Georgia" w:hAnsi="Georgia"/>
        </w:rPr>
        <w:t xml:space="preserve">ása </w:t>
      </w:r>
      <w:r w:rsidRPr="009511D7">
        <w:rPr>
          <w:rFonts w:ascii="Georgia" w:hAnsi="Georgia"/>
        </w:rPr>
        <w:t>esetén azt a jogszabály kihirdetése előtt kell teljesíteni, várakozási idő nincs.</w:t>
      </w:r>
    </w:p>
    <w:p w14:paraId="0EA34AEA" w14:textId="77777777" w:rsidR="00434DB1" w:rsidRPr="009511D7" w:rsidRDefault="00434DB1">
      <w:pPr>
        <w:pStyle w:val="Szvegtrzs"/>
        <w:spacing w:before="11"/>
        <w:rPr>
          <w:rFonts w:ascii="Georgia" w:hAnsi="Georgia"/>
          <w:sz w:val="21"/>
        </w:rPr>
      </w:pPr>
    </w:p>
    <w:p w14:paraId="297D9F84" w14:textId="77777777" w:rsidR="00434DB1" w:rsidRPr="009511D7" w:rsidRDefault="005A25B9">
      <w:pPr>
        <w:pStyle w:val="Szvegtrzs"/>
        <w:ind w:left="116"/>
        <w:rPr>
          <w:rFonts w:ascii="Georgia" w:hAnsi="Georgia"/>
        </w:rPr>
      </w:pPr>
      <w:r w:rsidRPr="009511D7">
        <w:rPr>
          <w:rFonts w:ascii="Georgia" w:hAnsi="Georgia"/>
        </w:rPr>
        <w:t>A bejelentési kötelezettségnek három esetét különböztetjük meg:</w:t>
      </w:r>
    </w:p>
    <w:p w14:paraId="535D60BF" w14:textId="77777777" w:rsidR="00434DB1" w:rsidRPr="009511D7" w:rsidRDefault="00434DB1">
      <w:pPr>
        <w:pStyle w:val="Szvegtrzs"/>
        <w:spacing w:before="6"/>
        <w:rPr>
          <w:rFonts w:ascii="Georgia" w:hAnsi="Georgia"/>
        </w:rPr>
      </w:pPr>
    </w:p>
    <w:p w14:paraId="40555867" w14:textId="77777777" w:rsidR="00434DB1" w:rsidRPr="009511D7" w:rsidRDefault="0040126F" w:rsidP="0040126F">
      <w:pPr>
        <w:pStyle w:val="Cmsor1"/>
        <w:numPr>
          <w:ilvl w:val="0"/>
          <w:numId w:val="1"/>
        </w:numPr>
        <w:tabs>
          <w:tab w:val="left" w:pos="8505"/>
        </w:tabs>
        <w:ind w:hanging="361"/>
        <w:rPr>
          <w:rFonts w:ascii="Georgia" w:hAnsi="Georgia"/>
          <w:u w:val="none"/>
        </w:rPr>
      </w:pPr>
      <w:r w:rsidRPr="009511D7">
        <w:rPr>
          <w:rFonts w:ascii="Georgia" w:hAnsi="Georgia"/>
          <w:u w:val="thick"/>
        </w:rPr>
        <w:t xml:space="preserve">Az irányelv </w:t>
      </w:r>
      <w:r w:rsidR="005A25B9" w:rsidRPr="009511D7">
        <w:rPr>
          <w:rFonts w:ascii="Georgia" w:hAnsi="Georgia"/>
          <w:u w:val="thick"/>
        </w:rPr>
        <w:t>15. cikk</w:t>
      </w:r>
      <w:r w:rsidR="000C5E72" w:rsidRPr="009511D7">
        <w:rPr>
          <w:rFonts w:ascii="Georgia" w:hAnsi="Georgia"/>
          <w:u w:val="thick"/>
        </w:rPr>
        <w:t>ének</w:t>
      </w:r>
      <w:r w:rsidR="005A25B9" w:rsidRPr="009511D7">
        <w:rPr>
          <w:rFonts w:ascii="Georgia" w:hAnsi="Georgia"/>
          <w:u w:val="thick"/>
        </w:rPr>
        <w:t xml:space="preserve"> (7) bekezdése</w:t>
      </w:r>
      <w:r w:rsidRPr="009511D7">
        <w:rPr>
          <w:rFonts w:ascii="Georgia" w:hAnsi="Georgia"/>
          <w:u w:val="thick"/>
        </w:rPr>
        <w:t xml:space="preserve"> </w:t>
      </w:r>
      <w:r w:rsidR="00253517" w:rsidRPr="009511D7">
        <w:rPr>
          <w:rFonts w:ascii="Georgia" w:hAnsi="Georgia"/>
          <w:u w:val="thick"/>
        </w:rPr>
        <w:t>–</w:t>
      </w:r>
      <w:r w:rsidRPr="009511D7">
        <w:rPr>
          <w:rFonts w:ascii="Georgia" w:hAnsi="Georgia"/>
          <w:u w:val="thick"/>
        </w:rPr>
        <w:t xml:space="preserve"> A</w:t>
      </w:r>
      <w:r w:rsidR="005A25B9" w:rsidRPr="009511D7">
        <w:rPr>
          <w:rFonts w:ascii="Georgia" w:hAnsi="Georgia"/>
          <w:u w:val="thick"/>
        </w:rPr>
        <w:t xml:space="preserve"> szol</w:t>
      </w:r>
      <w:r w:rsidRPr="009511D7">
        <w:rPr>
          <w:rFonts w:ascii="Georgia" w:hAnsi="Georgia"/>
          <w:u w:val="thick"/>
        </w:rPr>
        <w:t xml:space="preserve">gáltatók letelepedését korlátozó </w:t>
      </w:r>
      <w:r w:rsidR="005A25B9" w:rsidRPr="009511D7">
        <w:rPr>
          <w:rFonts w:ascii="Georgia" w:hAnsi="Georgia"/>
          <w:u w:val="thick"/>
        </w:rPr>
        <w:t>követelményeket</w:t>
      </w:r>
      <w:r w:rsidRPr="009511D7">
        <w:rPr>
          <w:rFonts w:ascii="Georgia" w:hAnsi="Georgia"/>
          <w:u w:val="thick"/>
        </w:rPr>
        <w:t xml:space="preserve"> </w:t>
      </w:r>
      <w:r w:rsidR="005A25B9" w:rsidRPr="009511D7">
        <w:rPr>
          <w:rFonts w:ascii="Georgia" w:hAnsi="Georgia"/>
          <w:u w:val="thick"/>
        </w:rPr>
        <w:t>tartalmazó jogszabálytervezetek bejelentése</w:t>
      </w:r>
    </w:p>
    <w:p w14:paraId="252D392B" w14:textId="77777777" w:rsidR="00434DB1" w:rsidRPr="009511D7" w:rsidRDefault="00434DB1">
      <w:pPr>
        <w:pStyle w:val="Szvegtrzs"/>
        <w:spacing w:before="6"/>
        <w:rPr>
          <w:rFonts w:ascii="Georgia" w:hAnsi="Georgia"/>
          <w:b/>
          <w:sz w:val="13"/>
        </w:rPr>
      </w:pPr>
    </w:p>
    <w:p w14:paraId="52F6E09D" w14:textId="77777777" w:rsidR="00434DB1" w:rsidRPr="009511D7" w:rsidRDefault="005A25B9">
      <w:pPr>
        <w:pStyle w:val="Szvegtrzs"/>
        <w:spacing w:before="91"/>
        <w:ind w:left="116" w:right="112"/>
        <w:jc w:val="both"/>
        <w:rPr>
          <w:rFonts w:ascii="Georgia" w:hAnsi="Georgia"/>
        </w:rPr>
      </w:pPr>
      <w:r w:rsidRPr="009511D7">
        <w:rPr>
          <w:rFonts w:ascii="Georgia" w:hAnsi="Georgia"/>
        </w:rPr>
        <w:t>Ebben az esetben a tagállamok bejelentik a Bizottságnak mindazokat az új törvényi, rendeleti vagy közigazgatási</w:t>
      </w:r>
      <w:r w:rsidR="0040126F" w:rsidRPr="009511D7">
        <w:rPr>
          <w:rFonts w:ascii="Georgia" w:hAnsi="Georgia"/>
        </w:rPr>
        <w:t xml:space="preserve"> rendelkezéseket, amelyek az irányelv</w:t>
      </w:r>
      <w:r w:rsidR="0040126F" w:rsidRPr="009511D7">
        <w:rPr>
          <w:rFonts w:ascii="Georgia" w:hAnsi="Georgia"/>
          <w:color w:val="0000FF"/>
        </w:rPr>
        <w:t xml:space="preserve"> </w:t>
      </w:r>
      <w:r w:rsidR="0040126F" w:rsidRPr="009511D7">
        <w:rPr>
          <w:rFonts w:ascii="Georgia" w:hAnsi="Georgia"/>
        </w:rPr>
        <w:t xml:space="preserve">és a </w:t>
      </w:r>
      <w:proofErr w:type="spellStart"/>
      <w:r w:rsidR="0040126F" w:rsidRPr="009511D7">
        <w:rPr>
          <w:rFonts w:ascii="Georgia" w:hAnsi="Georgia"/>
        </w:rPr>
        <w:t>Szolgtv</w:t>
      </w:r>
      <w:proofErr w:type="spellEnd"/>
      <w:r w:rsidR="0040126F" w:rsidRPr="009511D7">
        <w:rPr>
          <w:rFonts w:ascii="Georgia" w:hAnsi="Georgia"/>
        </w:rPr>
        <w:t>.</w:t>
      </w:r>
      <w:r w:rsidRPr="009511D7">
        <w:rPr>
          <w:rFonts w:ascii="Georgia" w:hAnsi="Georgia"/>
          <w:color w:val="0000FF"/>
        </w:rPr>
        <w:t xml:space="preserve"> </w:t>
      </w:r>
      <w:r w:rsidRPr="009511D7">
        <w:rPr>
          <w:rFonts w:ascii="Georgia" w:hAnsi="Georgia"/>
        </w:rPr>
        <w:t>értelmében értékelendő követelményeknek számítanak és megfelelnek az irányelvben meghatározott hármas követelményrendszernek: a diszkriminációmentesség, a szükségesség és az arányosság elveinek.</w:t>
      </w:r>
    </w:p>
    <w:p w14:paraId="6413D780" w14:textId="77777777" w:rsidR="00434DB1" w:rsidRPr="009511D7" w:rsidRDefault="00434DB1">
      <w:pPr>
        <w:pStyle w:val="Szvegtrzs"/>
        <w:spacing w:before="2"/>
        <w:rPr>
          <w:rFonts w:ascii="Georgia" w:hAnsi="Georgia"/>
        </w:rPr>
      </w:pPr>
    </w:p>
    <w:p w14:paraId="683F3BFD" w14:textId="77777777" w:rsidR="00434DB1" w:rsidRPr="009511D7" w:rsidRDefault="0040126F">
      <w:pPr>
        <w:pStyle w:val="Szvegtrzs"/>
        <w:ind w:left="116"/>
        <w:jc w:val="both"/>
        <w:rPr>
          <w:rFonts w:ascii="Georgia" w:hAnsi="Georgia"/>
        </w:rPr>
      </w:pPr>
      <w:r w:rsidRPr="009511D7">
        <w:rPr>
          <w:rFonts w:ascii="Georgia" w:hAnsi="Georgia"/>
        </w:rPr>
        <w:t>Az é</w:t>
      </w:r>
      <w:r w:rsidR="005A25B9" w:rsidRPr="009511D7">
        <w:rPr>
          <w:rFonts w:ascii="Georgia" w:hAnsi="Georgia"/>
        </w:rPr>
        <w:t xml:space="preserve">rtékelendő követelményeket taxatíve tartalmazza a </w:t>
      </w:r>
      <w:r w:rsidR="00253517" w:rsidRPr="009511D7">
        <w:rPr>
          <w:rFonts w:ascii="Georgia" w:hAnsi="Georgia"/>
        </w:rPr>
        <w:t xml:space="preserve">szolgáltatási irányelv 15. cikkének (2) bekezdése és az azt átültető </w:t>
      </w:r>
      <w:hyperlink r:id="rId12">
        <w:proofErr w:type="spellStart"/>
        <w:r w:rsidR="005A25B9" w:rsidRPr="009511D7">
          <w:rPr>
            <w:rFonts w:ascii="Georgia" w:hAnsi="Georgia"/>
            <w:color w:val="0000FF"/>
            <w:u w:val="single" w:color="0000FF"/>
          </w:rPr>
          <w:t>Szolgtv</w:t>
        </w:r>
        <w:proofErr w:type="spellEnd"/>
        <w:r w:rsidR="005A25B9" w:rsidRPr="009511D7">
          <w:rPr>
            <w:rFonts w:ascii="Georgia" w:hAnsi="Georgia"/>
            <w:color w:val="0000FF"/>
            <w:u w:val="single" w:color="0000FF"/>
          </w:rPr>
          <w:t>.</w:t>
        </w:r>
      </w:hyperlink>
      <w:r w:rsidRPr="009511D7">
        <w:rPr>
          <w:rFonts w:ascii="Georgia" w:hAnsi="Georgia"/>
          <w:color w:val="0000FF"/>
        </w:rPr>
        <w:t xml:space="preserve"> </w:t>
      </w:r>
      <w:r w:rsidR="005A25B9" w:rsidRPr="009511D7">
        <w:rPr>
          <w:rFonts w:ascii="Georgia" w:hAnsi="Georgia"/>
        </w:rPr>
        <w:t>52.</w:t>
      </w:r>
      <w:r w:rsidRPr="009511D7">
        <w:rPr>
          <w:rFonts w:ascii="Georgia" w:hAnsi="Georgia"/>
        </w:rPr>
        <w:t xml:space="preserve"> </w:t>
      </w:r>
      <w:r w:rsidR="005A25B9" w:rsidRPr="009511D7">
        <w:rPr>
          <w:rFonts w:ascii="Georgia" w:hAnsi="Georgia"/>
        </w:rPr>
        <w:t>§-a:</w:t>
      </w:r>
    </w:p>
    <w:p w14:paraId="5CED47BA" w14:textId="77777777" w:rsidR="00434DB1" w:rsidRPr="009511D7" w:rsidRDefault="005A25B9">
      <w:pPr>
        <w:pStyle w:val="Listaszerbekezds"/>
        <w:numPr>
          <w:ilvl w:val="0"/>
          <w:numId w:val="2"/>
        </w:numPr>
        <w:tabs>
          <w:tab w:val="left" w:pos="1110"/>
        </w:tabs>
        <w:spacing w:before="71"/>
        <w:ind w:right="119"/>
        <w:rPr>
          <w:rFonts w:ascii="Georgia" w:hAnsi="Georgia"/>
        </w:rPr>
      </w:pPr>
      <w:r w:rsidRPr="009511D7">
        <w:rPr>
          <w:rFonts w:ascii="Georgia" w:hAnsi="Georgia"/>
        </w:rPr>
        <w:t xml:space="preserve">a szolgáltatási tevékenység mennyiségi vagy területi korlátozása, ideértve a </w:t>
      </w:r>
      <w:r w:rsidRPr="009511D7">
        <w:rPr>
          <w:rFonts w:ascii="Georgia" w:hAnsi="Georgia"/>
          <w:spacing w:val="-4"/>
        </w:rPr>
        <w:t xml:space="preserve">szolgáltatást </w:t>
      </w:r>
      <w:r w:rsidRPr="009511D7">
        <w:rPr>
          <w:rFonts w:ascii="Georgia" w:hAnsi="Georgia"/>
        </w:rPr>
        <w:t>igénybe vevők száma vagy a szolgáltatók működési területe között megengedett legkisebb földrajzi távolság formájában meghatározott korlátozást</w:t>
      </w:r>
      <w:r w:rsidRPr="009511D7">
        <w:rPr>
          <w:rFonts w:ascii="Georgia" w:hAnsi="Georgia"/>
          <w:spacing w:val="-4"/>
        </w:rPr>
        <w:t xml:space="preserve"> </w:t>
      </w:r>
      <w:r w:rsidRPr="009511D7">
        <w:rPr>
          <w:rFonts w:ascii="Georgia" w:hAnsi="Georgia"/>
        </w:rPr>
        <w:t>is;</w:t>
      </w:r>
    </w:p>
    <w:p w14:paraId="15E59D37" w14:textId="77777777" w:rsidR="00434DB1" w:rsidRPr="009511D7" w:rsidRDefault="005A25B9">
      <w:pPr>
        <w:pStyle w:val="Listaszerbekezds"/>
        <w:numPr>
          <w:ilvl w:val="0"/>
          <w:numId w:val="2"/>
        </w:numPr>
        <w:tabs>
          <w:tab w:val="left" w:pos="1110"/>
        </w:tabs>
        <w:spacing w:before="2" w:line="252" w:lineRule="exact"/>
        <w:rPr>
          <w:rFonts w:ascii="Georgia" w:hAnsi="Georgia"/>
        </w:rPr>
      </w:pPr>
      <w:r w:rsidRPr="009511D7">
        <w:rPr>
          <w:rFonts w:ascii="Georgia" w:hAnsi="Georgia"/>
        </w:rPr>
        <w:t>a szolgáltató meghatározott jogi formában való működésére vonatkozó</w:t>
      </w:r>
      <w:r w:rsidRPr="009511D7">
        <w:rPr>
          <w:rFonts w:ascii="Georgia" w:hAnsi="Georgia"/>
          <w:spacing w:val="-8"/>
        </w:rPr>
        <w:t xml:space="preserve"> </w:t>
      </w:r>
      <w:r w:rsidRPr="009511D7">
        <w:rPr>
          <w:rFonts w:ascii="Georgia" w:hAnsi="Georgia"/>
        </w:rPr>
        <w:t>előírás;</w:t>
      </w:r>
    </w:p>
    <w:p w14:paraId="24CCF703" w14:textId="77777777" w:rsidR="00434DB1" w:rsidRPr="009511D7" w:rsidRDefault="005A25B9">
      <w:pPr>
        <w:pStyle w:val="Listaszerbekezds"/>
        <w:numPr>
          <w:ilvl w:val="0"/>
          <w:numId w:val="2"/>
        </w:numPr>
        <w:tabs>
          <w:tab w:val="left" w:pos="1110"/>
        </w:tabs>
        <w:spacing w:line="252" w:lineRule="exact"/>
        <w:rPr>
          <w:rFonts w:ascii="Georgia" w:hAnsi="Georgia"/>
        </w:rPr>
      </w:pPr>
      <w:r w:rsidRPr="009511D7">
        <w:rPr>
          <w:rFonts w:ascii="Georgia" w:hAnsi="Georgia"/>
        </w:rPr>
        <w:t>a szolgáltató gazdasági társaságban való részesedésszerzésére vonatkozó</w:t>
      </w:r>
      <w:r w:rsidRPr="009511D7">
        <w:rPr>
          <w:rFonts w:ascii="Georgia" w:hAnsi="Georgia"/>
          <w:spacing w:val="-14"/>
        </w:rPr>
        <w:t xml:space="preserve"> </w:t>
      </w:r>
      <w:r w:rsidRPr="009511D7">
        <w:rPr>
          <w:rFonts w:ascii="Georgia" w:hAnsi="Georgia"/>
        </w:rPr>
        <w:t>követelmény;</w:t>
      </w:r>
    </w:p>
    <w:p w14:paraId="662CF21F" w14:textId="77777777" w:rsidR="00434DB1" w:rsidRPr="009511D7" w:rsidRDefault="005A25B9">
      <w:pPr>
        <w:pStyle w:val="Listaszerbekezds"/>
        <w:numPr>
          <w:ilvl w:val="0"/>
          <w:numId w:val="2"/>
        </w:numPr>
        <w:tabs>
          <w:tab w:val="left" w:pos="1110"/>
        </w:tabs>
        <w:ind w:right="112"/>
        <w:rPr>
          <w:rFonts w:ascii="Georgia" w:hAnsi="Georgia"/>
        </w:rPr>
      </w:pPr>
      <w:r w:rsidRPr="009511D7">
        <w:rPr>
          <w:rFonts w:ascii="Georgia" w:hAnsi="Georgia"/>
        </w:rPr>
        <w:t xml:space="preserve">egyéb, a szabályozott szakmák tekintetében külföldi bizonyítványok és </w:t>
      </w:r>
      <w:r w:rsidRPr="009511D7">
        <w:rPr>
          <w:rFonts w:ascii="Georgia" w:hAnsi="Georgia"/>
          <w:spacing w:val="-4"/>
        </w:rPr>
        <w:t xml:space="preserve">oklevelek </w:t>
      </w:r>
      <w:r w:rsidRPr="009511D7">
        <w:rPr>
          <w:rFonts w:ascii="Georgia" w:hAnsi="Georgia"/>
        </w:rPr>
        <w:lastRenderedPageBreak/>
        <w:t>elismeréséről szóló törvényben vagy a valamely kötelező európai uniós jogi aktus végrehajtása céljából más jogszabályban meghatározottakon kívüli bármely olyan követelmény, amely az érintett szolgáltatási tevékenység folytatására való jogosultságot – a tevékenység sajátos természete alapján – bizonyos szolgáltatók számára tartja</w:t>
      </w:r>
      <w:r w:rsidRPr="009511D7">
        <w:rPr>
          <w:rFonts w:ascii="Georgia" w:hAnsi="Georgia"/>
          <w:spacing w:val="-14"/>
        </w:rPr>
        <w:t xml:space="preserve"> </w:t>
      </w:r>
      <w:r w:rsidRPr="009511D7">
        <w:rPr>
          <w:rFonts w:ascii="Georgia" w:hAnsi="Georgia"/>
        </w:rPr>
        <w:t>fenn;</w:t>
      </w:r>
    </w:p>
    <w:p w14:paraId="65518CC4" w14:textId="77777777" w:rsidR="00434DB1" w:rsidRPr="009511D7" w:rsidRDefault="0040126F">
      <w:pPr>
        <w:pStyle w:val="Listaszerbekezds"/>
        <w:numPr>
          <w:ilvl w:val="0"/>
          <w:numId w:val="2"/>
        </w:numPr>
        <w:tabs>
          <w:tab w:val="left" w:pos="1110"/>
        </w:tabs>
        <w:rPr>
          <w:rFonts w:ascii="Georgia" w:hAnsi="Georgia"/>
        </w:rPr>
      </w:pPr>
      <w:r w:rsidRPr="009511D7">
        <w:rPr>
          <w:rFonts w:ascii="Georgia" w:hAnsi="Georgia"/>
        </w:rPr>
        <w:t xml:space="preserve">a </w:t>
      </w:r>
      <w:r w:rsidR="005A25B9" w:rsidRPr="009511D7">
        <w:rPr>
          <w:rFonts w:ascii="Georgia" w:hAnsi="Georgia"/>
        </w:rPr>
        <w:t>Magyarország területén egynél több telephellyel való rendelkezésre vonatkozó</w:t>
      </w:r>
      <w:r w:rsidR="005A25B9" w:rsidRPr="009511D7">
        <w:rPr>
          <w:rFonts w:ascii="Georgia" w:hAnsi="Georgia"/>
          <w:spacing w:val="-19"/>
        </w:rPr>
        <w:t xml:space="preserve"> </w:t>
      </w:r>
      <w:r w:rsidR="005A25B9" w:rsidRPr="009511D7">
        <w:rPr>
          <w:rFonts w:ascii="Georgia" w:hAnsi="Georgia"/>
        </w:rPr>
        <w:t>tilalom;</w:t>
      </w:r>
    </w:p>
    <w:p w14:paraId="04921E90" w14:textId="77777777" w:rsidR="00434DB1" w:rsidRPr="009511D7" w:rsidRDefault="005A25B9">
      <w:pPr>
        <w:pStyle w:val="Listaszerbekezds"/>
        <w:numPr>
          <w:ilvl w:val="0"/>
          <w:numId w:val="2"/>
        </w:numPr>
        <w:tabs>
          <w:tab w:val="left" w:pos="1110"/>
        </w:tabs>
        <w:spacing w:before="1" w:line="252" w:lineRule="exact"/>
        <w:rPr>
          <w:rFonts w:ascii="Georgia" w:hAnsi="Georgia"/>
        </w:rPr>
      </w:pPr>
      <w:r w:rsidRPr="009511D7">
        <w:rPr>
          <w:rFonts w:ascii="Georgia" w:hAnsi="Georgia"/>
        </w:rPr>
        <w:t>a szolgáltató alkalmazottainak minimális számát előíró</w:t>
      </w:r>
      <w:r w:rsidRPr="009511D7">
        <w:rPr>
          <w:rFonts w:ascii="Georgia" w:hAnsi="Georgia"/>
          <w:spacing w:val="-8"/>
        </w:rPr>
        <w:t xml:space="preserve"> </w:t>
      </w:r>
      <w:r w:rsidRPr="009511D7">
        <w:rPr>
          <w:rFonts w:ascii="Georgia" w:hAnsi="Georgia"/>
        </w:rPr>
        <w:t>követelmény;</w:t>
      </w:r>
    </w:p>
    <w:p w14:paraId="74AB283E" w14:textId="77777777" w:rsidR="00434DB1" w:rsidRPr="009511D7" w:rsidRDefault="005A25B9">
      <w:pPr>
        <w:pStyle w:val="Listaszerbekezds"/>
        <w:numPr>
          <w:ilvl w:val="0"/>
          <w:numId w:val="2"/>
        </w:numPr>
        <w:tabs>
          <w:tab w:val="left" w:pos="1110"/>
        </w:tabs>
        <w:ind w:right="121"/>
        <w:rPr>
          <w:rFonts w:ascii="Georgia" w:hAnsi="Georgia"/>
        </w:rPr>
      </w:pPr>
      <w:r w:rsidRPr="009511D7">
        <w:rPr>
          <w:rFonts w:ascii="Georgia" w:hAnsi="Georgia"/>
        </w:rPr>
        <w:t xml:space="preserve">valamely szolgáltatási tevékenység tekintetében az alkalmazható legalacsonyabb </w:t>
      </w:r>
      <w:r w:rsidRPr="009511D7">
        <w:rPr>
          <w:rFonts w:ascii="Georgia" w:hAnsi="Georgia"/>
          <w:spacing w:val="-8"/>
        </w:rPr>
        <w:t xml:space="preserve">vagy </w:t>
      </w:r>
      <w:r w:rsidRPr="009511D7">
        <w:rPr>
          <w:rFonts w:ascii="Georgia" w:hAnsi="Georgia"/>
        </w:rPr>
        <w:t>legmagasabb díjat meghatározó előírás;</w:t>
      </w:r>
    </w:p>
    <w:p w14:paraId="6533B99F" w14:textId="77777777" w:rsidR="00434DB1" w:rsidRPr="009511D7" w:rsidRDefault="005A25B9">
      <w:pPr>
        <w:pStyle w:val="Listaszerbekezds"/>
        <w:numPr>
          <w:ilvl w:val="0"/>
          <w:numId w:val="2"/>
        </w:numPr>
        <w:tabs>
          <w:tab w:val="left" w:pos="1110"/>
        </w:tabs>
        <w:spacing w:line="242" w:lineRule="auto"/>
        <w:ind w:right="115"/>
        <w:rPr>
          <w:rFonts w:ascii="Georgia" w:hAnsi="Georgia"/>
        </w:rPr>
      </w:pPr>
      <w:r w:rsidRPr="009511D7">
        <w:rPr>
          <w:rFonts w:ascii="Georgia" w:hAnsi="Georgia"/>
        </w:rPr>
        <w:t xml:space="preserve">az adott szolgáltatási tevékenységgel együtt egyéb szolgáltatások nyújtására </w:t>
      </w:r>
      <w:r w:rsidRPr="009511D7">
        <w:rPr>
          <w:rFonts w:ascii="Georgia" w:hAnsi="Georgia"/>
          <w:spacing w:val="-4"/>
        </w:rPr>
        <w:t xml:space="preserve">vonatkozó </w:t>
      </w:r>
      <w:r w:rsidRPr="009511D7">
        <w:rPr>
          <w:rFonts w:ascii="Georgia" w:hAnsi="Georgia"/>
        </w:rPr>
        <w:t>kötelező</w:t>
      </w:r>
      <w:r w:rsidRPr="009511D7">
        <w:rPr>
          <w:rFonts w:ascii="Georgia" w:hAnsi="Georgia"/>
          <w:spacing w:val="-1"/>
        </w:rPr>
        <w:t xml:space="preserve"> </w:t>
      </w:r>
      <w:r w:rsidRPr="009511D7">
        <w:rPr>
          <w:rFonts w:ascii="Georgia" w:hAnsi="Georgia"/>
        </w:rPr>
        <w:t>előírás.</w:t>
      </w:r>
    </w:p>
    <w:p w14:paraId="0C650692" w14:textId="77777777" w:rsidR="00434DB1" w:rsidRPr="009511D7" w:rsidRDefault="00434DB1">
      <w:pPr>
        <w:pStyle w:val="Szvegtrzs"/>
        <w:spacing w:before="6"/>
        <w:rPr>
          <w:rFonts w:ascii="Georgia" w:hAnsi="Georgia"/>
          <w:sz w:val="21"/>
        </w:rPr>
      </w:pPr>
    </w:p>
    <w:p w14:paraId="1AB9C18B" w14:textId="77777777" w:rsidR="00434DB1" w:rsidRPr="009511D7" w:rsidRDefault="005A25B9">
      <w:pPr>
        <w:pStyle w:val="Szvegtrzs"/>
        <w:spacing w:before="1"/>
        <w:ind w:left="116" w:right="112"/>
        <w:jc w:val="both"/>
        <w:rPr>
          <w:rFonts w:ascii="Georgia" w:hAnsi="Georgia"/>
        </w:rPr>
      </w:pPr>
      <w:r w:rsidRPr="009511D7">
        <w:rPr>
          <w:rFonts w:ascii="Georgia" w:hAnsi="Georgia"/>
        </w:rPr>
        <w:t xml:space="preserve">Újnak tekinthető minden követelmény, </w:t>
      </w:r>
      <w:r w:rsidR="0040126F" w:rsidRPr="009511D7">
        <w:rPr>
          <w:rFonts w:ascii="Georgia" w:hAnsi="Georgia"/>
        </w:rPr>
        <w:t>a</w:t>
      </w:r>
      <w:r w:rsidRPr="009511D7">
        <w:rPr>
          <w:rFonts w:ascii="Georgia" w:hAnsi="Georgia"/>
        </w:rPr>
        <w:t>mely a jelentéstétel lezárulta, tehát 2009. december 28-a után került kodifikálásra.</w:t>
      </w:r>
    </w:p>
    <w:p w14:paraId="6342B54E" w14:textId="77777777" w:rsidR="00434DB1" w:rsidRPr="009511D7" w:rsidRDefault="00434DB1">
      <w:pPr>
        <w:pStyle w:val="Szvegtrzs"/>
        <w:spacing w:before="1"/>
        <w:rPr>
          <w:rFonts w:ascii="Georgia" w:hAnsi="Georgia"/>
        </w:rPr>
      </w:pPr>
    </w:p>
    <w:p w14:paraId="113259F0" w14:textId="77777777" w:rsidR="00434DB1" w:rsidRPr="009511D7" w:rsidRDefault="005A25B9">
      <w:pPr>
        <w:pStyle w:val="Szvegtrzs"/>
        <w:spacing w:before="1"/>
        <w:ind w:left="116" w:right="115"/>
        <w:jc w:val="both"/>
        <w:rPr>
          <w:rFonts w:ascii="Georgia" w:hAnsi="Georgia"/>
        </w:rPr>
      </w:pPr>
      <w:r w:rsidRPr="009511D7">
        <w:rPr>
          <w:rFonts w:ascii="Georgia" w:hAnsi="Georgia"/>
        </w:rPr>
        <w:t xml:space="preserve">A notifikáció részletes indokolási kötelezettséggel jár, </w:t>
      </w:r>
      <w:r w:rsidR="0040126F" w:rsidRPr="009511D7">
        <w:rPr>
          <w:rFonts w:ascii="Georgia" w:hAnsi="Georgia"/>
        </w:rPr>
        <w:t>a</w:t>
      </w:r>
      <w:r w:rsidRPr="009511D7">
        <w:rPr>
          <w:rFonts w:ascii="Georgia" w:hAnsi="Georgia"/>
        </w:rPr>
        <w:t xml:space="preserve">mely indokolásnak elsősorban a hármas követelményrendszernek való megfelelést kell igazolnia. A Szolgáltatási Notifikációs Központ által a Bizottságnak megküldött bejelentést a Bizottság továbbítja a tagállamoknak. A Bizottság </w:t>
      </w:r>
      <w:r w:rsidR="007324C7" w:rsidRPr="009511D7">
        <w:rPr>
          <w:rFonts w:ascii="Georgia" w:hAnsi="Georgia"/>
        </w:rPr>
        <w:t xml:space="preserve">- </w:t>
      </w:r>
      <w:r w:rsidRPr="009511D7">
        <w:rPr>
          <w:rFonts w:ascii="Georgia" w:hAnsi="Georgia"/>
        </w:rPr>
        <w:t xml:space="preserve">és a tagállamok </w:t>
      </w:r>
      <w:r w:rsidR="007324C7" w:rsidRPr="009511D7">
        <w:rPr>
          <w:rFonts w:ascii="Georgia" w:hAnsi="Georgia"/>
        </w:rPr>
        <w:t xml:space="preserve">- </w:t>
      </w:r>
      <w:r w:rsidRPr="009511D7">
        <w:rPr>
          <w:rFonts w:ascii="Georgia" w:hAnsi="Georgia"/>
        </w:rPr>
        <w:t>a notifikáció kézhezvételétől számíto</w:t>
      </w:r>
      <w:r w:rsidR="007324C7" w:rsidRPr="009511D7">
        <w:rPr>
          <w:rFonts w:ascii="Georgia" w:hAnsi="Georgia"/>
        </w:rPr>
        <w:t>tt 3 hónapon belül megvizsgálja</w:t>
      </w:r>
      <w:r w:rsidRPr="009511D7">
        <w:rPr>
          <w:rFonts w:ascii="Georgia" w:hAnsi="Georgia"/>
        </w:rPr>
        <w:t xml:space="preserve"> a bejelentett követelmények uniós jognak való megfelelését, és abban az esetben, ha </w:t>
      </w:r>
      <w:r w:rsidR="007324C7" w:rsidRPr="009511D7">
        <w:rPr>
          <w:rFonts w:ascii="Georgia" w:hAnsi="Georgia"/>
        </w:rPr>
        <w:t xml:space="preserve">a </w:t>
      </w:r>
      <w:r w:rsidRPr="009511D7">
        <w:rPr>
          <w:rFonts w:ascii="Georgia" w:hAnsi="Georgia"/>
        </w:rPr>
        <w:t>bevezetni kívánt szabályozás a közösségi joggal összeegyeztethetetlen, határozatot fogadhat el. A határozatban felszólítja az érintett tagállamot a követelmények elfogadásától való tartózkodásra vagy azok eltörlésére.</w:t>
      </w:r>
    </w:p>
    <w:p w14:paraId="53B1158B" w14:textId="77777777" w:rsidR="00434DB1" w:rsidRPr="009511D7" w:rsidRDefault="00434DB1">
      <w:pPr>
        <w:pStyle w:val="Szvegtrzs"/>
        <w:spacing w:before="10"/>
        <w:rPr>
          <w:rFonts w:ascii="Georgia" w:hAnsi="Georgia"/>
          <w:sz w:val="21"/>
        </w:rPr>
      </w:pPr>
    </w:p>
    <w:p w14:paraId="4B9448AB" w14:textId="77777777" w:rsidR="009B099F" w:rsidRDefault="005A25B9">
      <w:pPr>
        <w:pStyle w:val="Szvegtrzs"/>
        <w:ind w:left="116" w:right="113"/>
        <w:jc w:val="both"/>
        <w:rPr>
          <w:rFonts w:ascii="Georgia" w:hAnsi="Georgia"/>
        </w:rPr>
      </w:pPr>
      <w:r w:rsidRPr="009511D7">
        <w:rPr>
          <w:rFonts w:ascii="Georgia" w:hAnsi="Georgia"/>
        </w:rPr>
        <w:t>E</w:t>
      </w:r>
      <w:r w:rsidR="009B099F" w:rsidRPr="009511D7">
        <w:rPr>
          <w:rFonts w:ascii="Georgia" w:hAnsi="Georgia"/>
        </w:rPr>
        <w:t>bbe az</w:t>
      </w:r>
      <w:r w:rsidRPr="009511D7">
        <w:rPr>
          <w:rFonts w:ascii="Georgia" w:hAnsi="Georgia"/>
        </w:rPr>
        <w:t xml:space="preserve"> esetkörbe tartoznak azok a bejelentések is, amelyek</w:t>
      </w:r>
      <w:r w:rsidR="009B099F" w:rsidRPr="009511D7">
        <w:rPr>
          <w:rFonts w:ascii="Georgia" w:hAnsi="Georgia"/>
        </w:rPr>
        <w:t xml:space="preserve"> – bár azok a szolgáltatási irányelv 15. cikkének (2) bekezdése szerinti, a szolgáltatók letelepedését korlátozó követelménynek minősülnek – de mivel azokat</w:t>
      </w:r>
      <w:r w:rsidRPr="009511D7">
        <w:rPr>
          <w:rFonts w:ascii="Georgia" w:hAnsi="Georgia"/>
        </w:rPr>
        <w:t xml:space="preserve"> műszaki tartalmú jogszabálytervezetek tartalmaz</w:t>
      </w:r>
      <w:r w:rsidR="009B099F" w:rsidRPr="009511D7">
        <w:rPr>
          <w:rFonts w:ascii="Georgia" w:hAnsi="Georgia"/>
        </w:rPr>
        <w:t>zák, a műszaki notifikáció alá eső követelményekkel együtt a TRIS-ben kerülnek bejelentésre (ún. TRIS-bejelentések).</w:t>
      </w:r>
    </w:p>
    <w:p w14:paraId="12B4936D" w14:textId="77777777" w:rsidR="009511D7" w:rsidRPr="009511D7" w:rsidRDefault="009511D7">
      <w:pPr>
        <w:pStyle w:val="Szvegtrzs"/>
        <w:ind w:left="116" w:right="113"/>
        <w:jc w:val="both"/>
        <w:rPr>
          <w:rFonts w:ascii="Georgia" w:hAnsi="Georgia"/>
        </w:rPr>
      </w:pPr>
    </w:p>
    <w:p w14:paraId="34888521" w14:textId="77777777" w:rsidR="00434DB1" w:rsidRPr="009511D7" w:rsidRDefault="005A25B9">
      <w:pPr>
        <w:pStyle w:val="Szvegtrzs"/>
        <w:ind w:left="116" w:right="113"/>
        <w:jc w:val="both"/>
        <w:rPr>
          <w:rFonts w:ascii="Georgia" w:hAnsi="Georgia"/>
        </w:rPr>
      </w:pPr>
      <w:r w:rsidRPr="009511D7">
        <w:rPr>
          <w:rFonts w:ascii="Georgia" w:hAnsi="Georgia"/>
        </w:rPr>
        <w:t>A műszaki tartalmú jogszabálytervezetek bejelentés</w:t>
      </w:r>
      <w:r w:rsidR="007324C7" w:rsidRPr="009511D7">
        <w:rPr>
          <w:rFonts w:ascii="Georgia" w:hAnsi="Georgia"/>
        </w:rPr>
        <w:t xml:space="preserve">ére az </w:t>
      </w:r>
      <w:hyperlink r:id="rId13" w:history="1">
        <w:r w:rsidR="007324C7" w:rsidRPr="009511D7">
          <w:rPr>
            <w:rStyle w:val="Hiperhivatkozs"/>
            <w:rFonts w:ascii="Georgia" w:hAnsi="Georgia"/>
          </w:rPr>
          <w:t>(EU) 2015/1535 irányelv</w:t>
        </w:r>
      </w:hyperlink>
      <w:r w:rsidRPr="009511D7">
        <w:rPr>
          <w:rFonts w:ascii="Georgia" w:hAnsi="Georgia"/>
        </w:rPr>
        <w:t xml:space="preserve">, illetve az áruk és egyes szolgáltatások szabad áramlásának biztosításával összefüggésben egyes európai uniós jogi aktusokban előírt bejelentési, értesítési, tájékoztatási és jelentéstételi kötelezettségek teljesítéséről szóló </w:t>
      </w:r>
      <w:hyperlink r:id="rId14">
        <w:r w:rsidR="007324C7" w:rsidRPr="009511D7">
          <w:rPr>
            <w:rFonts w:ascii="Georgia" w:hAnsi="Georgia"/>
            <w:color w:val="0000FF"/>
            <w:u w:val="single" w:color="0000FF"/>
          </w:rPr>
          <w:t>102/2009. (V.11) Korm. rendelet</w:t>
        </w:r>
      </w:hyperlink>
      <w:r w:rsidRPr="009511D7">
        <w:rPr>
          <w:rFonts w:ascii="Georgia" w:hAnsi="Georgia"/>
          <w:color w:val="0000FF"/>
        </w:rPr>
        <w:t xml:space="preserve"> </w:t>
      </w:r>
      <w:r w:rsidRPr="009511D7">
        <w:rPr>
          <w:rFonts w:ascii="Georgia" w:hAnsi="Georgia"/>
        </w:rPr>
        <w:t>szerint kerül sor. Tehát amennyiben a műszaki tartalmú jogszabálytervezet letelepedést korlátozó követelményt tartalmaz, annak bejelentése integrálódik és a fenti j</w:t>
      </w:r>
      <w:r w:rsidR="007324C7" w:rsidRPr="009511D7">
        <w:rPr>
          <w:rFonts w:ascii="Georgia" w:hAnsi="Georgia"/>
        </w:rPr>
        <w:t>ogszabályok alapján történik. (T</w:t>
      </w:r>
      <w:r w:rsidRPr="009511D7">
        <w:rPr>
          <w:rFonts w:ascii="Georgia" w:hAnsi="Georgia"/>
        </w:rPr>
        <w:t xml:space="preserve">ovábbi részletek a műszaki bejelentési eljárásról </w:t>
      </w:r>
      <w:hyperlink r:id="rId15">
        <w:r w:rsidRPr="009511D7">
          <w:rPr>
            <w:rFonts w:ascii="Georgia" w:hAnsi="Georgia"/>
            <w:color w:val="0000FF"/>
            <w:u w:val="single" w:color="0000FF"/>
          </w:rPr>
          <w:t>itt</w:t>
        </w:r>
        <w:r w:rsidRPr="009511D7">
          <w:rPr>
            <w:rFonts w:ascii="Georgia" w:hAnsi="Georgia"/>
            <w:color w:val="0000FF"/>
          </w:rPr>
          <w:t xml:space="preserve"> </w:t>
        </w:r>
      </w:hyperlink>
      <w:r w:rsidR="007324C7" w:rsidRPr="009511D7">
        <w:rPr>
          <w:rFonts w:ascii="Georgia" w:hAnsi="Georgia"/>
        </w:rPr>
        <w:t>olvasható</w:t>
      </w:r>
      <w:r w:rsidRPr="009511D7">
        <w:rPr>
          <w:rFonts w:ascii="Georgia" w:hAnsi="Georgia"/>
        </w:rPr>
        <w:t>k</w:t>
      </w:r>
      <w:r w:rsidR="007324C7" w:rsidRPr="009511D7">
        <w:rPr>
          <w:rFonts w:ascii="Georgia" w:hAnsi="Georgia"/>
        </w:rPr>
        <w:t>.</w:t>
      </w:r>
      <w:r w:rsidRPr="009511D7">
        <w:rPr>
          <w:rFonts w:ascii="Georgia" w:hAnsi="Georgia"/>
        </w:rPr>
        <w:t>)</w:t>
      </w:r>
    </w:p>
    <w:p w14:paraId="7468163B" w14:textId="77777777" w:rsidR="00434DB1" w:rsidRPr="009511D7" w:rsidRDefault="00434DB1">
      <w:pPr>
        <w:pStyle w:val="Szvegtrzs"/>
        <w:spacing w:before="1"/>
        <w:rPr>
          <w:rFonts w:ascii="Georgia" w:hAnsi="Georgia"/>
        </w:rPr>
      </w:pPr>
    </w:p>
    <w:p w14:paraId="5829CE11" w14:textId="77777777" w:rsidR="00434DB1" w:rsidRPr="009511D7" w:rsidRDefault="005A25B9" w:rsidP="00565D9C">
      <w:pPr>
        <w:pStyle w:val="Cmsor1"/>
        <w:numPr>
          <w:ilvl w:val="0"/>
          <w:numId w:val="1"/>
        </w:numPr>
        <w:tabs>
          <w:tab w:val="left" w:pos="825"/>
        </w:tabs>
        <w:spacing w:before="2" w:line="251" w:lineRule="exact"/>
        <w:ind w:hanging="361"/>
        <w:rPr>
          <w:rFonts w:ascii="Georgia" w:hAnsi="Georgia"/>
        </w:rPr>
      </w:pPr>
      <w:r w:rsidRPr="009511D7">
        <w:rPr>
          <w:rFonts w:ascii="Georgia" w:hAnsi="Georgia"/>
          <w:b w:val="0"/>
          <w:spacing w:val="-56"/>
          <w:u w:val="none"/>
        </w:rPr>
        <w:t xml:space="preserve"> </w:t>
      </w:r>
      <w:r w:rsidRPr="009511D7">
        <w:rPr>
          <w:rFonts w:ascii="Georgia" w:hAnsi="Georgia"/>
          <w:u w:val="thick"/>
        </w:rPr>
        <w:t>Az irányelv 39. cikk (5) bekezdése alapján a szabad szolgáltatásnyújtás</w:t>
      </w:r>
      <w:r w:rsidRPr="009511D7">
        <w:rPr>
          <w:rFonts w:ascii="Georgia" w:hAnsi="Georgia"/>
          <w:spacing w:val="10"/>
          <w:u w:val="thick"/>
        </w:rPr>
        <w:t xml:space="preserve"> </w:t>
      </w:r>
      <w:proofErr w:type="gramStart"/>
      <w:r w:rsidRPr="009511D7">
        <w:rPr>
          <w:rFonts w:ascii="Georgia" w:hAnsi="Georgia"/>
          <w:u w:val="thick"/>
        </w:rPr>
        <w:t>jogával</w:t>
      </w:r>
      <w:r w:rsidR="009511D7" w:rsidRPr="009511D7">
        <w:rPr>
          <w:rFonts w:ascii="Georgia" w:hAnsi="Georgia"/>
          <w:u w:val="thick"/>
        </w:rPr>
        <w:t xml:space="preserve"> </w:t>
      </w:r>
      <w:r w:rsidRPr="009511D7">
        <w:rPr>
          <w:rFonts w:ascii="Georgia" w:hAnsi="Georgia"/>
          <w:spacing w:val="-56"/>
          <w:u w:val="thick"/>
        </w:rPr>
        <w:t xml:space="preserve"> </w:t>
      </w:r>
      <w:r w:rsidR="00D46BBD" w:rsidRPr="009511D7">
        <w:rPr>
          <w:rFonts w:ascii="Georgia" w:hAnsi="Georgia"/>
          <w:u w:val="thick"/>
        </w:rPr>
        <w:t>rendelkező</w:t>
      </w:r>
      <w:proofErr w:type="gramEnd"/>
      <w:r w:rsidR="00D46BBD" w:rsidRPr="009511D7">
        <w:rPr>
          <w:rFonts w:ascii="Georgia" w:hAnsi="Georgia"/>
          <w:u w:val="thick"/>
        </w:rPr>
        <w:t xml:space="preserve"> szolgáltatókra a </w:t>
      </w:r>
      <w:proofErr w:type="spellStart"/>
      <w:r w:rsidR="00D46BBD" w:rsidRPr="009511D7">
        <w:rPr>
          <w:rFonts w:ascii="Georgia" w:hAnsi="Georgia"/>
          <w:u w:val="thick"/>
        </w:rPr>
        <w:t>Szolgtv</w:t>
      </w:r>
      <w:proofErr w:type="spellEnd"/>
      <w:r w:rsidR="00D46BBD" w:rsidRPr="009511D7">
        <w:rPr>
          <w:rFonts w:ascii="Georgia" w:hAnsi="Georgia"/>
          <w:u w:val="thick"/>
        </w:rPr>
        <w:t>.</w:t>
      </w:r>
      <w:r w:rsidRPr="009511D7">
        <w:rPr>
          <w:rFonts w:ascii="Georgia" w:hAnsi="Georgia"/>
          <w:u w:val="thick"/>
        </w:rPr>
        <w:t xml:space="preserve"> 7.</w:t>
      </w:r>
      <w:r w:rsidR="00D46BBD" w:rsidRPr="009511D7">
        <w:rPr>
          <w:rFonts w:ascii="Georgia" w:hAnsi="Georgia"/>
          <w:u w:val="thick"/>
        </w:rPr>
        <w:t xml:space="preserve"> </w:t>
      </w:r>
      <w:r w:rsidRPr="009511D7">
        <w:rPr>
          <w:rFonts w:ascii="Georgia" w:hAnsi="Georgia"/>
          <w:u w:val="thick"/>
        </w:rPr>
        <w:t>§-</w:t>
      </w:r>
      <w:proofErr w:type="spellStart"/>
      <w:r w:rsidRPr="009511D7">
        <w:rPr>
          <w:rFonts w:ascii="Georgia" w:hAnsi="Georgia"/>
          <w:u w:val="thick"/>
        </w:rPr>
        <w:t>ával</w:t>
      </w:r>
      <w:proofErr w:type="spellEnd"/>
      <w:r w:rsidRPr="009511D7">
        <w:rPr>
          <w:rFonts w:ascii="Georgia" w:hAnsi="Georgia"/>
          <w:u w:val="thick"/>
        </w:rPr>
        <w:t xml:space="preserve"> összhangban alkalmazandó </w:t>
      </w:r>
      <w:proofErr w:type="gramStart"/>
      <w:r w:rsidRPr="009511D7">
        <w:rPr>
          <w:rFonts w:ascii="Georgia" w:hAnsi="Georgia"/>
          <w:u w:val="thick"/>
        </w:rPr>
        <w:t>jogszabályi</w:t>
      </w:r>
      <w:r w:rsidR="009511D7" w:rsidRPr="009511D7">
        <w:rPr>
          <w:rFonts w:ascii="Georgia" w:hAnsi="Georgia"/>
          <w:u w:val="thick"/>
        </w:rPr>
        <w:t xml:space="preserve"> </w:t>
      </w:r>
      <w:r w:rsidRPr="009511D7">
        <w:rPr>
          <w:rFonts w:ascii="Georgia" w:hAnsi="Georgia"/>
          <w:spacing w:val="-56"/>
          <w:u w:val="thick"/>
        </w:rPr>
        <w:t xml:space="preserve"> </w:t>
      </w:r>
      <w:r w:rsidRPr="009511D7">
        <w:rPr>
          <w:rFonts w:ascii="Georgia" w:hAnsi="Georgia"/>
          <w:u w:val="thick"/>
        </w:rPr>
        <w:t>követelményeknek</w:t>
      </w:r>
      <w:proofErr w:type="gramEnd"/>
      <w:r w:rsidRPr="009511D7">
        <w:rPr>
          <w:rFonts w:ascii="Georgia" w:hAnsi="Georgia"/>
          <w:u w:val="thick"/>
        </w:rPr>
        <w:t xml:space="preserve"> és</w:t>
      </w:r>
      <w:r w:rsidR="009B099F" w:rsidRPr="009511D7">
        <w:rPr>
          <w:rFonts w:ascii="Georgia" w:hAnsi="Georgia"/>
          <w:spacing w:val="39"/>
          <w:u w:val="thick"/>
        </w:rPr>
        <w:t xml:space="preserve"> </w:t>
      </w:r>
      <w:r w:rsidRPr="009511D7">
        <w:rPr>
          <w:rFonts w:ascii="Georgia" w:hAnsi="Georgia"/>
          <w:u w:val="thick"/>
        </w:rPr>
        <w:t>azoknak az irányelv 16. cikk (1) és (3) bekezdése szerinti</w:t>
      </w:r>
      <w:r w:rsidR="009511D7">
        <w:rPr>
          <w:rFonts w:ascii="Georgia" w:hAnsi="Georgia"/>
          <w:u w:val="thick"/>
        </w:rPr>
        <w:t xml:space="preserve"> </w:t>
      </w:r>
      <w:r w:rsidRPr="009511D7">
        <w:rPr>
          <w:rFonts w:ascii="Georgia" w:hAnsi="Georgia"/>
          <w:spacing w:val="-56"/>
          <w:u w:val="thick"/>
        </w:rPr>
        <w:t xml:space="preserve"> </w:t>
      </w:r>
      <w:r w:rsidRPr="009511D7">
        <w:rPr>
          <w:rFonts w:ascii="Georgia" w:hAnsi="Georgia"/>
          <w:u w:val="thick"/>
        </w:rPr>
        <w:t>indokoltságának bejelentése</w:t>
      </w:r>
    </w:p>
    <w:p w14:paraId="56D34D19" w14:textId="77777777" w:rsidR="00434DB1" w:rsidRPr="009511D7" w:rsidRDefault="00434DB1">
      <w:pPr>
        <w:pStyle w:val="Szvegtrzs"/>
        <w:spacing w:before="5"/>
        <w:rPr>
          <w:rFonts w:ascii="Georgia" w:hAnsi="Georgia"/>
          <w:b/>
          <w:sz w:val="13"/>
        </w:rPr>
      </w:pPr>
    </w:p>
    <w:p w14:paraId="034199A5" w14:textId="77777777" w:rsidR="00434DB1" w:rsidRPr="009511D7" w:rsidRDefault="005A25B9">
      <w:pPr>
        <w:pStyle w:val="Szvegtrzs"/>
        <w:spacing w:before="92"/>
        <w:ind w:left="116" w:right="115"/>
        <w:jc w:val="both"/>
        <w:rPr>
          <w:rFonts w:ascii="Georgia" w:hAnsi="Georgia"/>
        </w:rPr>
      </w:pPr>
      <w:r w:rsidRPr="009511D7">
        <w:rPr>
          <w:rFonts w:ascii="Georgia" w:hAnsi="Georgia"/>
        </w:rPr>
        <w:t xml:space="preserve">Bejelentési kötelezettség terhel minden olyan új követelményt, </w:t>
      </w:r>
      <w:r w:rsidR="00D46BBD" w:rsidRPr="009511D7">
        <w:rPr>
          <w:rFonts w:ascii="Georgia" w:hAnsi="Georgia"/>
        </w:rPr>
        <w:t>a</w:t>
      </w:r>
      <w:r w:rsidRPr="009511D7">
        <w:rPr>
          <w:rFonts w:ascii="Georgia" w:hAnsi="Georgia"/>
        </w:rPr>
        <w:t xml:space="preserve">mely a </w:t>
      </w:r>
      <w:r w:rsidR="00E66860" w:rsidRPr="009511D7">
        <w:rPr>
          <w:rFonts w:ascii="Georgia" w:hAnsi="Georgia"/>
        </w:rPr>
        <w:t xml:space="preserve">más tagállamban letelepedett, un. </w:t>
      </w:r>
      <w:r w:rsidRPr="009511D7">
        <w:rPr>
          <w:rFonts w:ascii="Georgia" w:hAnsi="Georgia"/>
        </w:rPr>
        <w:t>szabad szolgáltatásnyújtás jogával rendelkező szolgáltató</w:t>
      </w:r>
      <w:r w:rsidR="00E66860" w:rsidRPr="009511D7">
        <w:rPr>
          <w:rFonts w:ascii="Georgia" w:hAnsi="Georgia"/>
        </w:rPr>
        <w:t xml:space="preserve"> határon átnyúló szolgáltatásnyújtását [</w:t>
      </w:r>
      <w:proofErr w:type="spellStart"/>
      <w:r w:rsidR="00E66860" w:rsidRPr="009511D7">
        <w:rPr>
          <w:rFonts w:ascii="Georgia" w:hAnsi="Georgia"/>
        </w:rPr>
        <w:t>Szolgtv</w:t>
      </w:r>
      <w:proofErr w:type="spellEnd"/>
      <w:r w:rsidR="00E66860" w:rsidRPr="009511D7">
        <w:rPr>
          <w:rFonts w:ascii="Georgia" w:hAnsi="Georgia"/>
        </w:rPr>
        <w:t xml:space="preserve">. 2. § e) pont] </w:t>
      </w:r>
      <w:r w:rsidRPr="009511D7">
        <w:rPr>
          <w:rFonts w:ascii="Georgia" w:hAnsi="Georgia"/>
        </w:rPr>
        <w:t xml:space="preserve">bármilyen formában korlátozza. </w:t>
      </w:r>
      <w:r w:rsidR="00E66860" w:rsidRPr="009511D7">
        <w:rPr>
          <w:rFonts w:ascii="Georgia" w:hAnsi="Georgia"/>
        </w:rPr>
        <w:t xml:space="preserve">A szolgáltatási irányelv 16. cikkének (2) bekezdése példálózó felsorolást tartalmaz a legsúlyosabbnak minősülő, a szolgáltatásnyújtás szabadságát korlátozó követelményekre. </w:t>
      </w:r>
      <w:r w:rsidRPr="009511D7">
        <w:rPr>
          <w:rFonts w:ascii="Georgia" w:hAnsi="Georgia"/>
        </w:rPr>
        <w:t>Hasonlóan a letelepedést korlátozó követelményekhez</w:t>
      </w:r>
      <w:r w:rsidR="00D46BBD" w:rsidRPr="009511D7">
        <w:rPr>
          <w:rFonts w:ascii="Georgia" w:hAnsi="Georgia"/>
        </w:rPr>
        <w:t>,</w:t>
      </w:r>
      <w:r w:rsidRPr="009511D7">
        <w:rPr>
          <w:rFonts w:ascii="Georgia" w:hAnsi="Georgia"/>
        </w:rPr>
        <w:t xml:space="preserve"> a jogszabályok itt is megkövetelik a követelmény jogszerűségének hármas feltételrendszer (diszkriminációmentesség, szükségesség, arányosság) szerinti indokoltságát. </w:t>
      </w:r>
    </w:p>
    <w:p w14:paraId="06AFEF17" w14:textId="77777777" w:rsidR="00434DB1" w:rsidRPr="009511D7" w:rsidRDefault="00434DB1">
      <w:pPr>
        <w:pStyle w:val="Szvegtrzs"/>
        <w:rPr>
          <w:rFonts w:ascii="Georgia" w:hAnsi="Georgia"/>
        </w:rPr>
      </w:pPr>
    </w:p>
    <w:p w14:paraId="2673F5EA" w14:textId="77777777" w:rsidR="00434DB1" w:rsidRPr="009511D7" w:rsidRDefault="005A25B9">
      <w:pPr>
        <w:pStyle w:val="Cmsor1"/>
        <w:numPr>
          <w:ilvl w:val="0"/>
          <w:numId w:val="1"/>
        </w:numPr>
        <w:tabs>
          <w:tab w:val="left" w:pos="825"/>
        </w:tabs>
        <w:spacing w:before="76"/>
        <w:ind w:hanging="361"/>
        <w:rPr>
          <w:rFonts w:ascii="Georgia" w:hAnsi="Georgia"/>
          <w:u w:val="none"/>
        </w:rPr>
      </w:pPr>
      <w:r w:rsidRPr="009511D7">
        <w:rPr>
          <w:rFonts w:ascii="Georgia" w:hAnsi="Georgia"/>
          <w:b w:val="0"/>
          <w:spacing w:val="-56"/>
          <w:u w:val="none"/>
        </w:rPr>
        <w:t xml:space="preserve"> </w:t>
      </w:r>
      <w:r w:rsidRPr="009511D7">
        <w:rPr>
          <w:rFonts w:ascii="Georgia" w:hAnsi="Georgia"/>
          <w:u w:val="thick"/>
        </w:rPr>
        <w:t>Mind a letelepedés, mind pedig a szabad szolgáltatásnyújtás jogát érintő</w:t>
      </w:r>
      <w:r w:rsidRPr="009511D7">
        <w:rPr>
          <w:rFonts w:ascii="Georgia" w:hAnsi="Georgia"/>
          <w:spacing w:val="-23"/>
          <w:u w:val="thick"/>
        </w:rPr>
        <w:t xml:space="preserve"> </w:t>
      </w:r>
      <w:r w:rsidRPr="009511D7">
        <w:rPr>
          <w:rFonts w:ascii="Georgia" w:hAnsi="Georgia"/>
          <w:u w:val="thick"/>
        </w:rPr>
        <w:t>bejelentés</w:t>
      </w:r>
    </w:p>
    <w:p w14:paraId="49ADD116" w14:textId="77777777" w:rsidR="00434DB1" w:rsidRPr="009511D7" w:rsidRDefault="00434DB1">
      <w:pPr>
        <w:pStyle w:val="Szvegtrzs"/>
        <w:spacing w:before="8"/>
        <w:rPr>
          <w:rFonts w:ascii="Georgia" w:hAnsi="Georgia"/>
          <w:b/>
          <w:sz w:val="13"/>
        </w:rPr>
      </w:pPr>
    </w:p>
    <w:p w14:paraId="2C3B27B3" w14:textId="77777777" w:rsidR="00434DB1" w:rsidRPr="009511D7" w:rsidRDefault="005A25B9">
      <w:pPr>
        <w:pStyle w:val="Szvegtrzs"/>
        <w:spacing w:before="91"/>
        <w:ind w:left="116" w:right="117"/>
        <w:jc w:val="both"/>
        <w:rPr>
          <w:rFonts w:ascii="Georgia" w:hAnsi="Georgia"/>
        </w:rPr>
      </w:pPr>
      <w:r w:rsidRPr="009511D7">
        <w:rPr>
          <w:rFonts w:ascii="Georgia" w:hAnsi="Georgia"/>
        </w:rPr>
        <w:t>A gyakorlatban felmerül az az eset is, amikor egy követelmény előírása a tevékenységet mind a letelepedés keretében végző szolgáltatóra, mind pedig a szabad szolgáltatásnyújtás jogával rendelkező szolgáltatóra kiterjed, így a bejelentés mindkét cikk vonatkozásában szükségessé válik.</w:t>
      </w:r>
    </w:p>
    <w:p w14:paraId="746ED2FE" w14:textId="77777777" w:rsidR="00434DB1" w:rsidRPr="009511D7" w:rsidRDefault="00434DB1">
      <w:pPr>
        <w:pStyle w:val="Szvegtrzs"/>
        <w:spacing w:before="1"/>
        <w:rPr>
          <w:rFonts w:ascii="Georgia" w:hAnsi="Georgia"/>
        </w:rPr>
      </w:pPr>
    </w:p>
    <w:p w14:paraId="6FE82703" w14:textId="77777777" w:rsidR="00516270" w:rsidRDefault="005A25B9">
      <w:pPr>
        <w:pStyle w:val="Szvegtrzs"/>
        <w:ind w:left="116"/>
        <w:jc w:val="both"/>
        <w:rPr>
          <w:rFonts w:ascii="Georgia" w:hAnsi="Georgia"/>
        </w:rPr>
      </w:pPr>
      <w:r w:rsidRPr="009511D7">
        <w:rPr>
          <w:rFonts w:ascii="Georgia" w:hAnsi="Georgia"/>
        </w:rPr>
        <w:t>A bejelentéshez szükséges formanyomtatvány</w:t>
      </w:r>
      <w:r w:rsidR="00565D9C" w:rsidRPr="009511D7">
        <w:rPr>
          <w:rFonts w:ascii="Georgia" w:hAnsi="Georgia"/>
        </w:rPr>
        <w:t>ok</w:t>
      </w:r>
      <w:r w:rsidRPr="009511D7">
        <w:rPr>
          <w:rFonts w:ascii="Georgia" w:hAnsi="Georgia"/>
        </w:rPr>
        <w:t xml:space="preserve"> </w:t>
      </w:r>
      <w:r w:rsidR="00516270">
        <w:rPr>
          <w:rFonts w:ascii="Georgia" w:hAnsi="Georgia"/>
        </w:rPr>
        <w:t>itt érhetőek el:</w:t>
      </w:r>
    </w:p>
    <w:p w14:paraId="7465D5D5" w14:textId="77777777" w:rsidR="00516270" w:rsidRPr="005614F0" w:rsidRDefault="00565D9C" w:rsidP="00516270">
      <w:pPr>
        <w:pStyle w:val="Listaszerbekezds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color w:val="4F81BD" w:themeColor="accent1"/>
        </w:rPr>
      </w:pPr>
      <w:r w:rsidRPr="009511D7">
        <w:rPr>
          <w:rFonts w:ascii="Georgia" w:hAnsi="Georgia"/>
        </w:rPr>
        <w:t xml:space="preserve"> </w:t>
      </w:r>
      <w:hyperlink r:id="rId16" w:history="1">
        <w:r w:rsidR="00516270" w:rsidRPr="005614F0">
          <w:rPr>
            <w:rStyle w:val="Hiperhivatkozs"/>
            <w:color w:val="4F81BD" w:themeColor="accent1"/>
          </w:rPr>
          <w:t>Csak letelepedett szolgáltatóknak</w:t>
        </w:r>
      </w:hyperlink>
    </w:p>
    <w:p w14:paraId="01C94265" w14:textId="77777777" w:rsidR="00516270" w:rsidRPr="005614F0" w:rsidRDefault="00516270" w:rsidP="00516270">
      <w:pPr>
        <w:pStyle w:val="Listaszerbekezds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color w:val="4F81BD" w:themeColor="accent1"/>
        </w:rPr>
      </w:pPr>
      <w:hyperlink r:id="rId17" w:history="1">
        <w:r w:rsidRPr="005614F0">
          <w:rPr>
            <w:rStyle w:val="Hiperhivatkozs"/>
            <w:color w:val="4F81BD" w:themeColor="accent1"/>
          </w:rPr>
          <w:t>Letelepedett és határon átnyúló szolgáltatóknak</w:t>
        </w:r>
      </w:hyperlink>
    </w:p>
    <w:p w14:paraId="2104D377" w14:textId="77777777" w:rsidR="00516270" w:rsidRPr="005614F0" w:rsidRDefault="00516270" w:rsidP="00516270">
      <w:pPr>
        <w:pStyle w:val="Listaszerbekezds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color w:val="4F81BD" w:themeColor="accent1"/>
        </w:rPr>
      </w:pPr>
      <w:hyperlink r:id="rId18" w:history="1">
        <w:r w:rsidRPr="005614F0">
          <w:rPr>
            <w:rStyle w:val="Hiperhivatkozs"/>
            <w:color w:val="4F81BD" w:themeColor="accent1"/>
          </w:rPr>
          <w:t>Csak határon átnyúló szolgáltatóknak</w:t>
        </w:r>
      </w:hyperlink>
    </w:p>
    <w:p w14:paraId="5AA159BA" w14:textId="51314D9B" w:rsidR="00434DB1" w:rsidRPr="00516270" w:rsidRDefault="00434DB1">
      <w:pPr>
        <w:pStyle w:val="Szvegtrzs"/>
        <w:ind w:left="116"/>
        <w:jc w:val="both"/>
        <w:rPr>
          <w:rFonts w:ascii="Georgia" w:hAnsi="Georgia"/>
        </w:rPr>
      </w:pPr>
    </w:p>
    <w:sectPr w:rsidR="00434DB1" w:rsidRPr="00516270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026E1"/>
    <w:multiLevelType w:val="hybridMultilevel"/>
    <w:tmpl w:val="590C7806"/>
    <w:lvl w:ilvl="0" w:tplc="E37CA9E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1" w:tplc="6DF6ED02">
      <w:numFmt w:val="bullet"/>
      <w:lvlText w:val="•"/>
      <w:lvlJc w:val="left"/>
      <w:pPr>
        <w:ind w:left="1668" w:hanging="360"/>
      </w:pPr>
      <w:rPr>
        <w:rFonts w:hint="default"/>
        <w:lang w:val="hu-HU" w:eastAsia="en-US" w:bidi="ar-SA"/>
      </w:rPr>
    </w:lvl>
    <w:lvl w:ilvl="2" w:tplc="0B5AC768">
      <w:numFmt w:val="bullet"/>
      <w:lvlText w:val="•"/>
      <w:lvlJc w:val="left"/>
      <w:pPr>
        <w:ind w:left="2517" w:hanging="360"/>
      </w:pPr>
      <w:rPr>
        <w:rFonts w:hint="default"/>
        <w:lang w:val="hu-HU" w:eastAsia="en-US" w:bidi="ar-SA"/>
      </w:rPr>
    </w:lvl>
    <w:lvl w:ilvl="3" w:tplc="7A24159A">
      <w:numFmt w:val="bullet"/>
      <w:lvlText w:val="•"/>
      <w:lvlJc w:val="left"/>
      <w:pPr>
        <w:ind w:left="3365" w:hanging="360"/>
      </w:pPr>
      <w:rPr>
        <w:rFonts w:hint="default"/>
        <w:lang w:val="hu-HU" w:eastAsia="en-US" w:bidi="ar-SA"/>
      </w:rPr>
    </w:lvl>
    <w:lvl w:ilvl="4" w:tplc="2908947C">
      <w:numFmt w:val="bullet"/>
      <w:lvlText w:val="•"/>
      <w:lvlJc w:val="left"/>
      <w:pPr>
        <w:ind w:left="4214" w:hanging="360"/>
      </w:pPr>
      <w:rPr>
        <w:rFonts w:hint="default"/>
        <w:lang w:val="hu-HU" w:eastAsia="en-US" w:bidi="ar-SA"/>
      </w:rPr>
    </w:lvl>
    <w:lvl w:ilvl="5" w:tplc="BD9A4884">
      <w:numFmt w:val="bullet"/>
      <w:lvlText w:val="•"/>
      <w:lvlJc w:val="left"/>
      <w:pPr>
        <w:ind w:left="5063" w:hanging="360"/>
      </w:pPr>
      <w:rPr>
        <w:rFonts w:hint="default"/>
        <w:lang w:val="hu-HU" w:eastAsia="en-US" w:bidi="ar-SA"/>
      </w:rPr>
    </w:lvl>
    <w:lvl w:ilvl="6" w:tplc="3CD670CA">
      <w:numFmt w:val="bullet"/>
      <w:lvlText w:val="•"/>
      <w:lvlJc w:val="left"/>
      <w:pPr>
        <w:ind w:left="5911" w:hanging="360"/>
      </w:pPr>
      <w:rPr>
        <w:rFonts w:hint="default"/>
        <w:lang w:val="hu-HU" w:eastAsia="en-US" w:bidi="ar-SA"/>
      </w:rPr>
    </w:lvl>
    <w:lvl w:ilvl="7" w:tplc="5CF0C618">
      <w:numFmt w:val="bullet"/>
      <w:lvlText w:val="•"/>
      <w:lvlJc w:val="left"/>
      <w:pPr>
        <w:ind w:left="6760" w:hanging="360"/>
      </w:pPr>
      <w:rPr>
        <w:rFonts w:hint="default"/>
        <w:lang w:val="hu-HU" w:eastAsia="en-US" w:bidi="ar-SA"/>
      </w:rPr>
    </w:lvl>
    <w:lvl w:ilvl="8" w:tplc="0422E316">
      <w:numFmt w:val="bullet"/>
      <w:lvlText w:val="•"/>
      <w:lvlJc w:val="left"/>
      <w:pPr>
        <w:ind w:left="7609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3AA050E3"/>
    <w:multiLevelType w:val="hybridMultilevel"/>
    <w:tmpl w:val="937C926A"/>
    <w:lvl w:ilvl="0" w:tplc="5B5C2B0E">
      <w:numFmt w:val="bullet"/>
      <w:lvlText w:val="‒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64"/>
        <w:sz w:val="22"/>
        <w:szCs w:val="22"/>
        <w:lang w:val="hu-HU" w:eastAsia="en-US" w:bidi="ar-SA"/>
      </w:rPr>
    </w:lvl>
    <w:lvl w:ilvl="1" w:tplc="251E4F9A">
      <w:numFmt w:val="bullet"/>
      <w:lvlText w:val="•"/>
      <w:lvlJc w:val="left"/>
      <w:pPr>
        <w:ind w:left="1938" w:hanging="360"/>
      </w:pPr>
      <w:rPr>
        <w:rFonts w:hint="default"/>
        <w:lang w:val="hu-HU" w:eastAsia="en-US" w:bidi="ar-SA"/>
      </w:rPr>
    </w:lvl>
    <w:lvl w:ilvl="2" w:tplc="16481AA6">
      <w:numFmt w:val="bullet"/>
      <w:lvlText w:val="•"/>
      <w:lvlJc w:val="left"/>
      <w:pPr>
        <w:ind w:left="2757" w:hanging="360"/>
      </w:pPr>
      <w:rPr>
        <w:rFonts w:hint="default"/>
        <w:lang w:val="hu-HU" w:eastAsia="en-US" w:bidi="ar-SA"/>
      </w:rPr>
    </w:lvl>
    <w:lvl w:ilvl="3" w:tplc="CC3EDB84">
      <w:numFmt w:val="bullet"/>
      <w:lvlText w:val="•"/>
      <w:lvlJc w:val="left"/>
      <w:pPr>
        <w:ind w:left="3575" w:hanging="360"/>
      </w:pPr>
      <w:rPr>
        <w:rFonts w:hint="default"/>
        <w:lang w:val="hu-HU" w:eastAsia="en-US" w:bidi="ar-SA"/>
      </w:rPr>
    </w:lvl>
    <w:lvl w:ilvl="4" w:tplc="DA349BB4">
      <w:numFmt w:val="bullet"/>
      <w:lvlText w:val="•"/>
      <w:lvlJc w:val="left"/>
      <w:pPr>
        <w:ind w:left="4394" w:hanging="360"/>
      </w:pPr>
      <w:rPr>
        <w:rFonts w:hint="default"/>
        <w:lang w:val="hu-HU" w:eastAsia="en-US" w:bidi="ar-SA"/>
      </w:rPr>
    </w:lvl>
    <w:lvl w:ilvl="5" w:tplc="EC144842">
      <w:numFmt w:val="bullet"/>
      <w:lvlText w:val="•"/>
      <w:lvlJc w:val="left"/>
      <w:pPr>
        <w:ind w:left="5213" w:hanging="360"/>
      </w:pPr>
      <w:rPr>
        <w:rFonts w:hint="default"/>
        <w:lang w:val="hu-HU" w:eastAsia="en-US" w:bidi="ar-SA"/>
      </w:rPr>
    </w:lvl>
    <w:lvl w:ilvl="6" w:tplc="98240F36">
      <w:numFmt w:val="bullet"/>
      <w:lvlText w:val="•"/>
      <w:lvlJc w:val="left"/>
      <w:pPr>
        <w:ind w:left="6031" w:hanging="360"/>
      </w:pPr>
      <w:rPr>
        <w:rFonts w:hint="default"/>
        <w:lang w:val="hu-HU" w:eastAsia="en-US" w:bidi="ar-SA"/>
      </w:rPr>
    </w:lvl>
    <w:lvl w:ilvl="7" w:tplc="CFE86E72">
      <w:numFmt w:val="bullet"/>
      <w:lvlText w:val="•"/>
      <w:lvlJc w:val="left"/>
      <w:pPr>
        <w:ind w:left="6850" w:hanging="360"/>
      </w:pPr>
      <w:rPr>
        <w:rFonts w:hint="default"/>
        <w:lang w:val="hu-HU" w:eastAsia="en-US" w:bidi="ar-SA"/>
      </w:rPr>
    </w:lvl>
    <w:lvl w:ilvl="8" w:tplc="9328137C">
      <w:numFmt w:val="bullet"/>
      <w:lvlText w:val="•"/>
      <w:lvlJc w:val="left"/>
      <w:pPr>
        <w:ind w:left="7669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66B02F0D"/>
    <w:multiLevelType w:val="hybridMultilevel"/>
    <w:tmpl w:val="8BA4B9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139944">
    <w:abstractNumId w:val="0"/>
  </w:num>
  <w:num w:numId="2" w16cid:durableId="848762555">
    <w:abstractNumId w:val="1"/>
  </w:num>
  <w:num w:numId="3" w16cid:durableId="1907493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DB1"/>
    <w:rsid w:val="000C5E72"/>
    <w:rsid w:val="0014382A"/>
    <w:rsid w:val="00253517"/>
    <w:rsid w:val="0040126F"/>
    <w:rsid w:val="00434DB1"/>
    <w:rsid w:val="00516270"/>
    <w:rsid w:val="00565D9C"/>
    <w:rsid w:val="005A25B9"/>
    <w:rsid w:val="007324C7"/>
    <w:rsid w:val="009511D7"/>
    <w:rsid w:val="009B099F"/>
    <w:rsid w:val="00C00C9C"/>
    <w:rsid w:val="00D46BBD"/>
    <w:rsid w:val="00E66860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4DB4A"/>
  <w15:docId w15:val="{A3E93D63-0B8E-498C-A7BE-D0019BD1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824"/>
      <w:outlineLvl w:val="0"/>
    </w:pPr>
    <w:rPr>
      <w:b/>
      <w:bCs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34"/>
    <w:qFormat/>
    <w:pPr>
      <w:ind w:left="1110" w:hanging="360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40126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F031E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0C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0C9C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jt.hu/cgi_bin/njt_doc.cgi?docid=125358.249067" TargetMode="External"/><Relationship Id="rId13" Type="http://schemas.openxmlformats.org/officeDocument/2006/relationships/hyperlink" Target="https://eur-lex.europa.eu/legal-content/HU/TXT/PDF/?uri=CELEX:32015L1535" TargetMode="External"/><Relationship Id="rId18" Type="http://schemas.openxmlformats.org/officeDocument/2006/relationships/hyperlink" Target="https://cdn.kormany.hu/uploads/sheets/4/43/438/438b164972507b76fc1bb0b0e59829d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HU/TXT/PDF/?uri=CELEX%3A32006L0123&amp;rid=2" TargetMode="External"/><Relationship Id="rId12" Type="http://schemas.openxmlformats.org/officeDocument/2006/relationships/hyperlink" Target="http://njt.hu/cgi_bin/njt_doc.cgi?docid=125358.249067" TargetMode="External"/><Relationship Id="rId17" Type="http://schemas.openxmlformats.org/officeDocument/2006/relationships/hyperlink" Target="https://cdn.kormany.hu/uploads/sheets/b/b4/b4f/b4f4e5e8991af48e51a1f59e4bc644f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cdn.kormany.hu/uploads/sheets/3/3c/3c4/3c42a69eca6a89ab58671227ea2b6e8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ervicesnotification@eum.gov.hu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technical-regulation-information-system.ec.europa.eu/hu/home" TargetMode="External"/><Relationship Id="rId10" Type="http://schemas.openxmlformats.org/officeDocument/2006/relationships/hyperlink" Target="http://ec.europa.eu/internal_market/imi-net/index_en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jt.hu/cgi_bin/njt_doc.cgi?docid=163709.285393" TargetMode="External"/><Relationship Id="rId14" Type="http://schemas.openxmlformats.org/officeDocument/2006/relationships/hyperlink" Target="http://net.jogtar.hu/jr/gen/hjegy_doc.cgi?docid=A0900102.K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894</Words>
  <Characters>6860</Characters>
  <Application>Microsoft Office Word</Application>
  <DocSecurity>0</DocSecurity>
  <Lines>142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Krisztina dr.</dc:creator>
  <cp:lastModifiedBy>Sárvári Viktor</cp:lastModifiedBy>
  <cp:revision>5</cp:revision>
  <dcterms:created xsi:type="dcterms:W3CDTF">2023-09-28T11:02:00Z</dcterms:created>
  <dcterms:modified xsi:type="dcterms:W3CDTF">2024-01-12T09:53:00Z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2023-09-25T00:00:00Z</vt:filetime>
  </property>
  <property fmtid="{D5CDD505-2E9C-101B-9397-08002B2CF9AE}" pid="5" name="GrammarlyDocumentId">
    <vt:lpwstr>a752de9f7303c5641c99cdae1a19304440af57969e6608c853e85fd7609445d2</vt:lpwstr>
  </property>
</Properties>
</file>