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77FA" w14:textId="1082DE3F" w:rsidR="00A94EFE" w:rsidRPr="00377D59" w:rsidRDefault="3D6ED029" w:rsidP="3D6ED029">
      <w:pPr>
        <w:tabs>
          <w:tab w:val="center" w:pos="4536"/>
        </w:tabs>
        <w:bidi/>
        <w:spacing w:after="120" w:line="240" w:lineRule="auto"/>
        <w:ind w:left="-142" w:right="-1" w:firstLine="142"/>
        <w:rPr>
          <w:rFonts w:ascii="Times New Roman" w:eastAsia="Times New Roman" w:hAnsi="Times New Roman" w:cs="Times New Roman"/>
          <w:b/>
          <w:bCs/>
          <w:smallCaps/>
          <w:sz w:val="32"/>
          <w:szCs w:val="32"/>
          <w:lang w:eastAsia="hu-HU"/>
        </w:rPr>
      </w:pPr>
      <w:r w:rsidRPr="3D6ED029">
        <w:rPr>
          <w:rFonts w:ascii="Times New Roman" w:eastAsia="Times New Roman" w:hAnsi="Times New Roman" w:cs="Times New Roman"/>
          <w:b/>
          <w:bCs/>
          <w:smallCaps/>
          <w:sz w:val="32"/>
          <w:szCs w:val="32"/>
          <w:lang w:eastAsia="hu-HU"/>
        </w:rPr>
        <w:t>Pénzügyminisztérium</w:t>
      </w:r>
    </w:p>
    <w:p w14:paraId="36F33C9C" w14:textId="77777777" w:rsidR="001E689B" w:rsidRPr="00377D59" w:rsidRDefault="001E689B"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5"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6"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7"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8"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9"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26"/>
          <w:szCs w:val="26"/>
          <w:lang w:eastAsia="hu-HU"/>
        </w:rPr>
      </w:pPr>
    </w:p>
    <w:p w14:paraId="7B7689EB" w14:textId="74BA5630" w:rsidR="00B155FE" w:rsidRDefault="00B155FE"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4EE6826E" w14:textId="77777777" w:rsidR="000A4839" w:rsidRPr="00377D59" w:rsidRDefault="000A4839" w:rsidP="000A4839">
      <w:pPr>
        <w:keepNext/>
        <w:widowControl w:val="0"/>
        <w:tabs>
          <w:tab w:val="left" w:pos="1995"/>
        </w:tabs>
        <w:spacing w:after="120" w:line="240" w:lineRule="auto"/>
        <w:jc w:val="center"/>
        <w:rPr>
          <w:rFonts w:ascii="Times New Roman" w:eastAsia="Times New Roman" w:hAnsi="Times New Roman" w:cs="Times New Roman"/>
          <w:caps/>
          <w:spacing w:val="60"/>
          <w:sz w:val="32"/>
          <w:szCs w:val="20"/>
          <w:lang w:eastAsia="hu-HU"/>
        </w:rPr>
      </w:pPr>
    </w:p>
    <w:p w14:paraId="7B7689EC"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D"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E" w14:textId="77777777" w:rsidR="00B155FE" w:rsidRPr="00377D59" w:rsidRDefault="00B155FE" w:rsidP="00B155FE">
      <w:pPr>
        <w:keepNext/>
        <w:widowControl w:val="0"/>
        <w:spacing w:after="120" w:line="240" w:lineRule="auto"/>
        <w:jc w:val="center"/>
        <w:rPr>
          <w:rFonts w:ascii="Times New Roman" w:eastAsia="Times New Roman" w:hAnsi="Times New Roman" w:cs="Times New Roman"/>
          <w:caps/>
          <w:spacing w:val="60"/>
          <w:sz w:val="32"/>
          <w:szCs w:val="20"/>
          <w:lang w:eastAsia="hu-HU"/>
        </w:rPr>
      </w:pPr>
    </w:p>
    <w:p w14:paraId="7B7689EF" w14:textId="77777777" w:rsidR="00B155FE" w:rsidRPr="00377D59" w:rsidRDefault="00B155FE" w:rsidP="3D6ED029">
      <w:pPr>
        <w:keepNext/>
        <w:widowControl w:val="0"/>
        <w:spacing w:after="120" w:line="240" w:lineRule="auto"/>
        <w:jc w:val="center"/>
        <w:rPr>
          <w:rFonts w:ascii="Times New Roman" w:eastAsia="Times New Roman" w:hAnsi="Times New Roman" w:cs="Times New Roman"/>
          <w:b/>
          <w:bCs/>
          <w:caps/>
          <w:sz w:val="32"/>
          <w:szCs w:val="32"/>
          <w:lang w:eastAsia="hu-HU"/>
        </w:rPr>
      </w:pPr>
      <w:r w:rsidRPr="00377D59">
        <w:rPr>
          <w:rFonts w:ascii="Times New Roman" w:eastAsia="Times New Roman" w:hAnsi="Times New Roman" w:cs="Times New Roman"/>
          <w:b/>
          <w:bCs/>
          <w:caps/>
          <w:spacing w:val="60"/>
          <w:sz w:val="32"/>
          <w:szCs w:val="32"/>
          <w:lang w:eastAsia="hu-HU"/>
        </w:rPr>
        <w:t>Tájékoztató</w:t>
      </w:r>
    </w:p>
    <w:p w14:paraId="5AE02B14" w14:textId="23F97A0D" w:rsidR="00B94CCA" w:rsidRPr="00377D59" w:rsidRDefault="3D6ED029" w:rsidP="3D6ED029">
      <w:pPr>
        <w:keepNext/>
        <w:tabs>
          <w:tab w:val="left" w:pos="2694"/>
        </w:tabs>
        <w:spacing w:after="120" w:line="240" w:lineRule="auto"/>
        <w:ind w:right="-1"/>
        <w:jc w:val="center"/>
        <w:outlineLvl w:val="1"/>
        <w:rPr>
          <w:rFonts w:ascii="Times New Roman" w:eastAsia="Times New Roman" w:hAnsi="Times New Roman" w:cs="Times New Roman"/>
          <w:b/>
          <w:bCs/>
          <w:i/>
          <w:iCs/>
          <w:sz w:val="26"/>
          <w:szCs w:val="26"/>
          <w:lang w:eastAsia="hu-HU"/>
        </w:rPr>
      </w:pPr>
      <w:r w:rsidRPr="3D6ED029">
        <w:rPr>
          <w:rFonts w:ascii="Times New Roman" w:eastAsia="Times New Roman" w:hAnsi="Times New Roman" w:cs="Times New Roman"/>
          <w:b/>
          <w:bCs/>
          <w:i/>
          <w:iCs/>
          <w:sz w:val="26"/>
          <w:szCs w:val="26"/>
          <w:lang w:eastAsia="hu-HU"/>
        </w:rPr>
        <w:t>az államháztartás központi alrendszerének</w:t>
      </w:r>
      <w:r w:rsidR="1B95ADFA">
        <w:br/>
      </w:r>
      <w:r w:rsidRPr="3D6ED029">
        <w:rPr>
          <w:rFonts w:ascii="Times New Roman" w:eastAsia="Times New Roman" w:hAnsi="Times New Roman" w:cs="Times New Roman"/>
          <w:b/>
          <w:bCs/>
          <w:i/>
          <w:iCs/>
          <w:sz w:val="26"/>
          <w:szCs w:val="26"/>
          <w:lang w:eastAsia="hu-HU"/>
        </w:rPr>
        <w:t>2026. május végi helyzetéről</w:t>
      </w:r>
    </w:p>
    <w:p w14:paraId="7B7689F2" w14:textId="2D4563EC" w:rsidR="00B155FE" w:rsidRPr="00377D59" w:rsidRDefault="00B155FE"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4A2F8C9F"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D327E5D"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35267E04"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20BD3D31"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16E13D32"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59F56A13" w14:textId="77777777" w:rsidR="001E689B" w:rsidRPr="00377D59" w:rsidRDefault="001E689B" w:rsidP="3F8285E0">
      <w:pPr>
        <w:tabs>
          <w:tab w:val="left" w:pos="2694"/>
        </w:tabs>
        <w:spacing w:after="120" w:line="240" w:lineRule="auto"/>
        <w:jc w:val="both"/>
        <w:rPr>
          <w:rFonts w:ascii="Times New Roman" w:eastAsia="Times New Roman" w:hAnsi="Times New Roman" w:cs="Times New Roman"/>
          <w:sz w:val="26"/>
          <w:szCs w:val="26"/>
          <w:lang w:eastAsia="hu-HU"/>
        </w:rPr>
      </w:pPr>
    </w:p>
    <w:p w14:paraId="7B7689F4"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6" w14:textId="77777777" w:rsidR="00B155FE" w:rsidRPr="00377D59" w:rsidRDefault="00B155FE" w:rsidP="00B155FE">
      <w:pPr>
        <w:tabs>
          <w:tab w:val="left" w:pos="2694"/>
        </w:tabs>
        <w:spacing w:after="120" w:line="240" w:lineRule="auto"/>
        <w:jc w:val="both"/>
        <w:rPr>
          <w:rFonts w:ascii="Times New Roman" w:eastAsia="Times New Roman" w:hAnsi="Times New Roman" w:cs="Times New Roman"/>
          <w:sz w:val="26"/>
          <w:szCs w:val="20"/>
          <w:lang w:eastAsia="hu-HU"/>
        </w:rPr>
      </w:pPr>
    </w:p>
    <w:p w14:paraId="7B7689F7"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8" w14:textId="7C3BEFF0" w:rsidR="00B155FE" w:rsidRPr="00377D59" w:rsidRDefault="00B155FE" w:rsidP="00EA1F58">
      <w:pPr>
        <w:tabs>
          <w:tab w:val="left" w:pos="5685"/>
        </w:tabs>
        <w:spacing w:after="120" w:line="240" w:lineRule="auto"/>
        <w:jc w:val="both"/>
        <w:rPr>
          <w:rFonts w:ascii="Times New Roman" w:eastAsia="Times New Roman" w:hAnsi="Times New Roman" w:cs="Times New Roman"/>
          <w:sz w:val="26"/>
          <w:szCs w:val="20"/>
          <w:lang w:eastAsia="hu-HU"/>
        </w:rPr>
      </w:pPr>
    </w:p>
    <w:p w14:paraId="7B7689F9"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A"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7B7689FB" w14:textId="77777777" w:rsidR="00B155FE" w:rsidRPr="00377D59" w:rsidRDefault="00B155FE" w:rsidP="00B155FE">
      <w:pPr>
        <w:spacing w:after="120" w:line="240" w:lineRule="auto"/>
        <w:jc w:val="both"/>
        <w:rPr>
          <w:rFonts w:ascii="Times New Roman" w:eastAsia="Times New Roman" w:hAnsi="Times New Roman" w:cs="Times New Roman"/>
          <w:sz w:val="26"/>
          <w:szCs w:val="20"/>
          <w:lang w:eastAsia="hu-HU"/>
        </w:rPr>
      </w:pPr>
    </w:p>
    <w:p w14:paraId="1CF999E6" w14:textId="3914ECD5" w:rsidR="00E97147" w:rsidRPr="00377D59" w:rsidRDefault="00B155FE" w:rsidP="3D6ED029">
      <w:pPr>
        <w:tabs>
          <w:tab w:val="left" w:pos="2694"/>
        </w:tabs>
        <w:spacing w:after="120" w:line="240" w:lineRule="auto"/>
        <w:jc w:val="center"/>
        <w:rPr>
          <w:rFonts w:ascii="Times New Roman" w:eastAsia="Times New Roman" w:hAnsi="Times New Roman" w:cs="Times New Roman"/>
          <w:b/>
          <w:bCs/>
          <w:lang w:eastAsia="hu-HU"/>
        </w:rPr>
        <w:sectPr w:rsidR="00E97147" w:rsidRPr="00377D59" w:rsidSect="007449BF">
          <w:headerReference w:type="default" r:id="rId11"/>
          <w:footerReference w:type="default" r:id="rId12"/>
          <w:footerReference w:type="first" r:id="rId13"/>
          <w:footnotePr>
            <w:numRestart w:val="eachPage"/>
          </w:footnotePr>
          <w:pgSz w:w="11907" w:h="16840" w:code="9"/>
          <w:pgMar w:top="1134" w:right="1134" w:bottom="1418" w:left="1418" w:header="709" w:footer="709" w:gutter="0"/>
          <w:pgNumType w:fmt="numberInDash" w:start="0"/>
          <w:cols w:space="708"/>
          <w:docGrid w:linePitch="354"/>
        </w:sectPr>
      </w:pPr>
      <w:r w:rsidRPr="00377D59">
        <w:rPr>
          <w:rFonts w:ascii="Times New Roman" w:eastAsia="Times New Roman" w:hAnsi="Times New Roman" w:cs="Times New Roman"/>
          <w:b/>
          <w:bCs/>
          <w:noProof/>
          <w:lang w:eastAsia="hu-HU"/>
        </w:rPr>
        <mc:AlternateContent>
          <mc:Choice Requires="wps">
            <w:drawing>
              <wp:anchor distT="0" distB="0" distL="114300" distR="114300" simplePos="0" relativeHeight="251658240" behindDoc="0" locked="0" layoutInCell="1" allowOverlap="1" wp14:anchorId="7B768C6C" wp14:editId="7B768C6D">
                <wp:simplePos x="0" y="0"/>
                <wp:positionH relativeFrom="column">
                  <wp:posOffset>2336732</wp:posOffset>
                </wp:positionH>
                <wp:positionV relativeFrom="paragraph">
                  <wp:posOffset>980217</wp:posOffset>
                </wp:positionV>
                <wp:extent cx="971550" cy="393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D87395B">
              <v:rect id="Rectangle 2" style="position:absolute;margin-left:184pt;margin-top:77.2pt;width:76.5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986F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D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lRHtIzGFeD15N5tCFAZx40/eyQ0ncdePEba/XQccKAVBb8k7MDwXBwFK2Gt5oB&#10;Otl4HTO1a20fACEHaBcL8nwsCN95RGGxmmVlCWWjsHVZXabTMt5A6sNhY51/zXWPwqTBFqhHcLJ9&#10;cD6QIfXBJZLXUrClkDIadr26kxZtCWhjGb89ujt1kyo4Kx2OjYjjCnCEO8JeYBtr/a3K8iK9zavJ&#10;cjqfTYplUU6qWTqfpFl1W03Toirul98DwayoO8EYVw9C8YPusuLv6rrvgFExUXlogFyVeRljP2Pv&#10;ToNM4/enIHvhoQ2l6Bs8PzqROtT1lWIQNqk9EXKcJ+f0Y5YhB4d/zEpUQSj8KKCVZs8gAquhSFBP&#10;eDBg0mn7FaMBmq/B7suGWI6RfKNASFVWFKFbo1GUsxwMe7qzOt0higJUgz1G4/TOjx2+MVasO7gp&#10;i4lR+gbE14oojCDMkdVestBgMYL9YxA6+NSOXj+frMUPAAAA//8DAFBLAwQUAAYACAAAACEA64AB&#10;ZN8AAAALAQAADwAAAGRycy9kb3ducmV2LnhtbEyPzU7DMBCE70i8g7VI3KidP6ukcSqE1BNwoEXi&#10;uo3dJGpsh9hpw9uznOC4M6PZb6rtYgd2MVPovVOQrAQw4xqve9cq+DjsHtbAQkSncfDOKPg2Abb1&#10;7U2FpfZX924u+9gyKnGhRAVdjGPJeWg6YzGs/GgceSc/WYx0Ti3XE16p3A48FUJyi72jDx2O5rkz&#10;zXk/WwUoc/31dspeDy+zxMd2EbviUyh1f7c8bYBFs8S/MPziEzrUxHT0s9OBDQoyuaYtkYwiz4FR&#10;okgTUo4K0kRmwOuK/99Q/wAAAP//AwBQSwECLQAUAAYACAAAACEAtoM4kv4AAADhAQAAEwAAAAAA&#10;AAAAAAAAAAAAAAAAW0NvbnRlbnRfVHlwZXNdLnhtbFBLAQItABQABgAIAAAAIQA4/SH/1gAAAJQB&#10;AAALAAAAAAAAAAAAAAAAAC8BAABfcmVscy8ucmVsc1BLAQItABQABgAIAAAAIQCDHuzDewIAAPoE&#10;AAAOAAAAAAAAAAAAAAAAAC4CAABkcnMvZTJvRG9jLnhtbFBLAQItABQABgAIAAAAIQDrgAFk3wAA&#10;AAsBAAAPAAAAAAAAAAAAAAAAANUEAABkcnMvZG93bnJldi54bWxQSwUGAAAAAAQABADzAAAA4QUA&#10;AAAA&#10;"/>
            </w:pict>
          </mc:Fallback>
        </mc:AlternateContent>
      </w:r>
      <w:r w:rsidRPr="00377D59">
        <w:rPr>
          <w:rFonts w:ascii="Times New Roman" w:eastAsia="Times New Roman" w:hAnsi="Times New Roman" w:cs="Times New Roman"/>
          <w:b/>
          <w:bCs/>
          <w:lang w:eastAsia="hu-HU"/>
        </w:rPr>
        <w:t>202</w:t>
      </w:r>
      <w:r w:rsidR="00300C27">
        <w:rPr>
          <w:rFonts w:ascii="Times New Roman" w:eastAsia="Times New Roman" w:hAnsi="Times New Roman" w:cs="Times New Roman"/>
          <w:b/>
          <w:bCs/>
          <w:lang w:eastAsia="hu-HU"/>
        </w:rPr>
        <w:t>6</w:t>
      </w:r>
      <w:r w:rsidRPr="00377D59">
        <w:rPr>
          <w:rFonts w:ascii="Times New Roman" w:eastAsia="Times New Roman" w:hAnsi="Times New Roman" w:cs="Times New Roman"/>
          <w:b/>
          <w:bCs/>
          <w:lang w:eastAsia="hu-HU"/>
        </w:rPr>
        <w:t xml:space="preserve">. </w:t>
      </w:r>
      <w:r w:rsidR="00844026">
        <w:rPr>
          <w:rFonts w:ascii="Times New Roman" w:eastAsia="Times New Roman" w:hAnsi="Times New Roman" w:cs="Times New Roman"/>
          <w:b/>
          <w:bCs/>
          <w:lang w:eastAsia="hu-HU"/>
        </w:rPr>
        <w:t>június</w:t>
      </w:r>
    </w:p>
    <w:p w14:paraId="7B7689FF" w14:textId="62220320" w:rsidR="00B155FE" w:rsidRPr="00377D59" w:rsidRDefault="3D6ED029" w:rsidP="3D6ED029">
      <w:pPr>
        <w:keepNext/>
        <w:spacing w:before="240" w:after="120" w:line="360" w:lineRule="auto"/>
        <w:ind w:left="425" w:hanging="425"/>
        <w:jc w:val="center"/>
        <w:outlineLvl w:val="3"/>
        <w:rPr>
          <w:rFonts w:ascii="Times New Roman" w:eastAsia="Times New Roman" w:hAnsi="Times New Roman" w:cs="Times New Roman"/>
          <w:b/>
          <w:bCs/>
          <w:caps/>
          <w:color w:val="000000" w:themeColor="text1"/>
          <w:sz w:val="26"/>
          <w:szCs w:val="26"/>
          <w:lang w:eastAsia="hu-HU"/>
        </w:rPr>
      </w:pPr>
      <w:r w:rsidRPr="3D6ED029">
        <w:rPr>
          <w:rFonts w:ascii="Times New Roman" w:eastAsia="Times New Roman" w:hAnsi="Times New Roman" w:cs="Times New Roman"/>
          <w:b/>
          <w:bCs/>
          <w:caps/>
          <w:color w:val="000000" w:themeColor="text1"/>
          <w:sz w:val="26"/>
          <w:szCs w:val="26"/>
          <w:lang w:eastAsia="hu-HU"/>
        </w:rPr>
        <w:lastRenderedPageBreak/>
        <w:t>Összefoglalás</w:t>
      </w:r>
    </w:p>
    <w:p w14:paraId="057748E9" w14:textId="4EE1C466" w:rsidR="00FF26B9" w:rsidRPr="00FF26B9" w:rsidRDefault="00FF26B9" w:rsidP="00FF26B9">
      <w:pPr>
        <w:widowControl w:val="0"/>
        <w:spacing w:after="120" w:line="254" w:lineRule="auto"/>
        <w:jc w:val="both"/>
        <w:rPr>
          <w:rFonts w:ascii="Times New Roman" w:eastAsia="Times New Roman" w:hAnsi="Times New Roman" w:cs="Times New Roman"/>
          <w:color w:val="000000" w:themeColor="text1"/>
          <w:sz w:val="25"/>
          <w:szCs w:val="25"/>
          <w:lang w:eastAsia="hu-HU"/>
        </w:rPr>
      </w:pPr>
      <w:r w:rsidRPr="00FF26B9">
        <w:rPr>
          <w:rFonts w:ascii="Times New Roman" w:eastAsia="Times New Roman" w:hAnsi="Times New Roman" w:cs="Times New Roman"/>
          <w:color w:val="000000" w:themeColor="text1"/>
          <w:sz w:val="25"/>
          <w:szCs w:val="25"/>
          <w:lang w:eastAsia="hu-HU"/>
        </w:rPr>
        <w:t>Május végéig az államháztartás központi alrendszere 3806,3 milliárd forintos hiánnyal zárt, ez a költségvetési törvényben szereplő éves hiánycél 90,2%-a. A központi alrendszeren belül a</w:t>
      </w:r>
      <w:r>
        <w:rPr>
          <w:rFonts w:ascii="Times New Roman" w:eastAsia="Times New Roman" w:hAnsi="Times New Roman" w:cs="Times New Roman"/>
          <w:color w:val="000000" w:themeColor="text1"/>
          <w:sz w:val="25"/>
          <w:szCs w:val="25"/>
          <w:lang w:eastAsia="hu-HU"/>
        </w:rPr>
        <w:t> </w:t>
      </w:r>
      <w:r w:rsidRPr="00FF26B9">
        <w:rPr>
          <w:rFonts w:ascii="Times New Roman" w:eastAsia="Times New Roman" w:hAnsi="Times New Roman" w:cs="Times New Roman"/>
          <w:color w:val="000000" w:themeColor="text1"/>
          <w:sz w:val="25"/>
          <w:szCs w:val="25"/>
          <w:lang w:eastAsia="hu-HU"/>
        </w:rPr>
        <w:t>központi költségvetés 3694,8 milliárd forintos hiányt, az elkülönített állami pénzalapok 70,9</w:t>
      </w:r>
      <w:r>
        <w:rPr>
          <w:rFonts w:ascii="Times New Roman" w:eastAsia="Times New Roman" w:hAnsi="Times New Roman" w:cs="Times New Roman"/>
          <w:color w:val="000000" w:themeColor="text1"/>
          <w:sz w:val="25"/>
          <w:szCs w:val="25"/>
          <w:lang w:eastAsia="hu-HU"/>
        </w:rPr>
        <w:t> </w:t>
      </w:r>
      <w:r w:rsidRPr="00FF26B9">
        <w:rPr>
          <w:rFonts w:ascii="Times New Roman" w:eastAsia="Times New Roman" w:hAnsi="Times New Roman" w:cs="Times New Roman"/>
          <w:color w:val="000000" w:themeColor="text1"/>
          <w:sz w:val="25"/>
          <w:szCs w:val="25"/>
          <w:lang w:eastAsia="hu-HU"/>
        </w:rPr>
        <w:t>milliárd forintos többletet, a társadalombiztosítás pénzügyi alapjai pedig 182,4 milliárd forintos hiányt mutattak.</w:t>
      </w:r>
    </w:p>
    <w:p w14:paraId="4C34B603" w14:textId="77777777" w:rsidR="00FF26B9" w:rsidRPr="00FF26B9" w:rsidRDefault="00FF26B9" w:rsidP="00FF26B9">
      <w:pPr>
        <w:widowControl w:val="0"/>
        <w:spacing w:after="120" w:line="254" w:lineRule="auto"/>
        <w:jc w:val="both"/>
        <w:rPr>
          <w:rFonts w:ascii="Times New Roman" w:eastAsia="Times New Roman" w:hAnsi="Times New Roman" w:cs="Times New Roman"/>
          <w:color w:val="000000" w:themeColor="text1"/>
          <w:sz w:val="25"/>
          <w:szCs w:val="25"/>
          <w:lang w:eastAsia="hu-HU"/>
        </w:rPr>
      </w:pPr>
      <w:r w:rsidRPr="00FF26B9">
        <w:rPr>
          <w:rFonts w:ascii="Times New Roman" w:eastAsia="Times New Roman" w:hAnsi="Times New Roman" w:cs="Times New Roman"/>
          <w:color w:val="000000" w:themeColor="text1"/>
          <w:sz w:val="25"/>
          <w:szCs w:val="25"/>
          <w:lang w:eastAsia="hu-HU"/>
        </w:rPr>
        <w:t>Májusban (egy hónap alatt) a központi alrendszer 43,5 milliárd forint többlettel zárt, szemben az előző évi azonos havi 129,5 milliárd forintos többlettel.</w:t>
      </w:r>
    </w:p>
    <w:p w14:paraId="1D3760BE" w14:textId="77777777" w:rsidR="00FF26B9" w:rsidRPr="00FF26B9" w:rsidRDefault="00FF26B9" w:rsidP="00FF26B9">
      <w:pPr>
        <w:widowControl w:val="0"/>
        <w:spacing w:after="120" w:line="254" w:lineRule="auto"/>
        <w:jc w:val="both"/>
        <w:rPr>
          <w:rFonts w:ascii="Times New Roman" w:eastAsia="Times New Roman" w:hAnsi="Times New Roman" w:cs="Times New Roman"/>
          <w:color w:val="000000" w:themeColor="text1"/>
          <w:sz w:val="25"/>
          <w:szCs w:val="25"/>
          <w:lang w:eastAsia="hu-HU"/>
        </w:rPr>
      </w:pPr>
      <w:r w:rsidRPr="00FF26B9">
        <w:rPr>
          <w:rFonts w:ascii="Times New Roman" w:eastAsia="Times New Roman" w:hAnsi="Times New Roman" w:cs="Times New Roman"/>
          <w:color w:val="000000" w:themeColor="text1"/>
          <w:sz w:val="25"/>
          <w:szCs w:val="25"/>
          <w:lang w:eastAsia="hu-HU"/>
        </w:rPr>
        <w:t>A központi alrendszer adó- és járulékbevételei az előző év első öt hónapjához képest 6,0%-kal magasabban alakultak.</w:t>
      </w:r>
    </w:p>
    <w:p w14:paraId="70870FB8" w14:textId="14C85EC2" w:rsidR="00FF26B9" w:rsidRPr="00FF26B9" w:rsidRDefault="00FF26B9" w:rsidP="00FF26B9">
      <w:pPr>
        <w:widowControl w:val="0"/>
        <w:spacing w:after="120" w:line="254" w:lineRule="auto"/>
        <w:jc w:val="both"/>
        <w:rPr>
          <w:rFonts w:ascii="Times New Roman" w:eastAsia="Times New Roman" w:hAnsi="Times New Roman" w:cs="Times New Roman"/>
          <w:color w:val="000000" w:themeColor="text1"/>
          <w:sz w:val="25"/>
          <w:szCs w:val="25"/>
          <w:lang w:eastAsia="hu-HU"/>
        </w:rPr>
      </w:pPr>
      <w:r w:rsidRPr="00FF26B9">
        <w:rPr>
          <w:rFonts w:ascii="Times New Roman" w:eastAsia="Times New Roman" w:hAnsi="Times New Roman" w:cs="Times New Roman"/>
          <w:color w:val="000000" w:themeColor="text1"/>
          <w:sz w:val="25"/>
          <w:szCs w:val="25"/>
          <w:lang w:eastAsia="hu-HU"/>
        </w:rPr>
        <w:t>Május hónapban két egyszeri hatás is csökkentette azonban a bevételeket. A tavalyi május havinál alacsonyabban alakultak a társasági adó és áfa bevételek. A társasági adóból származó bevétel májusban 55,6 milliárd forinttal maradt el az előző év azonos időszakához képest. A</w:t>
      </w:r>
      <w:r>
        <w:rPr>
          <w:rFonts w:ascii="Times New Roman" w:eastAsia="Times New Roman" w:hAnsi="Times New Roman" w:cs="Times New Roman"/>
          <w:color w:val="000000" w:themeColor="text1"/>
          <w:sz w:val="25"/>
          <w:szCs w:val="25"/>
          <w:lang w:eastAsia="hu-HU"/>
        </w:rPr>
        <w:t> </w:t>
      </w:r>
      <w:r w:rsidRPr="00FF26B9">
        <w:rPr>
          <w:rFonts w:ascii="Times New Roman" w:eastAsia="Times New Roman" w:hAnsi="Times New Roman" w:cs="Times New Roman"/>
          <w:color w:val="000000" w:themeColor="text1"/>
          <w:sz w:val="25"/>
          <w:szCs w:val="25"/>
          <w:lang w:eastAsia="hu-HU"/>
        </w:rPr>
        <w:t>bevétel alakulását érdemben befolyásolta, hogy az év végi elszámoláshoz kapcsolódó befizetések a határidő munkaszüneti nap esése miatt 2025-ben és 2026-ban is június 1-jére tolódtak, ugyanakkor a határidő előtti befizetések idén elmaradtak a tavalyitól. Az általános forgalmi adóból származó bevétel 55,4 milliárd forinttal maradt el az előző év azonos időszakához képest. Az eltérés hátterében elsősorban a magasabb negyedéves bevallásokhoz kapcsolódó kiutalások és az OSS (egyablakos rendszer) elszámolások alakulása áll.</w:t>
      </w:r>
    </w:p>
    <w:p w14:paraId="0872F69D" w14:textId="77777777" w:rsidR="00FF26B9" w:rsidRPr="00FF26B9" w:rsidRDefault="00FF26B9" w:rsidP="00FF26B9">
      <w:pPr>
        <w:widowControl w:val="0"/>
        <w:spacing w:after="120" w:line="254" w:lineRule="auto"/>
        <w:jc w:val="both"/>
        <w:rPr>
          <w:rFonts w:ascii="Times New Roman" w:eastAsia="Times New Roman" w:hAnsi="Times New Roman" w:cs="Times New Roman"/>
          <w:color w:val="000000" w:themeColor="text1"/>
          <w:sz w:val="25"/>
          <w:szCs w:val="25"/>
          <w:lang w:eastAsia="hu-HU"/>
        </w:rPr>
      </w:pPr>
      <w:r w:rsidRPr="00FF26B9">
        <w:rPr>
          <w:rFonts w:ascii="Times New Roman" w:eastAsia="Times New Roman" w:hAnsi="Times New Roman" w:cs="Times New Roman"/>
          <w:color w:val="000000" w:themeColor="text1"/>
          <w:sz w:val="25"/>
          <w:szCs w:val="25"/>
          <w:lang w:eastAsia="hu-HU"/>
        </w:rPr>
        <w:t>Visszatérve az első öt hónapra: meghaladták a tavalyi összeget a nyugellátásokra és gyógyító-megelőző ellátásokra fordított kiadások is. Május végéig – a 13. és részbeni 14. havi nyugdíjjal és ellátással együtt – nyugellátásokra és nyugdíjszerű ellátásokra összesen 3699,2 milliárd forint, míg gyógyító-megelőző ellátásokra 1295,0 milliárd forint kifizetése történt meg.</w:t>
      </w:r>
    </w:p>
    <w:p w14:paraId="3D6BA6BF" w14:textId="7A6D40BB" w:rsidR="00FF26B9" w:rsidRPr="00FF26B9" w:rsidRDefault="00FF26B9" w:rsidP="00FF26B9">
      <w:pPr>
        <w:widowControl w:val="0"/>
        <w:spacing w:after="120" w:line="254" w:lineRule="auto"/>
        <w:jc w:val="both"/>
        <w:rPr>
          <w:rFonts w:ascii="Times New Roman" w:eastAsia="Times New Roman" w:hAnsi="Times New Roman" w:cs="Times New Roman"/>
          <w:color w:val="000000" w:themeColor="text1"/>
          <w:sz w:val="25"/>
          <w:szCs w:val="25"/>
          <w:lang w:eastAsia="hu-HU"/>
        </w:rPr>
      </w:pPr>
      <w:r w:rsidRPr="00FF26B9">
        <w:rPr>
          <w:rFonts w:ascii="Times New Roman" w:eastAsia="Times New Roman" w:hAnsi="Times New Roman" w:cs="Times New Roman"/>
          <w:color w:val="000000" w:themeColor="text1"/>
          <w:sz w:val="25"/>
          <w:szCs w:val="25"/>
          <w:lang w:eastAsia="hu-HU"/>
        </w:rPr>
        <w:t>Az állami közlekedési és közüzemi szolgáltatások támogatására 2026 első öt hónapjában fordított, összesen 1191,7 milliárd forint kifizetés 144,5 milliárd forinttal lett magasabb az</w:t>
      </w:r>
      <w:r>
        <w:rPr>
          <w:rFonts w:ascii="Times New Roman" w:eastAsia="Times New Roman" w:hAnsi="Times New Roman" w:cs="Times New Roman"/>
          <w:color w:val="000000" w:themeColor="text1"/>
          <w:sz w:val="25"/>
          <w:szCs w:val="25"/>
          <w:lang w:eastAsia="hu-HU"/>
        </w:rPr>
        <w:t> </w:t>
      </w:r>
      <w:r w:rsidRPr="00FF26B9">
        <w:rPr>
          <w:rFonts w:ascii="Times New Roman" w:eastAsia="Times New Roman" w:hAnsi="Times New Roman" w:cs="Times New Roman"/>
          <w:color w:val="000000" w:themeColor="text1"/>
          <w:sz w:val="25"/>
          <w:szCs w:val="25"/>
          <w:lang w:eastAsia="hu-HU"/>
        </w:rPr>
        <w:t>előző év azonos időszakánál. A teljesítési adatok előző évihez viszonyított magasabb összege a gyorsforgalmi úthálózat rendelkezésre állási díjának szerződésből fakadó változásából, valamint a közösségi közlekedési és a közüzemi szolgáltatások teljesítésére fordított támogatási igények eltérő ütemezésének kifizetéseiből fakadt.</w:t>
      </w:r>
    </w:p>
    <w:p w14:paraId="65E8D2B0" w14:textId="77777777" w:rsidR="00FF26B9" w:rsidRPr="00FF26B9" w:rsidRDefault="00FF26B9" w:rsidP="00FF26B9">
      <w:pPr>
        <w:widowControl w:val="0"/>
        <w:spacing w:after="120" w:line="254" w:lineRule="auto"/>
        <w:jc w:val="both"/>
        <w:rPr>
          <w:rFonts w:ascii="Times New Roman" w:eastAsia="Times New Roman" w:hAnsi="Times New Roman" w:cs="Times New Roman"/>
          <w:color w:val="000000" w:themeColor="text1"/>
          <w:sz w:val="25"/>
          <w:szCs w:val="25"/>
          <w:lang w:eastAsia="hu-HU"/>
        </w:rPr>
      </w:pPr>
      <w:r w:rsidRPr="00FF26B9">
        <w:rPr>
          <w:rFonts w:ascii="Times New Roman" w:eastAsia="Times New Roman" w:hAnsi="Times New Roman" w:cs="Times New Roman"/>
          <w:color w:val="000000" w:themeColor="text1"/>
          <w:sz w:val="25"/>
          <w:szCs w:val="25"/>
          <w:lang w:eastAsia="hu-HU"/>
        </w:rPr>
        <w:t>Az állami beruházási fejezet kiadása 2026 első öt hónapjában összesen 334,5 milliárd forint volt, mely számottevően nagyobb az előző év azonos időszakához képest. A fejezet kiadásait az egyes projektek előrehaladása határozza meg, az eltérést elsősorban egyes útberuházásokhoz kapcsolódó kifizetések okozzák.</w:t>
      </w:r>
    </w:p>
    <w:p w14:paraId="7B768A0B" w14:textId="2FE799F5" w:rsidR="005171E0" w:rsidRDefault="00FF26B9" w:rsidP="00FF26B9">
      <w:pPr>
        <w:widowControl w:val="0"/>
        <w:spacing w:after="120" w:line="254" w:lineRule="auto"/>
        <w:jc w:val="both"/>
        <w:rPr>
          <w:rFonts w:ascii="Times New Roman" w:eastAsia="Times New Roman" w:hAnsi="Times New Roman" w:cs="Times New Roman"/>
          <w:sz w:val="26"/>
          <w:szCs w:val="26"/>
          <w:lang w:eastAsia="hu-HU"/>
        </w:rPr>
      </w:pPr>
      <w:r w:rsidRPr="00FF26B9">
        <w:rPr>
          <w:rFonts w:ascii="Times New Roman" w:eastAsia="Times New Roman" w:hAnsi="Times New Roman" w:cs="Times New Roman"/>
          <w:color w:val="000000" w:themeColor="text1"/>
          <w:sz w:val="25"/>
          <w:szCs w:val="25"/>
          <w:lang w:eastAsia="hu-HU"/>
        </w:rPr>
        <w:t>A lakástámogatásokra idén fordított 209,6 milliárd forint összegű költségvetési kiadás jelentősen meghaladta az előző év azonos időszakának szintjét. Ennek okai egyrészt a Vidéki Otthonfelújítási Program iránt folyamatosan növekvő érdeklődés, másrészt az állami alkalmazottak és a közfoglalkoztatottak részére nyújtott otthontámogatás voltak.</w:t>
      </w:r>
      <w:r w:rsidR="00920F4D" w:rsidRPr="00614FDF">
        <w:rPr>
          <w:rFonts w:ascii="Times New Roman" w:eastAsia="Times New Roman" w:hAnsi="Times New Roman" w:cs="Times New Roman"/>
          <w:sz w:val="26"/>
          <w:szCs w:val="26"/>
          <w:lang w:eastAsia="hu-HU"/>
        </w:rPr>
        <w:br w:type="column"/>
      </w:r>
      <w:r w:rsidR="639E9B9B" w:rsidRPr="639E9B9B">
        <w:rPr>
          <w:rFonts w:ascii="Times New Roman" w:eastAsia="Times New Roman" w:hAnsi="Times New Roman" w:cs="Times New Roman"/>
          <w:sz w:val="26"/>
          <w:szCs w:val="26"/>
          <w:lang w:eastAsia="hu-HU"/>
        </w:rPr>
        <w:lastRenderedPageBreak/>
        <w:t xml:space="preserve">Az államháztartás központi </w:t>
      </w:r>
      <w:r w:rsidR="639E9B9B" w:rsidRPr="00456EAE">
        <w:rPr>
          <w:rFonts w:ascii="Times New Roman" w:eastAsia="Times New Roman" w:hAnsi="Times New Roman" w:cs="Times New Roman"/>
          <w:sz w:val="26"/>
          <w:szCs w:val="26"/>
          <w:lang w:eastAsia="hu-HU"/>
        </w:rPr>
        <w:t>alrendszerének 202</w:t>
      </w:r>
      <w:r w:rsidR="00EB62E4">
        <w:rPr>
          <w:rFonts w:ascii="Times New Roman" w:eastAsia="Times New Roman" w:hAnsi="Times New Roman" w:cs="Times New Roman"/>
          <w:sz w:val="26"/>
          <w:szCs w:val="26"/>
          <w:lang w:eastAsia="hu-HU"/>
        </w:rPr>
        <w:t>6</w:t>
      </w:r>
      <w:r w:rsidR="639E9B9B" w:rsidRPr="00456EAE">
        <w:rPr>
          <w:rFonts w:ascii="Times New Roman" w:eastAsia="Times New Roman" w:hAnsi="Times New Roman" w:cs="Times New Roman"/>
          <w:sz w:val="26"/>
          <w:szCs w:val="26"/>
          <w:lang w:eastAsia="hu-HU"/>
        </w:rPr>
        <w:t>.</w:t>
      </w:r>
      <w:r w:rsidR="00A673CC" w:rsidRPr="00456EAE">
        <w:rPr>
          <w:rFonts w:ascii="Times New Roman" w:eastAsia="Times New Roman" w:hAnsi="Times New Roman" w:cs="Times New Roman"/>
          <w:sz w:val="26"/>
          <w:szCs w:val="26"/>
          <w:lang w:eastAsia="hu-HU"/>
        </w:rPr>
        <w:t> </w:t>
      </w:r>
      <w:r w:rsidR="00A015E9">
        <w:rPr>
          <w:rFonts w:ascii="Times New Roman" w:eastAsia="Times New Roman" w:hAnsi="Times New Roman" w:cs="Times New Roman"/>
          <w:sz w:val="26"/>
          <w:szCs w:val="26"/>
          <w:lang w:eastAsia="hu-HU"/>
        </w:rPr>
        <w:t>máju</w:t>
      </w:r>
      <w:r w:rsidR="00453783">
        <w:rPr>
          <w:rFonts w:ascii="Times New Roman" w:eastAsia="Times New Roman" w:hAnsi="Times New Roman" w:cs="Times New Roman"/>
          <w:sz w:val="26"/>
          <w:szCs w:val="26"/>
          <w:lang w:eastAsia="hu-HU"/>
        </w:rPr>
        <w:t>s</w:t>
      </w:r>
      <w:r w:rsidR="00A673CC" w:rsidRPr="00456EAE">
        <w:rPr>
          <w:rFonts w:ascii="Times New Roman" w:eastAsia="Times New Roman" w:hAnsi="Times New Roman" w:cs="Times New Roman"/>
          <w:sz w:val="26"/>
          <w:szCs w:val="26"/>
          <w:lang w:eastAsia="hu-HU"/>
        </w:rPr>
        <w:t> </w:t>
      </w:r>
      <w:r w:rsidR="639E9B9B" w:rsidRPr="00456EAE">
        <w:rPr>
          <w:rFonts w:ascii="Times New Roman" w:eastAsia="Times New Roman" w:hAnsi="Times New Roman" w:cs="Times New Roman"/>
          <w:sz w:val="26"/>
          <w:szCs w:val="26"/>
          <w:lang w:eastAsia="hu-HU"/>
        </w:rPr>
        <w:t>végi főbb</w:t>
      </w:r>
      <w:r w:rsidR="639E9B9B" w:rsidRPr="639E9B9B">
        <w:rPr>
          <w:rFonts w:ascii="Times New Roman" w:eastAsia="Times New Roman" w:hAnsi="Times New Roman" w:cs="Times New Roman"/>
          <w:sz w:val="26"/>
          <w:szCs w:val="26"/>
          <w:lang w:eastAsia="hu-HU"/>
        </w:rPr>
        <w:t xml:space="preserve"> pé</w:t>
      </w:r>
      <w:r w:rsidR="006D5492">
        <w:rPr>
          <w:rFonts w:ascii="Times New Roman" w:eastAsia="Times New Roman" w:hAnsi="Times New Roman" w:cs="Times New Roman"/>
          <w:sz w:val="26"/>
          <w:szCs w:val="26"/>
          <w:lang w:eastAsia="hu-HU"/>
        </w:rPr>
        <w:t>nzforgalmi adatai a következők:</w:t>
      </w:r>
    </w:p>
    <w:tbl>
      <w:tblPr>
        <w:tblW w:w="10064" w:type="dxa"/>
        <w:jc w:val="center"/>
        <w:tblLayout w:type="fixed"/>
        <w:tblCellMar>
          <w:left w:w="70" w:type="dxa"/>
          <w:right w:w="70" w:type="dxa"/>
        </w:tblCellMar>
        <w:tblLook w:val="04A0" w:firstRow="1" w:lastRow="0" w:firstColumn="1" w:lastColumn="0" w:noHBand="0" w:noVBand="1"/>
      </w:tblPr>
      <w:tblGrid>
        <w:gridCol w:w="2047"/>
        <w:gridCol w:w="1067"/>
        <w:gridCol w:w="1134"/>
        <w:gridCol w:w="1217"/>
        <w:gridCol w:w="1103"/>
        <w:gridCol w:w="1224"/>
        <w:gridCol w:w="1275"/>
        <w:gridCol w:w="997"/>
      </w:tblGrid>
      <w:tr w:rsidR="00EB62E4" w:rsidRPr="003D514A" w14:paraId="44D583B1" w14:textId="77777777" w:rsidTr="3D6ED029">
        <w:trPr>
          <w:trHeight w:val="1440"/>
          <w:jc w:val="center"/>
        </w:trPr>
        <w:tc>
          <w:tcPr>
            <w:tcW w:w="204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9E8F169" w14:textId="77777777" w:rsidR="00EB62E4" w:rsidRPr="00602E3C" w:rsidRDefault="3D6ED029" w:rsidP="3D6ED029">
            <w:pPr>
              <w:keepNext/>
              <w:keepLines/>
              <w:rPr>
                <w:rFonts w:ascii="Times New Roman" w:hAnsi="Times New Roman" w:cs="Times New Roman"/>
                <w:sz w:val="20"/>
                <w:szCs w:val="20"/>
              </w:rPr>
            </w:pPr>
            <w:r w:rsidRPr="3D6ED029">
              <w:rPr>
                <w:rFonts w:ascii="Times New Roman" w:hAnsi="Times New Roman" w:cs="Times New Roman"/>
                <w:sz w:val="20"/>
                <w:szCs w:val="20"/>
              </w:rPr>
              <w:t> </w:t>
            </w:r>
          </w:p>
        </w:tc>
        <w:tc>
          <w:tcPr>
            <w:tcW w:w="106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8824DB1" w14:textId="22C0875A" w:rsidR="00EB62E4"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b/>
                <w:bCs/>
                <w:sz w:val="20"/>
                <w:szCs w:val="20"/>
              </w:rPr>
              <w:t xml:space="preserve">2025. évi </w:t>
            </w:r>
            <w:r w:rsidR="1B95ADFA">
              <w:br/>
            </w:r>
            <w:r w:rsidRPr="3D6ED029">
              <w:rPr>
                <w:rFonts w:ascii="Times New Roman" w:hAnsi="Times New Roman" w:cs="Times New Roman"/>
                <w:b/>
                <w:bCs/>
                <w:sz w:val="20"/>
                <w:szCs w:val="20"/>
              </w:rPr>
              <w:t>előzetes tény</w:t>
            </w:r>
            <w:r w:rsidR="1B95ADFA">
              <w:br/>
            </w:r>
            <w:r w:rsidRPr="3D6ED029">
              <w:rPr>
                <w:rFonts w:ascii="Times New Roman" w:hAnsi="Times New Roman" w:cs="Times New Roman"/>
                <w:sz w:val="20"/>
                <w:szCs w:val="20"/>
              </w:rPr>
              <w:t>milliárd forintban</w:t>
            </w:r>
          </w:p>
          <w:p w14:paraId="16A4B65C"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(1)</w:t>
            </w:r>
          </w:p>
        </w:tc>
        <w:tc>
          <w:tcPr>
            <w:tcW w:w="113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7F4A7DC" w14:textId="407C106E"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b/>
                <w:bCs/>
                <w:sz w:val="20"/>
                <w:szCs w:val="20"/>
              </w:rPr>
              <w:t>2025. I-V. hó tény</w:t>
            </w:r>
            <w:r w:rsidR="1B95ADFA">
              <w:br/>
            </w:r>
            <w:r w:rsidRPr="3D6ED029">
              <w:rPr>
                <w:rFonts w:ascii="Times New Roman" w:hAnsi="Times New Roman" w:cs="Times New Roman"/>
                <w:sz w:val="20"/>
                <w:szCs w:val="20"/>
              </w:rPr>
              <w:t>milliárd forintban</w:t>
            </w:r>
          </w:p>
          <w:p w14:paraId="0FD884DB" w14:textId="77777777" w:rsidR="00EB62E4" w:rsidRPr="00602E3C" w:rsidRDefault="00EB62E4" w:rsidP="0041684E">
            <w:pPr>
              <w:keepNext/>
              <w:keepLines/>
              <w:spacing w:after="0"/>
              <w:jc w:val="center"/>
              <w:rPr>
                <w:rFonts w:ascii="Times New Roman" w:hAnsi="Times New Roman" w:cs="Times New Roman"/>
                <w:sz w:val="20"/>
                <w:szCs w:val="20"/>
              </w:rPr>
            </w:pPr>
          </w:p>
          <w:p w14:paraId="006D888C"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(2)</w:t>
            </w:r>
          </w:p>
        </w:tc>
        <w:tc>
          <w:tcPr>
            <w:tcW w:w="121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51C252D"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éves tény=100%</w:t>
            </w:r>
            <w:r w:rsidR="1B95ADFA">
              <w:br/>
            </w:r>
            <w:r w:rsidRPr="3D6ED029">
              <w:rPr>
                <w:rFonts w:ascii="Times New Roman" w:hAnsi="Times New Roman" w:cs="Times New Roman"/>
                <w:sz w:val="20"/>
                <w:szCs w:val="20"/>
              </w:rPr>
              <w:t>Index (%)</w:t>
            </w:r>
          </w:p>
          <w:p w14:paraId="23CAD950" w14:textId="77777777" w:rsidR="00EB62E4" w:rsidRDefault="00EB62E4" w:rsidP="0041684E">
            <w:pPr>
              <w:keepNext/>
              <w:keepLines/>
              <w:spacing w:after="0"/>
              <w:jc w:val="center"/>
              <w:rPr>
                <w:rFonts w:ascii="Times New Roman" w:hAnsi="Times New Roman" w:cs="Times New Roman"/>
                <w:sz w:val="20"/>
                <w:szCs w:val="20"/>
              </w:rPr>
            </w:pPr>
          </w:p>
          <w:p w14:paraId="37FF863F" w14:textId="77777777" w:rsidR="00EB62E4" w:rsidRPr="00602E3C" w:rsidRDefault="00EB62E4" w:rsidP="0041684E">
            <w:pPr>
              <w:keepNext/>
              <w:keepLines/>
              <w:spacing w:after="0"/>
              <w:jc w:val="center"/>
              <w:rPr>
                <w:rFonts w:ascii="Times New Roman" w:hAnsi="Times New Roman" w:cs="Times New Roman"/>
                <w:sz w:val="20"/>
                <w:szCs w:val="20"/>
              </w:rPr>
            </w:pPr>
          </w:p>
          <w:p w14:paraId="60CDF192"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(2/1)</w:t>
            </w:r>
          </w:p>
        </w:tc>
        <w:tc>
          <w:tcPr>
            <w:tcW w:w="110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7B9458E" w14:textId="2812FA50"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b/>
                <w:bCs/>
                <w:sz w:val="20"/>
                <w:szCs w:val="20"/>
              </w:rPr>
              <w:t>2026. évi előirányzat</w:t>
            </w:r>
            <w:r w:rsidR="1B95ADFA">
              <w:br/>
            </w:r>
            <w:r w:rsidRPr="3D6ED029">
              <w:rPr>
                <w:rFonts w:ascii="Times New Roman" w:hAnsi="Times New Roman" w:cs="Times New Roman"/>
                <w:sz w:val="20"/>
                <w:szCs w:val="20"/>
              </w:rPr>
              <w:t>milliárd forintban</w:t>
            </w:r>
          </w:p>
          <w:p w14:paraId="79AE386B" w14:textId="77777777" w:rsidR="00EB62E4" w:rsidRPr="00602E3C" w:rsidRDefault="00EB62E4" w:rsidP="0041684E">
            <w:pPr>
              <w:keepNext/>
              <w:keepLines/>
              <w:spacing w:after="0"/>
              <w:jc w:val="center"/>
              <w:rPr>
                <w:rFonts w:ascii="Times New Roman" w:hAnsi="Times New Roman" w:cs="Times New Roman"/>
                <w:sz w:val="20"/>
                <w:szCs w:val="20"/>
              </w:rPr>
            </w:pPr>
          </w:p>
          <w:p w14:paraId="2BB746ED"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(3)</w:t>
            </w:r>
          </w:p>
        </w:tc>
        <w:tc>
          <w:tcPr>
            <w:tcW w:w="122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128B4DC" w14:textId="728F2B31"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b/>
                <w:bCs/>
                <w:sz w:val="20"/>
                <w:szCs w:val="20"/>
              </w:rPr>
              <w:t>2026. I-V. hó tény</w:t>
            </w:r>
            <w:r w:rsidR="1B95ADFA">
              <w:br/>
            </w:r>
            <w:r w:rsidRPr="3D6ED029">
              <w:rPr>
                <w:rFonts w:ascii="Times New Roman" w:hAnsi="Times New Roman" w:cs="Times New Roman"/>
                <w:sz w:val="20"/>
                <w:szCs w:val="20"/>
              </w:rPr>
              <w:t>milliárd forintban</w:t>
            </w:r>
          </w:p>
          <w:p w14:paraId="01AF2FB2" w14:textId="77777777" w:rsidR="00EB62E4" w:rsidRPr="00602E3C" w:rsidRDefault="00EB62E4" w:rsidP="0041684E">
            <w:pPr>
              <w:keepNext/>
              <w:keepLines/>
              <w:spacing w:after="0"/>
              <w:jc w:val="center"/>
              <w:rPr>
                <w:rFonts w:ascii="Times New Roman" w:hAnsi="Times New Roman" w:cs="Times New Roman"/>
                <w:sz w:val="20"/>
                <w:szCs w:val="20"/>
              </w:rPr>
            </w:pPr>
          </w:p>
          <w:p w14:paraId="38C575FD"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(4)</w:t>
            </w:r>
          </w:p>
        </w:tc>
        <w:tc>
          <w:tcPr>
            <w:tcW w:w="1275"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A4C38D7"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előirányzat=</w:t>
            </w:r>
            <w:r w:rsidR="1B95ADFA">
              <w:br/>
            </w:r>
            <w:r w:rsidRPr="3D6ED029">
              <w:rPr>
                <w:rFonts w:ascii="Times New Roman" w:hAnsi="Times New Roman" w:cs="Times New Roman"/>
                <w:sz w:val="20"/>
                <w:szCs w:val="20"/>
              </w:rPr>
              <w:t>100%</w:t>
            </w:r>
            <w:r w:rsidR="1B95ADFA">
              <w:br/>
            </w:r>
            <w:r w:rsidRPr="3D6ED029">
              <w:rPr>
                <w:rFonts w:ascii="Times New Roman" w:hAnsi="Times New Roman" w:cs="Times New Roman"/>
                <w:sz w:val="20"/>
                <w:szCs w:val="20"/>
              </w:rPr>
              <w:t>Index (%)</w:t>
            </w:r>
          </w:p>
          <w:p w14:paraId="292D56FD" w14:textId="77777777" w:rsidR="00EB62E4" w:rsidRDefault="00EB62E4" w:rsidP="0041684E">
            <w:pPr>
              <w:keepNext/>
              <w:keepLines/>
              <w:spacing w:after="0"/>
              <w:jc w:val="center"/>
              <w:rPr>
                <w:rFonts w:ascii="Times New Roman" w:hAnsi="Times New Roman" w:cs="Times New Roman"/>
                <w:sz w:val="20"/>
                <w:szCs w:val="20"/>
              </w:rPr>
            </w:pPr>
          </w:p>
          <w:p w14:paraId="4B6EFB4E" w14:textId="77777777" w:rsidR="00EB62E4" w:rsidRPr="00602E3C" w:rsidRDefault="00EB62E4" w:rsidP="0041684E">
            <w:pPr>
              <w:keepNext/>
              <w:keepLines/>
              <w:spacing w:after="0"/>
              <w:jc w:val="center"/>
              <w:rPr>
                <w:rFonts w:ascii="Times New Roman" w:hAnsi="Times New Roman" w:cs="Times New Roman"/>
                <w:sz w:val="20"/>
                <w:szCs w:val="20"/>
              </w:rPr>
            </w:pPr>
          </w:p>
          <w:p w14:paraId="7BABBF8A"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(4/3)</w:t>
            </w:r>
          </w:p>
        </w:tc>
        <w:tc>
          <w:tcPr>
            <w:tcW w:w="99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6E01A08" w14:textId="77777777" w:rsidR="00EB62E4" w:rsidRPr="00602E3C" w:rsidRDefault="3D6ED029" w:rsidP="3D6ED029">
            <w:pPr>
              <w:keepNext/>
              <w:keepLines/>
              <w:spacing w:after="0"/>
              <w:jc w:val="center"/>
              <w:rPr>
                <w:rFonts w:ascii="Times New Roman" w:hAnsi="Times New Roman" w:cs="Times New Roman"/>
                <w:sz w:val="20"/>
                <w:szCs w:val="20"/>
              </w:rPr>
            </w:pPr>
            <w:r w:rsidRPr="3D6ED029">
              <w:rPr>
                <w:rFonts w:ascii="Times New Roman" w:hAnsi="Times New Roman" w:cs="Times New Roman"/>
                <w:sz w:val="20"/>
                <w:szCs w:val="20"/>
              </w:rPr>
              <w:t>előző év=</w:t>
            </w:r>
            <w:r w:rsidR="1B95ADFA">
              <w:br/>
            </w:r>
            <w:r w:rsidRPr="3D6ED029">
              <w:rPr>
                <w:rFonts w:ascii="Times New Roman" w:hAnsi="Times New Roman" w:cs="Times New Roman"/>
                <w:sz w:val="20"/>
                <w:szCs w:val="20"/>
              </w:rPr>
              <w:t>100%</w:t>
            </w:r>
            <w:r w:rsidR="1B95ADFA">
              <w:br/>
            </w:r>
            <w:r w:rsidRPr="3D6ED029">
              <w:rPr>
                <w:rFonts w:ascii="Times New Roman" w:hAnsi="Times New Roman" w:cs="Times New Roman"/>
                <w:sz w:val="20"/>
                <w:szCs w:val="20"/>
              </w:rPr>
              <w:t>Index (%)</w:t>
            </w:r>
          </w:p>
          <w:p w14:paraId="5E5352FC" w14:textId="77777777" w:rsidR="00EB62E4" w:rsidRPr="00602E3C" w:rsidRDefault="00EB62E4" w:rsidP="0041684E">
            <w:pPr>
              <w:keepNext/>
              <w:keepLines/>
              <w:spacing w:after="0"/>
              <w:jc w:val="center"/>
              <w:rPr>
                <w:rFonts w:ascii="Times New Roman" w:hAnsi="Times New Roman" w:cs="Times New Roman"/>
                <w:sz w:val="20"/>
                <w:szCs w:val="20"/>
              </w:rPr>
            </w:pPr>
          </w:p>
          <w:p w14:paraId="3DA38296" w14:textId="77777777" w:rsidR="00EB62E4" w:rsidRPr="00602E3C" w:rsidRDefault="00EB62E4" w:rsidP="3D6ED029">
            <w:pPr>
              <w:keepNext/>
              <w:keepLines/>
              <w:spacing w:after="0"/>
              <w:jc w:val="center"/>
              <w:rPr>
                <w:rFonts w:ascii="Times New Roman" w:hAnsi="Times New Roman" w:cs="Times New Roman"/>
                <w:sz w:val="20"/>
                <w:szCs w:val="20"/>
              </w:rPr>
            </w:pPr>
            <w:r>
              <w:br/>
            </w:r>
            <w:r w:rsidR="3D6ED029" w:rsidRPr="3D6ED029">
              <w:rPr>
                <w:rFonts w:ascii="Times New Roman" w:hAnsi="Times New Roman" w:cs="Times New Roman"/>
                <w:sz w:val="20"/>
                <w:szCs w:val="20"/>
              </w:rPr>
              <w:t>(4/2)</w:t>
            </w:r>
          </w:p>
        </w:tc>
      </w:tr>
      <w:tr w:rsidR="00A015E9" w:rsidRPr="003D514A" w14:paraId="07500852"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4E29F6EA" w14:textId="77777777" w:rsidR="00A015E9" w:rsidRPr="00602E3C" w:rsidRDefault="00A015E9" w:rsidP="00A015E9">
            <w:pPr>
              <w:keepNext/>
              <w:keepLines/>
              <w:spacing w:before="120" w:after="120"/>
              <w:rPr>
                <w:rFonts w:ascii="Times New Roman" w:hAnsi="Times New Roman" w:cs="Times New Roman"/>
                <w:b/>
                <w:bCs/>
                <w:sz w:val="20"/>
                <w:szCs w:val="20"/>
              </w:rPr>
            </w:pPr>
            <w:r w:rsidRPr="3D6ED029">
              <w:rPr>
                <w:rFonts w:ascii="Times New Roman" w:hAnsi="Times New Roman" w:cs="Times New Roman"/>
                <w:b/>
                <w:bCs/>
                <w:sz w:val="20"/>
                <w:szCs w:val="20"/>
              </w:rPr>
              <w:t>Központi költségvetés egyenlege</w:t>
            </w:r>
          </w:p>
        </w:tc>
        <w:tc>
          <w:tcPr>
            <w:tcW w:w="1067" w:type="dxa"/>
            <w:tcBorders>
              <w:top w:val="single" w:sz="4" w:space="0" w:color="auto"/>
              <w:left w:val="nil"/>
              <w:bottom w:val="single" w:sz="4" w:space="0" w:color="auto"/>
              <w:right w:val="single" w:sz="4" w:space="0" w:color="auto"/>
            </w:tcBorders>
            <w:shd w:val="clear" w:color="auto" w:fill="auto"/>
            <w:noWrap/>
            <w:vAlign w:val="center"/>
          </w:tcPr>
          <w:p w14:paraId="3AF25223" w14:textId="1E2358C9"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-5 500,1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45EE77" w14:textId="4D11E2C6"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-2 747,2</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7EDA3EB1" w14:textId="423591E8"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49,9</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15A4090F" w14:textId="1C2B522B"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-4 294,0</w:t>
            </w:r>
          </w:p>
        </w:tc>
        <w:tc>
          <w:tcPr>
            <w:tcW w:w="1224" w:type="dxa"/>
            <w:tcBorders>
              <w:top w:val="single" w:sz="4" w:space="0" w:color="auto"/>
              <w:left w:val="nil"/>
              <w:bottom w:val="single" w:sz="4" w:space="0" w:color="auto"/>
              <w:right w:val="single" w:sz="4" w:space="0" w:color="auto"/>
            </w:tcBorders>
            <w:shd w:val="clear" w:color="auto" w:fill="auto"/>
            <w:noWrap/>
            <w:vAlign w:val="center"/>
          </w:tcPr>
          <w:p w14:paraId="50FC488F" w14:textId="44FBE9C7"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-3 694,8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978740E" w14:textId="0F444CF0"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86,0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D0942AF" w14:textId="4A485E44"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134,5</w:t>
            </w:r>
          </w:p>
        </w:tc>
      </w:tr>
      <w:tr w:rsidR="00A015E9" w:rsidRPr="003D514A" w14:paraId="7ED7811A"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45BF5FA" w14:textId="77777777" w:rsidR="00A015E9" w:rsidRPr="00602E3C" w:rsidRDefault="00A015E9" w:rsidP="00A015E9">
            <w:pPr>
              <w:keepNext/>
              <w:keepLines/>
              <w:spacing w:before="120" w:after="120"/>
              <w:jc w:val="right"/>
              <w:rPr>
                <w:rFonts w:ascii="Times New Roman" w:hAnsi="Times New Roman" w:cs="Times New Roman"/>
                <w:sz w:val="20"/>
                <w:szCs w:val="20"/>
              </w:rPr>
            </w:pPr>
            <w:r w:rsidRPr="3D6ED029">
              <w:rPr>
                <w:rFonts w:ascii="Times New Roman" w:hAnsi="Times New Roman" w:cs="Times New Roman"/>
                <w:sz w:val="20"/>
                <w:szCs w:val="20"/>
              </w:rPr>
              <w:t>bevétel:</w:t>
            </w:r>
          </w:p>
        </w:tc>
        <w:tc>
          <w:tcPr>
            <w:tcW w:w="1067" w:type="dxa"/>
            <w:tcBorders>
              <w:top w:val="nil"/>
              <w:left w:val="nil"/>
              <w:bottom w:val="single" w:sz="4" w:space="0" w:color="auto"/>
              <w:right w:val="single" w:sz="4" w:space="0" w:color="auto"/>
            </w:tcBorders>
            <w:shd w:val="clear" w:color="auto" w:fill="auto"/>
            <w:noWrap/>
            <w:vAlign w:val="center"/>
          </w:tcPr>
          <w:p w14:paraId="76F83688" w14:textId="555530B1"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27 058,6</w:t>
            </w:r>
          </w:p>
        </w:tc>
        <w:tc>
          <w:tcPr>
            <w:tcW w:w="1134" w:type="dxa"/>
            <w:tcBorders>
              <w:top w:val="nil"/>
              <w:left w:val="nil"/>
              <w:bottom w:val="single" w:sz="4" w:space="0" w:color="auto"/>
              <w:right w:val="single" w:sz="4" w:space="0" w:color="auto"/>
            </w:tcBorders>
            <w:shd w:val="clear" w:color="auto" w:fill="auto"/>
            <w:noWrap/>
            <w:vAlign w:val="center"/>
          </w:tcPr>
          <w:p w14:paraId="2B5100E2" w14:textId="4039D5E9"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10 754,8</w:t>
            </w:r>
          </w:p>
        </w:tc>
        <w:tc>
          <w:tcPr>
            <w:tcW w:w="1217" w:type="dxa"/>
            <w:tcBorders>
              <w:top w:val="nil"/>
              <w:left w:val="nil"/>
              <w:bottom w:val="single" w:sz="4" w:space="0" w:color="auto"/>
              <w:right w:val="single" w:sz="4" w:space="0" w:color="auto"/>
            </w:tcBorders>
            <w:shd w:val="clear" w:color="auto" w:fill="auto"/>
            <w:noWrap/>
            <w:vAlign w:val="center"/>
          </w:tcPr>
          <w:p w14:paraId="5D9BB325" w14:textId="05D01CCC"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39,7</w:t>
            </w:r>
          </w:p>
        </w:tc>
        <w:tc>
          <w:tcPr>
            <w:tcW w:w="1103" w:type="dxa"/>
            <w:tcBorders>
              <w:top w:val="nil"/>
              <w:left w:val="nil"/>
              <w:bottom w:val="single" w:sz="4" w:space="0" w:color="auto"/>
              <w:right w:val="single" w:sz="4" w:space="0" w:color="auto"/>
            </w:tcBorders>
            <w:shd w:val="clear" w:color="auto" w:fill="auto"/>
            <w:noWrap/>
            <w:vAlign w:val="center"/>
          </w:tcPr>
          <w:p w14:paraId="39347280" w14:textId="1BED66B9"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26 702,8</w:t>
            </w:r>
          </w:p>
        </w:tc>
        <w:tc>
          <w:tcPr>
            <w:tcW w:w="1224" w:type="dxa"/>
            <w:tcBorders>
              <w:top w:val="nil"/>
              <w:left w:val="nil"/>
              <w:bottom w:val="single" w:sz="4" w:space="0" w:color="auto"/>
              <w:right w:val="single" w:sz="4" w:space="0" w:color="auto"/>
            </w:tcBorders>
            <w:shd w:val="clear" w:color="auto" w:fill="auto"/>
            <w:noWrap/>
            <w:vAlign w:val="center"/>
          </w:tcPr>
          <w:p w14:paraId="2C196D18" w14:textId="7D8A8BEA"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11 408,4</w:t>
            </w:r>
          </w:p>
        </w:tc>
        <w:tc>
          <w:tcPr>
            <w:tcW w:w="1275" w:type="dxa"/>
            <w:tcBorders>
              <w:top w:val="nil"/>
              <w:left w:val="nil"/>
              <w:bottom w:val="single" w:sz="4" w:space="0" w:color="auto"/>
              <w:right w:val="single" w:sz="4" w:space="0" w:color="auto"/>
            </w:tcBorders>
            <w:shd w:val="clear" w:color="auto" w:fill="auto"/>
            <w:noWrap/>
            <w:vAlign w:val="center"/>
          </w:tcPr>
          <w:p w14:paraId="667B0E54" w14:textId="47267F80"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42,7</w:t>
            </w:r>
          </w:p>
        </w:tc>
        <w:tc>
          <w:tcPr>
            <w:tcW w:w="997" w:type="dxa"/>
            <w:tcBorders>
              <w:top w:val="nil"/>
              <w:left w:val="nil"/>
              <w:bottom w:val="single" w:sz="4" w:space="0" w:color="auto"/>
              <w:right w:val="single" w:sz="4" w:space="0" w:color="auto"/>
            </w:tcBorders>
            <w:shd w:val="clear" w:color="auto" w:fill="auto"/>
            <w:noWrap/>
            <w:vAlign w:val="center"/>
          </w:tcPr>
          <w:p w14:paraId="19E199D7" w14:textId="2AF63621"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106,1</w:t>
            </w:r>
          </w:p>
        </w:tc>
      </w:tr>
      <w:tr w:rsidR="00A015E9" w:rsidRPr="003D514A" w14:paraId="7AE9D9AD"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C80C4E6" w14:textId="77777777" w:rsidR="00A015E9" w:rsidRPr="00602E3C" w:rsidRDefault="00A015E9" w:rsidP="00A015E9">
            <w:pPr>
              <w:keepNext/>
              <w:keepLines/>
              <w:spacing w:before="120" w:after="120"/>
              <w:jc w:val="right"/>
              <w:rPr>
                <w:rFonts w:ascii="Times New Roman" w:hAnsi="Times New Roman" w:cs="Times New Roman"/>
                <w:sz w:val="20"/>
                <w:szCs w:val="20"/>
              </w:rPr>
            </w:pPr>
            <w:r w:rsidRPr="3D6ED029">
              <w:rPr>
                <w:rFonts w:ascii="Times New Roman" w:hAnsi="Times New Roman" w:cs="Times New Roman"/>
                <w:sz w:val="20"/>
                <w:szCs w:val="20"/>
              </w:rPr>
              <w:t>kiadás:</w:t>
            </w:r>
          </w:p>
        </w:tc>
        <w:tc>
          <w:tcPr>
            <w:tcW w:w="1067" w:type="dxa"/>
            <w:tcBorders>
              <w:top w:val="nil"/>
              <w:left w:val="nil"/>
              <w:bottom w:val="single" w:sz="4" w:space="0" w:color="auto"/>
              <w:right w:val="single" w:sz="4" w:space="0" w:color="auto"/>
            </w:tcBorders>
            <w:shd w:val="clear" w:color="auto" w:fill="auto"/>
            <w:noWrap/>
            <w:vAlign w:val="center"/>
          </w:tcPr>
          <w:p w14:paraId="630E682B" w14:textId="428767A8"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32 558,7</w:t>
            </w:r>
          </w:p>
        </w:tc>
        <w:tc>
          <w:tcPr>
            <w:tcW w:w="1134" w:type="dxa"/>
            <w:tcBorders>
              <w:top w:val="nil"/>
              <w:left w:val="nil"/>
              <w:bottom w:val="single" w:sz="4" w:space="0" w:color="auto"/>
              <w:right w:val="single" w:sz="4" w:space="0" w:color="auto"/>
            </w:tcBorders>
            <w:shd w:val="clear" w:color="auto" w:fill="auto"/>
            <w:noWrap/>
            <w:vAlign w:val="center"/>
          </w:tcPr>
          <w:p w14:paraId="3ABF37CD" w14:textId="5FA05F70"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13 502,0</w:t>
            </w:r>
          </w:p>
        </w:tc>
        <w:tc>
          <w:tcPr>
            <w:tcW w:w="1217" w:type="dxa"/>
            <w:tcBorders>
              <w:top w:val="nil"/>
              <w:left w:val="nil"/>
              <w:bottom w:val="single" w:sz="4" w:space="0" w:color="auto"/>
              <w:right w:val="single" w:sz="4" w:space="0" w:color="auto"/>
            </w:tcBorders>
            <w:shd w:val="clear" w:color="auto" w:fill="auto"/>
            <w:noWrap/>
            <w:vAlign w:val="center"/>
          </w:tcPr>
          <w:p w14:paraId="54CC88D1" w14:textId="267A2980"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41,5</w:t>
            </w:r>
          </w:p>
        </w:tc>
        <w:tc>
          <w:tcPr>
            <w:tcW w:w="1103" w:type="dxa"/>
            <w:tcBorders>
              <w:top w:val="nil"/>
              <w:left w:val="nil"/>
              <w:bottom w:val="single" w:sz="4" w:space="0" w:color="auto"/>
              <w:right w:val="single" w:sz="4" w:space="0" w:color="auto"/>
            </w:tcBorders>
            <w:shd w:val="clear" w:color="auto" w:fill="auto"/>
            <w:noWrap/>
            <w:vAlign w:val="center"/>
          </w:tcPr>
          <w:p w14:paraId="45A98F7E" w14:textId="3796D6DD"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30 996,9</w:t>
            </w:r>
          </w:p>
        </w:tc>
        <w:tc>
          <w:tcPr>
            <w:tcW w:w="1224" w:type="dxa"/>
            <w:tcBorders>
              <w:top w:val="nil"/>
              <w:left w:val="nil"/>
              <w:bottom w:val="single" w:sz="4" w:space="0" w:color="auto"/>
              <w:right w:val="single" w:sz="4" w:space="0" w:color="auto"/>
            </w:tcBorders>
            <w:shd w:val="clear" w:color="auto" w:fill="auto"/>
            <w:noWrap/>
            <w:vAlign w:val="center"/>
          </w:tcPr>
          <w:p w14:paraId="14F2BF40" w14:textId="30BD9B14"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15 103,2</w:t>
            </w:r>
          </w:p>
        </w:tc>
        <w:tc>
          <w:tcPr>
            <w:tcW w:w="1275" w:type="dxa"/>
            <w:tcBorders>
              <w:top w:val="nil"/>
              <w:left w:val="nil"/>
              <w:bottom w:val="single" w:sz="4" w:space="0" w:color="auto"/>
              <w:right w:val="single" w:sz="4" w:space="0" w:color="auto"/>
            </w:tcBorders>
            <w:shd w:val="clear" w:color="auto" w:fill="auto"/>
            <w:noWrap/>
            <w:vAlign w:val="center"/>
          </w:tcPr>
          <w:p w14:paraId="3F9FB1FF" w14:textId="74F309FB"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48,7</w:t>
            </w:r>
          </w:p>
        </w:tc>
        <w:tc>
          <w:tcPr>
            <w:tcW w:w="997" w:type="dxa"/>
            <w:tcBorders>
              <w:top w:val="nil"/>
              <w:left w:val="nil"/>
              <w:bottom w:val="single" w:sz="4" w:space="0" w:color="auto"/>
              <w:right w:val="single" w:sz="4" w:space="0" w:color="auto"/>
            </w:tcBorders>
            <w:shd w:val="clear" w:color="auto" w:fill="auto"/>
            <w:noWrap/>
            <w:vAlign w:val="center"/>
          </w:tcPr>
          <w:p w14:paraId="6C7C62DE" w14:textId="2AD2D979"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111,9</w:t>
            </w:r>
          </w:p>
        </w:tc>
      </w:tr>
      <w:tr w:rsidR="00A015E9" w:rsidRPr="003D514A" w14:paraId="1F6C0145"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850CBF0" w14:textId="77777777" w:rsidR="00A015E9" w:rsidRPr="00602E3C" w:rsidRDefault="00A015E9" w:rsidP="00A015E9">
            <w:pPr>
              <w:keepNext/>
              <w:keepLines/>
              <w:spacing w:before="120" w:after="120"/>
              <w:rPr>
                <w:rFonts w:ascii="Times New Roman" w:hAnsi="Times New Roman" w:cs="Times New Roman"/>
                <w:b/>
                <w:bCs/>
                <w:sz w:val="20"/>
                <w:szCs w:val="20"/>
              </w:rPr>
            </w:pPr>
            <w:r w:rsidRPr="3D6ED029">
              <w:rPr>
                <w:rFonts w:ascii="Times New Roman" w:hAnsi="Times New Roman" w:cs="Times New Roman"/>
                <w:b/>
                <w:bCs/>
                <w:sz w:val="20"/>
                <w:szCs w:val="20"/>
              </w:rPr>
              <w:t>Elkülönített állami pénzalapok egyenlege</w:t>
            </w:r>
          </w:p>
        </w:tc>
        <w:tc>
          <w:tcPr>
            <w:tcW w:w="1067" w:type="dxa"/>
            <w:tcBorders>
              <w:top w:val="nil"/>
              <w:left w:val="nil"/>
              <w:bottom w:val="single" w:sz="4" w:space="0" w:color="auto"/>
              <w:right w:val="single" w:sz="4" w:space="0" w:color="auto"/>
            </w:tcBorders>
            <w:shd w:val="clear" w:color="auto" w:fill="auto"/>
            <w:noWrap/>
            <w:vAlign w:val="center"/>
          </w:tcPr>
          <w:p w14:paraId="4EACAD66" w14:textId="75EDB106"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7,3</w:t>
            </w:r>
          </w:p>
        </w:tc>
        <w:tc>
          <w:tcPr>
            <w:tcW w:w="1134" w:type="dxa"/>
            <w:tcBorders>
              <w:top w:val="nil"/>
              <w:left w:val="nil"/>
              <w:bottom w:val="single" w:sz="4" w:space="0" w:color="auto"/>
              <w:right w:val="single" w:sz="4" w:space="0" w:color="auto"/>
            </w:tcBorders>
            <w:shd w:val="clear" w:color="auto" w:fill="auto"/>
            <w:noWrap/>
            <w:vAlign w:val="center"/>
          </w:tcPr>
          <w:p w14:paraId="5184FB98" w14:textId="3AAD2A9E"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45,3</w:t>
            </w:r>
          </w:p>
        </w:tc>
        <w:tc>
          <w:tcPr>
            <w:tcW w:w="1217" w:type="dxa"/>
            <w:tcBorders>
              <w:top w:val="nil"/>
              <w:left w:val="nil"/>
              <w:bottom w:val="single" w:sz="4" w:space="0" w:color="auto"/>
              <w:right w:val="single" w:sz="4" w:space="0" w:color="auto"/>
            </w:tcBorders>
            <w:shd w:val="clear" w:color="auto" w:fill="auto"/>
            <w:noWrap/>
            <w:vAlign w:val="center"/>
          </w:tcPr>
          <w:p w14:paraId="75B4D261" w14:textId="2048B78F"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620,5</w:t>
            </w:r>
          </w:p>
        </w:tc>
        <w:tc>
          <w:tcPr>
            <w:tcW w:w="1103" w:type="dxa"/>
            <w:tcBorders>
              <w:top w:val="nil"/>
              <w:left w:val="nil"/>
              <w:bottom w:val="single" w:sz="4" w:space="0" w:color="auto"/>
              <w:right w:val="single" w:sz="4" w:space="0" w:color="auto"/>
            </w:tcBorders>
            <w:shd w:val="clear" w:color="auto" w:fill="auto"/>
            <w:noWrap/>
            <w:vAlign w:val="center"/>
          </w:tcPr>
          <w:p w14:paraId="34F7BD1D" w14:textId="20B6995B"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75,5</w:t>
            </w:r>
          </w:p>
        </w:tc>
        <w:tc>
          <w:tcPr>
            <w:tcW w:w="1224" w:type="dxa"/>
            <w:tcBorders>
              <w:top w:val="nil"/>
              <w:left w:val="nil"/>
              <w:bottom w:val="single" w:sz="4" w:space="0" w:color="auto"/>
              <w:right w:val="single" w:sz="4" w:space="0" w:color="auto"/>
            </w:tcBorders>
            <w:shd w:val="clear" w:color="auto" w:fill="auto"/>
            <w:noWrap/>
            <w:vAlign w:val="center"/>
          </w:tcPr>
          <w:p w14:paraId="1F1ECE57" w14:textId="1825F893" w:rsidR="00A015E9" w:rsidRPr="007007A3" w:rsidRDefault="00A015E9" w:rsidP="00A015E9">
            <w:pPr>
              <w:spacing w:before="120" w:after="120"/>
              <w:jc w:val="right"/>
              <w:rPr>
                <w:rFonts w:ascii="Times New Roman" w:hAnsi="Times New Roman" w:cs="Times New Roman"/>
                <w:b/>
                <w:bCs/>
                <w:sz w:val="20"/>
                <w:szCs w:val="20"/>
              </w:rPr>
            </w:pPr>
            <w:r>
              <w:rPr>
                <w:rFonts w:ascii="Garamond" w:hAnsi="Garamond"/>
                <w:b/>
                <w:bCs/>
                <w:sz w:val="20"/>
                <w:szCs w:val="20"/>
              </w:rPr>
              <w:t>70,9</w:t>
            </w:r>
          </w:p>
        </w:tc>
        <w:tc>
          <w:tcPr>
            <w:tcW w:w="1275" w:type="dxa"/>
            <w:tcBorders>
              <w:top w:val="nil"/>
              <w:left w:val="nil"/>
              <w:bottom w:val="single" w:sz="4" w:space="0" w:color="auto"/>
              <w:right w:val="single" w:sz="4" w:space="0" w:color="auto"/>
            </w:tcBorders>
            <w:shd w:val="clear" w:color="auto" w:fill="auto"/>
            <w:noWrap/>
            <w:vAlign w:val="center"/>
          </w:tcPr>
          <w:p w14:paraId="7BDE9A0C" w14:textId="03BDE1F1" w:rsidR="00A015E9" w:rsidRPr="007007A3" w:rsidRDefault="00A015E9" w:rsidP="00A015E9">
            <w:pPr>
              <w:spacing w:before="120" w:after="120"/>
              <w:jc w:val="right"/>
              <w:rPr>
                <w:rFonts w:ascii="Times New Roman" w:hAnsi="Times New Roman" w:cs="Times New Roman"/>
                <w:sz w:val="20"/>
                <w:szCs w:val="20"/>
              </w:rPr>
            </w:pPr>
            <w:r>
              <w:rPr>
                <w:rFonts w:ascii="Garamond" w:hAnsi="Garamond"/>
                <w:sz w:val="20"/>
                <w:szCs w:val="20"/>
              </w:rPr>
              <w:t>93,9</w:t>
            </w:r>
          </w:p>
        </w:tc>
        <w:tc>
          <w:tcPr>
            <w:tcW w:w="997" w:type="dxa"/>
            <w:tcBorders>
              <w:top w:val="nil"/>
              <w:left w:val="nil"/>
              <w:bottom w:val="single" w:sz="4" w:space="0" w:color="auto"/>
              <w:right w:val="single" w:sz="4" w:space="0" w:color="auto"/>
            </w:tcBorders>
            <w:shd w:val="clear" w:color="auto" w:fill="auto"/>
            <w:noWrap/>
            <w:vAlign w:val="center"/>
          </w:tcPr>
          <w:p w14:paraId="25C8B246" w14:textId="2691996B"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156,</w:t>
            </w:r>
            <w:r>
              <w:rPr>
                <w:rFonts w:ascii="Garamond" w:hAnsi="Garamond"/>
                <w:sz w:val="20"/>
                <w:szCs w:val="20"/>
              </w:rPr>
              <w:t>5</w:t>
            </w:r>
          </w:p>
        </w:tc>
      </w:tr>
      <w:tr w:rsidR="00A015E9" w:rsidRPr="003D514A" w14:paraId="0BEB8BDA"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D7985BE" w14:textId="77777777" w:rsidR="00A015E9" w:rsidRPr="00602E3C" w:rsidRDefault="00A015E9" w:rsidP="00A015E9">
            <w:pPr>
              <w:keepNext/>
              <w:keepLines/>
              <w:spacing w:before="120" w:after="120"/>
              <w:jc w:val="right"/>
              <w:rPr>
                <w:rFonts w:ascii="Times New Roman" w:hAnsi="Times New Roman" w:cs="Times New Roman"/>
                <w:sz w:val="20"/>
                <w:szCs w:val="20"/>
              </w:rPr>
            </w:pPr>
            <w:r w:rsidRPr="3D6ED029">
              <w:rPr>
                <w:rFonts w:ascii="Times New Roman" w:hAnsi="Times New Roman" w:cs="Times New Roman"/>
                <w:sz w:val="20"/>
                <w:szCs w:val="20"/>
              </w:rPr>
              <w:t>bevétel:</w:t>
            </w:r>
          </w:p>
        </w:tc>
        <w:tc>
          <w:tcPr>
            <w:tcW w:w="1067" w:type="dxa"/>
            <w:tcBorders>
              <w:top w:val="nil"/>
              <w:left w:val="nil"/>
              <w:bottom w:val="single" w:sz="4" w:space="0" w:color="auto"/>
              <w:right w:val="single" w:sz="4" w:space="0" w:color="auto"/>
            </w:tcBorders>
            <w:shd w:val="clear" w:color="auto" w:fill="auto"/>
            <w:noWrap/>
            <w:vAlign w:val="center"/>
          </w:tcPr>
          <w:p w14:paraId="0A0C7D0E" w14:textId="3AB7608F"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838,2</w:t>
            </w:r>
          </w:p>
        </w:tc>
        <w:tc>
          <w:tcPr>
            <w:tcW w:w="1134" w:type="dxa"/>
            <w:tcBorders>
              <w:top w:val="nil"/>
              <w:left w:val="nil"/>
              <w:bottom w:val="single" w:sz="4" w:space="0" w:color="auto"/>
              <w:right w:val="single" w:sz="4" w:space="0" w:color="auto"/>
            </w:tcBorders>
            <w:shd w:val="clear" w:color="auto" w:fill="auto"/>
            <w:noWrap/>
            <w:vAlign w:val="center"/>
          </w:tcPr>
          <w:p w14:paraId="1C2629F3" w14:textId="28001AC1"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340,4</w:t>
            </w:r>
          </w:p>
        </w:tc>
        <w:tc>
          <w:tcPr>
            <w:tcW w:w="1217" w:type="dxa"/>
            <w:tcBorders>
              <w:top w:val="nil"/>
              <w:left w:val="nil"/>
              <w:bottom w:val="single" w:sz="4" w:space="0" w:color="auto"/>
              <w:right w:val="single" w:sz="4" w:space="0" w:color="auto"/>
            </w:tcBorders>
            <w:shd w:val="clear" w:color="auto" w:fill="auto"/>
            <w:noWrap/>
            <w:vAlign w:val="center"/>
          </w:tcPr>
          <w:p w14:paraId="7F241B07" w14:textId="270F188F"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40,6</w:t>
            </w:r>
          </w:p>
        </w:tc>
        <w:tc>
          <w:tcPr>
            <w:tcW w:w="1103" w:type="dxa"/>
            <w:tcBorders>
              <w:top w:val="nil"/>
              <w:left w:val="nil"/>
              <w:bottom w:val="single" w:sz="4" w:space="0" w:color="auto"/>
              <w:right w:val="single" w:sz="4" w:space="0" w:color="auto"/>
            </w:tcBorders>
            <w:shd w:val="clear" w:color="auto" w:fill="auto"/>
            <w:noWrap/>
            <w:vAlign w:val="center"/>
          </w:tcPr>
          <w:p w14:paraId="272DCDE3" w14:textId="092DF381"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918,3</w:t>
            </w:r>
          </w:p>
        </w:tc>
        <w:tc>
          <w:tcPr>
            <w:tcW w:w="1224" w:type="dxa"/>
            <w:tcBorders>
              <w:top w:val="nil"/>
              <w:left w:val="nil"/>
              <w:bottom w:val="single" w:sz="4" w:space="0" w:color="auto"/>
              <w:right w:val="single" w:sz="4" w:space="0" w:color="auto"/>
            </w:tcBorders>
            <w:shd w:val="clear" w:color="auto" w:fill="auto"/>
            <w:noWrap/>
            <w:vAlign w:val="center"/>
          </w:tcPr>
          <w:p w14:paraId="23403823" w14:textId="42E34F44"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400,4</w:t>
            </w:r>
          </w:p>
        </w:tc>
        <w:tc>
          <w:tcPr>
            <w:tcW w:w="1275" w:type="dxa"/>
            <w:tcBorders>
              <w:top w:val="nil"/>
              <w:left w:val="nil"/>
              <w:bottom w:val="single" w:sz="4" w:space="0" w:color="auto"/>
              <w:right w:val="single" w:sz="4" w:space="0" w:color="auto"/>
            </w:tcBorders>
            <w:shd w:val="clear" w:color="auto" w:fill="auto"/>
            <w:noWrap/>
            <w:vAlign w:val="center"/>
          </w:tcPr>
          <w:p w14:paraId="71B652CE" w14:textId="2564AE69"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43,6</w:t>
            </w:r>
          </w:p>
        </w:tc>
        <w:tc>
          <w:tcPr>
            <w:tcW w:w="997" w:type="dxa"/>
            <w:tcBorders>
              <w:top w:val="nil"/>
              <w:left w:val="nil"/>
              <w:bottom w:val="single" w:sz="4" w:space="0" w:color="auto"/>
              <w:right w:val="single" w:sz="4" w:space="0" w:color="auto"/>
            </w:tcBorders>
            <w:shd w:val="clear" w:color="auto" w:fill="auto"/>
            <w:noWrap/>
            <w:vAlign w:val="center"/>
          </w:tcPr>
          <w:p w14:paraId="7A939C99" w14:textId="2283A94B"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117,6</w:t>
            </w:r>
          </w:p>
        </w:tc>
      </w:tr>
      <w:tr w:rsidR="00A015E9" w:rsidRPr="00190176" w14:paraId="21851932"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6660DDD2" w14:textId="77777777" w:rsidR="00A015E9" w:rsidRPr="00602E3C" w:rsidRDefault="00A015E9" w:rsidP="00A015E9">
            <w:pPr>
              <w:keepNext/>
              <w:keepLines/>
              <w:spacing w:before="120" w:after="120"/>
              <w:jc w:val="right"/>
              <w:rPr>
                <w:rFonts w:ascii="Times New Roman" w:hAnsi="Times New Roman" w:cs="Times New Roman"/>
                <w:sz w:val="20"/>
                <w:szCs w:val="20"/>
              </w:rPr>
            </w:pPr>
            <w:r w:rsidRPr="3D6ED029">
              <w:rPr>
                <w:rFonts w:ascii="Times New Roman" w:hAnsi="Times New Roman" w:cs="Times New Roman"/>
                <w:sz w:val="20"/>
                <w:szCs w:val="20"/>
              </w:rPr>
              <w:t>kiadás:</w:t>
            </w:r>
          </w:p>
        </w:tc>
        <w:tc>
          <w:tcPr>
            <w:tcW w:w="1067" w:type="dxa"/>
            <w:tcBorders>
              <w:top w:val="nil"/>
              <w:left w:val="nil"/>
              <w:bottom w:val="single" w:sz="4" w:space="0" w:color="auto"/>
              <w:right w:val="single" w:sz="4" w:space="0" w:color="auto"/>
            </w:tcBorders>
            <w:shd w:val="clear" w:color="auto" w:fill="auto"/>
            <w:noWrap/>
            <w:vAlign w:val="center"/>
          </w:tcPr>
          <w:p w14:paraId="2D2AA0E6" w14:textId="30027019"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830,9</w:t>
            </w:r>
          </w:p>
        </w:tc>
        <w:tc>
          <w:tcPr>
            <w:tcW w:w="1134" w:type="dxa"/>
            <w:tcBorders>
              <w:top w:val="nil"/>
              <w:left w:val="nil"/>
              <w:bottom w:val="single" w:sz="4" w:space="0" w:color="auto"/>
              <w:right w:val="single" w:sz="4" w:space="0" w:color="auto"/>
            </w:tcBorders>
            <w:shd w:val="clear" w:color="auto" w:fill="auto"/>
            <w:noWrap/>
            <w:vAlign w:val="center"/>
          </w:tcPr>
          <w:p w14:paraId="576B68B3" w14:textId="68933E5B"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295,2</w:t>
            </w:r>
          </w:p>
        </w:tc>
        <w:tc>
          <w:tcPr>
            <w:tcW w:w="1217" w:type="dxa"/>
            <w:tcBorders>
              <w:top w:val="nil"/>
              <w:left w:val="nil"/>
              <w:bottom w:val="single" w:sz="4" w:space="0" w:color="auto"/>
              <w:right w:val="single" w:sz="4" w:space="0" w:color="auto"/>
            </w:tcBorders>
            <w:shd w:val="clear" w:color="auto" w:fill="auto"/>
            <w:noWrap/>
            <w:vAlign w:val="center"/>
          </w:tcPr>
          <w:p w14:paraId="4E9C905D" w14:textId="73CC09A3"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35,5</w:t>
            </w:r>
          </w:p>
        </w:tc>
        <w:tc>
          <w:tcPr>
            <w:tcW w:w="1103" w:type="dxa"/>
            <w:tcBorders>
              <w:top w:val="nil"/>
              <w:left w:val="nil"/>
              <w:bottom w:val="single" w:sz="4" w:space="0" w:color="auto"/>
              <w:right w:val="single" w:sz="4" w:space="0" w:color="auto"/>
            </w:tcBorders>
            <w:shd w:val="clear" w:color="auto" w:fill="auto"/>
            <w:noWrap/>
            <w:vAlign w:val="center"/>
          </w:tcPr>
          <w:p w14:paraId="675B2ADB" w14:textId="759AB796"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842,8</w:t>
            </w:r>
          </w:p>
        </w:tc>
        <w:tc>
          <w:tcPr>
            <w:tcW w:w="1224" w:type="dxa"/>
            <w:tcBorders>
              <w:top w:val="nil"/>
              <w:left w:val="nil"/>
              <w:bottom w:val="single" w:sz="4" w:space="0" w:color="auto"/>
              <w:right w:val="single" w:sz="4" w:space="0" w:color="auto"/>
            </w:tcBorders>
            <w:shd w:val="clear" w:color="auto" w:fill="auto"/>
            <w:noWrap/>
            <w:vAlign w:val="center"/>
          </w:tcPr>
          <w:p w14:paraId="2F88030E" w14:textId="4B81DB9E"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329,4</w:t>
            </w:r>
          </w:p>
        </w:tc>
        <w:tc>
          <w:tcPr>
            <w:tcW w:w="1275" w:type="dxa"/>
            <w:tcBorders>
              <w:top w:val="nil"/>
              <w:left w:val="nil"/>
              <w:bottom w:val="single" w:sz="4" w:space="0" w:color="auto"/>
              <w:right w:val="single" w:sz="4" w:space="0" w:color="auto"/>
            </w:tcBorders>
            <w:shd w:val="clear" w:color="auto" w:fill="auto"/>
            <w:noWrap/>
            <w:vAlign w:val="center"/>
          </w:tcPr>
          <w:p w14:paraId="0FE9EE5B" w14:textId="4FD32C6A"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39,1</w:t>
            </w:r>
          </w:p>
        </w:tc>
        <w:tc>
          <w:tcPr>
            <w:tcW w:w="997" w:type="dxa"/>
            <w:tcBorders>
              <w:top w:val="nil"/>
              <w:left w:val="nil"/>
              <w:bottom w:val="single" w:sz="4" w:space="0" w:color="auto"/>
              <w:right w:val="single" w:sz="4" w:space="0" w:color="auto"/>
            </w:tcBorders>
            <w:shd w:val="clear" w:color="auto" w:fill="auto"/>
            <w:noWrap/>
            <w:vAlign w:val="center"/>
          </w:tcPr>
          <w:p w14:paraId="1C69CA5D" w14:textId="735BCD8C"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111,6</w:t>
            </w:r>
          </w:p>
        </w:tc>
      </w:tr>
      <w:tr w:rsidR="00A015E9" w:rsidRPr="003D514A" w14:paraId="60B524D9"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A244A9D" w14:textId="77777777" w:rsidR="00A015E9" w:rsidRPr="00602E3C" w:rsidRDefault="00A015E9" w:rsidP="00A015E9">
            <w:pPr>
              <w:keepNext/>
              <w:keepLines/>
              <w:spacing w:before="120" w:after="120"/>
              <w:rPr>
                <w:rFonts w:ascii="Times New Roman" w:hAnsi="Times New Roman" w:cs="Times New Roman"/>
                <w:b/>
                <w:bCs/>
                <w:sz w:val="20"/>
                <w:szCs w:val="20"/>
              </w:rPr>
            </w:pPr>
            <w:r w:rsidRPr="3D6ED029">
              <w:rPr>
                <w:rFonts w:ascii="Times New Roman" w:hAnsi="Times New Roman" w:cs="Times New Roman"/>
                <w:b/>
                <w:bCs/>
                <w:sz w:val="20"/>
                <w:szCs w:val="20"/>
              </w:rPr>
              <w:t>Társadalombiztosítás pénzügyi alapjainak egyenlege</w:t>
            </w:r>
          </w:p>
        </w:tc>
        <w:tc>
          <w:tcPr>
            <w:tcW w:w="1067" w:type="dxa"/>
            <w:tcBorders>
              <w:top w:val="nil"/>
              <w:left w:val="nil"/>
              <w:bottom w:val="single" w:sz="4" w:space="0" w:color="auto"/>
              <w:right w:val="single" w:sz="4" w:space="0" w:color="auto"/>
            </w:tcBorders>
            <w:shd w:val="clear" w:color="auto" w:fill="auto"/>
            <w:noWrap/>
            <w:vAlign w:val="center"/>
          </w:tcPr>
          <w:p w14:paraId="2D4F2C66" w14:textId="23E97B68"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-245,9</w:t>
            </w:r>
          </w:p>
        </w:tc>
        <w:tc>
          <w:tcPr>
            <w:tcW w:w="1134" w:type="dxa"/>
            <w:tcBorders>
              <w:top w:val="nil"/>
              <w:left w:val="nil"/>
              <w:bottom w:val="single" w:sz="4" w:space="0" w:color="auto"/>
              <w:right w:val="single" w:sz="4" w:space="0" w:color="auto"/>
            </w:tcBorders>
            <w:shd w:val="clear" w:color="auto" w:fill="auto"/>
            <w:noWrap/>
            <w:vAlign w:val="center"/>
          </w:tcPr>
          <w:p w14:paraId="516703D8" w14:textId="4F300EE2"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-99,0</w:t>
            </w:r>
          </w:p>
        </w:tc>
        <w:tc>
          <w:tcPr>
            <w:tcW w:w="1217" w:type="dxa"/>
            <w:tcBorders>
              <w:top w:val="nil"/>
              <w:left w:val="nil"/>
              <w:bottom w:val="single" w:sz="4" w:space="0" w:color="auto"/>
              <w:right w:val="single" w:sz="4" w:space="0" w:color="auto"/>
            </w:tcBorders>
            <w:shd w:val="clear" w:color="auto" w:fill="auto"/>
            <w:noWrap/>
            <w:vAlign w:val="center"/>
          </w:tcPr>
          <w:p w14:paraId="780B578C" w14:textId="01B7E699"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40,3</w:t>
            </w:r>
          </w:p>
        </w:tc>
        <w:tc>
          <w:tcPr>
            <w:tcW w:w="1103" w:type="dxa"/>
            <w:tcBorders>
              <w:top w:val="nil"/>
              <w:left w:val="nil"/>
              <w:bottom w:val="single" w:sz="4" w:space="0" w:color="auto"/>
              <w:right w:val="single" w:sz="4" w:space="0" w:color="auto"/>
            </w:tcBorders>
            <w:shd w:val="clear" w:color="auto" w:fill="auto"/>
            <w:noWrap/>
            <w:vAlign w:val="center"/>
          </w:tcPr>
          <w:p w14:paraId="662A8D25" w14:textId="07161DAE"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0,0</w:t>
            </w:r>
          </w:p>
        </w:tc>
        <w:tc>
          <w:tcPr>
            <w:tcW w:w="1224" w:type="dxa"/>
            <w:tcBorders>
              <w:top w:val="nil"/>
              <w:left w:val="nil"/>
              <w:bottom w:val="single" w:sz="4" w:space="0" w:color="auto"/>
              <w:right w:val="single" w:sz="4" w:space="0" w:color="auto"/>
            </w:tcBorders>
            <w:shd w:val="clear" w:color="auto" w:fill="auto"/>
            <w:noWrap/>
            <w:vAlign w:val="center"/>
          </w:tcPr>
          <w:p w14:paraId="0975A4E1" w14:textId="767D4220"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-182</w:t>
            </w:r>
            <w:r>
              <w:rPr>
                <w:rFonts w:ascii="Garamond" w:hAnsi="Garamond"/>
                <w:b/>
                <w:bCs/>
                <w:sz w:val="20"/>
                <w:szCs w:val="20"/>
              </w:rPr>
              <w:t>,4</w:t>
            </w:r>
          </w:p>
        </w:tc>
        <w:tc>
          <w:tcPr>
            <w:tcW w:w="1275" w:type="dxa"/>
            <w:tcBorders>
              <w:top w:val="nil"/>
              <w:left w:val="nil"/>
              <w:bottom w:val="single" w:sz="4" w:space="0" w:color="auto"/>
              <w:right w:val="single" w:sz="4" w:space="0" w:color="auto"/>
            </w:tcBorders>
            <w:shd w:val="clear" w:color="auto" w:fill="auto"/>
            <w:noWrap/>
            <w:vAlign w:val="center"/>
          </w:tcPr>
          <w:p w14:paraId="0142F674" w14:textId="77777777" w:rsidR="00A015E9" w:rsidRPr="007007A3" w:rsidRDefault="00A015E9" w:rsidP="00A015E9">
            <w:pPr>
              <w:spacing w:before="120" w:after="120"/>
              <w:jc w:val="right"/>
              <w:rPr>
                <w:rFonts w:ascii="Times New Roman" w:hAnsi="Times New Roman" w:cs="Times New Roman"/>
                <w:sz w:val="20"/>
                <w:szCs w:val="20"/>
              </w:rPr>
            </w:pPr>
          </w:p>
        </w:tc>
        <w:tc>
          <w:tcPr>
            <w:tcW w:w="997" w:type="dxa"/>
            <w:tcBorders>
              <w:top w:val="nil"/>
              <w:left w:val="nil"/>
              <w:bottom w:val="single" w:sz="4" w:space="0" w:color="auto"/>
              <w:right w:val="single" w:sz="4" w:space="0" w:color="auto"/>
            </w:tcBorders>
            <w:shd w:val="clear" w:color="auto" w:fill="auto"/>
            <w:noWrap/>
            <w:vAlign w:val="center"/>
          </w:tcPr>
          <w:p w14:paraId="00F561CA" w14:textId="3E5EB303" w:rsidR="00A015E9" w:rsidRPr="007007A3" w:rsidRDefault="00A015E9" w:rsidP="00A015E9">
            <w:pPr>
              <w:spacing w:before="120" w:after="120"/>
              <w:jc w:val="right"/>
              <w:rPr>
                <w:rFonts w:ascii="Times New Roman" w:hAnsi="Times New Roman" w:cs="Times New Roman"/>
                <w:sz w:val="20"/>
                <w:szCs w:val="20"/>
              </w:rPr>
            </w:pPr>
            <w:r>
              <w:rPr>
                <w:rFonts w:ascii="Garamond" w:hAnsi="Garamond"/>
                <w:sz w:val="20"/>
                <w:szCs w:val="20"/>
              </w:rPr>
              <w:t>184,2</w:t>
            </w:r>
          </w:p>
        </w:tc>
      </w:tr>
      <w:tr w:rsidR="00A015E9" w:rsidRPr="003D514A" w14:paraId="6196F208"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0539374" w14:textId="77777777" w:rsidR="00A015E9" w:rsidRPr="00602E3C" w:rsidRDefault="00A015E9" w:rsidP="00A015E9">
            <w:pPr>
              <w:keepNext/>
              <w:keepLines/>
              <w:spacing w:before="120" w:after="120"/>
              <w:jc w:val="right"/>
              <w:rPr>
                <w:rFonts w:ascii="Times New Roman" w:hAnsi="Times New Roman" w:cs="Times New Roman"/>
                <w:sz w:val="20"/>
                <w:szCs w:val="20"/>
              </w:rPr>
            </w:pPr>
            <w:r w:rsidRPr="3D6ED029">
              <w:rPr>
                <w:rFonts w:ascii="Times New Roman" w:hAnsi="Times New Roman" w:cs="Times New Roman"/>
                <w:sz w:val="20"/>
                <w:szCs w:val="20"/>
              </w:rPr>
              <w:t>bevétel:</w:t>
            </w:r>
          </w:p>
        </w:tc>
        <w:tc>
          <w:tcPr>
            <w:tcW w:w="1067" w:type="dxa"/>
            <w:tcBorders>
              <w:top w:val="nil"/>
              <w:left w:val="nil"/>
              <w:bottom w:val="single" w:sz="4" w:space="0" w:color="auto"/>
              <w:right w:val="single" w:sz="4" w:space="0" w:color="auto"/>
            </w:tcBorders>
            <w:shd w:val="clear" w:color="auto" w:fill="auto"/>
            <w:noWrap/>
            <w:vAlign w:val="center"/>
          </w:tcPr>
          <w:p w14:paraId="414C829C" w14:textId="52064C49"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11 294,9</w:t>
            </w:r>
          </w:p>
        </w:tc>
        <w:tc>
          <w:tcPr>
            <w:tcW w:w="1134" w:type="dxa"/>
            <w:tcBorders>
              <w:top w:val="nil"/>
              <w:left w:val="nil"/>
              <w:bottom w:val="single" w:sz="4" w:space="0" w:color="auto"/>
              <w:right w:val="single" w:sz="4" w:space="0" w:color="auto"/>
            </w:tcBorders>
            <w:shd w:val="clear" w:color="auto" w:fill="auto"/>
            <w:noWrap/>
            <w:vAlign w:val="center"/>
          </w:tcPr>
          <w:p w14:paraId="2F3B80BA" w14:textId="56A97053"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4 972,5</w:t>
            </w:r>
          </w:p>
        </w:tc>
        <w:tc>
          <w:tcPr>
            <w:tcW w:w="1217" w:type="dxa"/>
            <w:tcBorders>
              <w:top w:val="nil"/>
              <w:left w:val="nil"/>
              <w:bottom w:val="single" w:sz="4" w:space="0" w:color="auto"/>
              <w:right w:val="single" w:sz="4" w:space="0" w:color="auto"/>
            </w:tcBorders>
            <w:shd w:val="clear" w:color="auto" w:fill="auto"/>
            <w:noWrap/>
            <w:vAlign w:val="center"/>
          </w:tcPr>
          <w:p w14:paraId="18C6222F" w14:textId="3D46F7E5"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44,0</w:t>
            </w:r>
          </w:p>
        </w:tc>
        <w:tc>
          <w:tcPr>
            <w:tcW w:w="1103" w:type="dxa"/>
            <w:tcBorders>
              <w:top w:val="nil"/>
              <w:left w:val="nil"/>
              <w:bottom w:val="single" w:sz="4" w:space="0" w:color="auto"/>
              <w:right w:val="single" w:sz="4" w:space="0" w:color="auto"/>
            </w:tcBorders>
            <w:shd w:val="clear" w:color="auto" w:fill="auto"/>
            <w:noWrap/>
            <w:vAlign w:val="center"/>
          </w:tcPr>
          <w:p w14:paraId="041A2AE9" w14:textId="66A0DA90"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11 941,6</w:t>
            </w:r>
          </w:p>
        </w:tc>
        <w:tc>
          <w:tcPr>
            <w:tcW w:w="1224" w:type="dxa"/>
            <w:tcBorders>
              <w:top w:val="nil"/>
              <w:left w:val="nil"/>
              <w:bottom w:val="single" w:sz="4" w:space="0" w:color="auto"/>
              <w:right w:val="single" w:sz="4" w:space="0" w:color="auto"/>
            </w:tcBorders>
            <w:shd w:val="clear" w:color="auto" w:fill="auto"/>
            <w:noWrap/>
            <w:vAlign w:val="center"/>
          </w:tcPr>
          <w:p w14:paraId="7AECEB35" w14:textId="43EDC65D"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5 395,4</w:t>
            </w:r>
          </w:p>
        </w:tc>
        <w:tc>
          <w:tcPr>
            <w:tcW w:w="1275" w:type="dxa"/>
            <w:tcBorders>
              <w:top w:val="nil"/>
              <w:left w:val="nil"/>
              <w:bottom w:val="single" w:sz="4" w:space="0" w:color="auto"/>
              <w:right w:val="single" w:sz="4" w:space="0" w:color="auto"/>
            </w:tcBorders>
            <w:shd w:val="clear" w:color="auto" w:fill="auto"/>
            <w:noWrap/>
            <w:vAlign w:val="center"/>
          </w:tcPr>
          <w:p w14:paraId="6E0843CA" w14:textId="13DFC7E3"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45,2</w:t>
            </w:r>
          </w:p>
        </w:tc>
        <w:tc>
          <w:tcPr>
            <w:tcW w:w="997" w:type="dxa"/>
            <w:tcBorders>
              <w:top w:val="nil"/>
              <w:left w:val="nil"/>
              <w:bottom w:val="single" w:sz="4" w:space="0" w:color="auto"/>
              <w:right w:val="single" w:sz="4" w:space="0" w:color="auto"/>
            </w:tcBorders>
            <w:shd w:val="clear" w:color="auto" w:fill="auto"/>
            <w:noWrap/>
            <w:vAlign w:val="center"/>
          </w:tcPr>
          <w:p w14:paraId="4E1DA02E" w14:textId="0B040ABD"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108,5</w:t>
            </w:r>
          </w:p>
        </w:tc>
      </w:tr>
      <w:tr w:rsidR="00A015E9" w:rsidRPr="003D514A" w14:paraId="2E0C2349"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76CFF744" w14:textId="77777777" w:rsidR="00A015E9" w:rsidRPr="00602E3C" w:rsidRDefault="00A015E9" w:rsidP="00A015E9">
            <w:pPr>
              <w:keepNext/>
              <w:keepLines/>
              <w:spacing w:before="120" w:after="120"/>
              <w:jc w:val="right"/>
              <w:rPr>
                <w:rFonts w:ascii="Times New Roman" w:hAnsi="Times New Roman" w:cs="Times New Roman"/>
                <w:sz w:val="20"/>
                <w:szCs w:val="20"/>
              </w:rPr>
            </w:pPr>
            <w:r w:rsidRPr="3D6ED029">
              <w:rPr>
                <w:rFonts w:ascii="Times New Roman" w:hAnsi="Times New Roman" w:cs="Times New Roman"/>
                <w:sz w:val="20"/>
                <w:szCs w:val="20"/>
              </w:rPr>
              <w:t>kiadás:</w:t>
            </w:r>
          </w:p>
        </w:tc>
        <w:tc>
          <w:tcPr>
            <w:tcW w:w="1067" w:type="dxa"/>
            <w:tcBorders>
              <w:top w:val="nil"/>
              <w:left w:val="nil"/>
              <w:bottom w:val="single" w:sz="4" w:space="0" w:color="auto"/>
              <w:right w:val="single" w:sz="4" w:space="0" w:color="auto"/>
            </w:tcBorders>
            <w:shd w:val="clear" w:color="auto" w:fill="auto"/>
            <w:noWrap/>
            <w:vAlign w:val="center"/>
          </w:tcPr>
          <w:p w14:paraId="234DEE28" w14:textId="351C9BC6"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11 540,8</w:t>
            </w:r>
          </w:p>
        </w:tc>
        <w:tc>
          <w:tcPr>
            <w:tcW w:w="1134" w:type="dxa"/>
            <w:tcBorders>
              <w:top w:val="nil"/>
              <w:left w:val="nil"/>
              <w:bottom w:val="single" w:sz="4" w:space="0" w:color="auto"/>
              <w:right w:val="single" w:sz="4" w:space="0" w:color="auto"/>
            </w:tcBorders>
            <w:shd w:val="clear" w:color="auto" w:fill="auto"/>
            <w:noWrap/>
            <w:vAlign w:val="center"/>
          </w:tcPr>
          <w:p w14:paraId="7FB63125" w14:textId="2590CDBA"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5 071,5</w:t>
            </w:r>
          </w:p>
        </w:tc>
        <w:tc>
          <w:tcPr>
            <w:tcW w:w="1217" w:type="dxa"/>
            <w:tcBorders>
              <w:top w:val="nil"/>
              <w:left w:val="nil"/>
              <w:bottom w:val="single" w:sz="4" w:space="0" w:color="auto"/>
              <w:right w:val="single" w:sz="4" w:space="0" w:color="auto"/>
            </w:tcBorders>
            <w:shd w:val="clear" w:color="auto" w:fill="auto"/>
            <w:noWrap/>
            <w:vAlign w:val="center"/>
          </w:tcPr>
          <w:p w14:paraId="0B8856A0" w14:textId="3F312765"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43,9</w:t>
            </w:r>
          </w:p>
        </w:tc>
        <w:tc>
          <w:tcPr>
            <w:tcW w:w="1103" w:type="dxa"/>
            <w:tcBorders>
              <w:top w:val="nil"/>
              <w:left w:val="nil"/>
              <w:bottom w:val="single" w:sz="4" w:space="0" w:color="auto"/>
              <w:right w:val="single" w:sz="4" w:space="0" w:color="auto"/>
            </w:tcBorders>
            <w:shd w:val="clear" w:color="auto" w:fill="auto"/>
            <w:noWrap/>
            <w:vAlign w:val="center"/>
          </w:tcPr>
          <w:p w14:paraId="086FE71C" w14:textId="5BC12AD3"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11 941,6</w:t>
            </w:r>
          </w:p>
        </w:tc>
        <w:tc>
          <w:tcPr>
            <w:tcW w:w="1224" w:type="dxa"/>
            <w:tcBorders>
              <w:top w:val="nil"/>
              <w:left w:val="nil"/>
              <w:bottom w:val="single" w:sz="4" w:space="0" w:color="auto"/>
              <w:right w:val="single" w:sz="4" w:space="0" w:color="auto"/>
            </w:tcBorders>
            <w:shd w:val="clear" w:color="auto" w:fill="auto"/>
            <w:noWrap/>
            <w:vAlign w:val="center"/>
          </w:tcPr>
          <w:p w14:paraId="4801CC60" w14:textId="1C94D864"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5 577,8</w:t>
            </w:r>
          </w:p>
        </w:tc>
        <w:tc>
          <w:tcPr>
            <w:tcW w:w="1275" w:type="dxa"/>
            <w:tcBorders>
              <w:top w:val="nil"/>
              <w:left w:val="nil"/>
              <w:bottom w:val="single" w:sz="4" w:space="0" w:color="auto"/>
              <w:right w:val="single" w:sz="4" w:space="0" w:color="auto"/>
            </w:tcBorders>
            <w:shd w:val="clear" w:color="auto" w:fill="auto"/>
            <w:noWrap/>
            <w:vAlign w:val="center"/>
          </w:tcPr>
          <w:p w14:paraId="080A695A" w14:textId="153E31D9"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46,7</w:t>
            </w:r>
          </w:p>
        </w:tc>
        <w:tc>
          <w:tcPr>
            <w:tcW w:w="997" w:type="dxa"/>
            <w:tcBorders>
              <w:top w:val="nil"/>
              <w:left w:val="nil"/>
              <w:bottom w:val="single" w:sz="4" w:space="0" w:color="auto"/>
              <w:right w:val="single" w:sz="4" w:space="0" w:color="auto"/>
            </w:tcBorders>
            <w:shd w:val="clear" w:color="auto" w:fill="auto"/>
            <w:noWrap/>
            <w:vAlign w:val="center"/>
          </w:tcPr>
          <w:p w14:paraId="12785972" w14:textId="0E0B0A2E"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110,0</w:t>
            </w:r>
          </w:p>
        </w:tc>
      </w:tr>
      <w:tr w:rsidR="00A015E9" w:rsidRPr="003D514A" w14:paraId="4C937A62"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22B27C31" w14:textId="77777777" w:rsidR="00A015E9" w:rsidRPr="00602E3C" w:rsidRDefault="00A015E9" w:rsidP="00A015E9">
            <w:pPr>
              <w:keepNext/>
              <w:keepLines/>
              <w:spacing w:before="120" w:after="120"/>
              <w:rPr>
                <w:rFonts w:ascii="Times New Roman" w:hAnsi="Times New Roman" w:cs="Times New Roman"/>
                <w:b/>
                <w:bCs/>
                <w:sz w:val="20"/>
                <w:szCs w:val="20"/>
              </w:rPr>
            </w:pPr>
            <w:r w:rsidRPr="3D6ED029">
              <w:rPr>
                <w:rFonts w:ascii="Times New Roman" w:hAnsi="Times New Roman" w:cs="Times New Roman"/>
                <w:b/>
                <w:bCs/>
                <w:sz w:val="20"/>
                <w:szCs w:val="20"/>
              </w:rPr>
              <w:t>Egyenleg összesen</w:t>
            </w:r>
          </w:p>
        </w:tc>
        <w:tc>
          <w:tcPr>
            <w:tcW w:w="1067" w:type="dxa"/>
            <w:tcBorders>
              <w:top w:val="nil"/>
              <w:left w:val="nil"/>
              <w:bottom w:val="single" w:sz="4" w:space="0" w:color="auto"/>
              <w:right w:val="single" w:sz="4" w:space="0" w:color="auto"/>
            </w:tcBorders>
            <w:shd w:val="clear" w:color="auto" w:fill="auto"/>
            <w:noWrap/>
            <w:vAlign w:val="center"/>
          </w:tcPr>
          <w:p w14:paraId="34532105" w14:textId="589250F7"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-5 738,7</w:t>
            </w:r>
          </w:p>
        </w:tc>
        <w:tc>
          <w:tcPr>
            <w:tcW w:w="1134" w:type="dxa"/>
            <w:tcBorders>
              <w:top w:val="nil"/>
              <w:left w:val="nil"/>
              <w:bottom w:val="single" w:sz="4" w:space="0" w:color="auto"/>
              <w:right w:val="single" w:sz="4" w:space="0" w:color="auto"/>
            </w:tcBorders>
            <w:shd w:val="clear" w:color="auto" w:fill="auto"/>
            <w:noWrap/>
            <w:vAlign w:val="center"/>
          </w:tcPr>
          <w:p w14:paraId="74267FA6" w14:textId="0038EDCC"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-2</w:t>
            </w:r>
            <w:r>
              <w:rPr>
                <w:rFonts w:ascii="Garamond" w:hAnsi="Garamond"/>
                <w:b/>
                <w:bCs/>
                <w:sz w:val="20"/>
                <w:szCs w:val="20"/>
              </w:rPr>
              <w:t> </w:t>
            </w:r>
            <w:r w:rsidRPr="00690867">
              <w:rPr>
                <w:rFonts w:ascii="Garamond" w:hAnsi="Garamond"/>
                <w:b/>
                <w:bCs/>
                <w:sz w:val="20"/>
                <w:szCs w:val="20"/>
              </w:rPr>
              <w:t>8</w:t>
            </w:r>
            <w:r>
              <w:rPr>
                <w:rFonts w:ascii="Garamond" w:hAnsi="Garamond"/>
                <w:b/>
                <w:bCs/>
                <w:sz w:val="20"/>
                <w:szCs w:val="20"/>
              </w:rPr>
              <w:t>00,9</w:t>
            </w:r>
          </w:p>
        </w:tc>
        <w:tc>
          <w:tcPr>
            <w:tcW w:w="1217" w:type="dxa"/>
            <w:tcBorders>
              <w:top w:val="nil"/>
              <w:left w:val="nil"/>
              <w:bottom w:val="single" w:sz="4" w:space="0" w:color="auto"/>
              <w:right w:val="single" w:sz="4" w:space="0" w:color="auto"/>
            </w:tcBorders>
            <w:shd w:val="clear" w:color="auto" w:fill="auto"/>
            <w:noWrap/>
            <w:vAlign w:val="center"/>
          </w:tcPr>
          <w:p w14:paraId="03FC0469" w14:textId="23076B53"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48,8</w:t>
            </w:r>
          </w:p>
        </w:tc>
        <w:tc>
          <w:tcPr>
            <w:tcW w:w="1103" w:type="dxa"/>
            <w:tcBorders>
              <w:top w:val="nil"/>
              <w:left w:val="nil"/>
              <w:bottom w:val="single" w:sz="4" w:space="0" w:color="auto"/>
              <w:right w:val="single" w:sz="4" w:space="0" w:color="auto"/>
            </w:tcBorders>
            <w:shd w:val="clear" w:color="auto" w:fill="auto"/>
            <w:noWrap/>
            <w:vAlign w:val="center"/>
          </w:tcPr>
          <w:p w14:paraId="7641E26B" w14:textId="6EAD1C2D"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-4 218,5</w:t>
            </w:r>
          </w:p>
        </w:tc>
        <w:tc>
          <w:tcPr>
            <w:tcW w:w="1224" w:type="dxa"/>
            <w:tcBorders>
              <w:top w:val="nil"/>
              <w:left w:val="nil"/>
              <w:bottom w:val="single" w:sz="4" w:space="0" w:color="auto"/>
              <w:right w:val="single" w:sz="4" w:space="0" w:color="auto"/>
            </w:tcBorders>
            <w:shd w:val="clear" w:color="auto" w:fill="auto"/>
            <w:noWrap/>
            <w:vAlign w:val="center"/>
          </w:tcPr>
          <w:p w14:paraId="58981E80" w14:textId="021EEE73" w:rsidR="00A015E9" w:rsidRPr="007007A3" w:rsidRDefault="00A015E9" w:rsidP="00A015E9">
            <w:pPr>
              <w:spacing w:before="120" w:after="120"/>
              <w:jc w:val="right"/>
              <w:rPr>
                <w:rFonts w:ascii="Times New Roman" w:hAnsi="Times New Roman" w:cs="Times New Roman"/>
                <w:b/>
                <w:bCs/>
                <w:sz w:val="20"/>
                <w:szCs w:val="20"/>
              </w:rPr>
            </w:pPr>
            <w:r w:rsidRPr="00690867">
              <w:rPr>
                <w:rFonts w:ascii="Garamond" w:hAnsi="Garamond"/>
                <w:b/>
                <w:bCs/>
                <w:sz w:val="20"/>
                <w:szCs w:val="20"/>
              </w:rPr>
              <w:t>-3 806,3</w:t>
            </w:r>
          </w:p>
        </w:tc>
        <w:tc>
          <w:tcPr>
            <w:tcW w:w="1275" w:type="dxa"/>
            <w:tcBorders>
              <w:top w:val="nil"/>
              <w:left w:val="nil"/>
              <w:bottom w:val="single" w:sz="4" w:space="0" w:color="auto"/>
              <w:right w:val="single" w:sz="4" w:space="0" w:color="auto"/>
            </w:tcBorders>
            <w:shd w:val="clear" w:color="auto" w:fill="auto"/>
            <w:noWrap/>
            <w:vAlign w:val="center"/>
          </w:tcPr>
          <w:p w14:paraId="5ED7099D" w14:textId="77AE6E3E"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90,2</w:t>
            </w:r>
          </w:p>
        </w:tc>
        <w:tc>
          <w:tcPr>
            <w:tcW w:w="997" w:type="dxa"/>
            <w:tcBorders>
              <w:top w:val="nil"/>
              <w:left w:val="nil"/>
              <w:bottom w:val="single" w:sz="4" w:space="0" w:color="auto"/>
              <w:right w:val="single" w:sz="4" w:space="0" w:color="auto"/>
            </w:tcBorders>
            <w:shd w:val="clear" w:color="auto" w:fill="auto"/>
            <w:noWrap/>
            <w:vAlign w:val="center"/>
          </w:tcPr>
          <w:p w14:paraId="7A98A233" w14:textId="79C830C4"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135,9</w:t>
            </w:r>
          </w:p>
        </w:tc>
      </w:tr>
      <w:tr w:rsidR="00A015E9" w:rsidRPr="003D514A" w14:paraId="4C7D7EF2"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50CAE52E" w14:textId="77777777" w:rsidR="00A015E9" w:rsidRPr="00602E3C" w:rsidRDefault="00A015E9" w:rsidP="00A015E9">
            <w:pPr>
              <w:keepNext/>
              <w:keepLines/>
              <w:spacing w:before="120" w:after="120"/>
              <w:jc w:val="right"/>
              <w:rPr>
                <w:rFonts w:ascii="Times New Roman" w:hAnsi="Times New Roman" w:cs="Times New Roman"/>
                <w:sz w:val="20"/>
                <w:szCs w:val="20"/>
              </w:rPr>
            </w:pPr>
            <w:r w:rsidRPr="3D6ED029">
              <w:rPr>
                <w:rFonts w:ascii="Times New Roman" w:hAnsi="Times New Roman" w:cs="Times New Roman"/>
                <w:sz w:val="20"/>
                <w:szCs w:val="20"/>
              </w:rPr>
              <w:t>bevétel:</w:t>
            </w:r>
          </w:p>
        </w:tc>
        <w:tc>
          <w:tcPr>
            <w:tcW w:w="1067" w:type="dxa"/>
            <w:tcBorders>
              <w:top w:val="nil"/>
              <w:left w:val="nil"/>
              <w:bottom w:val="single" w:sz="4" w:space="0" w:color="auto"/>
              <w:right w:val="single" w:sz="4" w:space="0" w:color="auto"/>
            </w:tcBorders>
            <w:shd w:val="clear" w:color="auto" w:fill="auto"/>
            <w:noWrap/>
            <w:vAlign w:val="center"/>
          </w:tcPr>
          <w:p w14:paraId="12C6FEEA" w14:textId="1003C3DF"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39 191,6</w:t>
            </w:r>
          </w:p>
        </w:tc>
        <w:tc>
          <w:tcPr>
            <w:tcW w:w="1134" w:type="dxa"/>
            <w:tcBorders>
              <w:top w:val="nil"/>
              <w:left w:val="nil"/>
              <w:bottom w:val="single" w:sz="4" w:space="0" w:color="auto"/>
              <w:right w:val="single" w:sz="4" w:space="0" w:color="auto"/>
            </w:tcBorders>
            <w:shd w:val="clear" w:color="auto" w:fill="auto"/>
            <w:noWrap/>
            <w:vAlign w:val="center"/>
          </w:tcPr>
          <w:p w14:paraId="772E0B61" w14:textId="7B7DEE71"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16 067,7</w:t>
            </w:r>
          </w:p>
        </w:tc>
        <w:tc>
          <w:tcPr>
            <w:tcW w:w="1217" w:type="dxa"/>
            <w:tcBorders>
              <w:top w:val="nil"/>
              <w:left w:val="nil"/>
              <w:bottom w:val="single" w:sz="4" w:space="0" w:color="auto"/>
              <w:right w:val="single" w:sz="4" w:space="0" w:color="auto"/>
            </w:tcBorders>
            <w:shd w:val="clear" w:color="auto" w:fill="auto"/>
            <w:noWrap/>
            <w:vAlign w:val="center"/>
          </w:tcPr>
          <w:p w14:paraId="3C77872B" w14:textId="29315A3E"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41,0</w:t>
            </w:r>
          </w:p>
        </w:tc>
        <w:tc>
          <w:tcPr>
            <w:tcW w:w="1103" w:type="dxa"/>
            <w:tcBorders>
              <w:top w:val="nil"/>
              <w:left w:val="nil"/>
              <w:bottom w:val="single" w:sz="4" w:space="0" w:color="auto"/>
              <w:right w:val="single" w:sz="4" w:space="0" w:color="auto"/>
            </w:tcBorders>
            <w:shd w:val="clear" w:color="auto" w:fill="auto"/>
            <w:noWrap/>
            <w:vAlign w:val="center"/>
          </w:tcPr>
          <w:p w14:paraId="50894B12" w14:textId="655FB34B"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39 562,8</w:t>
            </w:r>
          </w:p>
        </w:tc>
        <w:tc>
          <w:tcPr>
            <w:tcW w:w="1224" w:type="dxa"/>
            <w:tcBorders>
              <w:top w:val="nil"/>
              <w:left w:val="nil"/>
              <w:bottom w:val="single" w:sz="4" w:space="0" w:color="auto"/>
              <w:right w:val="single" w:sz="4" w:space="0" w:color="auto"/>
            </w:tcBorders>
            <w:shd w:val="clear" w:color="auto" w:fill="auto"/>
            <w:noWrap/>
            <w:vAlign w:val="center"/>
          </w:tcPr>
          <w:p w14:paraId="3E11D232" w14:textId="236E3BFC"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17 204,2</w:t>
            </w:r>
          </w:p>
        </w:tc>
        <w:tc>
          <w:tcPr>
            <w:tcW w:w="1275" w:type="dxa"/>
            <w:tcBorders>
              <w:top w:val="nil"/>
              <w:left w:val="nil"/>
              <w:bottom w:val="single" w:sz="4" w:space="0" w:color="auto"/>
              <w:right w:val="single" w:sz="4" w:space="0" w:color="auto"/>
            </w:tcBorders>
            <w:shd w:val="clear" w:color="auto" w:fill="auto"/>
            <w:noWrap/>
            <w:vAlign w:val="center"/>
          </w:tcPr>
          <w:p w14:paraId="4CB9AE24" w14:textId="56FFF010"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43,5</w:t>
            </w:r>
          </w:p>
        </w:tc>
        <w:tc>
          <w:tcPr>
            <w:tcW w:w="997" w:type="dxa"/>
            <w:tcBorders>
              <w:top w:val="nil"/>
              <w:left w:val="nil"/>
              <w:bottom w:val="single" w:sz="4" w:space="0" w:color="auto"/>
              <w:right w:val="single" w:sz="4" w:space="0" w:color="auto"/>
            </w:tcBorders>
            <w:shd w:val="clear" w:color="auto" w:fill="auto"/>
            <w:noWrap/>
            <w:vAlign w:val="center"/>
          </w:tcPr>
          <w:p w14:paraId="0A5A7D17" w14:textId="33A97486"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107,1</w:t>
            </w:r>
          </w:p>
        </w:tc>
      </w:tr>
      <w:tr w:rsidR="00A015E9" w:rsidRPr="0096527E" w14:paraId="121D35E5" w14:textId="77777777" w:rsidTr="00A96BB4">
        <w:trPr>
          <w:trHeight w:val="170"/>
          <w:jc w:val="center"/>
        </w:trPr>
        <w:tc>
          <w:tcPr>
            <w:tcW w:w="2047" w:type="dxa"/>
            <w:tcBorders>
              <w:top w:val="nil"/>
              <w:left w:val="single" w:sz="4" w:space="0" w:color="auto"/>
              <w:bottom w:val="single" w:sz="4" w:space="0" w:color="auto"/>
              <w:right w:val="single" w:sz="4" w:space="0" w:color="auto"/>
            </w:tcBorders>
            <w:vAlign w:val="center"/>
            <w:hideMark/>
          </w:tcPr>
          <w:p w14:paraId="057BEE79" w14:textId="77777777" w:rsidR="00A015E9" w:rsidRPr="00602E3C" w:rsidRDefault="00A015E9" w:rsidP="00A015E9">
            <w:pPr>
              <w:keepNext/>
              <w:keepLines/>
              <w:spacing w:before="120" w:after="120"/>
              <w:jc w:val="right"/>
              <w:rPr>
                <w:rFonts w:ascii="Times New Roman" w:hAnsi="Times New Roman" w:cs="Times New Roman"/>
                <w:sz w:val="20"/>
                <w:szCs w:val="20"/>
              </w:rPr>
            </w:pPr>
            <w:r w:rsidRPr="3D6ED029">
              <w:rPr>
                <w:rFonts w:ascii="Times New Roman" w:hAnsi="Times New Roman" w:cs="Times New Roman"/>
                <w:sz w:val="20"/>
                <w:szCs w:val="20"/>
              </w:rPr>
              <w:t>kiadás:</w:t>
            </w:r>
          </w:p>
        </w:tc>
        <w:tc>
          <w:tcPr>
            <w:tcW w:w="1067" w:type="dxa"/>
            <w:tcBorders>
              <w:top w:val="nil"/>
              <w:left w:val="nil"/>
              <w:bottom w:val="single" w:sz="4" w:space="0" w:color="auto"/>
              <w:right w:val="single" w:sz="4" w:space="0" w:color="auto"/>
            </w:tcBorders>
            <w:shd w:val="clear" w:color="auto" w:fill="auto"/>
            <w:noWrap/>
            <w:vAlign w:val="center"/>
          </w:tcPr>
          <w:p w14:paraId="7E78424A" w14:textId="06E802F0"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44 930,4</w:t>
            </w:r>
          </w:p>
        </w:tc>
        <w:tc>
          <w:tcPr>
            <w:tcW w:w="1134" w:type="dxa"/>
            <w:tcBorders>
              <w:top w:val="nil"/>
              <w:left w:val="nil"/>
              <w:bottom w:val="single" w:sz="4" w:space="0" w:color="auto"/>
              <w:right w:val="single" w:sz="4" w:space="0" w:color="auto"/>
            </w:tcBorders>
            <w:shd w:val="clear" w:color="auto" w:fill="auto"/>
            <w:noWrap/>
            <w:vAlign w:val="center"/>
          </w:tcPr>
          <w:p w14:paraId="669402C6" w14:textId="0DC564E4"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18 868,</w:t>
            </w:r>
            <w:r>
              <w:rPr>
                <w:rFonts w:ascii="Garamond" w:hAnsi="Garamond"/>
                <w:sz w:val="20"/>
                <w:szCs w:val="20"/>
              </w:rPr>
              <w:t>7</w:t>
            </w:r>
          </w:p>
        </w:tc>
        <w:tc>
          <w:tcPr>
            <w:tcW w:w="1217" w:type="dxa"/>
            <w:tcBorders>
              <w:top w:val="nil"/>
              <w:left w:val="nil"/>
              <w:bottom w:val="single" w:sz="4" w:space="0" w:color="auto"/>
              <w:right w:val="single" w:sz="4" w:space="0" w:color="auto"/>
            </w:tcBorders>
            <w:shd w:val="clear" w:color="auto" w:fill="auto"/>
            <w:noWrap/>
            <w:vAlign w:val="center"/>
          </w:tcPr>
          <w:p w14:paraId="573B435D" w14:textId="68BC3F0A"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42,0</w:t>
            </w:r>
          </w:p>
        </w:tc>
        <w:tc>
          <w:tcPr>
            <w:tcW w:w="1103" w:type="dxa"/>
            <w:tcBorders>
              <w:top w:val="nil"/>
              <w:left w:val="nil"/>
              <w:bottom w:val="single" w:sz="4" w:space="0" w:color="auto"/>
              <w:right w:val="single" w:sz="4" w:space="0" w:color="auto"/>
            </w:tcBorders>
            <w:shd w:val="clear" w:color="auto" w:fill="auto"/>
            <w:noWrap/>
            <w:vAlign w:val="center"/>
          </w:tcPr>
          <w:p w14:paraId="17943409" w14:textId="18CB5606"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43 781,3</w:t>
            </w:r>
          </w:p>
        </w:tc>
        <w:tc>
          <w:tcPr>
            <w:tcW w:w="1224" w:type="dxa"/>
            <w:tcBorders>
              <w:top w:val="nil"/>
              <w:left w:val="nil"/>
              <w:bottom w:val="single" w:sz="4" w:space="0" w:color="auto"/>
              <w:right w:val="single" w:sz="4" w:space="0" w:color="auto"/>
            </w:tcBorders>
            <w:shd w:val="clear" w:color="auto" w:fill="auto"/>
            <w:noWrap/>
            <w:vAlign w:val="center"/>
          </w:tcPr>
          <w:p w14:paraId="2B9CEA4E" w14:textId="4BAFF387"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21 010,5</w:t>
            </w:r>
          </w:p>
        </w:tc>
        <w:tc>
          <w:tcPr>
            <w:tcW w:w="1275" w:type="dxa"/>
            <w:tcBorders>
              <w:top w:val="nil"/>
              <w:left w:val="nil"/>
              <w:bottom w:val="single" w:sz="4" w:space="0" w:color="auto"/>
              <w:right w:val="single" w:sz="4" w:space="0" w:color="auto"/>
            </w:tcBorders>
            <w:shd w:val="clear" w:color="auto" w:fill="auto"/>
            <w:noWrap/>
            <w:vAlign w:val="center"/>
          </w:tcPr>
          <w:p w14:paraId="3DD56C2E" w14:textId="381E6998"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48,0</w:t>
            </w:r>
          </w:p>
        </w:tc>
        <w:tc>
          <w:tcPr>
            <w:tcW w:w="997" w:type="dxa"/>
            <w:tcBorders>
              <w:top w:val="nil"/>
              <w:left w:val="nil"/>
              <w:bottom w:val="single" w:sz="4" w:space="0" w:color="auto"/>
              <w:right w:val="single" w:sz="4" w:space="0" w:color="auto"/>
            </w:tcBorders>
            <w:shd w:val="clear" w:color="auto" w:fill="auto"/>
            <w:noWrap/>
            <w:vAlign w:val="center"/>
          </w:tcPr>
          <w:p w14:paraId="3FA4033E" w14:textId="01C5C71C" w:rsidR="00A015E9" w:rsidRPr="007007A3" w:rsidRDefault="00A015E9" w:rsidP="00A015E9">
            <w:pPr>
              <w:spacing w:before="120" w:after="120"/>
              <w:jc w:val="right"/>
              <w:rPr>
                <w:rFonts w:ascii="Times New Roman" w:hAnsi="Times New Roman" w:cs="Times New Roman"/>
                <w:sz w:val="20"/>
                <w:szCs w:val="20"/>
              </w:rPr>
            </w:pPr>
            <w:r w:rsidRPr="00690867">
              <w:rPr>
                <w:rFonts w:ascii="Garamond" w:hAnsi="Garamond"/>
                <w:sz w:val="20"/>
                <w:szCs w:val="20"/>
              </w:rPr>
              <w:t>111,4</w:t>
            </w:r>
          </w:p>
        </w:tc>
      </w:tr>
    </w:tbl>
    <w:p w14:paraId="7ECF9175" w14:textId="77777777" w:rsidR="00EB62E4" w:rsidRDefault="00EB62E4" w:rsidP="1D3ABBAA">
      <w:pPr>
        <w:widowControl w:val="0"/>
        <w:spacing w:after="120" w:line="254" w:lineRule="auto"/>
        <w:jc w:val="both"/>
        <w:rPr>
          <w:rFonts w:ascii="Times New Roman" w:eastAsia="Times New Roman" w:hAnsi="Times New Roman" w:cs="Times New Roman"/>
          <w:sz w:val="26"/>
          <w:szCs w:val="26"/>
          <w:lang w:eastAsia="hu-HU"/>
        </w:rPr>
      </w:pPr>
    </w:p>
    <w:p w14:paraId="01371788" w14:textId="00FE3B9C" w:rsidR="00EB62E4" w:rsidRDefault="00EB62E4">
      <w:pPr>
        <w:rPr>
          <w:rFonts w:ascii="Times New Roman" w:eastAsia="Times New Roman" w:hAnsi="Times New Roman" w:cs="Times New Roman"/>
          <w:b/>
          <w:bCs/>
          <w:sz w:val="26"/>
          <w:szCs w:val="26"/>
          <w:lang w:eastAsia="hu-HU"/>
        </w:rPr>
      </w:pPr>
      <w:r>
        <w:rPr>
          <w:rFonts w:ascii="Times New Roman" w:eastAsia="Times New Roman" w:hAnsi="Times New Roman" w:cs="Times New Roman"/>
          <w:b/>
          <w:bCs/>
          <w:sz w:val="26"/>
          <w:szCs w:val="26"/>
          <w:lang w:eastAsia="hu-HU"/>
        </w:rPr>
        <w:br w:type="page"/>
      </w:r>
    </w:p>
    <w:p w14:paraId="7B768A93" w14:textId="335AD81F" w:rsidR="00B155FE" w:rsidRPr="00377D59" w:rsidRDefault="3D6ED029" w:rsidP="3D6ED029">
      <w:pPr>
        <w:spacing w:after="120" w:line="240" w:lineRule="auto"/>
        <w:jc w:val="center"/>
        <w:rPr>
          <w:rFonts w:ascii="Times New Roman" w:eastAsia="Times New Roman" w:hAnsi="Times New Roman" w:cs="Times New Roman"/>
          <w:b/>
          <w:bCs/>
          <w:sz w:val="26"/>
          <w:szCs w:val="26"/>
          <w:lang w:eastAsia="hu-HU"/>
        </w:rPr>
      </w:pPr>
      <w:r w:rsidRPr="3D6ED029">
        <w:rPr>
          <w:rFonts w:ascii="Times New Roman" w:eastAsia="Times New Roman" w:hAnsi="Times New Roman" w:cs="Times New Roman"/>
          <w:b/>
          <w:bCs/>
          <w:sz w:val="26"/>
          <w:szCs w:val="26"/>
          <w:lang w:eastAsia="hu-HU"/>
        </w:rPr>
        <w:lastRenderedPageBreak/>
        <w:t>I.</w:t>
      </w:r>
    </w:p>
    <w:p w14:paraId="7B768A94" w14:textId="77777777" w:rsidR="00B155FE" w:rsidRPr="00377D59" w:rsidRDefault="3D6ED029" w:rsidP="3D6ED029">
      <w:pPr>
        <w:keepNext/>
        <w:spacing w:after="120" w:line="240" w:lineRule="auto"/>
        <w:jc w:val="center"/>
        <w:outlineLvl w:val="1"/>
        <w:rPr>
          <w:rFonts w:ascii="Times New Roman" w:eastAsia="Times New Roman" w:hAnsi="Times New Roman" w:cs="Times New Roman"/>
          <w:b/>
          <w:bCs/>
          <w:caps/>
          <w:sz w:val="26"/>
          <w:szCs w:val="26"/>
          <w:lang w:eastAsia="hu-HU"/>
        </w:rPr>
      </w:pPr>
      <w:r w:rsidRPr="3D6ED029">
        <w:rPr>
          <w:rFonts w:ascii="Times New Roman" w:eastAsia="Times New Roman" w:hAnsi="Times New Roman" w:cs="Times New Roman"/>
          <w:b/>
          <w:bCs/>
          <w:caps/>
          <w:sz w:val="26"/>
          <w:szCs w:val="26"/>
          <w:lang w:eastAsia="hu-HU"/>
        </w:rPr>
        <w:t xml:space="preserve">A központi alrendszer pénzügyi folyamatainak </w:t>
      </w:r>
      <w:r w:rsidR="1B95ADFA">
        <w:br/>
      </w:r>
      <w:r w:rsidRPr="3D6ED029">
        <w:rPr>
          <w:rFonts w:ascii="Times New Roman" w:eastAsia="Times New Roman" w:hAnsi="Times New Roman" w:cs="Times New Roman"/>
          <w:b/>
          <w:bCs/>
          <w:caps/>
          <w:sz w:val="26"/>
          <w:szCs w:val="26"/>
          <w:lang w:eastAsia="hu-HU"/>
        </w:rPr>
        <w:t>alakulása</w:t>
      </w:r>
    </w:p>
    <w:p w14:paraId="6D461365" w14:textId="08DC9FC2" w:rsidR="0004032B" w:rsidRPr="00377D59" w:rsidRDefault="3D6ED029" w:rsidP="3D6ED029">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3D6ED029">
        <w:rPr>
          <w:rFonts w:ascii="Times New Roman" w:eastAsia="Times New Roman" w:hAnsi="Times New Roman" w:cs="Times New Roman"/>
          <w:b/>
          <w:bCs/>
          <w:smallCaps/>
          <w:sz w:val="28"/>
          <w:szCs w:val="28"/>
          <w:lang w:eastAsia="hu-HU"/>
        </w:rPr>
        <w:t>A főbb bevételek</w:t>
      </w:r>
    </w:p>
    <w:p w14:paraId="1C04A740" w14:textId="7E8405F4" w:rsidR="008E34AF" w:rsidRDefault="3D6ED029" w:rsidP="3D6ED029">
      <w:pPr>
        <w:jc w:val="both"/>
        <w:rPr>
          <w:rFonts w:ascii="Times New Roman" w:eastAsia="Times New Roman" w:hAnsi="Times New Roman" w:cs="Times New Roman"/>
          <w:b/>
          <w:bCs/>
          <w:sz w:val="26"/>
          <w:szCs w:val="26"/>
        </w:rPr>
      </w:pPr>
      <w:r w:rsidRPr="3D6ED029">
        <w:rPr>
          <w:rFonts w:ascii="Times New Roman" w:eastAsia="Times New Roman" w:hAnsi="Times New Roman" w:cs="Times New Roman"/>
          <w:b/>
          <w:bCs/>
          <w:sz w:val="26"/>
          <w:szCs w:val="26"/>
        </w:rPr>
        <w:t xml:space="preserve">A központi alrendszer </w:t>
      </w:r>
      <w:r w:rsidR="00341459">
        <w:rPr>
          <w:rFonts w:ascii="Times New Roman" w:eastAsia="Times New Roman" w:hAnsi="Times New Roman" w:cs="Times New Roman"/>
          <w:b/>
          <w:bCs/>
          <w:sz w:val="26"/>
          <w:szCs w:val="26"/>
        </w:rPr>
        <w:t>május végi 17 204,2</w:t>
      </w:r>
      <w:r w:rsidRPr="3D6ED029">
        <w:rPr>
          <w:rFonts w:ascii="Times New Roman" w:eastAsia="Times New Roman" w:hAnsi="Times New Roman" w:cs="Times New Roman"/>
          <w:b/>
          <w:bCs/>
          <w:sz w:val="26"/>
          <w:szCs w:val="26"/>
        </w:rPr>
        <w:t> milliárd forint összegű bevételei az előző év azonos időszakához képest 1</w:t>
      </w:r>
      <w:r w:rsidR="00341459">
        <w:rPr>
          <w:rFonts w:ascii="Times New Roman" w:eastAsia="Times New Roman" w:hAnsi="Times New Roman" w:cs="Times New Roman"/>
          <w:b/>
          <w:bCs/>
          <w:sz w:val="26"/>
          <w:szCs w:val="26"/>
        </w:rPr>
        <w:t>136,5</w:t>
      </w:r>
      <w:r w:rsidRPr="3D6ED029">
        <w:rPr>
          <w:rFonts w:ascii="Times New Roman" w:eastAsia="Times New Roman" w:hAnsi="Times New Roman" w:cs="Times New Roman"/>
          <w:b/>
          <w:bCs/>
          <w:sz w:val="26"/>
          <w:szCs w:val="26"/>
        </w:rPr>
        <w:t xml:space="preserve"> milliárd forinttal, </w:t>
      </w:r>
      <w:r w:rsidR="00341459">
        <w:rPr>
          <w:rFonts w:ascii="Times New Roman" w:eastAsia="Times New Roman" w:hAnsi="Times New Roman" w:cs="Times New Roman"/>
          <w:b/>
          <w:bCs/>
          <w:sz w:val="26"/>
          <w:szCs w:val="26"/>
        </w:rPr>
        <w:t>7,</w:t>
      </w:r>
      <w:r w:rsidRPr="3D6ED029">
        <w:rPr>
          <w:rFonts w:ascii="Times New Roman" w:eastAsia="Times New Roman" w:hAnsi="Times New Roman" w:cs="Times New Roman"/>
          <w:b/>
          <w:bCs/>
          <w:sz w:val="26"/>
          <w:szCs w:val="26"/>
        </w:rPr>
        <w:t>1%-kal magasabb összegben alakultak.</w:t>
      </w:r>
    </w:p>
    <w:p w14:paraId="6BBE59DE" w14:textId="18BA55C6" w:rsidR="00CF551C" w:rsidRDefault="0037176D" w:rsidP="00C11940">
      <w:pPr>
        <w:pStyle w:val="NormlWeb"/>
        <w:spacing w:before="0" w:beforeAutospacing="0" w:after="120" w:afterAutospacing="0"/>
        <w:jc w:val="center"/>
      </w:pPr>
      <w:r w:rsidRPr="0037176D">
        <w:rPr>
          <w:noProof/>
        </w:rPr>
        <w:drawing>
          <wp:inline distT="0" distB="0" distL="0" distR="0" wp14:anchorId="3F794BDF" wp14:editId="7665B4BD">
            <wp:extent cx="5369357" cy="2205245"/>
            <wp:effectExtent l="0" t="0" r="3175" b="5080"/>
            <wp:docPr id="203354742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47421" name=""/>
                    <pic:cNvPicPr/>
                  </pic:nvPicPr>
                  <pic:blipFill rotWithShape="1">
                    <a:blip r:embed="rId14"/>
                    <a:srcRect l="3622" t="3993"/>
                    <a:stretch/>
                  </pic:blipFill>
                  <pic:spPr bwMode="auto">
                    <a:xfrm>
                      <a:off x="0" y="0"/>
                      <a:ext cx="5418118" cy="2225272"/>
                    </a:xfrm>
                    <a:prstGeom prst="rect">
                      <a:avLst/>
                    </a:prstGeom>
                    <a:ln>
                      <a:noFill/>
                    </a:ln>
                    <a:extLst>
                      <a:ext uri="{53640926-AAD7-44D8-BBD7-CCE9431645EC}">
                        <a14:shadowObscured xmlns:a14="http://schemas.microsoft.com/office/drawing/2010/main"/>
                      </a:ext>
                    </a:extLst>
                  </pic:spPr>
                </pic:pic>
              </a:graphicData>
            </a:graphic>
          </wp:inline>
        </w:drawing>
      </w:r>
    </w:p>
    <w:p w14:paraId="53FA371B" w14:textId="6F469C6B" w:rsidR="00437948" w:rsidRPr="00437948" w:rsidRDefault="00437948" w:rsidP="001035F9">
      <w:pPr>
        <w:jc w:val="both"/>
        <w:rPr>
          <w:rFonts w:ascii="Times New Roman" w:eastAsia="Times New Roman" w:hAnsi="Times New Roman" w:cs="Times New Roman"/>
          <w:sz w:val="26"/>
          <w:szCs w:val="20"/>
          <w:lang w:eastAsia="hu-HU"/>
        </w:rPr>
      </w:pPr>
      <w:r w:rsidRPr="00437948">
        <w:rPr>
          <w:rFonts w:ascii="Times New Roman" w:eastAsia="Times New Roman" w:hAnsi="Times New Roman" w:cs="Times New Roman"/>
          <w:b/>
          <w:bCs/>
          <w:sz w:val="26"/>
          <w:szCs w:val="20"/>
          <w:lang w:eastAsia="hu-HU"/>
        </w:rPr>
        <w:t xml:space="preserve">Társasági adó </w:t>
      </w:r>
      <w:r w:rsidRPr="00437948">
        <w:rPr>
          <w:rFonts w:ascii="Times New Roman" w:eastAsia="Times New Roman" w:hAnsi="Times New Roman" w:cs="Times New Roman"/>
          <w:sz w:val="26"/>
          <w:szCs w:val="20"/>
          <w:lang w:eastAsia="hu-HU"/>
        </w:rPr>
        <w:t>jogcímen a 2026. év első öt hónapjában 473,6 milliárd forint realizálódott, amely az előző év egyenlegé</w:t>
      </w:r>
      <w:r w:rsidR="001035F9">
        <w:rPr>
          <w:rFonts w:ascii="Times New Roman" w:eastAsia="Times New Roman" w:hAnsi="Times New Roman" w:cs="Times New Roman"/>
          <w:sz w:val="26"/>
          <w:szCs w:val="20"/>
          <w:lang w:eastAsia="hu-HU"/>
        </w:rPr>
        <w:t>nél</w:t>
      </w:r>
      <w:r w:rsidRPr="00437948">
        <w:rPr>
          <w:rFonts w:ascii="Times New Roman" w:eastAsia="Times New Roman" w:hAnsi="Times New Roman" w:cs="Times New Roman"/>
          <w:sz w:val="26"/>
          <w:szCs w:val="20"/>
          <w:lang w:eastAsia="hu-HU"/>
        </w:rPr>
        <w:t xml:space="preserve"> 47,5 milliárd forinttal </w:t>
      </w:r>
      <w:r w:rsidR="001035F9">
        <w:rPr>
          <w:rFonts w:ascii="Times New Roman" w:eastAsia="Times New Roman" w:hAnsi="Times New Roman" w:cs="Times New Roman"/>
          <w:sz w:val="26"/>
          <w:szCs w:val="20"/>
          <w:lang w:eastAsia="hu-HU"/>
        </w:rPr>
        <w:t>alacsonyabb</w:t>
      </w:r>
      <w:r w:rsidRPr="00437948">
        <w:rPr>
          <w:rFonts w:ascii="Times New Roman" w:eastAsia="Times New Roman" w:hAnsi="Times New Roman" w:cs="Times New Roman"/>
          <w:sz w:val="26"/>
          <w:szCs w:val="20"/>
          <w:lang w:eastAsia="hu-HU"/>
        </w:rPr>
        <w:t>. A tárgyévi bevételek elmaradásához hozzájárult a felajánlásokhoz kapcsolódó rendelkezésekből fakadó kiutalások magasabb mértéke, illetve</w:t>
      </w:r>
      <w:r w:rsidR="001035F9">
        <w:rPr>
          <w:rFonts w:ascii="Times New Roman" w:eastAsia="Times New Roman" w:hAnsi="Times New Roman" w:cs="Times New Roman"/>
          <w:sz w:val="26"/>
          <w:szCs w:val="20"/>
          <w:lang w:eastAsia="hu-HU"/>
        </w:rPr>
        <w:t xml:space="preserve"> az</w:t>
      </w:r>
      <w:r w:rsidRPr="00437948">
        <w:rPr>
          <w:rFonts w:ascii="Times New Roman" w:eastAsia="Times New Roman" w:hAnsi="Times New Roman" w:cs="Times New Roman"/>
          <w:sz w:val="26"/>
          <w:szCs w:val="20"/>
          <w:lang w:eastAsia="hu-HU"/>
        </w:rPr>
        <w:t xml:space="preserve">, hogy a </w:t>
      </w:r>
      <w:r w:rsidR="001035F9" w:rsidRPr="00437948">
        <w:rPr>
          <w:rFonts w:ascii="Times New Roman" w:eastAsia="Times New Roman" w:hAnsi="Times New Roman" w:cs="Times New Roman"/>
          <w:sz w:val="26"/>
          <w:szCs w:val="20"/>
          <w:lang w:eastAsia="hu-HU"/>
        </w:rPr>
        <w:t>bevallási határidő</w:t>
      </w:r>
      <w:r w:rsidR="001035F9">
        <w:rPr>
          <w:rFonts w:ascii="Times New Roman" w:eastAsia="Times New Roman" w:hAnsi="Times New Roman" w:cs="Times New Roman"/>
          <w:sz w:val="26"/>
          <w:szCs w:val="20"/>
          <w:lang w:eastAsia="hu-HU"/>
        </w:rPr>
        <w:t xml:space="preserve"> (</w:t>
      </w:r>
      <w:r w:rsidR="001035F9" w:rsidRPr="00437948">
        <w:rPr>
          <w:rFonts w:ascii="Times New Roman" w:eastAsia="Times New Roman" w:hAnsi="Times New Roman" w:cs="Times New Roman"/>
          <w:sz w:val="26"/>
          <w:szCs w:val="20"/>
          <w:lang w:eastAsia="hu-HU"/>
        </w:rPr>
        <w:t>május 31.</w:t>
      </w:r>
      <w:r w:rsidR="001035F9">
        <w:rPr>
          <w:rFonts w:ascii="Times New Roman" w:eastAsia="Times New Roman" w:hAnsi="Times New Roman" w:cs="Times New Roman"/>
          <w:sz w:val="26"/>
          <w:szCs w:val="20"/>
          <w:lang w:eastAsia="hu-HU"/>
        </w:rPr>
        <w:t>)</w:t>
      </w:r>
      <w:r w:rsidR="001035F9" w:rsidRPr="00437948">
        <w:rPr>
          <w:rFonts w:ascii="Times New Roman" w:eastAsia="Times New Roman" w:hAnsi="Times New Roman" w:cs="Times New Roman"/>
          <w:sz w:val="26"/>
          <w:szCs w:val="20"/>
          <w:lang w:eastAsia="hu-HU"/>
        </w:rPr>
        <w:t xml:space="preserve"> </w:t>
      </w:r>
      <w:r w:rsidR="001035F9">
        <w:rPr>
          <w:rFonts w:ascii="Times New Roman" w:eastAsia="Times New Roman" w:hAnsi="Times New Roman" w:cs="Times New Roman"/>
          <w:sz w:val="26"/>
          <w:szCs w:val="20"/>
          <w:lang w:eastAsia="hu-HU"/>
        </w:rPr>
        <w:t>a</w:t>
      </w:r>
      <w:r w:rsidR="001035F9" w:rsidRPr="00437948">
        <w:rPr>
          <w:rFonts w:ascii="Times New Roman" w:eastAsia="Times New Roman" w:hAnsi="Times New Roman" w:cs="Times New Roman"/>
          <w:sz w:val="26"/>
          <w:szCs w:val="20"/>
          <w:lang w:eastAsia="hu-HU"/>
        </w:rPr>
        <w:t xml:space="preserve"> </w:t>
      </w:r>
      <w:r w:rsidRPr="00437948">
        <w:rPr>
          <w:rFonts w:ascii="Times New Roman" w:eastAsia="Times New Roman" w:hAnsi="Times New Roman" w:cs="Times New Roman"/>
          <w:sz w:val="26"/>
          <w:szCs w:val="20"/>
          <w:lang w:eastAsia="hu-HU"/>
        </w:rPr>
        <w:t>tárgyévben is hétvégére esett</w:t>
      </w:r>
      <w:r w:rsidR="001035F9">
        <w:rPr>
          <w:rFonts w:ascii="Times New Roman" w:eastAsia="Times New Roman" w:hAnsi="Times New Roman" w:cs="Times New Roman"/>
          <w:sz w:val="26"/>
          <w:szCs w:val="20"/>
          <w:lang w:eastAsia="hu-HU"/>
        </w:rPr>
        <w:t>. Ez</w:t>
      </w:r>
      <w:r w:rsidRPr="00437948">
        <w:rPr>
          <w:rFonts w:ascii="Times New Roman" w:eastAsia="Times New Roman" w:hAnsi="Times New Roman" w:cs="Times New Roman"/>
          <w:sz w:val="26"/>
          <w:szCs w:val="20"/>
          <w:lang w:eastAsia="hu-HU"/>
        </w:rPr>
        <w:t xml:space="preserve"> jelentősen befolyásolta a bevételek hónapok közti eloszlását.</w:t>
      </w:r>
    </w:p>
    <w:p w14:paraId="4120ECC9" w14:textId="77777777" w:rsidR="00437948" w:rsidRPr="00437948" w:rsidRDefault="00437948" w:rsidP="001035F9">
      <w:pPr>
        <w:jc w:val="both"/>
        <w:rPr>
          <w:rFonts w:ascii="Times New Roman" w:eastAsia="Times New Roman" w:hAnsi="Times New Roman" w:cs="Times New Roman"/>
          <w:sz w:val="26"/>
          <w:szCs w:val="20"/>
          <w:highlight w:val="yellow"/>
          <w:lang w:eastAsia="hu-HU"/>
        </w:rPr>
      </w:pPr>
      <w:r w:rsidRPr="00437948">
        <w:rPr>
          <w:rFonts w:ascii="Times New Roman" w:eastAsia="Times New Roman" w:hAnsi="Times New Roman" w:cs="Times New Roman"/>
          <w:bCs/>
          <w:sz w:val="26"/>
          <w:szCs w:val="20"/>
          <w:lang w:eastAsia="hu-HU"/>
        </w:rPr>
        <w:t>A</w:t>
      </w:r>
      <w:r w:rsidRPr="00437948">
        <w:rPr>
          <w:rFonts w:ascii="Times New Roman" w:eastAsia="Times New Roman" w:hAnsi="Times New Roman" w:cs="Times New Roman"/>
          <w:b/>
          <w:bCs/>
          <w:sz w:val="26"/>
          <w:szCs w:val="20"/>
          <w:lang w:eastAsia="hu-HU"/>
        </w:rPr>
        <w:t xml:space="preserve"> pénzügyi szervezetek befizetései</w:t>
      </w:r>
      <w:r w:rsidRPr="00437948">
        <w:rPr>
          <w:rFonts w:ascii="Times New Roman" w:eastAsia="Times New Roman" w:hAnsi="Times New Roman" w:cs="Times New Roman"/>
          <w:sz w:val="26"/>
          <w:szCs w:val="20"/>
          <w:lang w:eastAsia="hu-HU"/>
        </w:rPr>
        <w:t xml:space="preserve"> mérlegsoron a 2026. év első öt hónapjában 36,6 milliárd forint teljesült, amely az előző év egyenlegét 1,5 milliárd forinttal haladta meg. Ennek oka a pénzügyi szervezetek különadójához, illetve a forgalmazó és befektetési alap különadójához köthető magasabb pénzforgalmi bevételek.</w:t>
      </w:r>
    </w:p>
    <w:p w14:paraId="2728BD07" w14:textId="02EB996E" w:rsidR="00437948" w:rsidRPr="00437948" w:rsidRDefault="00437948" w:rsidP="001035F9">
      <w:pPr>
        <w:jc w:val="both"/>
        <w:rPr>
          <w:rFonts w:ascii="Times New Roman" w:eastAsia="Times New Roman" w:hAnsi="Times New Roman" w:cs="Times New Roman"/>
          <w:sz w:val="26"/>
          <w:szCs w:val="20"/>
          <w:lang w:eastAsia="hu-HU"/>
        </w:rPr>
      </w:pPr>
      <w:r w:rsidRPr="00437948">
        <w:rPr>
          <w:rFonts w:ascii="Times New Roman" w:eastAsia="Times New Roman" w:hAnsi="Times New Roman" w:cs="Times New Roman"/>
          <w:bCs/>
          <w:sz w:val="26"/>
          <w:szCs w:val="20"/>
          <w:lang w:eastAsia="hu-HU"/>
        </w:rPr>
        <w:t>A</w:t>
      </w:r>
      <w:r w:rsidRPr="00437948">
        <w:rPr>
          <w:rFonts w:ascii="Times New Roman" w:eastAsia="Times New Roman" w:hAnsi="Times New Roman" w:cs="Times New Roman"/>
          <w:b/>
          <w:bCs/>
          <w:sz w:val="26"/>
          <w:szCs w:val="20"/>
          <w:lang w:eastAsia="hu-HU"/>
        </w:rPr>
        <w:t xml:space="preserve"> kisadózók tételes adójából</w:t>
      </w:r>
      <w:r w:rsidRPr="00437948">
        <w:rPr>
          <w:rFonts w:ascii="Times New Roman" w:eastAsia="Times New Roman" w:hAnsi="Times New Roman" w:cs="Times New Roman"/>
          <w:sz w:val="26"/>
          <w:szCs w:val="20"/>
          <w:lang w:eastAsia="hu-HU"/>
        </w:rPr>
        <w:t xml:space="preserve"> 2026 első öt hónapjában a költségvetésnek 30,9 milliárd forint bevétele keletkezett, amely 1,9 milliárd forinttal több az egy évvel korábbinál. Ennek oka az adónemet választók magasabb létszáma.</w:t>
      </w:r>
    </w:p>
    <w:p w14:paraId="5FECD6CC" w14:textId="06947399" w:rsidR="00437948" w:rsidRPr="00437948" w:rsidRDefault="00437948" w:rsidP="001035F9">
      <w:pPr>
        <w:jc w:val="both"/>
        <w:rPr>
          <w:rFonts w:ascii="Times New Roman" w:eastAsia="Times New Roman" w:hAnsi="Times New Roman" w:cs="Times New Roman"/>
          <w:sz w:val="26"/>
          <w:szCs w:val="20"/>
          <w:lang w:eastAsia="hu-HU"/>
        </w:rPr>
      </w:pPr>
      <w:r w:rsidRPr="00437948">
        <w:rPr>
          <w:rFonts w:ascii="Times New Roman" w:eastAsia="Times New Roman" w:hAnsi="Times New Roman" w:cs="Times New Roman"/>
          <w:bCs/>
          <w:sz w:val="26"/>
          <w:szCs w:val="20"/>
          <w:lang w:eastAsia="hu-HU"/>
        </w:rPr>
        <w:t>A</w:t>
      </w:r>
      <w:r w:rsidRPr="00437948">
        <w:rPr>
          <w:rFonts w:ascii="Times New Roman" w:eastAsia="Times New Roman" w:hAnsi="Times New Roman" w:cs="Times New Roman"/>
          <w:b/>
          <w:bCs/>
          <w:sz w:val="26"/>
          <w:szCs w:val="20"/>
          <w:lang w:eastAsia="hu-HU"/>
        </w:rPr>
        <w:t xml:space="preserve"> kisvállalati adóból</w:t>
      </w:r>
      <w:r w:rsidRPr="00437948">
        <w:rPr>
          <w:rFonts w:ascii="Times New Roman" w:eastAsia="Times New Roman" w:hAnsi="Times New Roman" w:cs="Times New Roman"/>
          <w:sz w:val="26"/>
          <w:szCs w:val="20"/>
          <w:lang w:eastAsia="hu-HU"/>
        </w:rPr>
        <w:t xml:space="preserve"> származó bevétel a 2026. év első öt hónapjában 117,1 milliárd forint volt, amely 16,6</w:t>
      </w:r>
      <w:r w:rsidR="001035F9">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milliárd forinttal magasabb az előző év egyenlegénél. Ennek oka az</w:t>
      </w:r>
      <w:r w:rsidR="0073668C">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adóalanyok számának jelentős bővülése. 2026 májusában a KIVA alanyok száma 105,7</w:t>
      </w:r>
      <w:r w:rsidR="001035F9">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ezer</w:t>
      </w:r>
      <w:r w:rsidR="001035F9">
        <w:rPr>
          <w:rFonts w:ascii="Times New Roman" w:eastAsia="Times New Roman" w:hAnsi="Times New Roman" w:cs="Times New Roman"/>
          <w:sz w:val="26"/>
          <w:szCs w:val="20"/>
          <w:lang w:eastAsia="hu-HU"/>
        </w:rPr>
        <w:t xml:space="preserve"> volt</w:t>
      </w:r>
      <w:r w:rsidRPr="00437948">
        <w:rPr>
          <w:rFonts w:ascii="Times New Roman" w:eastAsia="Times New Roman" w:hAnsi="Times New Roman" w:cs="Times New Roman"/>
          <w:sz w:val="26"/>
          <w:szCs w:val="20"/>
          <w:lang w:eastAsia="hu-HU"/>
        </w:rPr>
        <w:t>.</w:t>
      </w:r>
    </w:p>
    <w:p w14:paraId="092B7669" w14:textId="4AECF725" w:rsidR="008E34AF" w:rsidRPr="00452639" w:rsidRDefault="3D6ED029" w:rsidP="001035F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bányajáradék-bevétel</w:t>
      </w:r>
      <w:r w:rsidRPr="3D6ED029">
        <w:rPr>
          <w:rFonts w:ascii="Times New Roman" w:eastAsia="Times New Roman" w:hAnsi="Times New Roman" w:cs="Times New Roman"/>
          <w:sz w:val="26"/>
          <w:szCs w:val="26"/>
        </w:rPr>
        <w:t xml:space="preserve"> 2026 első öt hónapjában 37,8</w:t>
      </w:r>
      <w:r w:rsidR="001035F9">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milliárd forint volt, amely 16,4 milliárd forinttal teljesült alacsonyabban az előző év azonos időszakához képest, amelynek fő oka a bányajáradék számításához kapcsolódó makroparaméterek (olajár, gázár, árfolyamok) alakulásának együttes eredője.</w:t>
      </w:r>
    </w:p>
    <w:p w14:paraId="66274FB6" w14:textId="7C82771B" w:rsidR="008A66DB" w:rsidRPr="00C30049" w:rsidRDefault="3D6ED029" w:rsidP="001035F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Az </w:t>
      </w:r>
      <w:r w:rsidRPr="3D6ED029">
        <w:rPr>
          <w:rFonts w:ascii="Times New Roman" w:eastAsia="Times New Roman" w:hAnsi="Times New Roman" w:cs="Times New Roman"/>
          <w:b/>
          <w:bCs/>
          <w:sz w:val="26"/>
          <w:szCs w:val="26"/>
        </w:rPr>
        <w:t>útdíjakból származó bevétel</w:t>
      </w:r>
      <w:r w:rsidRPr="3D6ED029">
        <w:rPr>
          <w:rFonts w:ascii="Times New Roman" w:eastAsia="Times New Roman" w:hAnsi="Times New Roman" w:cs="Times New Roman"/>
          <w:sz w:val="26"/>
          <w:szCs w:val="26"/>
        </w:rPr>
        <w:t xml:space="preserve"> 2024-től külön mérlegsoron jelenik meg, mely a megtett úttal arányos elektronikus útdíj rendszer és az időalapú használati díjrendszer bevételeinek </w:t>
      </w:r>
      <w:r w:rsidRPr="3D6ED029">
        <w:rPr>
          <w:rFonts w:ascii="Times New Roman" w:eastAsia="Times New Roman" w:hAnsi="Times New Roman" w:cs="Times New Roman"/>
          <w:sz w:val="26"/>
          <w:szCs w:val="26"/>
        </w:rPr>
        <w:lastRenderedPageBreak/>
        <w:t>együttes összegét tartalmazza. Az útdíjakból 2026 első öt hónapjában 296,0 milliárd forint költségvetési bevétel teljesült ezen a mérlegsoron, amely 31,</w:t>
      </w:r>
      <w:r w:rsidR="00EA5848">
        <w:rPr>
          <w:rFonts w:ascii="Times New Roman" w:eastAsia="Times New Roman" w:hAnsi="Times New Roman" w:cs="Times New Roman"/>
          <w:sz w:val="26"/>
          <w:szCs w:val="26"/>
        </w:rPr>
        <w:t>0</w:t>
      </w:r>
      <w:r w:rsidRPr="3D6ED029">
        <w:rPr>
          <w:rFonts w:ascii="Times New Roman" w:eastAsia="Times New Roman" w:hAnsi="Times New Roman" w:cs="Times New Roman"/>
          <w:sz w:val="26"/>
          <w:szCs w:val="26"/>
        </w:rPr>
        <w:t xml:space="preserve"> milliárd forinttal magasabb az előző év azonos időszakához viszonyítva. Az eltérés oka, hogy az új szabályok szerint 2026-tól az útdíj költségek már nem kerülnek levonásra az útdíj bevételekből.</w:t>
      </w:r>
    </w:p>
    <w:p w14:paraId="685BE235" w14:textId="54030062" w:rsidR="008A66DB" w:rsidRPr="00C30049" w:rsidRDefault="3D6ED029" w:rsidP="001035F9">
      <w:pPr>
        <w:jc w:val="both"/>
        <w:rPr>
          <w:rFonts w:ascii="Times New Roman" w:eastAsia="Times New Roman" w:hAnsi="Times New Roman" w:cs="Times New Roman"/>
          <w:sz w:val="26"/>
          <w:szCs w:val="26"/>
        </w:rPr>
      </w:pPr>
      <w:r w:rsidRPr="3D6ED029">
        <w:rPr>
          <w:rFonts w:ascii="Times New Roman" w:eastAsia="Times New Roman" w:hAnsi="Times New Roman" w:cs="Times New Roman"/>
          <w:b/>
          <w:bCs/>
          <w:sz w:val="26"/>
          <w:szCs w:val="26"/>
        </w:rPr>
        <w:t xml:space="preserve">Egyéb központosított bevételekből </w:t>
      </w:r>
      <w:r w:rsidRPr="3D6ED029">
        <w:rPr>
          <w:rFonts w:ascii="Times New Roman" w:eastAsia="Times New Roman" w:hAnsi="Times New Roman" w:cs="Times New Roman"/>
          <w:sz w:val="26"/>
          <w:szCs w:val="26"/>
        </w:rPr>
        <w:t>május végéig 82,6 milliárd forint bevétel teljesült, amely a törvényi előirányzat 45,2%-ának felel meg. Ezen belül kiemelhető a bírságbevételekből befolyt 41,2 milliárd forint.</w:t>
      </w:r>
    </w:p>
    <w:p w14:paraId="31B068B0" w14:textId="1DFE13FA" w:rsidR="00437948" w:rsidRPr="00437948" w:rsidRDefault="00437948" w:rsidP="001035F9">
      <w:pPr>
        <w:jc w:val="both"/>
        <w:rPr>
          <w:rFonts w:ascii="Times New Roman" w:eastAsia="Times New Roman" w:hAnsi="Times New Roman" w:cs="Times New Roman"/>
          <w:b/>
          <w:sz w:val="26"/>
          <w:szCs w:val="20"/>
          <w:lang w:eastAsia="hu-HU"/>
        </w:rPr>
      </w:pPr>
      <w:r w:rsidRPr="00437948">
        <w:rPr>
          <w:rFonts w:ascii="Times New Roman" w:eastAsia="Times New Roman" w:hAnsi="Times New Roman" w:cs="Times New Roman"/>
          <w:sz w:val="26"/>
          <w:szCs w:val="20"/>
          <w:lang w:eastAsia="hu-HU"/>
        </w:rPr>
        <w:t>Az</w:t>
      </w:r>
      <w:r w:rsidRPr="00437948">
        <w:rPr>
          <w:rFonts w:ascii="Times New Roman" w:eastAsia="Times New Roman" w:hAnsi="Times New Roman" w:cs="Times New Roman"/>
          <w:b/>
          <w:sz w:val="26"/>
          <w:szCs w:val="20"/>
          <w:lang w:eastAsia="hu-HU"/>
        </w:rPr>
        <w:t xml:space="preserve"> energia ágazat befizetései </w:t>
      </w:r>
      <w:r w:rsidRPr="00437948">
        <w:rPr>
          <w:rFonts w:ascii="Times New Roman" w:eastAsia="Times New Roman" w:hAnsi="Times New Roman" w:cs="Times New Roman"/>
          <w:sz w:val="26"/>
          <w:szCs w:val="20"/>
          <w:lang w:eastAsia="hu-HU"/>
        </w:rPr>
        <w:t xml:space="preserve">jogcímen </w:t>
      </w:r>
      <w:r w:rsidR="001035F9">
        <w:rPr>
          <w:rFonts w:ascii="Times New Roman" w:eastAsia="Times New Roman" w:hAnsi="Times New Roman" w:cs="Times New Roman"/>
          <w:sz w:val="26"/>
          <w:szCs w:val="20"/>
          <w:lang w:eastAsia="hu-HU"/>
        </w:rPr>
        <w:t xml:space="preserve">a </w:t>
      </w:r>
      <w:r w:rsidRPr="00437948">
        <w:rPr>
          <w:rFonts w:ascii="Times New Roman" w:eastAsia="Times New Roman" w:hAnsi="Times New Roman" w:cs="Times New Roman"/>
          <w:sz w:val="26"/>
          <w:szCs w:val="20"/>
          <w:lang w:eastAsia="hu-HU"/>
        </w:rPr>
        <w:t>2026. év első öt hónapjában 81,0 milliárd forint pénzforgalom teljesült, amely az előző év egyenlegét 9,4 milliárd forinttal múlta alul. A</w:t>
      </w:r>
      <w:r w:rsidR="0073668C">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 xml:space="preserve">bevételek alacsonyabb alakulásának hátterében az adókulcs csökkenése és az Ural-Brent spread különadó bevételeinek elmaradása áll. </w:t>
      </w:r>
    </w:p>
    <w:p w14:paraId="57ACF63D" w14:textId="06F6C4F8" w:rsidR="00437948" w:rsidRPr="00437948" w:rsidRDefault="00437948" w:rsidP="001035F9">
      <w:pPr>
        <w:jc w:val="both"/>
        <w:rPr>
          <w:rFonts w:ascii="Times New Roman" w:eastAsia="Times New Roman" w:hAnsi="Times New Roman" w:cs="Times New Roman"/>
          <w:sz w:val="26"/>
          <w:szCs w:val="20"/>
          <w:lang w:eastAsia="hu-HU"/>
        </w:rPr>
      </w:pPr>
      <w:r w:rsidRPr="00437948">
        <w:rPr>
          <w:rFonts w:ascii="Times New Roman" w:eastAsia="Times New Roman" w:hAnsi="Times New Roman" w:cs="Times New Roman"/>
          <w:b/>
          <w:sz w:val="26"/>
          <w:szCs w:val="20"/>
          <w:lang w:eastAsia="hu-HU"/>
        </w:rPr>
        <w:t>K</w:t>
      </w:r>
      <w:r w:rsidRPr="00437948">
        <w:rPr>
          <w:rFonts w:ascii="Times New Roman" w:eastAsia="Times New Roman" w:hAnsi="Times New Roman" w:cs="Times New Roman"/>
          <w:b/>
          <w:bCs/>
          <w:sz w:val="26"/>
          <w:szCs w:val="20"/>
          <w:lang w:eastAsia="hu-HU"/>
        </w:rPr>
        <w:t xml:space="preserve">iskereskedelmi adó </w:t>
      </w:r>
      <w:r w:rsidRPr="00437948">
        <w:rPr>
          <w:rFonts w:ascii="Times New Roman" w:eastAsia="Times New Roman" w:hAnsi="Times New Roman" w:cs="Times New Roman"/>
          <w:sz w:val="26"/>
          <w:szCs w:val="20"/>
          <w:lang w:eastAsia="hu-HU"/>
        </w:rPr>
        <w:t xml:space="preserve">jogcímen </w:t>
      </w:r>
      <w:r w:rsidR="001035F9">
        <w:rPr>
          <w:rFonts w:ascii="Times New Roman" w:eastAsia="Times New Roman" w:hAnsi="Times New Roman" w:cs="Times New Roman"/>
          <w:sz w:val="26"/>
          <w:szCs w:val="20"/>
          <w:lang w:eastAsia="hu-HU"/>
        </w:rPr>
        <w:t xml:space="preserve">a </w:t>
      </w:r>
      <w:r w:rsidRPr="00437948">
        <w:rPr>
          <w:rFonts w:ascii="Times New Roman" w:eastAsia="Times New Roman" w:hAnsi="Times New Roman" w:cs="Times New Roman"/>
          <w:sz w:val="26"/>
          <w:szCs w:val="20"/>
          <w:lang w:eastAsia="hu-HU"/>
        </w:rPr>
        <w:t xml:space="preserve">2026. év első öt hónapjában 20,0 milliárd forint bevétel teljesült, amely a 2025. évi egyenlegénél 4,7 milliárd forinttal magasabb. A bevételek alakulásának hátterében a 2025. adóévre várható fizetendő kiskereskedelmi adót meghaladóan megfizetett kiskereskedelmi adóelőlegek visszatérítése, az előlegfizetések, valamint az elszámolásokhoz és önellenőrzésekhez köthető befizetések állnak. </w:t>
      </w:r>
      <w:r w:rsidR="001035F9">
        <w:rPr>
          <w:rFonts w:ascii="Times New Roman" w:eastAsia="Times New Roman" w:hAnsi="Times New Roman" w:cs="Times New Roman"/>
          <w:sz w:val="26"/>
          <w:szCs w:val="20"/>
          <w:lang w:eastAsia="hu-HU"/>
        </w:rPr>
        <w:t xml:space="preserve">Ugyan </w:t>
      </w:r>
      <w:r w:rsidRPr="00437948">
        <w:rPr>
          <w:rFonts w:ascii="Times New Roman" w:eastAsia="Times New Roman" w:hAnsi="Times New Roman" w:cs="Times New Roman"/>
          <w:sz w:val="26"/>
          <w:szCs w:val="20"/>
          <w:lang w:eastAsia="hu-HU"/>
        </w:rPr>
        <w:t>mind a 2024.</w:t>
      </w:r>
      <w:r w:rsidR="001035F9">
        <w:rPr>
          <w:rFonts w:ascii="Times New Roman" w:eastAsia="Times New Roman" w:hAnsi="Times New Roman" w:cs="Times New Roman"/>
          <w:sz w:val="26"/>
          <w:szCs w:val="20"/>
          <w:lang w:eastAsia="hu-HU"/>
        </w:rPr>
        <w:t>,</w:t>
      </w:r>
      <w:r w:rsidRPr="00437948">
        <w:rPr>
          <w:rFonts w:ascii="Times New Roman" w:eastAsia="Times New Roman" w:hAnsi="Times New Roman" w:cs="Times New Roman"/>
          <w:sz w:val="26"/>
          <w:szCs w:val="20"/>
          <w:lang w:eastAsia="hu-HU"/>
        </w:rPr>
        <w:t xml:space="preserve"> mind a 2025. adóévi kiskereskedelmi adókötelezettség főszabály szerinti fizetési határideje munkaszüneti napra esett, így a fizetési kötelezettségnek a következő munkanapon</w:t>
      </w:r>
      <w:r w:rsidR="00591A65">
        <w:rPr>
          <w:rFonts w:ascii="Times New Roman" w:eastAsia="Times New Roman" w:hAnsi="Times New Roman" w:cs="Times New Roman"/>
          <w:sz w:val="26"/>
          <w:szCs w:val="20"/>
          <w:lang w:eastAsia="hu-HU"/>
        </w:rPr>
        <w:t>,</w:t>
      </w:r>
      <w:r w:rsidRPr="00437948">
        <w:rPr>
          <w:rFonts w:ascii="Times New Roman" w:eastAsia="Times New Roman" w:hAnsi="Times New Roman" w:cs="Times New Roman"/>
          <w:sz w:val="26"/>
          <w:szCs w:val="20"/>
          <w:lang w:eastAsia="hu-HU"/>
        </w:rPr>
        <w:t xml:space="preserve"> júniusban kellett eleget tenni, azonban 2026. május végén jelentős befizetés érkezett.</w:t>
      </w:r>
    </w:p>
    <w:p w14:paraId="216F54E2" w14:textId="1D3AABB1" w:rsidR="00437948" w:rsidRPr="00437948" w:rsidRDefault="00437948" w:rsidP="001035F9">
      <w:pPr>
        <w:widowControl w:val="0"/>
        <w:jc w:val="both"/>
        <w:rPr>
          <w:rFonts w:ascii="Times New Roman" w:eastAsia="Times New Roman" w:hAnsi="Times New Roman" w:cs="Times New Roman"/>
          <w:sz w:val="26"/>
          <w:szCs w:val="20"/>
          <w:lang w:eastAsia="hu-HU"/>
        </w:rPr>
      </w:pPr>
      <w:r w:rsidRPr="00437948">
        <w:rPr>
          <w:rFonts w:ascii="Times New Roman" w:eastAsia="Times New Roman" w:hAnsi="Times New Roman" w:cs="Times New Roman"/>
          <w:sz w:val="26"/>
          <w:szCs w:val="20"/>
          <w:lang w:eastAsia="hu-HU"/>
        </w:rPr>
        <w:t xml:space="preserve">A </w:t>
      </w:r>
      <w:r w:rsidRPr="00437948">
        <w:rPr>
          <w:rFonts w:ascii="Times New Roman" w:eastAsia="Times New Roman" w:hAnsi="Times New Roman" w:cs="Times New Roman"/>
          <w:b/>
          <w:bCs/>
          <w:sz w:val="26"/>
          <w:szCs w:val="20"/>
          <w:lang w:eastAsia="hu-HU"/>
        </w:rPr>
        <w:t xml:space="preserve">rehabilitációs hozzájárulásból </w:t>
      </w:r>
      <w:r w:rsidRPr="00437948">
        <w:rPr>
          <w:rFonts w:ascii="Times New Roman" w:eastAsia="Times New Roman" w:hAnsi="Times New Roman" w:cs="Times New Roman"/>
          <w:bCs/>
          <w:sz w:val="26"/>
          <w:szCs w:val="20"/>
          <w:lang w:eastAsia="hu-HU"/>
        </w:rPr>
        <w:t xml:space="preserve">származó bevétel 2026 első öt hónapjában </w:t>
      </w:r>
      <w:r w:rsidRPr="00437948">
        <w:rPr>
          <w:rFonts w:ascii="Times New Roman" w:eastAsia="Times New Roman" w:hAnsi="Times New Roman" w:cs="Times New Roman"/>
          <w:sz w:val="26"/>
          <w:szCs w:val="20"/>
          <w:lang w:eastAsia="hu-HU"/>
        </w:rPr>
        <w:t>104,7 milliárd forint volt, amely 8,3 milliárd forinttal magasabb az egy évvel korábbi összegnél. Ennek oka a minimálbérnek, így az adó mértékének az emelkedése, valamint az</w:t>
      </w:r>
      <w:r w:rsidR="0073668C">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éves elszámoláshoz köthető magas bázisidőszaki befizetések.</w:t>
      </w:r>
    </w:p>
    <w:p w14:paraId="029367B0" w14:textId="471829F5" w:rsidR="00E20C14" w:rsidRDefault="00437948" w:rsidP="001035F9">
      <w:pPr>
        <w:widowControl w:val="0"/>
        <w:tabs>
          <w:tab w:val="left" w:pos="3105"/>
        </w:tabs>
        <w:jc w:val="both"/>
        <w:rPr>
          <w:rFonts w:ascii="Times New Roman" w:eastAsia="Times New Roman" w:hAnsi="Times New Roman" w:cs="Times New Roman"/>
          <w:sz w:val="26"/>
          <w:szCs w:val="26"/>
          <w:lang w:eastAsia="hu-HU"/>
        </w:rPr>
      </w:pPr>
      <w:r w:rsidRPr="00437948">
        <w:rPr>
          <w:rFonts w:ascii="Times New Roman" w:eastAsia="Times New Roman" w:hAnsi="Times New Roman" w:cs="Times New Roman"/>
          <w:sz w:val="26"/>
          <w:szCs w:val="20"/>
          <w:lang w:eastAsia="hu-HU"/>
        </w:rPr>
        <w:t>A 2026. év első öt hónapjában</w:t>
      </w:r>
      <w:r w:rsidRPr="00437948">
        <w:rPr>
          <w:rFonts w:ascii="Times New Roman" w:eastAsia="Times New Roman" w:hAnsi="Times New Roman" w:cs="Times New Roman"/>
          <w:b/>
          <w:bCs/>
          <w:sz w:val="26"/>
          <w:szCs w:val="20"/>
          <w:lang w:eastAsia="hu-HU"/>
        </w:rPr>
        <w:t xml:space="preserve"> általános forgalmi adóból</w:t>
      </w:r>
      <w:r w:rsidRPr="00437948">
        <w:rPr>
          <w:rFonts w:ascii="Times New Roman" w:eastAsia="Times New Roman" w:hAnsi="Times New Roman" w:cs="Times New Roman"/>
          <w:sz w:val="26"/>
          <w:szCs w:val="20"/>
          <w:lang w:eastAsia="hu-HU"/>
        </w:rPr>
        <w:t xml:space="preserve"> 3444,4</w:t>
      </w:r>
      <w:r w:rsidRPr="00437948">
        <w:rPr>
          <w:rFonts w:ascii="Times New Roman" w:eastAsia="Times New Roman" w:hAnsi="Times New Roman" w:cs="Times New Roman"/>
          <w:color w:val="000000"/>
          <w:sz w:val="26"/>
          <w:szCs w:val="20"/>
          <w:lang w:eastAsia="hu-HU"/>
        </w:rPr>
        <w:t> </w:t>
      </w:r>
      <w:r w:rsidRPr="00437948">
        <w:rPr>
          <w:rFonts w:ascii="Times New Roman" w:eastAsia="Times New Roman" w:hAnsi="Times New Roman" w:cs="Times New Roman"/>
          <w:sz w:val="26"/>
          <w:szCs w:val="20"/>
          <w:lang w:eastAsia="hu-HU"/>
        </w:rPr>
        <w:t>milliárd forint bevétele keletkezett a költségvetésnek, ami az egy évvel korábbi bevételt 133,4</w:t>
      </w:r>
      <w:r w:rsidRPr="00437948">
        <w:rPr>
          <w:rFonts w:ascii="Times New Roman" w:eastAsia="Times New Roman" w:hAnsi="Times New Roman" w:cs="Times New Roman"/>
          <w:color w:val="000000"/>
          <w:sz w:val="26"/>
          <w:szCs w:val="20"/>
          <w:lang w:eastAsia="hu-HU"/>
        </w:rPr>
        <w:t> </w:t>
      </w:r>
      <w:r w:rsidRPr="00437948">
        <w:rPr>
          <w:rFonts w:ascii="Times New Roman" w:eastAsia="Times New Roman" w:hAnsi="Times New Roman" w:cs="Times New Roman"/>
          <w:sz w:val="26"/>
          <w:szCs w:val="20"/>
          <w:lang w:eastAsia="hu-HU"/>
        </w:rPr>
        <w:t>milliárd forinttal haladja meg.</w:t>
      </w:r>
    </w:p>
    <w:tbl>
      <w:tblPr>
        <w:tblW w:w="6676" w:type="dxa"/>
        <w:jc w:val="center"/>
        <w:tblCellMar>
          <w:left w:w="70" w:type="dxa"/>
          <w:right w:w="70" w:type="dxa"/>
        </w:tblCellMar>
        <w:tblLook w:val="04A0" w:firstRow="1" w:lastRow="0" w:firstColumn="1" w:lastColumn="0" w:noHBand="0" w:noVBand="1"/>
      </w:tblPr>
      <w:tblGrid>
        <w:gridCol w:w="1787"/>
        <w:gridCol w:w="1300"/>
        <w:gridCol w:w="1675"/>
        <w:gridCol w:w="1110"/>
        <w:gridCol w:w="804"/>
      </w:tblGrid>
      <w:tr w:rsidR="00A948A8" w:rsidRPr="00A948A8" w14:paraId="02959B8C" w14:textId="77777777" w:rsidTr="3D6ED029">
        <w:trPr>
          <w:trHeight w:val="315"/>
          <w:jc w:val="center"/>
        </w:trPr>
        <w:tc>
          <w:tcPr>
            <w:tcW w:w="6676" w:type="dxa"/>
            <w:gridSpan w:val="5"/>
            <w:tcBorders>
              <w:top w:val="nil"/>
              <w:left w:val="nil"/>
              <w:bottom w:val="single" w:sz="4" w:space="0" w:color="auto"/>
              <w:right w:val="nil"/>
            </w:tcBorders>
            <w:noWrap/>
            <w:vAlign w:val="center"/>
            <w:hideMark/>
          </w:tcPr>
          <w:p w14:paraId="79CB2D4B" w14:textId="77777777" w:rsidR="00A948A8" w:rsidRPr="00A948A8" w:rsidRDefault="3D6ED029" w:rsidP="3D6ED029">
            <w:pPr>
              <w:spacing w:after="120"/>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Általános forgalmi adó bevétel alakulása (milliárd forint)</w:t>
            </w:r>
          </w:p>
        </w:tc>
      </w:tr>
      <w:tr w:rsidR="008E1174" w:rsidRPr="00A948A8" w14:paraId="11BA4AFD" w14:textId="77777777" w:rsidTr="3D6ED029">
        <w:trPr>
          <w:trHeight w:val="345"/>
          <w:jc w:val="center"/>
        </w:trPr>
        <w:tc>
          <w:tcPr>
            <w:tcW w:w="178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07D02BB" w14:textId="77777777" w:rsidR="008E1174"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Megnevezés</w:t>
            </w:r>
          </w:p>
        </w:tc>
        <w:tc>
          <w:tcPr>
            <w:tcW w:w="1300"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0F81926" w14:textId="77777777" w:rsidR="008E1174"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2025.</w:t>
            </w:r>
          </w:p>
          <w:p w14:paraId="16DE949C" w14:textId="03D51E47" w:rsidR="008E1174"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I-V. hó</w:t>
            </w:r>
          </w:p>
        </w:tc>
        <w:tc>
          <w:tcPr>
            <w:tcW w:w="1675"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16F523FA" w14:textId="77777777" w:rsidR="008E1174"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2026.</w:t>
            </w:r>
          </w:p>
          <w:p w14:paraId="73F7D286" w14:textId="2898AA97" w:rsidR="008E1174"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I-</w:t>
            </w:r>
            <w:r w:rsidR="001035F9">
              <w:rPr>
                <w:rFonts w:ascii="Times New Roman" w:eastAsia="Times New Roman" w:hAnsi="Times New Roman" w:cs="Times New Roman"/>
                <w:b/>
                <w:bCs/>
                <w:color w:val="000000" w:themeColor="text1"/>
                <w:lang w:eastAsia="hu-HU"/>
              </w:rPr>
              <w:t>V</w:t>
            </w:r>
            <w:r w:rsidRPr="3D6ED029">
              <w:rPr>
                <w:rFonts w:ascii="Times New Roman" w:eastAsia="Times New Roman" w:hAnsi="Times New Roman" w:cs="Times New Roman"/>
                <w:b/>
                <w:bCs/>
                <w:color w:val="000000" w:themeColor="text1"/>
                <w:lang w:eastAsia="hu-HU"/>
              </w:rPr>
              <w:t>. hó</w:t>
            </w:r>
          </w:p>
        </w:tc>
        <w:tc>
          <w:tcPr>
            <w:tcW w:w="191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554652E" w14:textId="77777777" w:rsidR="008E1174"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Eltérés</w:t>
            </w:r>
          </w:p>
        </w:tc>
      </w:tr>
      <w:tr w:rsidR="008E1174" w:rsidRPr="00A948A8" w14:paraId="125D31A5" w14:textId="77777777" w:rsidTr="3D6ED029">
        <w:trPr>
          <w:trHeight w:val="345"/>
          <w:jc w:val="center"/>
        </w:trPr>
        <w:tc>
          <w:tcPr>
            <w:tcW w:w="1787"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DB8502" w14:textId="77777777" w:rsidR="008E1174" w:rsidRPr="00A948A8" w:rsidRDefault="008E1174" w:rsidP="00A948A8">
            <w:pPr>
              <w:spacing w:after="0" w:line="240" w:lineRule="auto"/>
              <w:rPr>
                <w:rFonts w:ascii="Times New Roman" w:eastAsia="Times New Roman" w:hAnsi="Times New Roman" w:cs="Times New Roman"/>
                <w:b/>
                <w:bCs/>
                <w:color w:val="000000"/>
                <w:lang w:eastAsia="hu-HU"/>
              </w:rPr>
            </w:pPr>
          </w:p>
        </w:tc>
        <w:tc>
          <w:tcPr>
            <w:tcW w:w="1300"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2A8A60F0" w14:textId="31DB9BE3"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p>
        </w:tc>
        <w:tc>
          <w:tcPr>
            <w:tcW w:w="167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19B5AE68" w14:textId="3E2B1C9A" w:rsidR="008E1174" w:rsidRPr="00A948A8" w:rsidRDefault="008E1174" w:rsidP="5E04AD7D">
            <w:pPr>
              <w:spacing w:after="0" w:line="240" w:lineRule="auto"/>
              <w:jc w:val="center"/>
              <w:rPr>
                <w:rFonts w:ascii="Times New Roman" w:eastAsia="Times New Roman" w:hAnsi="Times New Roman" w:cs="Times New Roman"/>
                <w:b/>
                <w:bCs/>
                <w:color w:val="000000" w:themeColor="text1"/>
                <w:lang w:eastAsia="hu-HU"/>
              </w:rPr>
            </w:pPr>
          </w:p>
        </w:tc>
        <w:tc>
          <w:tcPr>
            <w:tcW w:w="11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9F08FBD" w14:textId="77777777" w:rsidR="008E1174"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Mrd Ft</w:t>
            </w:r>
          </w:p>
        </w:tc>
        <w:tc>
          <w:tcPr>
            <w:tcW w:w="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CC73C32" w14:textId="77777777" w:rsidR="008E1174"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w:t>
            </w:r>
          </w:p>
        </w:tc>
      </w:tr>
      <w:tr w:rsidR="00437948" w:rsidRPr="00A948A8" w14:paraId="2571F875" w14:textId="77777777" w:rsidTr="3D6ED029">
        <w:trPr>
          <w:trHeight w:val="345"/>
          <w:jc w:val="center"/>
        </w:trPr>
        <w:tc>
          <w:tcPr>
            <w:tcW w:w="1787" w:type="dxa"/>
            <w:tcBorders>
              <w:top w:val="single" w:sz="4" w:space="0" w:color="auto"/>
              <w:left w:val="single" w:sz="4" w:space="0" w:color="auto"/>
              <w:bottom w:val="single" w:sz="4" w:space="0" w:color="auto"/>
              <w:right w:val="single" w:sz="4" w:space="0" w:color="auto"/>
            </w:tcBorders>
            <w:noWrap/>
            <w:vAlign w:val="center"/>
            <w:hideMark/>
          </w:tcPr>
          <w:p w14:paraId="1C463480" w14:textId="77777777" w:rsidR="00437948" w:rsidRPr="00A948A8" w:rsidRDefault="00437948" w:rsidP="00437948">
            <w:pPr>
              <w:spacing w:after="0" w:line="240" w:lineRule="auto"/>
              <w:rPr>
                <w:rFonts w:ascii="Times New Roman" w:eastAsia="Times New Roman" w:hAnsi="Times New Roman" w:cs="Times New Roman"/>
                <w:color w:val="000000" w:themeColor="text1"/>
                <w:lang w:eastAsia="hu-HU"/>
              </w:rPr>
            </w:pPr>
            <w:r w:rsidRPr="3D6ED029">
              <w:rPr>
                <w:rFonts w:ascii="Times New Roman" w:eastAsia="Times New Roman" w:hAnsi="Times New Roman" w:cs="Times New Roman"/>
                <w:color w:val="000000" w:themeColor="text1"/>
                <w:lang w:eastAsia="hu-HU"/>
              </w:rPr>
              <w:t>Befizetés</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4C58D6C2" w14:textId="60E59DD3"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5618,2</w:t>
            </w:r>
          </w:p>
        </w:tc>
        <w:tc>
          <w:tcPr>
            <w:tcW w:w="1675" w:type="dxa"/>
            <w:tcBorders>
              <w:top w:val="single" w:sz="4" w:space="0" w:color="auto"/>
              <w:left w:val="single" w:sz="4" w:space="0" w:color="auto"/>
              <w:bottom w:val="single" w:sz="4" w:space="0" w:color="auto"/>
              <w:right w:val="single" w:sz="4" w:space="0" w:color="auto"/>
            </w:tcBorders>
            <w:noWrap/>
            <w:vAlign w:val="center"/>
            <w:hideMark/>
          </w:tcPr>
          <w:p w14:paraId="0733BC87" w14:textId="53CF27D6"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rPr>
              <w:t>5890,0</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66D437AB" w14:textId="7D4292BA"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rPr>
              <w:t>271,8</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766896E6" w14:textId="76126F59"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104,8</w:t>
            </w:r>
          </w:p>
        </w:tc>
      </w:tr>
      <w:tr w:rsidR="00437948" w:rsidRPr="00A948A8" w14:paraId="48BCF0A8" w14:textId="77777777" w:rsidTr="3D6ED029">
        <w:trPr>
          <w:trHeight w:val="345"/>
          <w:jc w:val="center"/>
        </w:trPr>
        <w:tc>
          <w:tcPr>
            <w:tcW w:w="1787" w:type="dxa"/>
            <w:tcBorders>
              <w:top w:val="single" w:sz="4" w:space="0" w:color="auto"/>
              <w:left w:val="single" w:sz="4" w:space="0" w:color="auto"/>
              <w:bottom w:val="single" w:sz="4" w:space="0" w:color="auto"/>
              <w:right w:val="single" w:sz="4" w:space="0" w:color="auto"/>
            </w:tcBorders>
            <w:noWrap/>
            <w:vAlign w:val="center"/>
            <w:hideMark/>
          </w:tcPr>
          <w:p w14:paraId="20556092" w14:textId="77777777" w:rsidR="00437948" w:rsidRPr="00A948A8" w:rsidRDefault="00437948" w:rsidP="00437948">
            <w:pPr>
              <w:spacing w:after="0" w:line="240" w:lineRule="auto"/>
              <w:rPr>
                <w:rFonts w:ascii="Times New Roman" w:eastAsia="Times New Roman" w:hAnsi="Times New Roman" w:cs="Times New Roman"/>
                <w:color w:val="000000" w:themeColor="text1"/>
                <w:lang w:eastAsia="hu-HU"/>
              </w:rPr>
            </w:pPr>
            <w:r w:rsidRPr="3D6ED029">
              <w:rPr>
                <w:rFonts w:ascii="Times New Roman" w:eastAsia="Times New Roman" w:hAnsi="Times New Roman" w:cs="Times New Roman"/>
                <w:color w:val="000000" w:themeColor="text1"/>
                <w:lang w:eastAsia="hu-HU"/>
              </w:rPr>
              <w:t>Kiutalás</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06668022" w14:textId="7C28126E"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2307,2</w:t>
            </w:r>
          </w:p>
        </w:tc>
        <w:tc>
          <w:tcPr>
            <w:tcW w:w="1675" w:type="dxa"/>
            <w:tcBorders>
              <w:top w:val="single" w:sz="4" w:space="0" w:color="auto"/>
              <w:left w:val="single" w:sz="4" w:space="0" w:color="auto"/>
              <w:bottom w:val="single" w:sz="4" w:space="0" w:color="auto"/>
              <w:right w:val="single" w:sz="4" w:space="0" w:color="auto"/>
            </w:tcBorders>
            <w:noWrap/>
            <w:vAlign w:val="center"/>
            <w:hideMark/>
          </w:tcPr>
          <w:p w14:paraId="254E4995" w14:textId="60FACA68"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2445,</w:t>
            </w:r>
            <w:r w:rsidR="00C11A53">
              <w:rPr>
                <w:rFonts w:ascii="Times New Roman" w:hAnsi="Times New Roman" w:cs="Times New Roman"/>
                <w:color w:val="000000"/>
              </w:rPr>
              <w:t>6</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47699991" w14:textId="33645FBD"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138,</w:t>
            </w:r>
            <w:r w:rsidR="00C11A53">
              <w:rPr>
                <w:rFonts w:ascii="Times New Roman" w:hAnsi="Times New Roman" w:cs="Times New Roman"/>
                <w:color w:val="000000"/>
              </w:rPr>
              <w:t>4</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3935319C" w14:textId="233416A5"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106,0</w:t>
            </w:r>
          </w:p>
        </w:tc>
      </w:tr>
      <w:tr w:rsidR="00437948" w:rsidRPr="00A948A8" w14:paraId="03B944EF" w14:textId="77777777" w:rsidTr="3D6ED029">
        <w:trPr>
          <w:trHeight w:val="345"/>
          <w:jc w:val="center"/>
        </w:trPr>
        <w:tc>
          <w:tcPr>
            <w:tcW w:w="1787" w:type="dxa"/>
            <w:tcBorders>
              <w:top w:val="single" w:sz="4" w:space="0" w:color="auto"/>
              <w:left w:val="single" w:sz="4" w:space="0" w:color="auto"/>
              <w:bottom w:val="single" w:sz="4" w:space="0" w:color="auto"/>
              <w:right w:val="single" w:sz="4" w:space="0" w:color="auto"/>
            </w:tcBorders>
            <w:noWrap/>
            <w:vAlign w:val="center"/>
            <w:hideMark/>
          </w:tcPr>
          <w:p w14:paraId="136945B6" w14:textId="77777777" w:rsidR="00437948" w:rsidRPr="00A948A8" w:rsidRDefault="00437948" w:rsidP="00437948">
            <w:pPr>
              <w:spacing w:after="0" w:line="240" w:lineRule="auto"/>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Egyenleg</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48A40114" w14:textId="08123908" w:rsidR="00437948" w:rsidRPr="00437948" w:rsidRDefault="00437948" w:rsidP="00437948">
            <w:pPr>
              <w:spacing w:after="0" w:line="240" w:lineRule="auto"/>
              <w:jc w:val="right"/>
              <w:rPr>
                <w:rFonts w:ascii="Times New Roman" w:eastAsia="Times New Roman" w:hAnsi="Times New Roman" w:cs="Times New Roman"/>
                <w:b/>
                <w:bCs/>
                <w:color w:val="000000" w:themeColor="text1"/>
                <w:highlight w:val="yellow"/>
                <w:lang w:eastAsia="hu-HU"/>
              </w:rPr>
            </w:pPr>
            <w:r w:rsidRPr="00437948">
              <w:rPr>
                <w:rFonts w:ascii="Times New Roman" w:hAnsi="Times New Roman" w:cs="Times New Roman"/>
                <w:b/>
                <w:bCs/>
                <w:color w:val="000000"/>
              </w:rPr>
              <w:t>3311,0</w:t>
            </w:r>
          </w:p>
        </w:tc>
        <w:tc>
          <w:tcPr>
            <w:tcW w:w="1675" w:type="dxa"/>
            <w:tcBorders>
              <w:top w:val="single" w:sz="4" w:space="0" w:color="auto"/>
              <w:left w:val="single" w:sz="4" w:space="0" w:color="auto"/>
              <w:bottom w:val="single" w:sz="4" w:space="0" w:color="auto"/>
              <w:right w:val="single" w:sz="4" w:space="0" w:color="auto"/>
            </w:tcBorders>
            <w:noWrap/>
            <w:vAlign w:val="center"/>
            <w:hideMark/>
          </w:tcPr>
          <w:p w14:paraId="56CA2B50" w14:textId="4E262D80" w:rsidR="00437948" w:rsidRPr="00437948" w:rsidRDefault="00437948" w:rsidP="00437948">
            <w:pPr>
              <w:spacing w:after="0" w:line="240" w:lineRule="auto"/>
              <w:jc w:val="right"/>
              <w:rPr>
                <w:rFonts w:ascii="Times New Roman" w:eastAsia="Times New Roman" w:hAnsi="Times New Roman" w:cs="Times New Roman"/>
                <w:b/>
                <w:bCs/>
                <w:color w:val="000000" w:themeColor="text1"/>
                <w:highlight w:val="yellow"/>
                <w:lang w:eastAsia="hu-HU"/>
              </w:rPr>
            </w:pPr>
            <w:r w:rsidRPr="00437948">
              <w:rPr>
                <w:rFonts w:ascii="Times New Roman" w:hAnsi="Times New Roman" w:cs="Times New Roman"/>
                <w:b/>
                <w:bCs/>
                <w:color w:val="000000"/>
              </w:rPr>
              <w:t>3444,4</w:t>
            </w:r>
          </w:p>
        </w:tc>
        <w:tc>
          <w:tcPr>
            <w:tcW w:w="1110" w:type="dxa"/>
            <w:tcBorders>
              <w:top w:val="single" w:sz="4" w:space="0" w:color="auto"/>
              <w:left w:val="single" w:sz="4" w:space="0" w:color="auto"/>
              <w:bottom w:val="single" w:sz="4" w:space="0" w:color="auto"/>
              <w:right w:val="single" w:sz="4" w:space="0" w:color="auto"/>
            </w:tcBorders>
            <w:noWrap/>
            <w:vAlign w:val="center"/>
            <w:hideMark/>
          </w:tcPr>
          <w:p w14:paraId="24EC8E1B" w14:textId="56A606B0" w:rsidR="00437948" w:rsidRPr="00437948" w:rsidRDefault="00437948" w:rsidP="00437948">
            <w:pPr>
              <w:spacing w:after="0" w:line="240" w:lineRule="auto"/>
              <w:jc w:val="right"/>
              <w:rPr>
                <w:rFonts w:ascii="Times New Roman" w:eastAsia="Times New Roman" w:hAnsi="Times New Roman" w:cs="Times New Roman"/>
                <w:b/>
                <w:bCs/>
                <w:color w:val="000000" w:themeColor="text1"/>
                <w:highlight w:val="yellow"/>
                <w:lang w:eastAsia="hu-HU"/>
              </w:rPr>
            </w:pPr>
            <w:r w:rsidRPr="00437948">
              <w:rPr>
                <w:rFonts w:ascii="Times New Roman" w:hAnsi="Times New Roman" w:cs="Times New Roman"/>
                <w:b/>
                <w:bCs/>
                <w:color w:val="000000"/>
              </w:rPr>
              <w:t>133,4</w:t>
            </w:r>
          </w:p>
        </w:tc>
        <w:tc>
          <w:tcPr>
            <w:tcW w:w="804" w:type="dxa"/>
            <w:tcBorders>
              <w:top w:val="single" w:sz="4" w:space="0" w:color="auto"/>
              <w:left w:val="single" w:sz="4" w:space="0" w:color="auto"/>
              <w:bottom w:val="single" w:sz="4" w:space="0" w:color="auto"/>
              <w:right w:val="single" w:sz="4" w:space="0" w:color="auto"/>
            </w:tcBorders>
            <w:noWrap/>
            <w:vAlign w:val="center"/>
            <w:hideMark/>
          </w:tcPr>
          <w:p w14:paraId="221466D2" w14:textId="61D6B5E0" w:rsidR="00437948" w:rsidRPr="00437948" w:rsidRDefault="00437948" w:rsidP="00437948">
            <w:pPr>
              <w:spacing w:after="0" w:line="240" w:lineRule="auto"/>
              <w:jc w:val="right"/>
              <w:rPr>
                <w:rFonts w:ascii="Times New Roman" w:eastAsia="Times New Roman" w:hAnsi="Times New Roman" w:cs="Times New Roman"/>
                <w:b/>
                <w:bCs/>
                <w:color w:val="000000" w:themeColor="text1"/>
                <w:highlight w:val="yellow"/>
                <w:lang w:eastAsia="hu-HU"/>
              </w:rPr>
            </w:pPr>
            <w:r w:rsidRPr="00437948">
              <w:rPr>
                <w:rFonts w:ascii="Times New Roman" w:hAnsi="Times New Roman" w:cs="Times New Roman"/>
                <w:b/>
                <w:bCs/>
                <w:color w:val="000000"/>
              </w:rPr>
              <w:t>104,0</w:t>
            </w:r>
          </w:p>
        </w:tc>
      </w:tr>
    </w:tbl>
    <w:p w14:paraId="5D4A6DEA" w14:textId="1FDBC646" w:rsidR="00C33C0A" w:rsidRPr="00437948" w:rsidRDefault="00437948" w:rsidP="00591A65">
      <w:pPr>
        <w:spacing w:before="240"/>
        <w:jc w:val="both"/>
        <w:rPr>
          <w:rFonts w:ascii="Times New Roman" w:eastAsia="Times New Roman" w:hAnsi="Times New Roman" w:cs="Times New Roman"/>
          <w:sz w:val="26"/>
          <w:szCs w:val="20"/>
          <w:lang w:eastAsia="hu-HU"/>
        </w:rPr>
      </w:pPr>
      <w:r w:rsidRPr="00437948">
        <w:rPr>
          <w:rFonts w:ascii="Times New Roman" w:eastAsia="Times New Roman" w:hAnsi="Times New Roman" w:cs="Times New Roman"/>
          <w:sz w:val="26"/>
          <w:szCs w:val="20"/>
          <w:lang w:eastAsia="hu-HU"/>
        </w:rPr>
        <w:t xml:space="preserve">A belföldi befizetések, valamint az import és a dohánytermékek utáni áfabevételek is növekedtek. A belföldi befizetések növekedése elsősorban a kereskedelem ágazathoz köthető. Az import utáni befizetések növekedése hátterében a forgalom alakulása áll. </w:t>
      </w:r>
      <w:r w:rsidR="00B2521A">
        <w:rPr>
          <w:rFonts w:ascii="Times New Roman" w:eastAsia="Times New Roman" w:hAnsi="Times New Roman" w:cs="Times New Roman"/>
          <w:sz w:val="26"/>
          <w:szCs w:val="20"/>
          <w:lang w:eastAsia="hu-HU"/>
        </w:rPr>
        <w:t xml:space="preserve"> </w:t>
      </w:r>
      <w:r w:rsidRPr="00437948">
        <w:rPr>
          <w:rFonts w:ascii="Times New Roman" w:eastAsia="Times New Roman" w:hAnsi="Times New Roman" w:cs="Times New Roman"/>
          <w:sz w:val="26"/>
          <w:szCs w:val="20"/>
          <w:lang w:eastAsia="hu-HU"/>
        </w:rPr>
        <w:t>A</w:t>
      </w:r>
      <w:r w:rsidR="00B2521A">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dohánytermékek utáni bevételek magasabb teljesülését a 2026. januári jövedéki adómérték-emelés magyarázza. A kiutalások alakulását a köztes ágazatok befizetése befolyásolja.</w:t>
      </w:r>
    </w:p>
    <w:p w14:paraId="7E17432F" w14:textId="3B26A61C" w:rsidR="00F17FAE" w:rsidRDefault="0037176D" w:rsidP="00453783">
      <w:pPr>
        <w:pStyle w:val="NormlWeb"/>
        <w:spacing w:before="0" w:beforeAutospacing="0" w:after="0" w:afterAutospacing="0"/>
        <w:jc w:val="center"/>
        <w:rPr>
          <w:sz w:val="26"/>
          <w:szCs w:val="26"/>
        </w:rPr>
      </w:pPr>
      <w:r w:rsidRPr="0037176D">
        <w:rPr>
          <w:noProof/>
          <w:sz w:val="26"/>
          <w:szCs w:val="26"/>
        </w:rPr>
        <w:lastRenderedPageBreak/>
        <w:drawing>
          <wp:inline distT="0" distB="0" distL="0" distR="0" wp14:anchorId="54BF5836" wp14:editId="19CBD9E2">
            <wp:extent cx="4937760" cy="2604132"/>
            <wp:effectExtent l="0" t="0" r="0" b="6350"/>
            <wp:docPr id="118539820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98201" name=""/>
                    <pic:cNvPicPr/>
                  </pic:nvPicPr>
                  <pic:blipFill>
                    <a:blip r:embed="rId15"/>
                    <a:stretch>
                      <a:fillRect/>
                    </a:stretch>
                  </pic:blipFill>
                  <pic:spPr>
                    <a:xfrm>
                      <a:off x="0" y="0"/>
                      <a:ext cx="4966637" cy="2619362"/>
                    </a:xfrm>
                    <a:prstGeom prst="rect">
                      <a:avLst/>
                    </a:prstGeom>
                  </pic:spPr>
                </pic:pic>
              </a:graphicData>
            </a:graphic>
          </wp:inline>
        </w:drawing>
      </w:r>
    </w:p>
    <w:p w14:paraId="54D7C308" w14:textId="2BA83358" w:rsidR="00C33C0A" w:rsidRPr="00591A65" w:rsidRDefault="00437948" w:rsidP="00591A65">
      <w:pPr>
        <w:spacing w:before="240"/>
        <w:jc w:val="both"/>
        <w:rPr>
          <w:rFonts w:ascii="Times New Roman" w:eastAsia="Times New Roman" w:hAnsi="Times New Roman" w:cs="Times New Roman"/>
          <w:sz w:val="26"/>
          <w:szCs w:val="20"/>
          <w:lang w:eastAsia="hu-HU"/>
        </w:rPr>
      </w:pPr>
      <w:r w:rsidRPr="00437948">
        <w:rPr>
          <w:rFonts w:ascii="Times New Roman" w:eastAsia="Times New Roman" w:hAnsi="Times New Roman" w:cs="Times New Roman"/>
          <w:sz w:val="26"/>
          <w:szCs w:val="20"/>
          <w:lang w:eastAsia="hu-HU"/>
        </w:rPr>
        <w:t xml:space="preserve">A </w:t>
      </w:r>
      <w:r w:rsidRPr="00437948">
        <w:rPr>
          <w:rFonts w:ascii="Times New Roman" w:eastAsia="Times New Roman" w:hAnsi="Times New Roman" w:cs="Times New Roman"/>
          <w:b/>
          <w:sz w:val="26"/>
          <w:szCs w:val="20"/>
          <w:lang w:eastAsia="hu-HU"/>
        </w:rPr>
        <w:t>jövedéki adóból</w:t>
      </w:r>
      <w:r w:rsidRPr="00437948">
        <w:rPr>
          <w:rFonts w:ascii="Times New Roman" w:eastAsia="Times New Roman" w:hAnsi="Times New Roman" w:cs="Times New Roman"/>
          <w:sz w:val="26"/>
          <w:szCs w:val="20"/>
          <w:lang w:eastAsia="hu-HU"/>
        </w:rPr>
        <w:t xml:space="preserve"> származó bevétel a 2026. év első öt hónapjában 622,2 milliárd forintot tett ki, amely 8,4 milliárd forinttal magasabb az egy évvel korábbi bevételnél. Az</w:t>
      </w:r>
      <w:r w:rsidR="003A1CDF">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üzemanyagok utáni bevételek alakulásának hátterében a 2026 márciusától érvényben lévő uniós minimumszintre csökkentett adómértékek, a hatósági árral kapcsolatos rendelkezések</w:t>
      </w:r>
      <w:r w:rsidR="003A1CDF">
        <w:rPr>
          <w:rFonts w:ascii="Times New Roman" w:eastAsia="Times New Roman" w:hAnsi="Times New Roman" w:cs="Times New Roman"/>
          <w:sz w:val="26"/>
          <w:szCs w:val="20"/>
          <w:lang w:eastAsia="hu-HU"/>
        </w:rPr>
        <w:t>,</w:t>
      </w:r>
      <w:r w:rsidRPr="00437948">
        <w:rPr>
          <w:rFonts w:ascii="Times New Roman" w:eastAsia="Times New Roman" w:hAnsi="Times New Roman" w:cs="Times New Roman"/>
          <w:sz w:val="26"/>
          <w:szCs w:val="20"/>
          <w:lang w:eastAsia="hu-HU"/>
        </w:rPr>
        <w:t xml:space="preserve"> valamint az üzemanyagforgalom alakulásának együttes hatásai állnak. A</w:t>
      </w:r>
      <w:r w:rsidR="009F47DF">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dohánytermékek utáni bevételek jelentős növekedésének hátterében a 2026. januári adómérték-emelésre adott piaci reakció, nagymértékű készletezési hatás áll. A</w:t>
      </w:r>
      <w:r w:rsidR="009F47DF">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szeszesitalok és egyéb termékek esetében a bevételek alakulását a 2026. januári adómérték emelés, valamint a piaci reakciók magyarázzák. Az energiaadó bevételek alakulása adónem</w:t>
      </w:r>
      <w:r w:rsidR="002209A3">
        <w:rPr>
          <w:rFonts w:ascii="Times New Roman" w:eastAsia="Times New Roman" w:hAnsi="Times New Roman" w:cs="Times New Roman"/>
          <w:sz w:val="26"/>
          <w:szCs w:val="20"/>
          <w:lang w:eastAsia="hu-HU"/>
        </w:rPr>
        <w:t>-</w:t>
      </w:r>
      <w:r w:rsidRPr="00437948">
        <w:rPr>
          <w:rFonts w:ascii="Times New Roman" w:eastAsia="Times New Roman" w:hAnsi="Times New Roman" w:cs="Times New Roman"/>
          <w:sz w:val="26"/>
          <w:szCs w:val="20"/>
          <w:lang w:eastAsia="hu-HU"/>
        </w:rPr>
        <w:t>elszámoláshoz köthető</w:t>
      </w:r>
      <w:r w:rsidRPr="00437948">
        <w:rPr>
          <w:rFonts w:ascii="Arial" w:eastAsia="Times New Roman" w:hAnsi="Arial" w:cs="Arial"/>
          <w:sz w:val="26"/>
          <w:szCs w:val="20"/>
          <w:lang w:eastAsia="hu-HU"/>
        </w:rPr>
        <w:t>.</w:t>
      </w:r>
    </w:p>
    <w:tbl>
      <w:tblPr>
        <w:tblW w:w="8736" w:type="dxa"/>
        <w:jc w:val="center"/>
        <w:tblCellMar>
          <w:left w:w="70" w:type="dxa"/>
          <w:right w:w="70" w:type="dxa"/>
        </w:tblCellMar>
        <w:tblLook w:val="04A0" w:firstRow="1" w:lastRow="0" w:firstColumn="1" w:lastColumn="0" w:noHBand="0" w:noVBand="1"/>
      </w:tblPr>
      <w:tblGrid>
        <w:gridCol w:w="4049"/>
        <w:gridCol w:w="1623"/>
        <w:gridCol w:w="1200"/>
        <w:gridCol w:w="940"/>
        <w:gridCol w:w="924"/>
      </w:tblGrid>
      <w:tr w:rsidR="00A948A8" w:rsidRPr="00A948A8" w14:paraId="72CA09BC" w14:textId="77777777" w:rsidTr="3D6ED029">
        <w:trPr>
          <w:trHeight w:val="315"/>
          <w:jc w:val="center"/>
        </w:trPr>
        <w:tc>
          <w:tcPr>
            <w:tcW w:w="8736" w:type="dxa"/>
            <w:gridSpan w:val="5"/>
            <w:tcBorders>
              <w:top w:val="nil"/>
              <w:left w:val="nil"/>
              <w:bottom w:val="single" w:sz="4" w:space="0" w:color="auto"/>
              <w:right w:val="nil"/>
            </w:tcBorders>
            <w:noWrap/>
            <w:vAlign w:val="center"/>
            <w:hideMark/>
          </w:tcPr>
          <w:p w14:paraId="4B28AEE3" w14:textId="77777777" w:rsidR="00A948A8" w:rsidRPr="00A948A8" w:rsidRDefault="3D6ED029" w:rsidP="3D6ED029">
            <w:pPr>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Jövedéki adó bevétel alakulása (milliárd forint)</w:t>
            </w:r>
          </w:p>
        </w:tc>
      </w:tr>
      <w:tr w:rsidR="005B4CA8" w:rsidRPr="00A948A8" w14:paraId="47577F9C" w14:textId="77777777" w:rsidTr="3D6ED029">
        <w:trPr>
          <w:trHeight w:val="315"/>
          <w:jc w:val="center"/>
        </w:trPr>
        <w:tc>
          <w:tcPr>
            <w:tcW w:w="404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BE4783E" w14:textId="77777777" w:rsidR="005B4CA8"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Megnevezés</w:t>
            </w:r>
          </w:p>
        </w:tc>
        <w:tc>
          <w:tcPr>
            <w:tcW w:w="1623"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47CDAB2" w14:textId="77777777" w:rsidR="005B4CA8"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2025.</w:t>
            </w:r>
          </w:p>
          <w:p w14:paraId="16E5C19C" w14:textId="074818EA" w:rsidR="005B4CA8"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I-V. hó</w:t>
            </w:r>
          </w:p>
        </w:tc>
        <w:tc>
          <w:tcPr>
            <w:tcW w:w="1200"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0654E4C9" w14:textId="77777777" w:rsidR="005B4CA8"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2026.</w:t>
            </w:r>
          </w:p>
          <w:p w14:paraId="07414468" w14:textId="18015C8C" w:rsidR="005B4CA8"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I-V. hó</w:t>
            </w:r>
          </w:p>
        </w:tc>
        <w:tc>
          <w:tcPr>
            <w:tcW w:w="186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DEA0F3D" w14:textId="77777777" w:rsidR="005B4CA8"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Eltérés</w:t>
            </w:r>
          </w:p>
        </w:tc>
      </w:tr>
      <w:tr w:rsidR="005B4CA8" w:rsidRPr="00A948A8" w14:paraId="7438F19C" w14:textId="77777777" w:rsidTr="3D6ED029">
        <w:trPr>
          <w:trHeight w:val="315"/>
          <w:jc w:val="center"/>
        </w:trPr>
        <w:tc>
          <w:tcPr>
            <w:tcW w:w="404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2C7659B" w14:textId="77777777" w:rsidR="005B4CA8" w:rsidRPr="00A948A8" w:rsidRDefault="005B4CA8" w:rsidP="00A948A8">
            <w:pPr>
              <w:spacing w:after="0" w:line="240" w:lineRule="auto"/>
              <w:rPr>
                <w:rFonts w:ascii="Times New Roman" w:eastAsia="Times New Roman" w:hAnsi="Times New Roman" w:cs="Times New Roman"/>
                <w:b/>
                <w:bCs/>
                <w:color w:val="000000"/>
                <w:lang w:eastAsia="hu-HU"/>
              </w:rPr>
            </w:pPr>
          </w:p>
        </w:tc>
        <w:tc>
          <w:tcPr>
            <w:tcW w:w="162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3691AE4C" w14:textId="6D35D016"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p>
        </w:tc>
        <w:tc>
          <w:tcPr>
            <w:tcW w:w="1200"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0DD85BED" w14:textId="0925B31C" w:rsidR="005B4CA8" w:rsidRPr="00A948A8" w:rsidRDefault="005B4CA8" w:rsidP="5E04AD7D">
            <w:pPr>
              <w:spacing w:after="0" w:line="240" w:lineRule="auto"/>
              <w:jc w:val="center"/>
              <w:rPr>
                <w:rFonts w:ascii="Times New Roman" w:eastAsia="Times New Roman" w:hAnsi="Times New Roman" w:cs="Times New Roman"/>
                <w:b/>
                <w:bCs/>
                <w:color w:val="000000" w:themeColor="text1"/>
                <w:lang w:eastAsia="hu-HU"/>
              </w:rPr>
            </w:pPr>
          </w:p>
        </w:tc>
        <w:tc>
          <w:tcPr>
            <w:tcW w:w="94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04B5410" w14:textId="77777777" w:rsidR="005B4CA8"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Mrd Ft</w:t>
            </w:r>
          </w:p>
        </w:tc>
        <w:tc>
          <w:tcPr>
            <w:tcW w:w="92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4E4AFCC" w14:textId="77777777" w:rsidR="005B4CA8" w:rsidRPr="00A948A8" w:rsidRDefault="3D6ED029" w:rsidP="3D6ED029">
            <w:pPr>
              <w:spacing w:after="0" w:line="240" w:lineRule="auto"/>
              <w:jc w:val="center"/>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w:t>
            </w:r>
          </w:p>
        </w:tc>
      </w:tr>
      <w:tr w:rsidR="00437948" w:rsidRPr="00A948A8" w14:paraId="34E7966A" w14:textId="77777777" w:rsidTr="3D6ED029">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4799D8F8" w14:textId="77777777" w:rsidR="00437948" w:rsidRPr="00A948A8" w:rsidRDefault="00437948" w:rsidP="00437948">
            <w:pPr>
              <w:spacing w:after="0" w:line="240" w:lineRule="auto"/>
              <w:rPr>
                <w:rFonts w:ascii="Times New Roman" w:eastAsia="Times New Roman" w:hAnsi="Times New Roman" w:cs="Times New Roman"/>
                <w:color w:val="000000" w:themeColor="text1"/>
                <w:lang w:eastAsia="hu-HU"/>
              </w:rPr>
            </w:pPr>
            <w:r w:rsidRPr="3D6ED029">
              <w:rPr>
                <w:rFonts w:ascii="Times New Roman" w:eastAsia="Times New Roman" w:hAnsi="Times New Roman" w:cs="Times New Roman"/>
                <w:color w:val="000000" w:themeColor="text1"/>
                <w:lang w:eastAsia="hu-HU"/>
              </w:rPr>
              <w:t>Üzemanyag jövedéki adó</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74258020" w14:textId="10149C9C"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358,2</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DB14A41" w14:textId="107FC0F3"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348,4</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57A788D" w14:textId="4D20697C"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-9,8</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766FAA5D" w14:textId="723E84A3"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97,3</w:t>
            </w:r>
          </w:p>
        </w:tc>
      </w:tr>
      <w:tr w:rsidR="00437948" w:rsidRPr="00A948A8" w14:paraId="06140419" w14:textId="77777777" w:rsidTr="3D6ED029">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33823840" w14:textId="77777777" w:rsidR="00437948" w:rsidRPr="00A948A8" w:rsidRDefault="00437948" w:rsidP="00437948">
            <w:pPr>
              <w:spacing w:after="0" w:line="240" w:lineRule="auto"/>
              <w:rPr>
                <w:rFonts w:ascii="Times New Roman" w:eastAsia="Times New Roman" w:hAnsi="Times New Roman" w:cs="Times New Roman"/>
                <w:color w:val="000000" w:themeColor="text1"/>
                <w:lang w:eastAsia="hu-HU"/>
              </w:rPr>
            </w:pPr>
            <w:r w:rsidRPr="3D6ED029">
              <w:rPr>
                <w:rFonts w:ascii="Times New Roman" w:eastAsia="Times New Roman" w:hAnsi="Times New Roman" w:cs="Times New Roman"/>
                <w:color w:val="000000" w:themeColor="text1"/>
                <w:lang w:eastAsia="hu-HU"/>
              </w:rPr>
              <w:t>Dohánygyártmány jövedéki adó</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25B4BDA0" w14:textId="57EF4B59"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191,3</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21DB7CD1" w14:textId="01C3D37A"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210,2</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7C5021A8" w14:textId="734A05DB"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18,9</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29283207" w14:textId="2C003778"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109,9</w:t>
            </w:r>
          </w:p>
        </w:tc>
      </w:tr>
      <w:tr w:rsidR="00437948" w:rsidRPr="00A948A8" w14:paraId="52B7287C" w14:textId="77777777" w:rsidTr="3D6ED029">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48EDE67C" w14:textId="77777777" w:rsidR="00437948" w:rsidRPr="00A948A8" w:rsidRDefault="00437948" w:rsidP="00437948">
            <w:pPr>
              <w:spacing w:after="0" w:line="240" w:lineRule="auto"/>
              <w:rPr>
                <w:rFonts w:ascii="Times New Roman" w:eastAsia="Times New Roman" w:hAnsi="Times New Roman" w:cs="Times New Roman"/>
                <w:color w:val="000000" w:themeColor="text1"/>
                <w:lang w:eastAsia="hu-HU"/>
              </w:rPr>
            </w:pPr>
            <w:r w:rsidRPr="3D6ED029">
              <w:rPr>
                <w:rFonts w:ascii="Times New Roman" w:eastAsia="Times New Roman" w:hAnsi="Times New Roman" w:cs="Times New Roman"/>
                <w:color w:val="000000" w:themeColor="text1"/>
                <w:lang w:eastAsia="hu-HU"/>
              </w:rPr>
              <w:t>Egyéb termék jövedéki adó</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69AFEDC0" w14:textId="29A8D736"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53</w:t>
            </w:r>
            <w:r w:rsidR="00A97CB6">
              <w:rPr>
                <w:rFonts w:ascii="Times New Roman" w:hAnsi="Times New Roman" w:cs="Times New Roman"/>
                <w:color w:val="000000"/>
              </w:rPr>
              <w:t>,0</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1D40BC43" w14:textId="0141D6C4"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52,1</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57832430" w14:textId="7C3D18B0"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-0,9</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5D103B13" w14:textId="5E8F576A"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98,3</w:t>
            </w:r>
          </w:p>
        </w:tc>
      </w:tr>
      <w:tr w:rsidR="00437948" w:rsidRPr="00A948A8" w14:paraId="402141B4" w14:textId="77777777" w:rsidTr="3D6ED029">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5798FC0E" w14:textId="77777777" w:rsidR="00437948" w:rsidRPr="00A948A8" w:rsidRDefault="00437948" w:rsidP="00437948">
            <w:pPr>
              <w:spacing w:after="0" w:line="240" w:lineRule="auto"/>
              <w:rPr>
                <w:rFonts w:ascii="Times New Roman" w:eastAsia="Times New Roman" w:hAnsi="Times New Roman" w:cs="Times New Roman"/>
                <w:color w:val="000000" w:themeColor="text1"/>
                <w:lang w:eastAsia="hu-HU"/>
              </w:rPr>
            </w:pPr>
            <w:r w:rsidRPr="3D6ED029">
              <w:rPr>
                <w:rFonts w:ascii="Times New Roman" w:eastAsia="Times New Roman" w:hAnsi="Times New Roman" w:cs="Times New Roman"/>
                <w:color w:val="000000" w:themeColor="text1"/>
                <w:lang w:eastAsia="hu-HU"/>
              </w:rPr>
              <w:t>Import jövedéki adó és energiaadó</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230A8B37" w14:textId="3449D6B8"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11,3</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668B868F" w14:textId="32963B9A"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11,6</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11B60407" w14:textId="72680282"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0,3</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0EC53F7C" w14:textId="6249FA66" w:rsidR="00437948" w:rsidRPr="00437948" w:rsidRDefault="00437948" w:rsidP="00437948">
            <w:pPr>
              <w:spacing w:after="0" w:line="240" w:lineRule="auto"/>
              <w:jc w:val="right"/>
              <w:rPr>
                <w:rFonts w:ascii="Times New Roman" w:eastAsia="Times New Roman" w:hAnsi="Times New Roman" w:cs="Times New Roman"/>
                <w:color w:val="000000" w:themeColor="text1"/>
                <w:highlight w:val="yellow"/>
                <w:lang w:eastAsia="hu-HU"/>
              </w:rPr>
            </w:pPr>
            <w:r w:rsidRPr="00437948">
              <w:rPr>
                <w:rFonts w:ascii="Times New Roman" w:hAnsi="Times New Roman" w:cs="Times New Roman"/>
                <w:color w:val="000000"/>
              </w:rPr>
              <w:t>102,7</w:t>
            </w:r>
          </w:p>
        </w:tc>
      </w:tr>
      <w:tr w:rsidR="00437948" w:rsidRPr="00A948A8" w14:paraId="170C35ED" w14:textId="77777777" w:rsidTr="3D6ED029">
        <w:trPr>
          <w:trHeight w:val="340"/>
          <w:jc w:val="center"/>
        </w:trPr>
        <w:tc>
          <w:tcPr>
            <w:tcW w:w="4049" w:type="dxa"/>
            <w:tcBorders>
              <w:top w:val="single" w:sz="4" w:space="0" w:color="auto"/>
              <w:left w:val="single" w:sz="4" w:space="0" w:color="auto"/>
              <w:bottom w:val="single" w:sz="4" w:space="0" w:color="auto"/>
              <w:right w:val="single" w:sz="4" w:space="0" w:color="auto"/>
            </w:tcBorders>
            <w:noWrap/>
            <w:vAlign w:val="center"/>
            <w:hideMark/>
          </w:tcPr>
          <w:p w14:paraId="56E25F12" w14:textId="77777777" w:rsidR="00437948" w:rsidRPr="00A948A8" w:rsidRDefault="00437948" w:rsidP="00437948">
            <w:pPr>
              <w:spacing w:after="0" w:line="240" w:lineRule="auto"/>
              <w:rPr>
                <w:rFonts w:ascii="Times New Roman" w:eastAsia="Times New Roman" w:hAnsi="Times New Roman" w:cs="Times New Roman"/>
                <w:b/>
                <w:bCs/>
                <w:color w:val="000000" w:themeColor="text1"/>
                <w:lang w:eastAsia="hu-HU"/>
              </w:rPr>
            </w:pPr>
            <w:r w:rsidRPr="3D6ED029">
              <w:rPr>
                <w:rFonts w:ascii="Times New Roman" w:eastAsia="Times New Roman" w:hAnsi="Times New Roman" w:cs="Times New Roman"/>
                <w:b/>
                <w:bCs/>
                <w:color w:val="000000" w:themeColor="text1"/>
                <w:lang w:eastAsia="hu-HU"/>
              </w:rPr>
              <w:t>Jövedéki adók összesen</w:t>
            </w:r>
          </w:p>
        </w:tc>
        <w:tc>
          <w:tcPr>
            <w:tcW w:w="1623" w:type="dxa"/>
            <w:tcBorders>
              <w:top w:val="single" w:sz="4" w:space="0" w:color="auto"/>
              <w:left w:val="single" w:sz="4" w:space="0" w:color="auto"/>
              <w:bottom w:val="single" w:sz="4" w:space="0" w:color="auto"/>
              <w:right w:val="single" w:sz="4" w:space="0" w:color="auto"/>
            </w:tcBorders>
            <w:noWrap/>
            <w:vAlign w:val="center"/>
            <w:hideMark/>
          </w:tcPr>
          <w:p w14:paraId="456616B9" w14:textId="757EB44B" w:rsidR="00437948" w:rsidRPr="00437948" w:rsidRDefault="00437948" w:rsidP="00437948">
            <w:pPr>
              <w:spacing w:after="0" w:line="240" w:lineRule="auto"/>
              <w:jc w:val="right"/>
              <w:rPr>
                <w:rFonts w:ascii="Times New Roman" w:eastAsia="Times New Roman" w:hAnsi="Times New Roman" w:cs="Times New Roman"/>
                <w:b/>
                <w:bCs/>
                <w:color w:val="000000" w:themeColor="text1"/>
                <w:highlight w:val="yellow"/>
                <w:lang w:eastAsia="hu-HU"/>
              </w:rPr>
            </w:pPr>
            <w:r w:rsidRPr="00437948">
              <w:rPr>
                <w:rFonts w:ascii="Times New Roman" w:hAnsi="Times New Roman" w:cs="Times New Roman"/>
                <w:b/>
                <w:bCs/>
                <w:color w:val="000000"/>
              </w:rPr>
              <w:t>613,8</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7882813C" w14:textId="23456B5B" w:rsidR="00437948" w:rsidRPr="00437948" w:rsidRDefault="00437948" w:rsidP="00437948">
            <w:pPr>
              <w:spacing w:after="0" w:line="240" w:lineRule="auto"/>
              <w:jc w:val="right"/>
              <w:rPr>
                <w:rFonts w:ascii="Times New Roman" w:eastAsia="Times New Roman" w:hAnsi="Times New Roman" w:cs="Times New Roman"/>
                <w:b/>
                <w:bCs/>
                <w:color w:val="000000" w:themeColor="text1"/>
                <w:highlight w:val="yellow"/>
                <w:lang w:eastAsia="hu-HU"/>
              </w:rPr>
            </w:pPr>
            <w:r w:rsidRPr="00437948">
              <w:rPr>
                <w:rFonts w:ascii="Times New Roman" w:hAnsi="Times New Roman" w:cs="Times New Roman"/>
                <w:b/>
                <w:bCs/>
                <w:color w:val="000000"/>
              </w:rPr>
              <w:t>622,2</w:t>
            </w:r>
          </w:p>
        </w:tc>
        <w:tc>
          <w:tcPr>
            <w:tcW w:w="940" w:type="dxa"/>
            <w:tcBorders>
              <w:top w:val="single" w:sz="4" w:space="0" w:color="auto"/>
              <w:left w:val="single" w:sz="4" w:space="0" w:color="auto"/>
              <w:bottom w:val="single" w:sz="4" w:space="0" w:color="auto"/>
              <w:right w:val="single" w:sz="4" w:space="0" w:color="auto"/>
            </w:tcBorders>
            <w:noWrap/>
            <w:vAlign w:val="center"/>
            <w:hideMark/>
          </w:tcPr>
          <w:p w14:paraId="41A4C652" w14:textId="2738096E" w:rsidR="00437948" w:rsidRPr="00437948" w:rsidRDefault="00437948" w:rsidP="00437948">
            <w:pPr>
              <w:spacing w:after="0" w:line="240" w:lineRule="auto"/>
              <w:jc w:val="right"/>
              <w:rPr>
                <w:rFonts w:ascii="Times New Roman" w:eastAsia="Times New Roman" w:hAnsi="Times New Roman" w:cs="Times New Roman"/>
                <w:b/>
                <w:bCs/>
                <w:color w:val="000000" w:themeColor="text1"/>
                <w:highlight w:val="yellow"/>
                <w:lang w:eastAsia="hu-HU"/>
              </w:rPr>
            </w:pPr>
            <w:r w:rsidRPr="00437948">
              <w:rPr>
                <w:rFonts w:ascii="Times New Roman" w:hAnsi="Times New Roman" w:cs="Times New Roman"/>
                <w:b/>
                <w:bCs/>
                <w:color w:val="000000"/>
              </w:rPr>
              <w:t>8,4</w:t>
            </w:r>
          </w:p>
        </w:tc>
        <w:tc>
          <w:tcPr>
            <w:tcW w:w="924" w:type="dxa"/>
            <w:tcBorders>
              <w:top w:val="single" w:sz="4" w:space="0" w:color="auto"/>
              <w:left w:val="single" w:sz="4" w:space="0" w:color="auto"/>
              <w:bottom w:val="single" w:sz="4" w:space="0" w:color="auto"/>
              <w:right w:val="single" w:sz="4" w:space="0" w:color="auto"/>
            </w:tcBorders>
            <w:noWrap/>
            <w:vAlign w:val="center"/>
            <w:hideMark/>
          </w:tcPr>
          <w:p w14:paraId="69590470" w14:textId="2BEB0C20" w:rsidR="00437948" w:rsidRPr="00437948" w:rsidRDefault="00437948" w:rsidP="00437948">
            <w:pPr>
              <w:spacing w:after="0" w:line="240" w:lineRule="auto"/>
              <w:jc w:val="right"/>
              <w:rPr>
                <w:rFonts w:ascii="Times New Roman" w:eastAsia="Times New Roman" w:hAnsi="Times New Roman" w:cs="Times New Roman"/>
                <w:b/>
                <w:bCs/>
                <w:color w:val="000000" w:themeColor="text1"/>
                <w:highlight w:val="yellow"/>
                <w:lang w:eastAsia="hu-HU"/>
              </w:rPr>
            </w:pPr>
            <w:r w:rsidRPr="00437948">
              <w:rPr>
                <w:rFonts w:ascii="Times New Roman" w:hAnsi="Times New Roman" w:cs="Times New Roman"/>
                <w:b/>
                <w:bCs/>
                <w:color w:val="000000"/>
              </w:rPr>
              <w:t>101,4</w:t>
            </w:r>
          </w:p>
        </w:tc>
      </w:tr>
    </w:tbl>
    <w:p w14:paraId="2EEB1261" w14:textId="43C92E48" w:rsidR="00437948" w:rsidRPr="00437948" w:rsidRDefault="00437948" w:rsidP="009F2A60">
      <w:pPr>
        <w:spacing w:before="240"/>
        <w:jc w:val="both"/>
        <w:rPr>
          <w:rFonts w:ascii="Times New Roman" w:eastAsia="Times New Roman" w:hAnsi="Times New Roman" w:cs="Times New Roman"/>
          <w:sz w:val="26"/>
          <w:szCs w:val="20"/>
          <w:lang w:eastAsia="hu-HU"/>
        </w:rPr>
      </w:pPr>
      <w:bookmarkStart w:id="0" w:name="_Hlk224053963"/>
      <w:bookmarkStart w:id="1" w:name="_Hlk224054592"/>
      <w:bookmarkEnd w:id="0"/>
      <w:bookmarkEnd w:id="1"/>
      <w:r w:rsidRPr="00437948">
        <w:rPr>
          <w:rFonts w:ascii="Times New Roman" w:eastAsia="Times New Roman" w:hAnsi="Times New Roman" w:cs="Times New Roman"/>
          <w:b/>
          <w:sz w:val="26"/>
          <w:szCs w:val="20"/>
          <w:lang w:eastAsia="hu-HU"/>
        </w:rPr>
        <w:t>Pénzügyi tranzakciós illetékből</w:t>
      </w:r>
      <w:r w:rsidRPr="00437948">
        <w:rPr>
          <w:rFonts w:ascii="Times New Roman" w:eastAsia="Times New Roman" w:hAnsi="Times New Roman" w:cs="Times New Roman"/>
          <w:sz w:val="26"/>
          <w:szCs w:val="20"/>
          <w:lang w:eastAsia="hu-HU"/>
        </w:rPr>
        <w:t xml:space="preserve"> 2026</w:t>
      </w:r>
      <w:r w:rsidR="00591A65">
        <w:rPr>
          <w:rFonts w:ascii="Times New Roman" w:eastAsia="Times New Roman" w:hAnsi="Times New Roman" w:cs="Times New Roman"/>
          <w:sz w:val="26"/>
          <w:szCs w:val="20"/>
          <w:lang w:eastAsia="hu-HU"/>
        </w:rPr>
        <w:t xml:space="preserve"> </w:t>
      </w:r>
      <w:r w:rsidRPr="00437948">
        <w:rPr>
          <w:rFonts w:ascii="Times New Roman" w:eastAsia="Times New Roman" w:hAnsi="Times New Roman" w:cs="Times New Roman"/>
          <w:sz w:val="26"/>
          <w:szCs w:val="20"/>
          <w:lang w:eastAsia="hu-HU"/>
        </w:rPr>
        <w:t>első öt hónapjában 248,6 milliárd forint bevétele keletkezett a költségvetésnek, ami 4,0 milliárd forinttal haladta meg az egy évvel korábbi összeget.</w:t>
      </w:r>
    </w:p>
    <w:p w14:paraId="0B2CD481" w14:textId="62069792" w:rsidR="00437948" w:rsidRPr="00437948" w:rsidRDefault="00437948" w:rsidP="009F47DF">
      <w:pPr>
        <w:spacing w:before="160"/>
        <w:jc w:val="both"/>
        <w:rPr>
          <w:rFonts w:ascii="Times New Roman" w:eastAsia="Times New Roman" w:hAnsi="Times New Roman" w:cs="Times New Roman"/>
          <w:sz w:val="26"/>
          <w:szCs w:val="20"/>
          <w:lang w:eastAsia="hu-HU"/>
        </w:rPr>
      </w:pPr>
      <w:r w:rsidRPr="00437948">
        <w:rPr>
          <w:rFonts w:ascii="Times New Roman" w:eastAsia="Times New Roman" w:hAnsi="Times New Roman" w:cs="Times New Roman"/>
          <w:sz w:val="26"/>
          <w:szCs w:val="20"/>
          <w:lang w:eastAsia="hu-HU"/>
        </w:rPr>
        <w:t xml:space="preserve">A </w:t>
      </w:r>
      <w:r w:rsidRPr="00437948">
        <w:rPr>
          <w:rFonts w:ascii="Times New Roman" w:eastAsia="Times New Roman" w:hAnsi="Times New Roman" w:cs="Times New Roman"/>
          <w:b/>
          <w:sz w:val="26"/>
          <w:szCs w:val="20"/>
          <w:lang w:eastAsia="hu-HU"/>
        </w:rPr>
        <w:t xml:space="preserve">biztosítási adóból </w:t>
      </w:r>
      <w:r w:rsidRPr="00437948">
        <w:rPr>
          <w:rFonts w:ascii="Times New Roman" w:eastAsia="Times New Roman" w:hAnsi="Times New Roman" w:cs="Times New Roman"/>
          <w:sz w:val="26"/>
          <w:szCs w:val="20"/>
          <w:lang w:eastAsia="hu-HU"/>
        </w:rPr>
        <w:t>származó bevétel 2026</w:t>
      </w:r>
      <w:r w:rsidR="009F2A60">
        <w:rPr>
          <w:rFonts w:ascii="Times New Roman" w:eastAsia="Times New Roman" w:hAnsi="Times New Roman" w:cs="Times New Roman"/>
          <w:sz w:val="26"/>
          <w:szCs w:val="20"/>
          <w:lang w:eastAsia="hu-HU"/>
        </w:rPr>
        <w:t xml:space="preserve"> </w:t>
      </w:r>
      <w:r w:rsidRPr="00437948">
        <w:rPr>
          <w:rFonts w:ascii="Times New Roman" w:eastAsia="Times New Roman" w:hAnsi="Times New Roman" w:cs="Times New Roman"/>
          <w:sz w:val="26"/>
          <w:szCs w:val="20"/>
          <w:lang w:eastAsia="hu-HU"/>
        </w:rPr>
        <w:t>első öt hónapjában 76,4 milliárd forintot tett ki, amely 1,9 milliárd forinttal alacsonyabb az egy évvel korábbi bevételnél. A bevételek előző évhez viszonyított alacsonyabb teljesülését magyarázza, hogy a 2024. évi biztosítási pótadó-kötelezettség 2025. januári elszámolásából származó bevétel meghaladta a</w:t>
      </w:r>
      <w:r w:rsidR="009F2A60">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0"/>
          <w:lang w:eastAsia="hu-HU"/>
        </w:rPr>
        <w:t>2025.</w:t>
      </w:r>
      <w:r w:rsidR="009F2A60">
        <w:t> </w:t>
      </w:r>
      <w:r w:rsidRPr="00437948">
        <w:rPr>
          <w:rFonts w:ascii="Times New Roman" w:eastAsia="Times New Roman" w:hAnsi="Times New Roman" w:cs="Times New Roman"/>
          <w:sz w:val="26"/>
          <w:szCs w:val="20"/>
          <w:lang w:eastAsia="hu-HU"/>
        </w:rPr>
        <w:t>évi biztosítási pótadó-kötelezettség 2026. január és februári elszámolásából fakadó tárgyévi bevételt.</w:t>
      </w:r>
    </w:p>
    <w:p w14:paraId="51E1145B" w14:textId="7DFAC4C5" w:rsidR="00437948" w:rsidRPr="00437948" w:rsidRDefault="00437948" w:rsidP="009F47DF">
      <w:pPr>
        <w:spacing w:before="160"/>
        <w:jc w:val="both"/>
        <w:rPr>
          <w:rFonts w:ascii="Times New Roman" w:eastAsia="Times New Roman" w:hAnsi="Times New Roman" w:cs="Times New Roman"/>
          <w:color w:val="000000"/>
          <w:sz w:val="26"/>
          <w:szCs w:val="20"/>
          <w:lang w:eastAsia="hu-HU"/>
        </w:rPr>
      </w:pPr>
      <w:r w:rsidRPr="00437948">
        <w:rPr>
          <w:rFonts w:ascii="Times New Roman" w:eastAsia="Times New Roman" w:hAnsi="Times New Roman" w:cs="Times New Roman"/>
          <w:color w:val="000000"/>
          <w:sz w:val="26"/>
          <w:szCs w:val="20"/>
          <w:lang w:eastAsia="hu-HU"/>
        </w:rPr>
        <w:lastRenderedPageBreak/>
        <w:t xml:space="preserve">A </w:t>
      </w:r>
      <w:r w:rsidRPr="00437948">
        <w:rPr>
          <w:rFonts w:ascii="Times New Roman" w:eastAsia="Times New Roman" w:hAnsi="Times New Roman" w:cs="Times New Roman"/>
          <w:b/>
          <w:bCs/>
          <w:color w:val="000000"/>
          <w:sz w:val="26"/>
          <w:szCs w:val="20"/>
          <w:lang w:eastAsia="hu-HU"/>
        </w:rPr>
        <w:t>személyi jövedelemadó</w:t>
      </w:r>
      <w:r w:rsidRPr="00437948">
        <w:rPr>
          <w:rFonts w:ascii="Times New Roman" w:eastAsia="Times New Roman" w:hAnsi="Times New Roman" w:cs="Times New Roman"/>
          <w:color w:val="000000"/>
          <w:sz w:val="26"/>
          <w:szCs w:val="20"/>
          <w:lang w:eastAsia="hu-HU"/>
        </w:rPr>
        <w:t xml:space="preserve"> bevétele 2026 első öt hónapjában 2163,5</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color w:val="000000"/>
          <w:sz w:val="26"/>
          <w:szCs w:val="20"/>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color w:val="000000"/>
          <w:sz w:val="26"/>
          <w:szCs w:val="20"/>
          <w:lang w:eastAsia="hu-HU"/>
        </w:rPr>
        <w:t>forint volt, amely 111,0</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color w:val="000000"/>
          <w:sz w:val="26"/>
          <w:szCs w:val="20"/>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color w:val="000000"/>
          <w:sz w:val="26"/>
          <w:szCs w:val="20"/>
          <w:lang w:eastAsia="hu-HU"/>
        </w:rPr>
        <w:t>forinttal magasabb az egy évvel korábbi összegnél. Ennek oka a</w:t>
      </w:r>
      <w:r w:rsidR="008B2D49">
        <w:rPr>
          <w:rFonts w:ascii="Times New Roman" w:eastAsia="Times New Roman" w:hAnsi="Times New Roman" w:cs="Times New Roman"/>
          <w:color w:val="000000"/>
          <w:sz w:val="26"/>
          <w:szCs w:val="20"/>
          <w:lang w:eastAsia="hu-HU"/>
        </w:rPr>
        <w:t> </w:t>
      </w:r>
      <w:r w:rsidRPr="00437948">
        <w:rPr>
          <w:rFonts w:ascii="Times New Roman" w:eastAsia="Times New Roman" w:hAnsi="Times New Roman" w:cs="Times New Roman"/>
          <w:color w:val="000000"/>
          <w:sz w:val="26"/>
          <w:szCs w:val="20"/>
          <w:lang w:eastAsia="hu-HU"/>
        </w:rPr>
        <w:t>bértömeg növekedésének, a családi kedvezmények kiterjesztésének és az egyszeri kifizetésekhez kapcsolódó befizetéseknek az együttes hatása.</w:t>
      </w:r>
    </w:p>
    <w:p w14:paraId="00A5B237" w14:textId="39EFBAD3" w:rsidR="00C33C0A" w:rsidRPr="00DA3D76" w:rsidRDefault="3D6ED029" w:rsidP="3D6ED029">
      <w:pPr>
        <w:keepNext/>
        <w:keepLines/>
        <w:spacing w:before="120" w:after="12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 xml:space="preserve">Személyi jövedelemadó bevétel alakulása (milliárd forint) </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9"/>
        <w:gridCol w:w="1645"/>
        <w:gridCol w:w="1701"/>
        <w:gridCol w:w="992"/>
        <w:gridCol w:w="992"/>
      </w:tblGrid>
      <w:tr w:rsidR="00DA3D76" w:rsidRPr="00DA3D76" w14:paraId="7682B048" w14:textId="77777777" w:rsidTr="3D6ED029">
        <w:trPr>
          <w:trHeight w:val="340"/>
          <w:jc w:val="center"/>
        </w:trPr>
        <w:tc>
          <w:tcPr>
            <w:tcW w:w="1469" w:type="dxa"/>
            <w:vMerge w:val="restart"/>
            <w:shd w:val="clear" w:color="auto" w:fill="BDD6EE" w:themeFill="accent1" w:themeFillTint="66"/>
            <w:noWrap/>
            <w:vAlign w:val="center"/>
            <w:hideMark/>
          </w:tcPr>
          <w:p w14:paraId="3AAA8176" w14:textId="77777777" w:rsidR="00A948A8" w:rsidRPr="00DA3D76" w:rsidRDefault="3D6ED029" w:rsidP="3D6ED029">
            <w:pPr>
              <w:keepNext/>
              <w:keepLines/>
              <w:spacing w:after="0"/>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Megnevezés</w:t>
            </w:r>
          </w:p>
        </w:tc>
        <w:tc>
          <w:tcPr>
            <w:tcW w:w="1645" w:type="dxa"/>
            <w:vMerge w:val="restart"/>
            <w:shd w:val="clear" w:color="auto" w:fill="BDD6EE" w:themeFill="accent1" w:themeFillTint="66"/>
            <w:vAlign w:val="center"/>
            <w:hideMark/>
          </w:tcPr>
          <w:p w14:paraId="3A355406" w14:textId="6F723444" w:rsidR="00A948A8" w:rsidRPr="00DA3D76" w:rsidRDefault="3D6ED029" w:rsidP="3D6ED029">
            <w:pPr>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 xml:space="preserve">2025. </w:t>
            </w:r>
            <w:r w:rsidR="1B95ADFA">
              <w:br/>
            </w:r>
            <w:r w:rsidRPr="3D6ED029">
              <w:rPr>
                <w:rFonts w:ascii="Times New Roman" w:eastAsia="Times New Roman" w:hAnsi="Times New Roman" w:cs="Times New Roman"/>
                <w:b/>
                <w:bCs/>
                <w:lang w:eastAsia="hu-HU"/>
              </w:rPr>
              <w:t>I-V. hó</w:t>
            </w:r>
          </w:p>
        </w:tc>
        <w:tc>
          <w:tcPr>
            <w:tcW w:w="1701" w:type="dxa"/>
            <w:vMerge w:val="restart"/>
            <w:shd w:val="clear" w:color="auto" w:fill="BDD6EE" w:themeFill="accent1" w:themeFillTint="66"/>
            <w:vAlign w:val="center"/>
            <w:hideMark/>
          </w:tcPr>
          <w:p w14:paraId="2AE540F3" w14:textId="15F191C7" w:rsidR="00A948A8" w:rsidRPr="00DA3D76" w:rsidRDefault="3D6ED029" w:rsidP="3D6ED029">
            <w:pPr>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2026.</w:t>
            </w:r>
            <w:r w:rsidR="1B95ADFA">
              <w:br/>
            </w:r>
            <w:r w:rsidRPr="3D6ED029">
              <w:rPr>
                <w:rFonts w:ascii="Times New Roman" w:eastAsia="Times New Roman" w:hAnsi="Times New Roman" w:cs="Times New Roman"/>
                <w:b/>
                <w:bCs/>
                <w:lang w:eastAsia="hu-HU"/>
              </w:rPr>
              <w:t>I-V. hó</w:t>
            </w:r>
          </w:p>
        </w:tc>
        <w:tc>
          <w:tcPr>
            <w:tcW w:w="1984" w:type="dxa"/>
            <w:gridSpan w:val="2"/>
            <w:shd w:val="clear" w:color="auto" w:fill="BDD6EE" w:themeFill="accent1" w:themeFillTint="66"/>
            <w:vAlign w:val="center"/>
            <w:hideMark/>
          </w:tcPr>
          <w:p w14:paraId="37F96ACB" w14:textId="77777777" w:rsidR="00A948A8" w:rsidRPr="00DA3D76" w:rsidRDefault="3D6ED029" w:rsidP="3D6ED029">
            <w:pPr>
              <w:keepNext/>
              <w:keepLines/>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Eltérés</w:t>
            </w:r>
          </w:p>
        </w:tc>
      </w:tr>
      <w:tr w:rsidR="00DA3D76" w:rsidRPr="00DA3D76" w14:paraId="3A1BCD3A" w14:textId="77777777" w:rsidTr="3D6ED029">
        <w:trPr>
          <w:trHeight w:val="340"/>
          <w:jc w:val="center"/>
        </w:trPr>
        <w:tc>
          <w:tcPr>
            <w:tcW w:w="1469" w:type="dxa"/>
            <w:vMerge/>
            <w:shd w:val="clear" w:color="auto" w:fill="BDD6EE" w:themeFill="accent1" w:themeFillTint="66"/>
            <w:noWrap/>
            <w:vAlign w:val="center"/>
          </w:tcPr>
          <w:p w14:paraId="0EB19F63" w14:textId="77777777" w:rsidR="00A948A8" w:rsidRPr="00DA3D76" w:rsidRDefault="00A948A8" w:rsidP="00A948A8">
            <w:pPr>
              <w:keepNext/>
              <w:keepLines/>
              <w:spacing w:after="0" w:line="240" w:lineRule="auto"/>
              <w:jc w:val="center"/>
              <w:rPr>
                <w:rFonts w:ascii="Times New Roman" w:eastAsia="Times New Roman" w:hAnsi="Times New Roman" w:cs="Times New Roman"/>
                <w:b/>
                <w:bCs/>
                <w:szCs w:val="20"/>
                <w:lang w:eastAsia="hu-HU"/>
              </w:rPr>
            </w:pPr>
          </w:p>
        </w:tc>
        <w:tc>
          <w:tcPr>
            <w:tcW w:w="1645" w:type="dxa"/>
            <w:vMerge/>
            <w:shd w:val="clear" w:color="auto" w:fill="BDD6EE" w:themeFill="accent1" w:themeFillTint="66"/>
            <w:vAlign w:val="center"/>
          </w:tcPr>
          <w:p w14:paraId="4F3C5BBA" w14:textId="77777777" w:rsidR="00A948A8" w:rsidRPr="00DA3D76" w:rsidRDefault="00A948A8" w:rsidP="00A948A8">
            <w:pPr>
              <w:spacing w:after="0" w:line="240" w:lineRule="auto"/>
              <w:jc w:val="center"/>
              <w:rPr>
                <w:rFonts w:ascii="Times New Roman" w:eastAsia="Times New Roman" w:hAnsi="Times New Roman" w:cs="Times New Roman"/>
                <w:b/>
                <w:bCs/>
                <w:szCs w:val="20"/>
                <w:lang w:eastAsia="hu-HU"/>
              </w:rPr>
            </w:pPr>
          </w:p>
        </w:tc>
        <w:tc>
          <w:tcPr>
            <w:tcW w:w="1701" w:type="dxa"/>
            <w:vMerge/>
            <w:shd w:val="clear" w:color="auto" w:fill="BDD6EE" w:themeFill="accent1" w:themeFillTint="66"/>
            <w:vAlign w:val="center"/>
          </w:tcPr>
          <w:p w14:paraId="5997C257" w14:textId="77777777" w:rsidR="00A948A8" w:rsidRPr="00DA3D76" w:rsidRDefault="00A948A8" w:rsidP="00A948A8">
            <w:pPr>
              <w:spacing w:after="0" w:line="240" w:lineRule="auto"/>
              <w:jc w:val="center"/>
              <w:rPr>
                <w:rFonts w:ascii="Times New Roman" w:eastAsia="Times New Roman" w:hAnsi="Times New Roman" w:cs="Times New Roman"/>
                <w:b/>
                <w:bCs/>
                <w:szCs w:val="20"/>
                <w:lang w:eastAsia="hu-HU"/>
              </w:rPr>
            </w:pPr>
          </w:p>
        </w:tc>
        <w:tc>
          <w:tcPr>
            <w:tcW w:w="992" w:type="dxa"/>
            <w:shd w:val="clear" w:color="auto" w:fill="BDD6EE" w:themeFill="accent1" w:themeFillTint="66"/>
            <w:vAlign w:val="center"/>
          </w:tcPr>
          <w:p w14:paraId="2E07604B" w14:textId="77777777" w:rsidR="00A948A8" w:rsidRPr="00DA3D76" w:rsidRDefault="3D6ED029" w:rsidP="3D6ED029">
            <w:pPr>
              <w:keepNext/>
              <w:keepLines/>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Mrd Ft</w:t>
            </w:r>
          </w:p>
        </w:tc>
        <w:tc>
          <w:tcPr>
            <w:tcW w:w="992" w:type="dxa"/>
            <w:shd w:val="clear" w:color="auto" w:fill="BDD6EE" w:themeFill="accent1" w:themeFillTint="66"/>
            <w:vAlign w:val="center"/>
          </w:tcPr>
          <w:p w14:paraId="6C05EB2B" w14:textId="77777777" w:rsidR="00A948A8" w:rsidRPr="00DA3D76" w:rsidRDefault="3D6ED029" w:rsidP="3D6ED029">
            <w:pPr>
              <w:keepNext/>
              <w:keepLines/>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w:t>
            </w:r>
          </w:p>
        </w:tc>
      </w:tr>
      <w:tr w:rsidR="00437948" w:rsidRPr="00DA3D76" w14:paraId="48571858" w14:textId="77777777" w:rsidTr="3D6ED029">
        <w:trPr>
          <w:trHeight w:val="340"/>
          <w:jc w:val="center"/>
        </w:trPr>
        <w:tc>
          <w:tcPr>
            <w:tcW w:w="1469" w:type="dxa"/>
            <w:noWrap/>
            <w:vAlign w:val="center"/>
            <w:hideMark/>
          </w:tcPr>
          <w:p w14:paraId="579D069B" w14:textId="77777777" w:rsidR="00437948" w:rsidRPr="00DA3D76" w:rsidRDefault="00437948" w:rsidP="00437948">
            <w:pPr>
              <w:keepNext/>
              <w:keepLines/>
              <w:spacing w:after="0" w:line="240" w:lineRule="auto"/>
              <w:jc w:val="both"/>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Befizetés</w:t>
            </w:r>
          </w:p>
        </w:tc>
        <w:tc>
          <w:tcPr>
            <w:tcW w:w="1645" w:type="dxa"/>
            <w:noWrap/>
            <w:vAlign w:val="center"/>
          </w:tcPr>
          <w:p w14:paraId="3E134EA9" w14:textId="7621A663" w:rsidR="00437948" w:rsidRPr="00437948" w:rsidRDefault="00437948" w:rsidP="00437948">
            <w:pPr>
              <w:keepNext/>
              <w:keepLines/>
              <w:spacing w:after="0" w:line="240" w:lineRule="auto"/>
              <w:jc w:val="right"/>
              <w:rPr>
                <w:rFonts w:ascii="Times New Roman" w:eastAsia="Times New Roman" w:hAnsi="Times New Roman" w:cs="Times New Roman"/>
                <w:lang w:eastAsia="hu-HU"/>
              </w:rPr>
            </w:pPr>
            <w:r w:rsidRPr="00437948">
              <w:rPr>
                <w:rFonts w:ascii="Times New Roman" w:hAnsi="Times New Roman" w:cs="Times New Roman"/>
              </w:rPr>
              <w:t>2196,6</w:t>
            </w:r>
          </w:p>
        </w:tc>
        <w:tc>
          <w:tcPr>
            <w:tcW w:w="1701" w:type="dxa"/>
            <w:noWrap/>
            <w:vAlign w:val="center"/>
          </w:tcPr>
          <w:p w14:paraId="05BD87E2" w14:textId="54047652" w:rsidR="00437948" w:rsidRPr="00437948" w:rsidRDefault="00437948" w:rsidP="00437948">
            <w:pPr>
              <w:keepNext/>
              <w:keepLines/>
              <w:spacing w:after="0" w:line="240" w:lineRule="auto"/>
              <w:jc w:val="right"/>
              <w:rPr>
                <w:rFonts w:ascii="Times New Roman" w:eastAsia="Times New Roman" w:hAnsi="Times New Roman" w:cs="Times New Roman"/>
                <w:lang w:eastAsia="hu-HU"/>
              </w:rPr>
            </w:pPr>
            <w:r w:rsidRPr="00437948">
              <w:rPr>
                <w:rFonts w:ascii="Times New Roman" w:hAnsi="Times New Roman" w:cs="Times New Roman"/>
              </w:rPr>
              <w:t>2344,</w:t>
            </w:r>
            <w:r w:rsidR="00604706">
              <w:rPr>
                <w:rFonts w:ascii="Times New Roman" w:hAnsi="Times New Roman" w:cs="Times New Roman"/>
              </w:rPr>
              <w:t>2</w:t>
            </w:r>
          </w:p>
        </w:tc>
        <w:tc>
          <w:tcPr>
            <w:tcW w:w="992" w:type="dxa"/>
            <w:noWrap/>
            <w:vAlign w:val="center"/>
          </w:tcPr>
          <w:p w14:paraId="53129E73" w14:textId="7EDD23B4" w:rsidR="00437948" w:rsidRPr="00437948" w:rsidRDefault="00437948" w:rsidP="00437948">
            <w:pPr>
              <w:keepNext/>
              <w:keepLines/>
              <w:spacing w:after="0" w:line="240" w:lineRule="auto"/>
              <w:jc w:val="right"/>
              <w:rPr>
                <w:rFonts w:ascii="Times New Roman" w:eastAsia="Times New Roman" w:hAnsi="Times New Roman" w:cs="Times New Roman"/>
                <w:lang w:eastAsia="hu-HU"/>
              </w:rPr>
            </w:pPr>
            <w:r w:rsidRPr="00437948">
              <w:rPr>
                <w:rFonts w:ascii="Times New Roman" w:hAnsi="Times New Roman" w:cs="Times New Roman"/>
              </w:rPr>
              <w:t>147,</w:t>
            </w:r>
            <w:r w:rsidR="00604706">
              <w:rPr>
                <w:rFonts w:ascii="Times New Roman" w:hAnsi="Times New Roman" w:cs="Times New Roman"/>
              </w:rPr>
              <w:t>6</w:t>
            </w:r>
          </w:p>
        </w:tc>
        <w:tc>
          <w:tcPr>
            <w:tcW w:w="992" w:type="dxa"/>
            <w:vAlign w:val="center"/>
          </w:tcPr>
          <w:p w14:paraId="0C558835" w14:textId="649C1276" w:rsidR="00437948" w:rsidRPr="00437948" w:rsidRDefault="00437948" w:rsidP="00437948">
            <w:pPr>
              <w:keepNext/>
              <w:keepLines/>
              <w:spacing w:after="0" w:line="240" w:lineRule="auto"/>
              <w:jc w:val="right"/>
              <w:rPr>
                <w:rFonts w:ascii="Times New Roman" w:eastAsia="Times New Roman" w:hAnsi="Times New Roman" w:cs="Times New Roman"/>
                <w:lang w:eastAsia="hu-HU"/>
              </w:rPr>
            </w:pPr>
            <w:r w:rsidRPr="00437948">
              <w:rPr>
                <w:rFonts w:ascii="Times New Roman" w:hAnsi="Times New Roman" w:cs="Times New Roman"/>
              </w:rPr>
              <w:t>106,7</w:t>
            </w:r>
          </w:p>
        </w:tc>
      </w:tr>
      <w:tr w:rsidR="00437948" w:rsidRPr="00DA3D76" w14:paraId="1D62A574" w14:textId="77777777" w:rsidTr="3D6ED029">
        <w:trPr>
          <w:trHeight w:val="340"/>
          <w:jc w:val="center"/>
        </w:trPr>
        <w:tc>
          <w:tcPr>
            <w:tcW w:w="1469" w:type="dxa"/>
            <w:noWrap/>
            <w:vAlign w:val="center"/>
            <w:hideMark/>
          </w:tcPr>
          <w:p w14:paraId="504DBF8F" w14:textId="77777777" w:rsidR="00437948" w:rsidRPr="00DA3D76" w:rsidRDefault="00437948" w:rsidP="00437948">
            <w:pPr>
              <w:keepNext/>
              <w:keepLines/>
              <w:spacing w:after="0" w:line="240" w:lineRule="auto"/>
              <w:jc w:val="both"/>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Kiutalás</w:t>
            </w:r>
          </w:p>
        </w:tc>
        <w:tc>
          <w:tcPr>
            <w:tcW w:w="1645" w:type="dxa"/>
            <w:noWrap/>
            <w:vAlign w:val="center"/>
          </w:tcPr>
          <w:p w14:paraId="51BAB7C0" w14:textId="28C6DBEE" w:rsidR="00437948" w:rsidRPr="00437948" w:rsidRDefault="00437948" w:rsidP="00437948">
            <w:pPr>
              <w:keepNext/>
              <w:keepLines/>
              <w:spacing w:after="0" w:line="240" w:lineRule="auto"/>
              <w:jc w:val="right"/>
              <w:rPr>
                <w:rFonts w:ascii="Times New Roman" w:eastAsia="Times New Roman" w:hAnsi="Times New Roman" w:cs="Times New Roman"/>
                <w:lang w:eastAsia="hu-HU"/>
              </w:rPr>
            </w:pPr>
            <w:r w:rsidRPr="00437948">
              <w:rPr>
                <w:rFonts w:ascii="Times New Roman" w:hAnsi="Times New Roman" w:cs="Times New Roman"/>
              </w:rPr>
              <w:t>144,1</w:t>
            </w:r>
          </w:p>
        </w:tc>
        <w:tc>
          <w:tcPr>
            <w:tcW w:w="1701" w:type="dxa"/>
            <w:noWrap/>
            <w:vAlign w:val="center"/>
          </w:tcPr>
          <w:p w14:paraId="032822AF" w14:textId="6A5EC0A7" w:rsidR="00437948" w:rsidRPr="00437948" w:rsidRDefault="00437948" w:rsidP="00437948">
            <w:pPr>
              <w:keepNext/>
              <w:keepLines/>
              <w:spacing w:after="0" w:line="240" w:lineRule="auto"/>
              <w:jc w:val="right"/>
              <w:rPr>
                <w:rFonts w:ascii="Times New Roman" w:eastAsia="Times New Roman" w:hAnsi="Times New Roman" w:cs="Times New Roman"/>
                <w:lang w:eastAsia="hu-HU"/>
              </w:rPr>
            </w:pPr>
            <w:r w:rsidRPr="00437948">
              <w:rPr>
                <w:rFonts w:ascii="Times New Roman" w:hAnsi="Times New Roman" w:cs="Times New Roman"/>
              </w:rPr>
              <w:t>180,</w:t>
            </w:r>
            <w:r w:rsidR="00604706">
              <w:rPr>
                <w:rFonts w:ascii="Times New Roman" w:hAnsi="Times New Roman" w:cs="Times New Roman"/>
              </w:rPr>
              <w:t>7</w:t>
            </w:r>
          </w:p>
        </w:tc>
        <w:tc>
          <w:tcPr>
            <w:tcW w:w="992" w:type="dxa"/>
            <w:noWrap/>
            <w:vAlign w:val="center"/>
          </w:tcPr>
          <w:p w14:paraId="35C75690" w14:textId="627B4FF3" w:rsidR="00437948" w:rsidRPr="00437948" w:rsidRDefault="00437948" w:rsidP="00437948">
            <w:pPr>
              <w:keepNext/>
              <w:keepLines/>
              <w:spacing w:after="0" w:line="240" w:lineRule="auto"/>
              <w:jc w:val="right"/>
              <w:rPr>
                <w:rFonts w:ascii="Times New Roman" w:eastAsia="Times New Roman" w:hAnsi="Times New Roman" w:cs="Times New Roman"/>
                <w:lang w:eastAsia="hu-HU"/>
              </w:rPr>
            </w:pPr>
            <w:r w:rsidRPr="00437948">
              <w:rPr>
                <w:rFonts w:ascii="Times New Roman" w:hAnsi="Times New Roman" w:cs="Times New Roman"/>
              </w:rPr>
              <w:t>36,</w:t>
            </w:r>
            <w:r w:rsidR="00604706">
              <w:rPr>
                <w:rFonts w:ascii="Times New Roman" w:hAnsi="Times New Roman" w:cs="Times New Roman"/>
              </w:rPr>
              <w:t>6</w:t>
            </w:r>
          </w:p>
        </w:tc>
        <w:tc>
          <w:tcPr>
            <w:tcW w:w="992" w:type="dxa"/>
            <w:vAlign w:val="center"/>
          </w:tcPr>
          <w:p w14:paraId="3B5094A1" w14:textId="1907ED83" w:rsidR="00437948" w:rsidRPr="00437948" w:rsidRDefault="00437948" w:rsidP="00437948">
            <w:pPr>
              <w:keepNext/>
              <w:keepLines/>
              <w:spacing w:after="0" w:line="240" w:lineRule="auto"/>
              <w:jc w:val="right"/>
              <w:rPr>
                <w:rFonts w:ascii="Times New Roman" w:eastAsia="Times New Roman" w:hAnsi="Times New Roman" w:cs="Times New Roman"/>
                <w:lang w:eastAsia="hu-HU"/>
              </w:rPr>
            </w:pPr>
            <w:r w:rsidRPr="00437948">
              <w:rPr>
                <w:rFonts w:ascii="Times New Roman" w:hAnsi="Times New Roman" w:cs="Times New Roman"/>
              </w:rPr>
              <w:t>125,</w:t>
            </w:r>
            <w:r w:rsidR="00604706">
              <w:rPr>
                <w:rFonts w:ascii="Times New Roman" w:hAnsi="Times New Roman" w:cs="Times New Roman"/>
              </w:rPr>
              <w:t>4</w:t>
            </w:r>
          </w:p>
        </w:tc>
      </w:tr>
      <w:tr w:rsidR="00437948" w:rsidRPr="00DA3D76" w14:paraId="69696543" w14:textId="77777777" w:rsidTr="3D6ED029">
        <w:trPr>
          <w:trHeight w:val="340"/>
          <w:jc w:val="center"/>
        </w:trPr>
        <w:tc>
          <w:tcPr>
            <w:tcW w:w="1469" w:type="dxa"/>
            <w:noWrap/>
            <w:vAlign w:val="center"/>
            <w:hideMark/>
          </w:tcPr>
          <w:p w14:paraId="6C72191F" w14:textId="77777777" w:rsidR="00437948" w:rsidRPr="00DA3D76" w:rsidRDefault="00437948" w:rsidP="00437948">
            <w:pPr>
              <w:widowControl w:val="0"/>
              <w:spacing w:after="0" w:line="240" w:lineRule="auto"/>
              <w:jc w:val="both"/>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Egyenleg</w:t>
            </w:r>
          </w:p>
        </w:tc>
        <w:tc>
          <w:tcPr>
            <w:tcW w:w="1645" w:type="dxa"/>
            <w:noWrap/>
            <w:vAlign w:val="center"/>
          </w:tcPr>
          <w:p w14:paraId="703AAD20" w14:textId="03F9242C" w:rsidR="00437948" w:rsidRPr="00437948" w:rsidRDefault="00437948" w:rsidP="00437948">
            <w:pPr>
              <w:widowControl w:val="0"/>
              <w:spacing w:after="0" w:line="240" w:lineRule="auto"/>
              <w:jc w:val="right"/>
              <w:rPr>
                <w:rFonts w:ascii="Times New Roman" w:eastAsia="Times New Roman" w:hAnsi="Times New Roman" w:cs="Times New Roman"/>
                <w:b/>
                <w:bCs/>
                <w:lang w:eastAsia="hu-HU"/>
              </w:rPr>
            </w:pPr>
            <w:r w:rsidRPr="00437948">
              <w:rPr>
                <w:rFonts w:ascii="Times New Roman" w:hAnsi="Times New Roman" w:cs="Times New Roman"/>
                <w:b/>
                <w:bCs/>
              </w:rPr>
              <w:t>2052,5</w:t>
            </w:r>
          </w:p>
        </w:tc>
        <w:tc>
          <w:tcPr>
            <w:tcW w:w="1701" w:type="dxa"/>
            <w:noWrap/>
            <w:vAlign w:val="center"/>
          </w:tcPr>
          <w:p w14:paraId="16109000" w14:textId="373D9182" w:rsidR="00437948" w:rsidRPr="00437948" w:rsidRDefault="00437948" w:rsidP="00437948">
            <w:pPr>
              <w:widowControl w:val="0"/>
              <w:spacing w:after="0" w:line="240" w:lineRule="auto"/>
              <w:jc w:val="right"/>
              <w:rPr>
                <w:rFonts w:ascii="Times New Roman" w:eastAsia="Times New Roman" w:hAnsi="Times New Roman" w:cs="Times New Roman"/>
                <w:b/>
                <w:bCs/>
                <w:lang w:eastAsia="hu-HU"/>
              </w:rPr>
            </w:pPr>
            <w:r w:rsidRPr="00437948">
              <w:rPr>
                <w:rFonts w:ascii="Times New Roman" w:hAnsi="Times New Roman" w:cs="Times New Roman"/>
                <w:b/>
                <w:bCs/>
              </w:rPr>
              <w:t>2163,5</w:t>
            </w:r>
          </w:p>
        </w:tc>
        <w:tc>
          <w:tcPr>
            <w:tcW w:w="992" w:type="dxa"/>
            <w:noWrap/>
            <w:vAlign w:val="center"/>
          </w:tcPr>
          <w:p w14:paraId="14710EB8" w14:textId="164B9F9C" w:rsidR="00437948" w:rsidRPr="00437948" w:rsidRDefault="00437948" w:rsidP="00437948">
            <w:pPr>
              <w:widowControl w:val="0"/>
              <w:spacing w:after="0" w:line="240" w:lineRule="auto"/>
              <w:jc w:val="right"/>
              <w:rPr>
                <w:rFonts w:ascii="Times New Roman" w:eastAsia="Times New Roman" w:hAnsi="Times New Roman" w:cs="Times New Roman"/>
                <w:b/>
                <w:bCs/>
                <w:lang w:eastAsia="hu-HU"/>
              </w:rPr>
            </w:pPr>
            <w:r w:rsidRPr="00437948">
              <w:rPr>
                <w:rFonts w:ascii="Times New Roman" w:hAnsi="Times New Roman" w:cs="Times New Roman"/>
                <w:b/>
                <w:bCs/>
              </w:rPr>
              <w:t>111,0</w:t>
            </w:r>
          </w:p>
        </w:tc>
        <w:tc>
          <w:tcPr>
            <w:tcW w:w="992" w:type="dxa"/>
            <w:vAlign w:val="center"/>
          </w:tcPr>
          <w:p w14:paraId="504E5D98" w14:textId="49479136" w:rsidR="00437948" w:rsidRPr="00437948" w:rsidRDefault="00437948" w:rsidP="00437948">
            <w:pPr>
              <w:widowControl w:val="0"/>
              <w:spacing w:after="0" w:line="240" w:lineRule="auto"/>
              <w:jc w:val="right"/>
              <w:rPr>
                <w:rFonts w:ascii="Times New Roman" w:eastAsia="Times New Roman" w:hAnsi="Times New Roman" w:cs="Times New Roman"/>
                <w:b/>
                <w:bCs/>
                <w:lang w:eastAsia="hu-HU"/>
              </w:rPr>
            </w:pPr>
            <w:r w:rsidRPr="00437948">
              <w:rPr>
                <w:rFonts w:ascii="Times New Roman" w:hAnsi="Times New Roman" w:cs="Times New Roman"/>
                <w:b/>
                <w:bCs/>
              </w:rPr>
              <w:t>105,4</w:t>
            </w:r>
          </w:p>
        </w:tc>
      </w:tr>
    </w:tbl>
    <w:p w14:paraId="54234F12" w14:textId="5CA31C2B" w:rsidR="123EFD2F" w:rsidRPr="00381A54" w:rsidRDefault="3D6ED029" w:rsidP="3D6ED029">
      <w:pPr>
        <w:spacing w:before="240"/>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Központi Maradványelszámolási Alapba</w:t>
      </w:r>
      <w:r w:rsidRPr="3D6ED029">
        <w:rPr>
          <w:rFonts w:ascii="Times New Roman" w:eastAsia="Times New Roman" w:hAnsi="Times New Roman" w:cs="Times New Roman"/>
          <w:sz w:val="26"/>
          <w:szCs w:val="26"/>
        </w:rPr>
        <w:t xml:space="preserve"> </w:t>
      </w:r>
      <w:r w:rsidRPr="3D6ED029">
        <w:rPr>
          <w:rFonts w:ascii="Times New Roman" w:eastAsia="Times New Roman" w:hAnsi="Times New Roman" w:cs="Times New Roman"/>
          <w:b/>
          <w:bCs/>
          <w:sz w:val="26"/>
          <w:szCs w:val="26"/>
        </w:rPr>
        <w:t>történő befizetések</w:t>
      </w:r>
      <w:r w:rsidRPr="3D6ED029">
        <w:rPr>
          <w:rFonts w:ascii="Times New Roman" w:eastAsia="Times New Roman" w:hAnsi="Times New Roman" w:cs="Times New Roman"/>
          <w:sz w:val="26"/>
          <w:szCs w:val="26"/>
        </w:rPr>
        <w:t xml:space="preserve"> mérlegsorra az év első öt hónapjában 470,2 milliárd forint maradvány került befizetésre, szemben az előző év azonos időszakában befolyt 288,5 milliárd forintos összeggel.</w:t>
      </w:r>
    </w:p>
    <w:p w14:paraId="25C427CE" w14:textId="5F128071" w:rsidR="029C2633" w:rsidRPr="00381A54" w:rsidRDefault="3D6ED029" w:rsidP="3D6ED029">
      <w:pPr>
        <w:jc w:val="both"/>
        <w:rPr>
          <w:rFonts w:ascii="Times New Roman" w:eastAsia="Times New Roman" w:hAnsi="Times New Roman" w:cs="Times New Roman"/>
          <w:b/>
          <w:bCs/>
          <w:sz w:val="26"/>
          <w:szCs w:val="26"/>
        </w:rPr>
      </w:pPr>
      <w:r w:rsidRPr="0073668C">
        <w:rPr>
          <w:rFonts w:ascii="Times New Roman" w:eastAsia="Times New Roman" w:hAnsi="Times New Roman" w:cs="Times New Roman"/>
          <w:sz w:val="26"/>
          <w:szCs w:val="26"/>
        </w:rPr>
        <w:t xml:space="preserve">Az </w:t>
      </w:r>
      <w:r w:rsidRPr="0073668C">
        <w:rPr>
          <w:rFonts w:ascii="Times New Roman" w:eastAsia="Times New Roman" w:hAnsi="Times New Roman" w:cs="Times New Roman"/>
          <w:b/>
          <w:bCs/>
          <w:sz w:val="26"/>
          <w:szCs w:val="26"/>
        </w:rPr>
        <w:t xml:space="preserve">állami vagyonnal kapcsolatos befizetések </w:t>
      </w:r>
      <w:r w:rsidRPr="0073668C">
        <w:rPr>
          <w:rFonts w:ascii="Times New Roman" w:eastAsia="Times New Roman" w:hAnsi="Times New Roman" w:cs="Times New Roman"/>
          <w:sz w:val="26"/>
          <w:szCs w:val="26"/>
        </w:rPr>
        <w:t>májusi összege 102,5 milliárd forint, amelynek meghatározó tétele a kvótaértékesítéssel kapcsolatos bevétel volt.</w:t>
      </w:r>
      <w:r w:rsidRPr="3D6ED029">
        <w:rPr>
          <w:rFonts w:ascii="Times New Roman" w:eastAsia="Times New Roman" w:hAnsi="Times New Roman" w:cs="Times New Roman"/>
          <w:b/>
          <w:bCs/>
          <w:sz w:val="26"/>
          <w:szCs w:val="26"/>
        </w:rPr>
        <w:t xml:space="preserve"> </w:t>
      </w:r>
    </w:p>
    <w:p w14:paraId="0D0F2783" w14:textId="55497528" w:rsidR="009D55B4" w:rsidRPr="00377D59" w:rsidRDefault="0037176D" w:rsidP="009D55B4">
      <w:pPr>
        <w:jc w:val="center"/>
        <w:rPr>
          <w:rFonts w:ascii="Times New Roman" w:eastAsia="Times New Roman" w:hAnsi="Times New Roman" w:cs="Times New Roman"/>
          <w:sz w:val="26"/>
          <w:szCs w:val="26"/>
        </w:rPr>
      </w:pPr>
      <w:r w:rsidRPr="0037176D">
        <w:rPr>
          <w:rFonts w:ascii="Times New Roman" w:eastAsia="Times New Roman" w:hAnsi="Times New Roman" w:cs="Times New Roman"/>
          <w:noProof/>
          <w:sz w:val="26"/>
          <w:szCs w:val="26"/>
        </w:rPr>
        <w:drawing>
          <wp:inline distT="0" distB="0" distL="0" distR="0" wp14:anchorId="7E20535F" wp14:editId="4FAD3B72">
            <wp:extent cx="5863925" cy="3503980"/>
            <wp:effectExtent l="0" t="0" r="3810" b="1270"/>
            <wp:docPr id="15629906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90655" name=""/>
                    <pic:cNvPicPr/>
                  </pic:nvPicPr>
                  <pic:blipFill>
                    <a:blip r:embed="rId16"/>
                    <a:stretch>
                      <a:fillRect/>
                    </a:stretch>
                  </pic:blipFill>
                  <pic:spPr>
                    <a:xfrm>
                      <a:off x="0" y="0"/>
                      <a:ext cx="5922723" cy="3539115"/>
                    </a:xfrm>
                    <a:prstGeom prst="rect">
                      <a:avLst/>
                    </a:prstGeom>
                  </pic:spPr>
                </pic:pic>
              </a:graphicData>
            </a:graphic>
          </wp:inline>
        </w:drawing>
      </w:r>
    </w:p>
    <w:p w14:paraId="23623F4E" w14:textId="439A3B8F" w:rsidR="5B67C7D7" w:rsidRPr="00920F4D" w:rsidRDefault="3D6ED029" w:rsidP="00A41745">
      <w:pPr>
        <w:spacing w:before="160"/>
        <w:jc w:val="both"/>
        <w:rPr>
          <w:rFonts w:ascii="Times New Roman" w:eastAsia="Times New Roman" w:hAnsi="Times New Roman" w:cs="Times New Roman"/>
          <w:sz w:val="26"/>
          <w:szCs w:val="26"/>
        </w:rPr>
      </w:pPr>
      <w:r w:rsidRPr="00604706">
        <w:rPr>
          <w:rFonts w:ascii="Times New Roman" w:eastAsia="Times New Roman" w:hAnsi="Times New Roman" w:cs="Times New Roman"/>
          <w:sz w:val="26"/>
          <w:szCs w:val="26"/>
        </w:rPr>
        <w:t xml:space="preserve">A költségvetés XLV. </w:t>
      </w:r>
      <w:r w:rsidRPr="00604706">
        <w:rPr>
          <w:rFonts w:ascii="Times New Roman" w:eastAsia="Times New Roman" w:hAnsi="Times New Roman" w:cs="Times New Roman"/>
          <w:b/>
          <w:bCs/>
          <w:sz w:val="26"/>
          <w:szCs w:val="26"/>
        </w:rPr>
        <w:t>Állami beruházások</w:t>
      </w:r>
      <w:r w:rsidRPr="00604706">
        <w:rPr>
          <w:rFonts w:ascii="Times New Roman" w:eastAsia="Times New Roman" w:hAnsi="Times New Roman" w:cs="Times New Roman"/>
          <w:sz w:val="26"/>
          <w:szCs w:val="26"/>
        </w:rPr>
        <w:t xml:space="preserve"> fejezetének bevételei 2026. május végéig 79,3 milliárd forintot tettek ki.</w:t>
      </w:r>
    </w:p>
    <w:p w14:paraId="1A94A750" w14:textId="7BEB1E0B" w:rsidR="00D32B0C" w:rsidRPr="00377D59" w:rsidRDefault="3D6ED029" w:rsidP="00A41745">
      <w:pPr>
        <w:spacing w:before="160"/>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Az uniós bevételek főszabály szerint a XLII. A költségvetés közvetlen bevételei és kiadásai fejezetbe érkeznek, ezek kimutatására szolgál az </w:t>
      </w:r>
      <w:r w:rsidRPr="3D6ED029">
        <w:rPr>
          <w:rFonts w:ascii="Times New Roman" w:eastAsia="Times New Roman" w:hAnsi="Times New Roman" w:cs="Times New Roman"/>
          <w:b/>
          <w:bCs/>
          <w:sz w:val="26"/>
          <w:szCs w:val="26"/>
        </w:rPr>
        <w:t>Uniós programok bevételei</w:t>
      </w:r>
      <w:r w:rsidRPr="3D6ED029">
        <w:rPr>
          <w:rFonts w:ascii="Times New Roman" w:eastAsia="Times New Roman" w:hAnsi="Times New Roman" w:cs="Times New Roman"/>
          <w:sz w:val="26"/>
          <w:szCs w:val="26"/>
        </w:rPr>
        <w:t xml:space="preserve">, az </w:t>
      </w:r>
      <w:r w:rsidRPr="3D6ED029">
        <w:rPr>
          <w:rFonts w:ascii="Times New Roman" w:eastAsia="Times New Roman" w:hAnsi="Times New Roman" w:cs="Times New Roman"/>
          <w:b/>
          <w:bCs/>
          <w:sz w:val="26"/>
          <w:szCs w:val="26"/>
        </w:rPr>
        <w:t>Egyéb uniós bevételek</w:t>
      </w:r>
      <w:r w:rsidRPr="3D6ED029">
        <w:rPr>
          <w:rFonts w:ascii="Times New Roman" w:eastAsia="Times New Roman" w:hAnsi="Times New Roman" w:cs="Times New Roman"/>
          <w:sz w:val="26"/>
          <w:szCs w:val="26"/>
        </w:rPr>
        <w:t xml:space="preserve">, valamint az </w:t>
      </w:r>
      <w:r w:rsidRPr="3D6ED029">
        <w:rPr>
          <w:rFonts w:ascii="Times New Roman" w:eastAsia="Times New Roman" w:hAnsi="Times New Roman" w:cs="Times New Roman"/>
          <w:b/>
          <w:bCs/>
          <w:sz w:val="26"/>
          <w:szCs w:val="26"/>
        </w:rPr>
        <w:t>Uniós támogatások utólagos megtérülése</w:t>
      </w:r>
      <w:r w:rsidRPr="3D6ED029">
        <w:rPr>
          <w:rFonts w:ascii="Times New Roman" w:eastAsia="Times New Roman" w:hAnsi="Times New Roman" w:cs="Times New Roman"/>
          <w:sz w:val="26"/>
          <w:szCs w:val="26"/>
        </w:rPr>
        <w:t xml:space="preserve"> mérlegsor.</w:t>
      </w:r>
    </w:p>
    <w:p w14:paraId="11F30D81" w14:textId="6025013C" w:rsidR="333BE5E1" w:rsidRPr="005D4EFF" w:rsidRDefault="3D6ED029" w:rsidP="00A41745">
      <w:pPr>
        <w:spacing w:before="160"/>
        <w:jc w:val="both"/>
        <w:rPr>
          <w:rFonts w:ascii="Times New Roman" w:eastAsia="Times New Roman" w:hAnsi="Times New Roman" w:cs="Times New Roman"/>
          <w:sz w:val="26"/>
          <w:szCs w:val="26"/>
        </w:rPr>
      </w:pPr>
      <w:r w:rsidRPr="005D4EFF">
        <w:rPr>
          <w:rFonts w:ascii="Times New Roman" w:eastAsia="Times New Roman" w:hAnsi="Times New Roman" w:cs="Times New Roman"/>
          <w:sz w:val="26"/>
          <w:szCs w:val="26"/>
        </w:rPr>
        <w:t xml:space="preserve">Az </w:t>
      </w:r>
      <w:r w:rsidRPr="005D4EFF">
        <w:rPr>
          <w:rFonts w:ascii="Times New Roman" w:eastAsia="Times New Roman" w:hAnsi="Times New Roman" w:cs="Times New Roman"/>
          <w:b/>
          <w:bCs/>
          <w:sz w:val="26"/>
          <w:szCs w:val="26"/>
        </w:rPr>
        <w:t>Uniós programok bevételei</w:t>
      </w:r>
      <w:r w:rsidRPr="005D4EFF">
        <w:rPr>
          <w:rFonts w:ascii="Times New Roman" w:eastAsia="Times New Roman" w:hAnsi="Times New Roman" w:cs="Times New Roman"/>
          <w:sz w:val="26"/>
          <w:szCs w:val="26"/>
        </w:rPr>
        <w:t xml:space="preserve"> mérlegsoron 2026. </w:t>
      </w:r>
      <w:r w:rsidR="00604706" w:rsidRPr="005D4EFF">
        <w:rPr>
          <w:rFonts w:ascii="Times New Roman" w:eastAsia="Times New Roman" w:hAnsi="Times New Roman" w:cs="Times New Roman"/>
          <w:sz w:val="26"/>
          <w:szCs w:val="26"/>
        </w:rPr>
        <w:t>máju</w:t>
      </w:r>
      <w:r w:rsidRPr="005D4EFF">
        <w:rPr>
          <w:rFonts w:ascii="Times New Roman" w:eastAsia="Times New Roman" w:hAnsi="Times New Roman" w:cs="Times New Roman"/>
          <w:sz w:val="26"/>
          <w:szCs w:val="26"/>
        </w:rPr>
        <w:t xml:space="preserve">s végéig </w:t>
      </w:r>
      <w:r w:rsidR="00604706" w:rsidRPr="005D4EFF">
        <w:rPr>
          <w:rFonts w:ascii="Times New Roman" w:eastAsia="Times New Roman" w:hAnsi="Times New Roman" w:cs="Times New Roman"/>
          <w:sz w:val="26"/>
          <w:szCs w:val="26"/>
        </w:rPr>
        <w:t>523,9</w:t>
      </w:r>
      <w:r w:rsidRPr="005D4EFF">
        <w:rPr>
          <w:rFonts w:ascii="Times New Roman" w:eastAsia="Times New Roman" w:hAnsi="Times New Roman" w:cs="Times New Roman"/>
          <w:sz w:val="26"/>
          <w:szCs w:val="26"/>
        </w:rPr>
        <w:t xml:space="preserve"> milliárd forint bevétel keletkezett. Ez az összeg a törvényi előirányzat (1894,0 milliárd forint) 2</w:t>
      </w:r>
      <w:r w:rsidR="00604706" w:rsidRPr="005D4EFF">
        <w:rPr>
          <w:rFonts w:ascii="Times New Roman" w:eastAsia="Times New Roman" w:hAnsi="Times New Roman" w:cs="Times New Roman"/>
          <w:sz w:val="26"/>
          <w:szCs w:val="26"/>
        </w:rPr>
        <w:t>7,7</w:t>
      </w:r>
      <w:r w:rsidRPr="005D4EFF">
        <w:rPr>
          <w:rFonts w:ascii="Times New Roman" w:eastAsia="Times New Roman" w:hAnsi="Times New Roman" w:cs="Times New Roman"/>
          <w:sz w:val="26"/>
          <w:szCs w:val="26"/>
        </w:rPr>
        <w:t xml:space="preserve">%-át </w:t>
      </w:r>
      <w:r w:rsidRPr="005D4EFF">
        <w:rPr>
          <w:rFonts w:ascii="Times New Roman" w:eastAsia="Times New Roman" w:hAnsi="Times New Roman" w:cs="Times New Roman"/>
          <w:sz w:val="26"/>
          <w:szCs w:val="26"/>
        </w:rPr>
        <w:lastRenderedPageBreak/>
        <w:t>teszi ki. A teljesült bevételből 4</w:t>
      </w:r>
      <w:r w:rsidR="00604706" w:rsidRPr="005D4EFF">
        <w:rPr>
          <w:rFonts w:ascii="Times New Roman" w:eastAsia="Times New Roman" w:hAnsi="Times New Roman" w:cs="Times New Roman"/>
          <w:sz w:val="26"/>
          <w:szCs w:val="26"/>
        </w:rPr>
        <w:t>80,5</w:t>
      </w:r>
      <w:r w:rsidRPr="005D4EFF">
        <w:rPr>
          <w:rFonts w:ascii="Times New Roman" w:eastAsia="Times New Roman" w:hAnsi="Times New Roman" w:cs="Times New Roman"/>
          <w:sz w:val="26"/>
          <w:szCs w:val="26"/>
        </w:rPr>
        <w:t xml:space="preserve"> milliárd forint az uniós, </w:t>
      </w:r>
      <w:r w:rsidR="00604706" w:rsidRPr="005D4EFF">
        <w:rPr>
          <w:rFonts w:ascii="Times New Roman" w:eastAsia="Times New Roman" w:hAnsi="Times New Roman" w:cs="Times New Roman"/>
          <w:sz w:val="26"/>
          <w:szCs w:val="26"/>
        </w:rPr>
        <w:t>30,2</w:t>
      </w:r>
      <w:r w:rsidRPr="005D4EFF">
        <w:rPr>
          <w:rFonts w:ascii="Times New Roman" w:eastAsia="Times New Roman" w:hAnsi="Times New Roman" w:cs="Times New Roman"/>
          <w:sz w:val="26"/>
          <w:szCs w:val="26"/>
        </w:rPr>
        <w:t> milliárd forint az egyéb bevételekhez, illetve 13,</w:t>
      </w:r>
      <w:r w:rsidR="00604706" w:rsidRPr="005D4EFF">
        <w:rPr>
          <w:rFonts w:ascii="Times New Roman" w:eastAsia="Times New Roman" w:hAnsi="Times New Roman" w:cs="Times New Roman"/>
          <w:sz w:val="26"/>
          <w:szCs w:val="26"/>
        </w:rPr>
        <w:t>2</w:t>
      </w:r>
      <w:r w:rsidRPr="005D4EFF">
        <w:rPr>
          <w:rFonts w:ascii="Times New Roman" w:eastAsia="Times New Roman" w:hAnsi="Times New Roman" w:cs="Times New Roman"/>
          <w:sz w:val="26"/>
          <w:szCs w:val="26"/>
        </w:rPr>
        <w:t> milliárd forint az uniós támogatások utólagos megtérüléséhez tartozik.</w:t>
      </w:r>
    </w:p>
    <w:p w14:paraId="040E2327" w14:textId="227D3C5A" w:rsidR="74B9DF17" w:rsidRPr="00FE12D5" w:rsidRDefault="3D6ED029" w:rsidP="00A41745">
      <w:pPr>
        <w:spacing w:before="160"/>
        <w:jc w:val="both"/>
        <w:rPr>
          <w:rFonts w:ascii="Times New Roman" w:hAnsi="Times New Roman" w:cs="Times New Roman"/>
        </w:rPr>
      </w:pPr>
      <w:r w:rsidRPr="005D4EFF">
        <w:rPr>
          <w:rFonts w:ascii="Times New Roman" w:eastAsia="Times New Roman" w:hAnsi="Times New Roman" w:cs="Times New Roman"/>
          <w:sz w:val="26"/>
          <w:szCs w:val="26"/>
        </w:rPr>
        <w:t xml:space="preserve">A </w:t>
      </w:r>
      <w:r w:rsidRPr="005D4EFF">
        <w:rPr>
          <w:rFonts w:ascii="Times New Roman" w:eastAsia="Times New Roman" w:hAnsi="Times New Roman" w:cs="Times New Roman"/>
          <w:b/>
          <w:bCs/>
          <w:sz w:val="26"/>
          <w:szCs w:val="26"/>
        </w:rPr>
        <w:t xml:space="preserve">vámbeszedési költség megtérítése </w:t>
      </w:r>
      <w:r w:rsidRPr="005D4EFF">
        <w:rPr>
          <w:rFonts w:ascii="Times New Roman" w:eastAsia="Times New Roman" w:hAnsi="Times New Roman" w:cs="Times New Roman"/>
          <w:sz w:val="26"/>
          <w:szCs w:val="26"/>
        </w:rPr>
        <w:t xml:space="preserve">mérlegsoron </w:t>
      </w:r>
      <w:r w:rsidR="005D4EFF" w:rsidRPr="005D4EFF">
        <w:rPr>
          <w:rFonts w:ascii="Times New Roman" w:eastAsia="Times New Roman" w:hAnsi="Times New Roman" w:cs="Times New Roman"/>
          <w:sz w:val="26"/>
          <w:szCs w:val="26"/>
        </w:rPr>
        <w:t>20,5</w:t>
      </w:r>
      <w:r w:rsidRPr="005D4EFF">
        <w:rPr>
          <w:rFonts w:ascii="Times New Roman" w:eastAsia="Times New Roman" w:hAnsi="Times New Roman" w:cs="Times New Roman"/>
          <w:sz w:val="26"/>
          <w:szCs w:val="26"/>
        </w:rPr>
        <w:t xml:space="preserve"> milliárd forint bevétel jelentkezett 2026. </w:t>
      </w:r>
      <w:r w:rsidR="005D4EFF" w:rsidRPr="005D4EFF">
        <w:rPr>
          <w:rFonts w:ascii="Times New Roman" w:eastAsia="Times New Roman" w:hAnsi="Times New Roman" w:cs="Times New Roman"/>
          <w:sz w:val="26"/>
          <w:szCs w:val="26"/>
        </w:rPr>
        <w:t>máju</w:t>
      </w:r>
      <w:r w:rsidRPr="005D4EFF">
        <w:rPr>
          <w:rFonts w:ascii="Times New Roman" w:eastAsia="Times New Roman" w:hAnsi="Times New Roman" w:cs="Times New Roman"/>
          <w:sz w:val="26"/>
          <w:szCs w:val="26"/>
        </w:rPr>
        <w:t xml:space="preserve">s végéig. Ez az összeg a törvényi előirányzat </w:t>
      </w:r>
      <w:r w:rsidR="005D4EFF" w:rsidRPr="005D4EFF">
        <w:rPr>
          <w:rFonts w:ascii="Times New Roman" w:eastAsia="Times New Roman" w:hAnsi="Times New Roman" w:cs="Times New Roman"/>
          <w:sz w:val="26"/>
          <w:szCs w:val="26"/>
        </w:rPr>
        <w:t>59,2</w:t>
      </w:r>
      <w:r w:rsidRPr="005D4EFF">
        <w:rPr>
          <w:rFonts w:ascii="Times New Roman" w:eastAsia="Times New Roman" w:hAnsi="Times New Roman" w:cs="Times New Roman"/>
          <w:sz w:val="26"/>
          <w:szCs w:val="26"/>
        </w:rPr>
        <w:t xml:space="preserve">%-a, és </w:t>
      </w:r>
      <w:r w:rsidR="005D4EFF" w:rsidRPr="005D4EFF">
        <w:rPr>
          <w:rFonts w:ascii="Times New Roman" w:eastAsia="Times New Roman" w:hAnsi="Times New Roman" w:cs="Times New Roman"/>
          <w:sz w:val="26"/>
          <w:szCs w:val="26"/>
        </w:rPr>
        <w:t>6</w:t>
      </w:r>
      <w:r w:rsidRPr="005D4EFF">
        <w:rPr>
          <w:rFonts w:ascii="Times New Roman" w:eastAsia="Times New Roman" w:hAnsi="Times New Roman" w:cs="Times New Roman"/>
          <w:sz w:val="26"/>
          <w:szCs w:val="26"/>
        </w:rPr>
        <w:t>,6 milliárd forinttal haladja meg a 2025. év azonos időszakában keletkezett bevételt.</w:t>
      </w:r>
    </w:p>
    <w:p w14:paraId="1659D92E" w14:textId="270E685E" w:rsidR="00437948" w:rsidRPr="00437948" w:rsidRDefault="00437948" w:rsidP="00A41745">
      <w:pPr>
        <w:spacing w:before="160"/>
        <w:jc w:val="both"/>
        <w:rPr>
          <w:rFonts w:ascii="Times New Roman" w:eastAsia="Calibri" w:hAnsi="Times New Roman" w:cs="Times New Roman"/>
          <w:sz w:val="26"/>
          <w:szCs w:val="26"/>
          <w:lang w:eastAsia="hu-HU"/>
        </w:rPr>
      </w:pPr>
      <w:r w:rsidRPr="00437948">
        <w:rPr>
          <w:rFonts w:ascii="Times New Roman" w:eastAsia="Calibri" w:hAnsi="Times New Roman" w:cs="Times New Roman"/>
          <w:sz w:val="26"/>
          <w:szCs w:val="26"/>
          <w:lang w:eastAsia="hu-HU"/>
        </w:rPr>
        <w:t xml:space="preserve">A befizetett társadalombiztosítási járulék 8,1%-át az állami adóhatóság a foglalkoztatási programokkal kapcsolatos elkülönített állami pénzalapnak utalja át. 2026 első öt hónapjában a </w:t>
      </w:r>
      <w:r w:rsidRPr="00437948">
        <w:rPr>
          <w:rFonts w:ascii="Times New Roman" w:eastAsia="Calibri" w:hAnsi="Times New Roman" w:cs="Times New Roman"/>
          <w:b/>
          <w:bCs/>
          <w:sz w:val="26"/>
          <w:szCs w:val="26"/>
          <w:lang w:eastAsia="hu-HU"/>
        </w:rPr>
        <w:t xml:space="preserve">társadalombiztosítási járulék </w:t>
      </w:r>
      <w:r w:rsidRPr="00437948">
        <w:rPr>
          <w:rFonts w:ascii="Times New Roman" w:eastAsia="Times New Roman" w:hAnsi="Times New Roman" w:cs="Times New Roman"/>
          <w:b/>
          <w:bCs/>
          <w:sz w:val="26"/>
          <w:szCs w:val="26"/>
          <w:lang w:eastAsia="hu-HU"/>
        </w:rPr>
        <w:t xml:space="preserve">Nemzeti Foglalkoztatási </w:t>
      </w:r>
      <w:r w:rsidRPr="00437948">
        <w:rPr>
          <w:rFonts w:ascii="Times New Roman" w:eastAsia="Calibri" w:hAnsi="Times New Roman" w:cs="Times New Roman"/>
          <w:b/>
          <w:bCs/>
          <w:sz w:val="26"/>
          <w:szCs w:val="26"/>
          <w:lang w:eastAsia="hu-HU"/>
        </w:rPr>
        <w:t xml:space="preserve">Alapot megillető része </w:t>
      </w:r>
      <w:r w:rsidRPr="00437948">
        <w:rPr>
          <w:rFonts w:ascii="Times New Roman" w:eastAsia="Calibri" w:hAnsi="Times New Roman" w:cs="Times New Roman"/>
          <w:bCs/>
          <w:sz w:val="26"/>
          <w:szCs w:val="26"/>
          <w:lang w:eastAsia="hu-HU"/>
        </w:rPr>
        <w:t>199,7</w:t>
      </w:r>
      <w:r w:rsidRPr="00437948">
        <w:rPr>
          <w:rFonts w:ascii="Times New Roman" w:eastAsia="Calibri" w:hAnsi="Times New Roman" w:cs="Times New Roman"/>
          <w:sz w:val="26"/>
          <w:szCs w:val="26"/>
          <w:lang w:eastAsia="hu-HU"/>
        </w:rPr>
        <w:t> milliárd</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forintban teljesült, amely az előző év azonos időszakában befolyt bevételt 19,9</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 xml:space="preserve">forinttal haladta meg. </w:t>
      </w:r>
      <w:bookmarkStart w:id="2" w:name="_Hlk224054089"/>
      <w:r w:rsidRPr="00437948">
        <w:rPr>
          <w:rFonts w:ascii="Times New Roman" w:eastAsia="Calibri" w:hAnsi="Times New Roman" w:cs="Times New Roman"/>
          <w:sz w:val="26"/>
          <w:szCs w:val="26"/>
          <w:lang w:eastAsia="hu-HU"/>
        </w:rPr>
        <w:t>A bevételnövekedés oka a járulékköteles bértömeg növekedésének, a családi kedvezmények kiterjesztésének és az egyszeri kifizetésekhez kapcsolódó befizetéseknek az együttes hatása.</w:t>
      </w:r>
    </w:p>
    <w:bookmarkEnd w:id="2"/>
    <w:p w14:paraId="0FED8970" w14:textId="275A0BFD" w:rsidR="00437948" w:rsidRPr="00437948" w:rsidRDefault="00437948" w:rsidP="00A41745">
      <w:pPr>
        <w:spacing w:before="160"/>
        <w:jc w:val="both"/>
        <w:rPr>
          <w:rFonts w:ascii="Times New Roman" w:eastAsia="Times New Roman" w:hAnsi="Times New Roman" w:cs="Times New Roman"/>
          <w:sz w:val="26"/>
          <w:szCs w:val="26"/>
          <w:lang w:eastAsia="hu-HU"/>
        </w:rPr>
      </w:pPr>
      <w:r w:rsidRPr="00437948">
        <w:rPr>
          <w:rFonts w:ascii="Times New Roman" w:eastAsia="Times New Roman" w:hAnsi="Times New Roman" w:cs="Times New Roman"/>
          <w:sz w:val="26"/>
          <w:szCs w:val="26"/>
          <w:lang w:eastAsia="hu-HU"/>
        </w:rPr>
        <w:t>2026-ban a szociális hozzájárulási adó megfizetett összegének 82,81%-a a</w:t>
      </w:r>
      <w:r w:rsidR="0073668C">
        <w:rPr>
          <w:rFonts w:ascii="Times New Roman" w:eastAsia="Times New Roman" w:hAnsi="Times New Roman" w:cs="Times New Roman"/>
          <w:sz w:val="26"/>
          <w:szCs w:val="26"/>
          <w:lang w:eastAsia="hu-HU"/>
        </w:rPr>
        <w:t> </w:t>
      </w:r>
      <w:r w:rsidRPr="00437948">
        <w:rPr>
          <w:rFonts w:ascii="Times New Roman" w:eastAsia="Times New Roman" w:hAnsi="Times New Roman" w:cs="Times New Roman"/>
          <w:sz w:val="26"/>
          <w:szCs w:val="26"/>
          <w:lang w:eastAsia="hu-HU"/>
        </w:rPr>
        <w:t xml:space="preserve">Nyugdíjbiztosítási Alapot illeti meg. A </w:t>
      </w:r>
      <w:r w:rsidRPr="00437948">
        <w:rPr>
          <w:rFonts w:ascii="Times New Roman" w:eastAsia="Times New Roman" w:hAnsi="Times New Roman" w:cs="Times New Roman"/>
          <w:b/>
          <w:bCs/>
          <w:sz w:val="26"/>
          <w:szCs w:val="26"/>
          <w:lang w:eastAsia="hu-HU"/>
        </w:rPr>
        <w:t xml:space="preserve">szociális hozzájárulási adó Nyugdíjbiztosítási Alapot megillető része </w:t>
      </w:r>
      <w:r w:rsidRPr="00437948">
        <w:rPr>
          <w:rFonts w:ascii="Times New Roman" w:eastAsia="Times New Roman" w:hAnsi="Times New Roman" w:cs="Times New Roman"/>
          <w:bCs/>
          <w:sz w:val="26"/>
          <w:szCs w:val="26"/>
          <w:lang w:eastAsia="hu-HU"/>
        </w:rPr>
        <w:t>2026 első öt hónapjában 1337,1</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6"/>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6"/>
          <w:lang w:eastAsia="hu-HU"/>
        </w:rPr>
        <w:t>forintban teljesült, amely 118,4</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6"/>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6"/>
          <w:lang w:eastAsia="hu-HU"/>
        </w:rPr>
        <w:t>forinttal haladta meg az előző év</w:t>
      </w:r>
      <w:r w:rsidRPr="00437948">
        <w:rPr>
          <w:rFonts w:ascii="Times New Roman" w:eastAsia="Calibri" w:hAnsi="Times New Roman" w:cs="Times New Roman"/>
          <w:sz w:val="26"/>
          <w:szCs w:val="26"/>
          <w:lang w:eastAsia="hu-HU"/>
        </w:rPr>
        <w:t xml:space="preserve"> azonos időszakában </w:t>
      </w:r>
      <w:r w:rsidRPr="00437948">
        <w:rPr>
          <w:rFonts w:ascii="Times New Roman" w:eastAsia="Times New Roman" w:hAnsi="Times New Roman" w:cs="Times New Roman"/>
          <w:sz w:val="26"/>
          <w:szCs w:val="26"/>
          <w:lang w:eastAsia="hu-HU"/>
        </w:rPr>
        <w:t xml:space="preserve">befolyt bevételt. </w:t>
      </w:r>
      <w:bookmarkStart w:id="3" w:name="_Hlk224054676"/>
      <w:r w:rsidRPr="00437948">
        <w:rPr>
          <w:rFonts w:ascii="Times New Roman" w:eastAsia="Times New Roman" w:hAnsi="Times New Roman" w:cs="Times New Roman"/>
          <w:sz w:val="26"/>
          <w:szCs w:val="26"/>
          <w:lang w:eastAsia="hu-HU"/>
        </w:rPr>
        <w:t>A</w:t>
      </w:r>
      <w:r w:rsidR="005D4EFF">
        <w:rPr>
          <w:rFonts w:ascii="Times New Roman" w:eastAsia="Times New Roman" w:hAnsi="Times New Roman" w:cs="Times New Roman"/>
          <w:sz w:val="26"/>
          <w:szCs w:val="26"/>
          <w:lang w:eastAsia="hu-HU"/>
        </w:rPr>
        <w:t> </w:t>
      </w:r>
      <w:r w:rsidRPr="00437948">
        <w:rPr>
          <w:rFonts w:ascii="Times New Roman" w:eastAsia="Times New Roman" w:hAnsi="Times New Roman" w:cs="Times New Roman"/>
          <w:sz w:val="26"/>
          <w:szCs w:val="26"/>
          <w:lang w:eastAsia="hu-HU"/>
        </w:rPr>
        <w:t>bevétel változása az adóköteles jövedelmek növekedésével és az alapok közötti megoszlási arány változásával</w:t>
      </w:r>
      <w:r w:rsidRPr="00437948">
        <w:rPr>
          <w:rFonts w:ascii="Times New Roman" w:eastAsia="Times New Roman" w:hAnsi="Times New Roman" w:cs="Times New Roman"/>
          <w:color w:val="000000"/>
          <w:sz w:val="26"/>
          <w:szCs w:val="20"/>
          <w:lang w:eastAsia="hu-HU"/>
        </w:rPr>
        <w:t xml:space="preserve"> magyarázható, valamint az egyszeri kifizetésekhez kapcsolódó befizetésekkel.</w:t>
      </w:r>
      <w:bookmarkEnd w:id="3"/>
    </w:p>
    <w:p w14:paraId="075300FF" w14:textId="1F64B791" w:rsidR="00437948" w:rsidRDefault="00437948" w:rsidP="00A41745">
      <w:pPr>
        <w:spacing w:before="160"/>
        <w:jc w:val="both"/>
        <w:rPr>
          <w:rFonts w:ascii="Times New Roman" w:eastAsia="Calibri" w:hAnsi="Times New Roman" w:cs="Times New Roman"/>
          <w:sz w:val="26"/>
          <w:szCs w:val="26"/>
          <w:lang w:eastAsia="hu-HU"/>
        </w:rPr>
      </w:pPr>
      <w:r w:rsidRPr="00437948">
        <w:rPr>
          <w:rFonts w:ascii="Times New Roman" w:eastAsia="Times New Roman" w:hAnsi="Times New Roman" w:cs="Times New Roman"/>
          <w:sz w:val="26"/>
          <w:szCs w:val="26"/>
          <w:lang w:eastAsia="hu-HU"/>
        </w:rPr>
        <w:t xml:space="preserve">A befizetett társadalombiztosítási járulék 54%-át az állami adóhatóság a Nyugdíjbiztosítási Alapnak utalja át. 2026 első öt hónapjában a </w:t>
      </w:r>
      <w:r w:rsidRPr="00437948">
        <w:rPr>
          <w:rFonts w:ascii="Times New Roman" w:eastAsia="Times New Roman" w:hAnsi="Times New Roman" w:cs="Times New Roman"/>
          <w:b/>
          <w:bCs/>
          <w:sz w:val="26"/>
          <w:szCs w:val="26"/>
          <w:lang w:eastAsia="hu-HU"/>
        </w:rPr>
        <w:t>társadalombiztosítási járulék Nyugdíjbiztosítási Alapot megillető része és nyugdíjjárulék</w:t>
      </w:r>
      <w:r w:rsidRPr="00437948">
        <w:rPr>
          <w:rFonts w:ascii="Times New Roman" w:eastAsia="Times New Roman" w:hAnsi="Times New Roman" w:cs="Times New Roman"/>
          <w:sz w:val="26"/>
          <w:szCs w:val="26"/>
          <w:lang w:eastAsia="hu-HU"/>
        </w:rPr>
        <w:t xml:space="preserve"> 1358,9</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6"/>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6"/>
          <w:lang w:eastAsia="hu-HU"/>
        </w:rPr>
        <w:t xml:space="preserve">forintban teljesült, amely az előző </w:t>
      </w:r>
      <w:r w:rsidRPr="00437948">
        <w:rPr>
          <w:rFonts w:ascii="Times New Roman" w:eastAsia="Calibri" w:hAnsi="Times New Roman" w:cs="Times New Roman"/>
          <w:sz w:val="26"/>
          <w:szCs w:val="26"/>
          <w:lang w:eastAsia="hu-HU"/>
        </w:rPr>
        <w:t>év azonos időszakában</w:t>
      </w:r>
      <w:r w:rsidRPr="00437948">
        <w:rPr>
          <w:rFonts w:ascii="Times New Roman" w:eastAsia="Times New Roman" w:hAnsi="Times New Roman" w:cs="Times New Roman"/>
          <w:sz w:val="26"/>
          <w:szCs w:val="26"/>
          <w:lang w:eastAsia="hu-HU"/>
        </w:rPr>
        <w:t xml:space="preserve"> befolyt bevételt 134,2</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6"/>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Times New Roman" w:hAnsi="Times New Roman" w:cs="Times New Roman"/>
          <w:sz w:val="26"/>
          <w:szCs w:val="26"/>
          <w:lang w:eastAsia="hu-HU"/>
        </w:rPr>
        <w:t xml:space="preserve">forinttal haladta meg. </w:t>
      </w:r>
      <w:r w:rsidRPr="00437948">
        <w:rPr>
          <w:rFonts w:ascii="Times New Roman" w:eastAsia="Calibri" w:hAnsi="Times New Roman" w:cs="Times New Roman"/>
          <w:sz w:val="26"/>
          <w:szCs w:val="26"/>
          <w:lang w:eastAsia="hu-HU"/>
        </w:rPr>
        <w:t>A bevételnövekedés oka a járulékköteles bértömeg növekedésének, a családi kedvezmények kiterjesztésének és az egyszeri kifizetésekhez kapcsolódó befizetéseknek az együttes hatása.</w:t>
      </w:r>
    </w:p>
    <w:p w14:paraId="0858CB79" w14:textId="2B0C061B" w:rsidR="00A76FE3" w:rsidRDefault="3D6ED029" w:rsidP="00A41745">
      <w:pPr>
        <w:spacing w:before="160"/>
        <w:jc w:val="both"/>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Nyugdíjbiztosítási Alap</w:t>
      </w:r>
      <w:r w:rsidRPr="3D6ED029">
        <w:rPr>
          <w:rFonts w:ascii="Times New Roman" w:eastAsia="Times New Roman" w:hAnsi="Times New Roman" w:cs="Times New Roman"/>
          <w:sz w:val="26"/>
          <w:szCs w:val="26"/>
        </w:rPr>
        <w:t xml:space="preserve"> 2026. évi költségvetése az ellátási kiadások támogatására 626,0 milliárd forint </w:t>
      </w:r>
      <w:r w:rsidRPr="3D6ED029">
        <w:rPr>
          <w:rFonts w:ascii="Times New Roman" w:eastAsia="Times New Roman" w:hAnsi="Times New Roman" w:cs="Times New Roman"/>
          <w:b/>
          <w:bCs/>
          <w:sz w:val="26"/>
          <w:szCs w:val="26"/>
        </w:rPr>
        <w:t>központi költségvetési hozzájárulást</w:t>
      </w:r>
      <w:r w:rsidRPr="3D6ED029">
        <w:rPr>
          <w:rFonts w:ascii="Times New Roman" w:eastAsia="Times New Roman" w:hAnsi="Times New Roman" w:cs="Times New Roman"/>
          <w:sz w:val="26"/>
          <w:szCs w:val="26"/>
        </w:rPr>
        <w:t xml:space="preserve"> tartalmaz, ami 61,5 milliárd forinttal magasabb az előző évi előirányzat összegénél.</w:t>
      </w:r>
    </w:p>
    <w:p w14:paraId="6AC8A7EE" w14:textId="0BFE7AFB" w:rsidR="00A76FE3" w:rsidRDefault="3D6ED029" w:rsidP="00A41745">
      <w:pPr>
        <w:spacing w:before="160"/>
        <w:jc w:val="both"/>
      </w:pPr>
      <w:r w:rsidRPr="3D6ED029">
        <w:rPr>
          <w:rFonts w:ascii="Times New Roman" w:eastAsia="Times New Roman" w:hAnsi="Times New Roman" w:cs="Times New Roman"/>
          <w:sz w:val="26"/>
          <w:szCs w:val="26"/>
        </w:rPr>
        <w:t>A költségvetési hozzájárulás előirányzataiból 70 milliárd forintot pénzeszközátadás útján biztosít az alap részére, és 556 milliárd forintot – a 13. havi nyugdíj, illetve a nyugdíjprémium fedezeteként – címzett támogatás formájában. A 13. havi nyugdíj és</w:t>
      </w:r>
      <w:r w:rsidR="006D524E">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a nyugdíjprémium támogatásának előirányzatai év közben előirányzat-módosítás nélkül túlléphetők. A 14. havi egyheti nyugdíjnak a tárgyévben nincs címzett támogatása, a</w:t>
      </w:r>
      <w:r w:rsidR="0073668C">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kiadások fedezetét az érintett előirányzatok automatikus túlteljesíthetősége biztosítja.</w:t>
      </w:r>
    </w:p>
    <w:p w14:paraId="6BF2F156" w14:textId="092BC118" w:rsidR="00A76FE3" w:rsidRDefault="3D6ED029" w:rsidP="00A41745">
      <w:pPr>
        <w:spacing w:before="160"/>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Nyugdíjbiztosítási Alap</w:t>
      </w:r>
      <w:r w:rsidRPr="3D6ED029">
        <w:rPr>
          <w:rFonts w:ascii="Times New Roman" w:eastAsia="Times New Roman" w:hAnsi="Times New Roman" w:cs="Times New Roman"/>
          <w:sz w:val="26"/>
          <w:szCs w:val="26"/>
        </w:rPr>
        <w:t xml:space="preserve"> részére 2026. május végéig a Magyar Államkincstár a költségvetési törvény előirányzatainak figyelembevételével jóváhagyásra benyújtott éves előirányzat-felhasználási terv ütemezésének megfelelően 29,2 milliárd forint </w:t>
      </w:r>
      <w:r w:rsidRPr="3D6ED029">
        <w:rPr>
          <w:rFonts w:ascii="Times New Roman" w:eastAsia="Times New Roman" w:hAnsi="Times New Roman" w:cs="Times New Roman"/>
          <w:b/>
          <w:bCs/>
          <w:sz w:val="26"/>
          <w:szCs w:val="26"/>
        </w:rPr>
        <w:t>központi támogatást</w:t>
      </w:r>
      <w:r w:rsidRPr="3D6ED029">
        <w:rPr>
          <w:rFonts w:ascii="Times New Roman" w:eastAsia="Times New Roman" w:hAnsi="Times New Roman" w:cs="Times New Roman"/>
          <w:sz w:val="26"/>
          <w:szCs w:val="26"/>
        </w:rPr>
        <w:t xml:space="preserve"> utalt át pénzeszközátadás jogcímen, ami az előző év azonos időszakában </w:t>
      </w:r>
      <w:r w:rsidRPr="3D6ED029">
        <w:rPr>
          <w:rFonts w:ascii="Times New Roman" w:eastAsia="Times New Roman" w:hAnsi="Times New Roman" w:cs="Times New Roman"/>
          <w:sz w:val="26"/>
          <w:szCs w:val="26"/>
        </w:rPr>
        <w:lastRenderedPageBreak/>
        <w:t>folyósított havi támogatás összegénél 3,1 milliárd forinttal kevesebb. A pénzeszközátadás az alap költségvetési egyensúlyának biztosítását szolgálja.</w:t>
      </w:r>
    </w:p>
    <w:p w14:paraId="62A2D78D" w14:textId="7D99D8C4" w:rsidR="560FAF85" w:rsidRDefault="3D6ED029" w:rsidP="00A41745">
      <w:pPr>
        <w:spacing w:before="160"/>
        <w:jc w:val="both"/>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13. havi nyugdíj kifizetésének</w:t>
      </w:r>
      <w:r w:rsidRPr="3D6ED029">
        <w:rPr>
          <w:rFonts w:ascii="Times New Roman" w:eastAsia="Times New Roman" w:hAnsi="Times New Roman" w:cs="Times New Roman"/>
          <w:sz w:val="26"/>
          <w:szCs w:val="26"/>
        </w:rPr>
        <w:t xml:space="preserve"> támogatására február hónapban 531,7 milliárd forint került átutalásra a Nyugdíjbiztosítási Alap részére, ami 44,6 milliárd forinttal haladja meg az előző év azonos időszakában ugyanezen a jogcímen nyújtott támogatás összegét.</w:t>
      </w:r>
    </w:p>
    <w:p w14:paraId="1E5039D7" w14:textId="41C8363F" w:rsidR="475F3A1A" w:rsidRDefault="00C600EF" w:rsidP="005861AE">
      <w:pPr>
        <w:jc w:val="center"/>
        <w:rPr>
          <w:rFonts w:ascii="Times New Roman" w:eastAsia="Times New Roman" w:hAnsi="Times New Roman" w:cs="Times New Roman"/>
          <w:sz w:val="26"/>
          <w:szCs w:val="26"/>
        </w:rPr>
      </w:pPr>
      <w:r w:rsidRPr="00C600EF">
        <w:rPr>
          <w:rFonts w:ascii="Times New Roman" w:eastAsia="Times New Roman" w:hAnsi="Times New Roman" w:cs="Times New Roman"/>
          <w:noProof/>
          <w:sz w:val="26"/>
          <w:szCs w:val="26"/>
        </w:rPr>
        <w:drawing>
          <wp:inline distT="0" distB="0" distL="0" distR="0" wp14:anchorId="38D5EEB9" wp14:editId="7EAF3ED0">
            <wp:extent cx="5959575" cy="2421255"/>
            <wp:effectExtent l="0" t="0" r="3175" b="0"/>
            <wp:docPr id="135333176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31768" name=""/>
                    <pic:cNvPicPr/>
                  </pic:nvPicPr>
                  <pic:blipFill>
                    <a:blip r:embed="rId17"/>
                    <a:stretch>
                      <a:fillRect/>
                    </a:stretch>
                  </pic:blipFill>
                  <pic:spPr>
                    <a:xfrm>
                      <a:off x="0" y="0"/>
                      <a:ext cx="6043808" cy="2455477"/>
                    </a:xfrm>
                    <a:prstGeom prst="rect">
                      <a:avLst/>
                    </a:prstGeom>
                  </pic:spPr>
                </pic:pic>
              </a:graphicData>
            </a:graphic>
          </wp:inline>
        </w:drawing>
      </w:r>
    </w:p>
    <w:p w14:paraId="1EF8CF91" w14:textId="67868FBA" w:rsidR="00437948" w:rsidRPr="00437948" w:rsidRDefault="00437948" w:rsidP="00A41745">
      <w:pPr>
        <w:spacing w:before="160"/>
        <w:jc w:val="both"/>
        <w:rPr>
          <w:rFonts w:ascii="Times New Roman" w:eastAsia="Calibri" w:hAnsi="Times New Roman" w:cs="Times New Roman"/>
          <w:sz w:val="26"/>
          <w:szCs w:val="26"/>
          <w:lang w:eastAsia="hu-HU"/>
        </w:rPr>
      </w:pPr>
      <w:r w:rsidRPr="00437948">
        <w:rPr>
          <w:rFonts w:ascii="Times New Roman" w:eastAsia="Calibri" w:hAnsi="Times New Roman" w:cs="Times New Roman"/>
          <w:sz w:val="26"/>
          <w:szCs w:val="26"/>
          <w:lang w:eastAsia="hu-HU"/>
        </w:rPr>
        <w:t>2026-ban a szociális hozzájárulási adó megfizetett összegének 17,19%-a az</w:t>
      </w:r>
      <w:r w:rsidR="0073668C">
        <w:rPr>
          <w:rFonts w:ascii="Times New Roman" w:eastAsia="Calibri" w:hAnsi="Times New Roman" w:cs="Times New Roman"/>
          <w:sz w:val="26"/>
          <w:szCs w:val="26"/>
          <w:lang w:eastAsia="hu-HU"/>
        </w:rPr>
        <w:t> </w:t>
      </w:r>
      <w:r w:rsidRPr="00437948">
        <w:rPr>
          <w:rFonts w:ascii="Times New Roman" w:eastAsia="Calibri" w:hAnsi="Times New Roman" w:cs="Times New Roman"/>
          <w:sz w:val="26"/>
          <w:szCs w:val="26"/>
          <w:lang w:eastAsia="hu-HU"/>
        </w:rPr>
        <w:t xml:space="preserve">Egészségbiztosítási Alapot illeti meg. 2026 első öt hónapjában a </w:t>
      </w:r>
      <w:r w:rsidRPr="00437948">
        <w:rPr>
          <w:rFonts w:ascii="Times New Roman" w:eastAsia="Calibri" w:hAnsi="Times New Roman" w:cs="Times New Roman"/>
          <w:b/>
          <w:bCs/>
          <w:sz w:val="26"/>
          <w:szCs w:val="26"/>
          <w:lang w:eastAsia="hu-HU"/>
        </w:rPr>
        <w:t>szociális hozzájárulási adó Egészségbiztosítási Alapot megillető része</w:t>
      </w:r>
      <w:r w:rsidRPr="00437948">
        <w:rPr>
          <w:rFonts w:ascii="Times New Roman" w:eastAsia="Calibri" w:hAnsi="Times New Roman" w:cs="Times New Roman"/>
          <w:sz w:val="26"/>
          <w:szCs w:val="26"/>
          <w:lang w:eastAsia="hu-HU"/>
        </w:rPr>
        <w:t xml:space="preserve"> 277,6</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forintban teljesült, amely 94,9</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 xml:space="preserve">forinttal </w:t>
      </w:r>
      <w:r w:rsidRPr="00437948">
        <w:rPr>
          <w:rFonts w:ascii="Times New Roman" w:eastAsia="Times New Roman" w:hAnsi="Times New Roman" w:cs="Times New Roman"/>
          <w:sz w:val="26"/>
          <w:szCs w:val="26"/>
          <w:lang w:eastAsia="hu-HU"/>
        </w:rPr>
        <w:t xml:space="preserve">haladta meg az előző </w:t>
      </w:r>
      <w:r w:rsidRPr="00437948">
        <w:rPr>
          <w:rFonts w:ascii="Times New Roman" w:eastAsia="Calibri" w:hAnsi="Times New Roman" w:cs="Times New Roman"/>
          <w:sz w:val="26"/>
          <w:szCs w:val="26"/>
          <w:lang w:eastAsia="hu-HU"/>
        </w:rPr>
        <w:t>év azonos időszakában</w:t>
      </w:r>
      <w:r w:rsidRPr="00437948">
        <w:rPr>
          <w:rFonts w:ascii="Times New Roman" w:eastAsia="Times New Roman" w:hAnsi="Times New Roman" w:cs="Times New Roman"/>
          <w:sz w:val="26"/>
          <w:szCs w:val="26"/>
          <w:lang w:eastAsia="hu-HU"/>
        </w:rPr>
        <w:t xml:space="preserve"> befolyt bevételt.</w:t>
      </w:r>
      <w:r w:rsidRPr="00437948">
        <w:rPr>
          <w:rFonts w:ascii="Times New Roman" w:eastAsia="Times New Roman" w:hAnsi="Times New Roman" w:cs="Times New Roman"/>
          <w:sz w:val="26"/>
          <w:szCs w:val="20"/>
          <w:lang w:eastAsia="hu-HU"/>
        </w:rPr>
        <w:t xml:space="preserve"> </w:t>
      </w:r>
      <w:r w:rsidRPr="00437948">
        <w:rPr>
          <w:rFonts w:ascii="Times New Roman" w:eastAsia="Calibri" w:hAnsi="Times New Roman" w:cs="Times New Roman"/>
          <w:sz w:val="26"/>
          <w:szCs w:val="26"/>
          <w:lang w:eastAsia="hu-HU"/>
        </w:rPr>
        <w:t>A</w:t>
      </w:r>
      <w:r w:rsidR="002A39E3">
        <w:rPr>
          <w:rFonts w:ascii="Times New Roman" w:eastAsia="Calibri" w:hAnsi="Times New Roman" w:cs="Times New Roman"/>
          <w:sz w:val="26"/>
          <w:szCs w:val="26"/>
          <w:lang w:eastAsia="hu-HU"/>
        </w:rPr>
        <w:t> </w:t>
      </w:r>
      <w:r w:rsidRPr="00437948">
        <w:rPr>
          <w:rFonts w:ascii="Times New Roman" w:eastAsia="Calibri" w:hAnsi="Times New Roman" w:cs="Times New Roman"/>
          <w:sz w:val="26"/>
          <w:szCs w:val="26"/>
          <w:lang w:eastAsia="hu-HU"/>
        </w:rPr>
        <w:t>bevétel változása az adóköteles jövedelmek növekedésével és az alapok közötti megoszlási arány változásával magyarázható, valamint az egyszeri kifizetésekhez kapcsolódó befizetésekkel.</w:t>
      </w:r>
    </w:p>
    <w:p w14:paraId="37B7BDCA" w14:textId="56C7BC1B" w:rsidR="00437948" w:rsidRPr="00437948" w:rsidRDefault="00437948" w:rsidP="00A41745">
      <w:pPr>
        <w:spacing w:before="160"/>
        <w:jc w:val="both"/>
        <w:rPr>
          <w:rFonts w:ascii="Times New Roman" w:eastAsia="Calibri" w:hAnsi="Times New Roman" w:cs="Times New Roman"/>
          <w:b/>
          <w:bCs/>
          <w:sz w:val="26"/>
          <w:szCs w:val="26"/>
          <w:lang w:eastAsia="hu-HU"/>
        </w:rPr>
      </w:pPr>
      <w:r w:rsidRPr="00437948">
        <w:rPr>
          <w:rFonts w:ascii="Times New Roman" w:eastAsia="Calibri" w:hAnsi="Times New Roman" w:cs="Times New Roman"/>
          <w:sz w:val="26"/>
          <w:szCs w:val="26"/>
          <w:lang w:eastAsia="hu-HU"/>
        </w:rPr>
        <w:t>A befizetett társadalombiztosítási járulék 37,9%-át az állami adóhatóság az</w:t>
      </w:r>
      <w:r w:rsidR="0073668C">
        <w:rPr>
          <w:rFonts w:ascii="Times New Roman" w:eastAsia="Calibri" w:hAnsi="Times New Roman" w:cs="Times New Roman"/>
          <w:sz w:val="26"/>
          <w:szCs w:val="26"/>
          <w:lang w:eastAsia="hu-HU"/>
        </w:rPr>
        <w:t> </w:t>
      </w:r>
      <w:r w:rsidRPr="00437948">
        <w:rPr>
          <w:rFonts w:ascii="Times New Roman" w:eastAsia="Calibri" w:hAnsi="Times New Roman" w:cs="Times New Roman"/>
          <w:sz w:val="26"/>
          <w:szCs w:val="26"/>
          <w:lang w:eastAsia="hu-HU"/>
        </w:rPr>
        <w:t xml:space="preserve">Egészségbiztosítási Alapnak utalja át. 2026 első öt hónapjában a </w:t>
      </w:r>
      <w:r w:rsidRPr="00437948">
        <w:rPr>
          <w:rFonts w:ascii="Times New Roman" w:eastAsia="Calibri" w:hAnsi="Times New Roman" w:cs="Times New Roman"/>
          <w:b/>
          <w:bCs/>
          <w:sz w:val="26"/>
          <w:szCs w:val="26"/>
          <w:lang w:eastAsia="hu-HU"/>
        </w:rPr>
        <w:t>társadalombiztosítási járulék Egészségbiztosítási Alapot megillető része és egészségbiztosítási járulék</w:t>
      </w:r>
      <w:r w:rsidRPr="00437948">
        <w:rPr>
          <w:rFonts w:ascii="Times New Roman" w:eastAsia="Calibri" w:hAnsi="Times New Roman" w:cs="Times New Roman"/>
          <w:sz w:val="26"/>
          <w:szCs w:val="26"/>
          <w:lang w:eastAsia="hu-HU"/>
        </w:rPr>
        <w:t xml:space="preserve"> 927,9</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milliárd</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 xml:space="preserve">forintban teljesült, </w:t>
      </w:r>
      <w:r w:rsidRPr="00437948">
        <w:rPr>
          <w:rFonts w:ascii="Times New Roman" w:eastAsia="Times New Roman" w:hAnsi="Times New Roman" w:cs="Times New Roman"/>
          <w:sz w:val="26"/>
          <w:szCs w:val="26"/>
          <w:lang w:eastAsia="hu-HU"/>
        </w:rPr>
        <w:t xml:space="preserve">amely az előző </w:t>
      </w:r>
      <w:r w:rsidRPr="00437948">
        <w:rPr>
          <w:rFonts w:ascii="Times New Roman" w:eastAsia="Calibri" w:hAnsi="Times New Roman" w:cs="Times New Roman"/>
          <w:sz w:val="26"/>
          <w:szCs w:val="26"/>
          <w:lang w:eastAsia="hu-HU"/>
        </w:rPr>
        <w:t>év azonos időszakában</w:t>
      </w:r>
      <w:r w:rsidRPr="00437948">
        <w:rPr>
          <w:rFonts w:ascii="Times New Roman" w:eastAsia="Times New Roman" w:hAnsi="Times New Roman" w:cs="Times New Roman"/>
          <w:sz w:val="26"/>
          <w:szCs w:val="26"/>
          <w:lang w:eastAsia="hu-HU"/>
        </w:rPr>
        <w:t xml:space="preserve"> befolyt bevételt</w:t>
      </w:r>
      <w:r w:rsidRPr="00437948">
        <w:rPr>
          <w:rFonts w:ascii="Times New Roman" w:eastAsia="Calibri" w:hAnsi="Times New Roman" w:cs="Times New Roman"/>
          <w:sz w:val="26"/>
          <w:szCs w:val="26"/>
          <w:lang w:eastAsia="hu-HU"/>
        </w:rPr>
        <w:t xml:space="preserve"> 93,0 milliárd</w:t>
      </w:r>
      <w:r w:rsidRPr="00437948">
        <w:rPr>
          <w:rFonts w:ascii="Times New Roman" w:eastAsia="Times New Roman" w:hAnsi="Times New Roman" w:cs="Times New Roman"/>
          <w:sz w:val="26"/>
          <w:szCs w:val="20"/>
          <w:lang w:eastAsia="hu-HU"/>
        </w:rPr>
        <w:t> </w:t>
      </w:r>
      <w:r w:rsidRPr="00437948">
        <w:rPr>
          <w:rFonts w:ascii="Times New Roman" w:eastAsia="Calibri" w:hAnsi="Times New Roman" w:cs="Times New Roman"/>
          <w:sz w:val="26"/>
          <w:szCs w:val="26"/>
          <w:lang w:eastAsia="hu-HU"/>
        </w:rPr>
        <w:t>forinttal haladta meg. A bevételnövekedés oka a járulékköteles bértömeg növekedésének, a családi kedvezmények kiterjesztésének és az egyszeri kifizetésekhez kapcsolódó befizetéseknek az együttes hatása.</w:t>
      </w:r>
    </w:p>
    <w:p w14:paraId="2134EC4F" w14:textId="06D1BFCD" w:rsidR="00215359" w:rsidRDefault="0CCC0FD8" w:rsidP="00A41745">
      <w:pPr>
        <w:spacing w:before="160"/>
        <w:jc w:val="both"/>
        <w:rPr>
          <w:rFonts w:ascii="Times New Roman" w:hAnsi="Times New Roman" w:cs="Times New Roman"/>
          <w:sz w:val="26"/>
          <w:szCs w:val="26"/>
        </w:rPr>
      </w:pPr>
      <w:r w:rsidRPr="0CCC0FD8">
        <w:rPr>
          <w:rFonts w:ascii="Times New Roman" w:hAnsi="Times New Roman" w:cs="Times New Roman"/>
          <w:sz w:val="26"/>
          <w:szCs w:val="26"/>
        </w:rPr>
        <w:t xml:space="preserve">Az </w:t>
      </w:r>
      <w:r w:rsidRPr="0CCC0FD8">
        <w:rPr>
          <w:rFonts w:ascii="Times New Roman" w:hAnsi="Times New Roman" w:cs="Times New Roman"/>
          <w:b/>
          <w:bCs/>
          <w:sz w:val="26"/>
          <w:szCs w:val="26"/>
        </w:rPr>
        <w:t>Egészségbiztosítási Alap költségvetési hozzájárulásai</w:t>
      </w:r>
      <w:r w:rsidRPr="0CCC0FD8">
        <w:rPr>
          <w:rFonts w:ascii="Times New Roman" w:hAnsi="Times New Roman" w:cs="Times New Roman"/>
          <w:sz w:val="26"/>
          <w:szCs w:val="26"/>
        </w:rPr>
        <w:t xml:space="preserve"> 2026 első öt hónapjában összesen 718,1 milliárd forintot tettek ki, amely 69,1 milliárd forinttal alacsonyabb, mint az előző év azonos időszakában átutalt összeg. 2026. május végéig az Egészségbiztosítási Alap járulék címen átvett pénzeszközként 304,3 milliárd forint támogatást kapott, szemben a tavalyi év első öt hónapjában átutalt 288,4 milliárd forinttal. Az alap kiadásainak támogatására szolgáló tervezett pénzeszköz-átvétel és az egészségügyi feladatok ellátásával kapcsolatos hozzájárulás együttes összege 2026. május végéig 413,8 milliárd forintot tett ki, amely 84,9 milliárd forinttal elmarad az előző év ezen időszakában átutalt összegtől.</w:t>
      </w:r>
    </w:p>
    <w:p w14:paraId="71D35CC6" w14:textId="77777777" w:rsidR="009B1114" w:rsidRDefault="009B1114" w:rsidP="00A41745">
      <w:pPr>
        <w:spacing w:before="160"/>
        <w:jc w:val="both"/>
        <w:rPr>
          <w:rFonts w:ascii="Times New Roman" w:hAnsi="Times New Roman" w:cs="Times New Roman"/>
          <w:sz w:val="26"/>
          <w:szCs w:val="26"/>
        </w:rPr>
      </w:pPr>
    </w:p>
    <w:p w14:paraId="51F08DF7" w14:textId="0C661758" w:rsidR="009E34AE" w:rsidRPr="00377D59" w:rsidRDefault="3D6ED029" w:rsidP="3D6ED029">
      <w:pPr>
        <w:keepNext/>
        <w:numPr>
          <w:ilvl w:val="0"/>
          <w:numId w:val="3"/>
        </w:numPr>
        <w:spacing w:after="120" w:line="240" w:lineRule="auto"/>
        <w:jc w:val="both"/>
        <w:outlineLvl w:val="2"/>
        <w:rPr>
          <w:rFonts w:ascii="Times New Roman" w:eastAsia="Times New Roman" w:hAnsi="Times New Roman" w:cs="Times New Roman"/>
          <w:b/>
          <w:bCs/>
          <w:smallCaps/>
          <w:sz w:val="28"/>
          <w:szCs w:val="28"/>
          <w:lang w:eastAsia="hu-HU"/>
        </w:rPr>
      </w:pPr>
      <w:r w:rsidRPr="3D6ED029">
        <w:rPr>
          <w:rFonts w:ascii="Times New Roman" w:eastAsia="Times New Roman" w:hAnsi="Times New Roman" w:cs="Times New Roman"/>
          <w:b/>
          <w:bCs/>
          <w:smallCaps/>
          <w:sz w:val="28"/>
          <w:szCs w:val="28"/>
          <w:lang w:eastAsia="hu-HU"/>
        </w:rPr>
        <w:lastRenderedPageBreak/>
        <w:t>A főbb kiadások</w:t>
      </w:r>
    </w:p>
    <w:p w14:paraId="00842DDA" w14:textId="1E4B0BEF" w:rsidR="00453783" w:rsidRDefault="003C7E5D" w:rsidP="3D6ED029">
      <w:pPr>
        <w:jc w:val="both"/>
        <w:rPr>
          <w:rFonts w:ascii="Times New Roman" w:eastAsia="Times New Roman" w:hAnsi="Times New Roman" w:cs="Times New Roman"/>
          <w:b/>
          <w:bCs/>
          <w:sz w:val="26"/>
          <w:szCs w:val="26"/>
          <w:lang w:eastAsia="hu-HU"/>
        </w:rPr>
      </w:pPr>
      <w:r w:rsidRPr="003C7E5D">
        <w:rPr>
          <w:rFonts w:ascii="Times New Roman" w:eastAsia="Times New Roman" w:hAnsi="Times New Roman" w:cs="Times New Roman"/>
          <w:b/>
          <w:bCs/>
          <w:sz w:val="26"/>
          <w:szCs w:val="26"/>
          <w:lang w:eastAsia="hu-HU"/>
        </w:rPr>
        <w:t>A központi alrendszer május végi 21</w:t>
      </w:r>
      <w:r>
        <w:rPr>
          <w:rFonts w:ascii="Times New Roman" w:eastAsia="Times New Roman" w:hAnsi="Times New Roman" w:cs="Times New Roman"/>
          <w:b/>
          <w:bCs/>
          <w:sz w:val="26"/>
          <w:szCs w:val="26"/>
          <w:lang w:eastAsia="hu-HU"/>
        </w:rPr>
        <w:t> </w:t>
      </w:r>
      <w:r w:rsidRPr="003C7E5D">
        <w:rPr>
          <w:rFonts w:ascii="Times New Roman" w:eastAsia="Times New Roman" w:hAnsi="Times New Roman" w:cs="Times New Roman"/>
          <w:b/>
          <w:bCs/>
          <w:sz w:val="26"/>
          <w:szCs w:val="26"/>
          <w:lang w:eastAsia="hu-HU"/>
        </w:rPr>
        <w:t>010,5 milliárd forint összegű kiadásai 2141,8</w:t>
      </w:r>
      <w:r>
        <w:rPr>
          <w:rFonts w:ascii="Times New Roman" w:eastAsia="Times New Roman" w:hAnsi="Times New Roman" w:cs="Times New Roman"/>
          <w:b/>
          <w:bCs/>
          <w:sz w:val="26"/>
          <w:szCs w:val="26"/>
          <w:lang w:eastAsia="hu-HU"/>
        </w:rPr>
        <w:t> </w:t>
      </w:r>
      <w:r w:rsidRPr="003C7E5D">
        <w:rPr>
          <w:rFonts w:ascii="Times New Roman" w:eastAsia="Times New Roman" w:hAnsi="Times New Roman" w:cs="Times New Roman"/>
          <w:b/>
          <w:bCs/>
          <w:sz w:val="26"/>
          <w:szCs w:val="26"/>
          <w:lang w:eastAsia="hu-HU"/>
        </w:rPr>
        <w:t>milliárd forinttal, 11,4%-kal haladták meg az előző év azonos időszaki adatát.</w:t>
      </w:r>
      <w:r w:rsidR="3D6ED029" w:rsidRPr="3D6ED029">
        <w:rPr>
          <w:rFonts w:ascii="Times New Roman" w:eastAsia="Times New Roman" w:hAnsi="Times New Roman" w:cs="Times New Roman"/>
          <w:b/>
          <w:bCs/>
          <w:sz w:val="26"/>
          <w:szCs w:val="26"/>
          <w:lang w:eastAsia="hu-HU"/>
        </w:rPr>
        <w:t xml:space="preserve"> </w:t>
      </w:r>
    </w:p>
    <w:p w14:paraId="64D6949F" w14:textId="1373FB1E" w:rsidR="00F56392" w:rsidRPr="00F56392" w:rsidRDefault="00F56392" w:rsidP="00F56392">
      <w:pPr>
        <w:jc w:val="both"/>
        <w:rPr>
          <w:rFonts w:ascii="Times New Roman" w:eastAsia="Times New Roman" w:hAnsi="Times New Roman" w:cs="Times New Roman"/>
          <w:b/>
          <w:bCs/>
          <w:sz w:val="26"/>
          <w:szCs w:val="26"/>
          <w:lang w:eastAsia="hu-HU"/>
        </w:rPr>
      </w:pPr>
      <w:r w:rsidRPr="00F56392">
        <w:rPr>
          <w:rFonts w:ascii="Times New Roman" w:eastAsia="Times New Roman" w:hAnsi="Times New Roman" w:cs="Times New Roman"/>
          <w:b/>
          <w:bCs/>
          <w:sz w:val="26"/>
          <w:szCs w:val="26"/>
          <w:lang w:eastAsia="hu-HU"/>
        </w:rPr>
        <w:t>Magasabban teljesültek az egy évvel korábbihoz képest többek között a költségvetési szervek kiadásai, a szakmai fejezeti kezelésű előirányzatok kiadásai, a</w:t>
      </w:r>
      <w:r w:rsidR="00D914AC">
        <w:rPr>
          <w:rFonts w:ascii="Times New Roman" w:eastAsia="Times New Roman" w:hAnsi="Times New Roman" w:cs="Times New Roman"/>
          <w:b/>
          <w:bCs/>
          <w:sz w:val="26"/>
          <w:szCs w:val="26"/>
          <w:lang w:eastAsia="hu-HU"/>
        </w:rPr>
        <w:t> </w:t>
      </w:r>
      <w:r w:rsidRPr="00F56392">
        <w:rPr>
          <w:rFonts w:ascii="Times New Roman" w:eastAsia="Times New Roman" w:hAnsi="Times New Roman" w:cs="Times New Roman"/>
          <w:b/>
          <w:bCs/>
          <w:sz w:val="26"/>
          <w:szCs w:val="26"/>
          <w:lang w:eastAsia="hu-HU"/>
        </w:rPr>
        <w:t>lakástámogatások és az állami beruházási fejezet kiadásai.</w:t>
      </w:r>
    </w:p>
    <w:p w14:paraId="3211F0F3" w14:textId="63E80EBB" w:rsidR="00F56392" w:rsidRPr="00453783" w:rsidRDefault="00F56392" w:rsidP="00F56392">
      <w:pPr>
        <w:jc w:val="both"/>
        <w:rPr>
          <w:rFonts w:ascii="Times New Roman" w:eastAsia="Times New Roman" w:hAnsi="Times New Roman" w:cs="Times New Roman"/>
          <w:b/>
          <w:bCs/>
          <w:sz w:val="26"/>
          <w:szCs w:val="26"/>
          <w:lang w:eastAsia="hu-HU"/>
        </w:rPr>
      </w:pPr>
      <w:r w:rsidRPr="00F56392">
        <w:rPr>
          <w:rFonts w:ascii="Times New Roman" w:eastAsia="Times New Roman" w:hAnsi="Times New Roman" w:cs="Times New Roman"/>
          <w:b/>
          <w:bCs/>
          <w:sz w:val="26"/>
          <w:szCs w:val="26"/>
          <w:lang w:eastAsia="hu-HU"/>
        </w:rPr>
        <w:t>Meghaladták az egy évvel korábbi kifizetést a nyugellátásokra és a gyógyító-megelőző ellátásra fordított összegek is. Nyugellátásokra és nyugdíjszerű ellátásokra 3699,2</w:t>
      </w:r>
      <w:r>
        <w:rPr>
          <w:rFonts w:ascii="Times New Roman" w:eastAsia="Times New Roman" w:hAnsi="Times New Roman" w:cs="Times New Roman"/>
          <w:b/>
          <w:bCs/>
          <w:sz w:val="26"/>
          <w:szCs w:val="26"/>
          <w:lang w:eastAsia="hu-HU"/>
        </w:rPr>
        <w:t> </w:t>
      </w:r>
      <w:r w:rsidRPr="00F56392">
        <w:rPr>
          <w:rFonts w:ascii="Times New Roman" w:eastAsia="Times New Roman" w:hAnsi="Times New Roman" w:cs="Times New Roman"/>
          <w:b/>
          <w:bCs/>
          <w:sz w:val="26"/>
          <w:szCs w:val="26"/>
          <w:lang w:eastAsia="hu-HU"/>
        </w:rPr>
        <w:t>milliárd forint, míg a gyógyító-megelőző ellátásra 1295,0 milliárd forint került kifizetésre május végéig.</w:t>
      </w:r>
    </w:p>
    <w:p w14:paraId="71AFDEF8" w14:textId="4DBDFA94" w:rsidR="00C35E13" w:rsidRDefault="00C600EF" w:rsidP="003415FE">
      <w:pPr>
        <w:pStyle w:val="NormlWeb"/>
        <w:spacing w:after="0" w:afterAutospacing="0"/>
        <w:jc w:val="center"/>
      </w:pPr>
      <w:r w:rsidRPr="00C600EF">
        <w:rPr>
          <w:noProof/>
        </w:rPr>
        <w:drawing>
          <wp:inline distT="0" distB="0" distL="0" distR="0" wp14:anchorId="0C42EDFD" wp14:editId="73491150">
            <wp:extent cx="5794529" cy="2414016"/>
            <wp:effectExtent l="0" t="0" r="0" b="5715"/>
            <wp:docPr id="100710406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04063" name=""/>
                    <pic:cNvPicPr/>
                  </pic:nvPicPr>
                  <pic:blipFill>
                    <a:blip r:embed="rId18"/>
                    <a:stretch>
                      <a:fillRect/>
                    </a:stretch>
                  </pic:blipFill>
                  <pic:spPr>
                    <a:xfrm>
                      <a:off x="0" y="0"/>
                      <a:ext cx="5883563" cy="2451108"/>
                    </a:xfrm>
                    <a:prstGeom prst="rect">
                      <a:avLst/>
                    </a:prstGeom>
                  </pic:spPr>
                </pic:pic>
              </a:graphicData>
            </a:graphic>
          </wp:inline>
        </w:drawing>
      </w:r>
    </w:p>
    <w:p w14:paraId="77CECC4D" w14:textId="6CA3420D" w:rsidR="088CFB6E"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Az </w:t>
      </w:r>
      <w:r w:rsidRPr="3D6ED029">
        <w:rPr>
          <w:rFonts w:ascii="Times New Roman" w:eastAsia="Times New Roman" w:hAnsi="Times New Roman" w:cs="Times New Roman"/>
          <w:b/>
          <w:bCs/>
          <w:sz w:val="26"/>
          <w:szCs w:val="26"/>
        </w:rPr>
        <w:t>úthálózat rendelkezésre állási díjak</w:t>
      </w:r>
      <w:r w:rsidRPr="3D6ED029">
        <w:rPr>
          <w:rFonts w:ascii="Times New Roman" w:eastAsia="Times New Roman" w:hAnsi="Times New Roman" w:cs="Times New Roman"/>
          <w:sz w:val="26"/>
          <w:szCs w:val="26"/>
        </w:rPr>
        <w:t xml:space="preserve"> mérlegsor tartalmazza az M5, M6 autópálya rendelkezésre állási díjak, valamint a gyorsforgalmi úthálózat rendelkezésre állási díj előirányzatok kiadásait, amelynek összege 2026 első öt hónapjában 204,9 milliárd forint volt, ami 34,8 milliárd forinttal magasabb összegben teljesült a 2025. év azonos időszakához képest. Az eltérést alapfolyamatként a gyorsforgalmi úthálózat rendelkezésre állási díjának szerződésből fakadó változása magyarázza, továbbá 2026 májusában megtörtént a 2025. évi kompenzáció elszámolásának nagy része</w:t>
      </w:r>
      <w:r w:rsidR="00782813">
        <w:rPr>
          <w:rFonts w:ascii="Times New Roman" w:eastAsia="Times New Roman" w:hAnsi="Times New Roman" w:cs="Times New Roman"/>
          <w:sz w:val="26"/>
          <w:szCs w:val="26"/>
        </w:rPr>
        <w:t xml:space="preserve"> (43,9 milliárd forint).</w:t>
      </w:r>
    </w:p>
    <w:p w14:paraId="37502A47" w14:textId="01FC7C8A" w:rsidR="4AA7076A"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közösségi közlekedés költségtérítés és támogatás</w:t>
      </w:r>
      <w:r w:rsidRPr="3D6ED029">
        <w:rPr>
          <w:rFonts w:ascii="Times New Roman" w:eastAsia="Times New Roman" w:hAnsi="Times New Roman" w:cs="Times New Roman"/>
          <w:sz w:val="26"/>
          <w:szCs w:val="26"/>
        </w:rPr>
        <w:t xml:space="preserve"> mérlegsor kiadásai 2026. május végéig 404,0 milliárd forintot tettek ki, amelyek magasabb teljesítést mutatnak a</w:t>
      </w:r>
      <w:r w:rsidR="0073668C">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 xml:space="preserve">megelőző év azonos időszakának adataival összevetve. A mérlegsoron belül magasabb összegű kifizetés a vasúti pályahálózat működtetésének költségtérítése és az autóbusszal végzett személyszállítási közszolgáltatások ellentételezése vonatkozásában történt. Ennek oka, hogy az idei évben egyrészt korábban kezdődött meg a közlekedési közszolgáltatások költségtérítéseinek folyósítása, másrészt a 2025. április 1-je előtti autóbuszos közszolgáltatási rendszer finanszírozása alapjaiban eltér az azt felváltó új koncessziós rendszertől. </w:t>
      </w:r>
    </w:p>
    <w:p w14:paraId="79E8C263" w14:textId="1B3DFE91" w:rsidR="1FABBDF6"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közüzemi szolgáltatások támogatása</w:t>
      </w:r>
      <w:r w:rsidRPr="3D6ED029">
        <w:rPr>
          <w:rFonts w:ascii="Times New Roman" w:eastAsia="Times New Roman" w:hAnsi="Times New Roman" w:cs="Times New Roman"/>
          <w:sz w:val="26"/>
          <w:szCs w:val="26"/>
        </w:rPr>
        <w:t xml:space="preserve"> mérlegsor tartalmazza a lakossági energia rezsivédelmi szolgáltatás, a rezsivédelmi készletezési szolgáltatás és a távhőszolgáltatók kompenzációjával kapcsolatos kiadásokat, a Víziközmű-fejlesztési és Ellentételezési Alap </w:t>
      </w:r>
      <w:r w:rsidRPr="3D6ED029">
        <w:rPr>
          <w:rFonts w:ascii="Times New Roman" w:eastAsia="Times New Roman" w:hAnsi="Times New Roman" w:cs="Times New Roman"/>
          <w:sz w:val="26"/>
          <w:szCs w:val="26"/>
        </w:rPr>
        <w:lastRenderedPageBreak/>
        <w:t>kiadásait is, illetve ezen a mérlegsoron jelennek meg a januári rezsitöbblet átvállalásának kiadásai is. A közüzemi szolgáltatások támogatására fordított kiadások 2026. május végéig 582,9 milliárd forintot tettek ki. A mérlegsor jelenlegi teljesítése 0,8</w:t>
      </w:r>
      <w:r w:rsidR="002A39E3">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milliárd forinttal alacsonyabb, mint a 2025. év azonos időszakában a közüzemi szolgáltatások teljesítésére fordított 583,7 milliárd forint, amely a kifizetések eltérő ütemezéséből fakadt.</w:t>
      </w:r>
    </w:p>
    <w:p w14:paraId="79E44A54" w14:textId="658B24DF" w:rsidR="0F03D9E1"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b/>
          <w:bCs/>
          <w:sz w:val="26"/>
          <w:szCs w:val="26"/>
          <w:lang w:eastAsia="hu-HU"/>
        </w:rPr>
        <w:t xml:space="preserve">Lakástámogatásokra </w:t>
      </w:r>
      <w:r w:rsidRPr="3D6ED029">
        <w:rPr>
          <w:rFonts w:ascii="Times New Roman" w:eastAsia="Times New Roman" w:hAnsi="Times New Roman" w:cs="Times New Roman"/>
          <w:sz w:val="26"/>
          <w:szCs w:val="26"/>
        </w:rPr>
        <w:t>fordított kiadások összege május végéig 209,6 milliárd forint volt, mely az előző év azonos időszakához viszonyítva 148,7 milliárd forinttal teljesült magasabban az otthontámogatásokhoz kapcsolódó kifizetések miatt.</w:t>
      </w:r>
    </w:p>
    <w:p w14:paraId="671B8652" w14:textId="0AECDBF2" w:rsidR="1D3ABBAA" w:rsidRDefault="3D6ED029" w:rsidP="1D3ABBAA">
      <w:pPr>
        <w:jc w:val="both"/>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Nemzeti Család- és Szociálpolitikai Alap</w:t>
      </w:r>
      <w:r w:rsidRPr="3D6ED029">
        <w:rPr>
          <w:rFonts w:ascii="Times New Roman" w:eastAsia="Times New Roman" w:hAnsi="Times New Roman" w:cs="Times New Roman"/>
          <w:sz w:val="26"/>
          <w:szCs w:val="26"/>
        </w:rPr>
        <w:t xml:space="preserve"> a családi támogatásokat, a korhatár alatti ellátásokat, a jövedelempótló és jövedelemkiegészítő szociális támogatásokat, valamint a különféle jogcímen adott térítéseket tartalmazza. A főbb támogatásokat a következő táblázat részletezi:</w:t>
      </w:r>
    </w:p>
    <w:p w14:paraId="46398944" w14:textId="2D482933" w:rsidR="00621840" w:rsidRDefault="3D6ED029" w:rsidP="3D6ED029">
      <w:pPr>
        <w:spacing w:after="240"/>
        <w:jc w:val="center"/>
        <w:rPr>
          <w:rFonts w:ascii="Times New Roman" w:hAnsi="Times New Roman" w:cs="Times New Roman"/>
          <w:b/>
          <w:bCs/>
          <w:color w:val="000000" w:themeColor="text1"/>
        </w:rPr>
      </w:pPr>
      <w:r w:rsidRPr="3D6ED029">
        <w:rPr>
          <w:rFonts w:ascii="Times New Roman" w:hAnsi="Times New Roman" w:cs="Times New Roman"/>
          <w:b/>
          <w:bCs/>
          <w:color w:val="000000" w:themeColor="text1"/>
        </w:rPr>
        <w:t>A Nemzeti Család- és Szociálpolitikai Alap kiadásainak alakulása (milliárd forint)</w:t>
      </w:r>
    </w:p>
    <w:tbl>
      <w:tblPr>
        <w:tblW w:w="9238" w:type="dxa"/>
        <w:tblInd w:w="-5" w:type="dxa"/>
        <w:tblCellMar>
          <w:left w:w="70" w:type="dxa"/>
          <w:right w:w="70" w:type="dxa"/>
        </w:tblCellMar>
        <w:tblLook w:val="04A0" w:firstRow="1" w:lastRow="0" w:firstColumn="1" w:lastColumn="0" w:noHBand="0" w:noVBand="1"/>
      </w:tblPr>
      <w:tblGrid>
        <w:gridCol w:w="5640"/>
        <w:gridCol w:w="1024"/>
        <w:gridCol w:w="991"/>
        <w:gridCol w:w="850"/>
        <w:gridCol w:w="733"/>
      </w:tblGrid>
      <w:tr w:rsidR="002E70D5" w:rsidRPr="002E70D5" w14:paraId="39BECF1A" w14:textId="77777777" w:rsidTr="3D6ED029">
        <w:trPr>
          <w:trHeight w:val="280"/>
        </w:trPr>
        <w:tc>
          <w:tcPr>
            <w:tcW w:w="564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CB091D6" w14:textId="77777777" w:rsidR="002E70D5" w:rsidRPr="002E70D5" w:rsidRDefault="3D6ED029" w:rsidP="3D6ED029">
            <w:pPr>
              <w:spacing w:after="0"/>
              <w:jc w:val="center"/>
              <w:rPr>
                <w:rFonts w:ascii="Times New Roman" w:hAnsi="Times New Roman" w:cs="Times New Roman"/>
                <w:b/>
                <w:bCs/>
                <w:color w:val="000000" w:themeColor="text1"/>
              </w:rPr>
            </w:pPr>
            <w:r w:rsidRPr="3D6ED029">
              <w:rPr>
                <w:rFonts w:ascii="Times New Roman" w:hAnsi="Times New Roman" w:cs="Times New Roman"/>
                <w:b/>
                <w:bCs/>
                <w:color w:val="000000" w:themeColor="text1"/>
              </w:rPr>
              <w:t>Megnevezés</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018B19" w14:textId="69784843" w:rsidR="002E70D5" w:rsidRPr="00BF0B23" w:rsidRDefault="3D6ED029" w:rsidP="1D3ABBAA">
            <w:pPr>
              <w:spacing w:after="0"/>
              <w:jc w:val="center"/>
            </w:pPr>
            <w:r w:rsidRPr="3D6ED029">
              <w:rPr>
                <w:rFonts w:ascii="Times New Roman" w:eastAsia="Times New Roman" w:hAnsi="Times New Roman" w:cs="Times New Roman"/>
                <w:b/>
                <w:bCs/>
              </w:rPr>
              <w:t xml:space="preserve">2025. </w:t>
            </w:r>
          </w:p>
          <w:p w14:paraId="3CD792E3" w14:textId="3EE5892D" w:rsidR="002E70D5" w:rsidRPr="00BF0B23" w:rsidRDefault="3D6ED029" w:rsidP="3D6ED029">
            <w:pPr>
              <w:spacing w:after="0"/>
              <w:jc w:val="center"/>
              <w:rPr>
                <w:rFonts w:ascii="Times New Roman" w:hAnsi="Times New Roman" w:cs="Times New Roman"/>
                <w:b/>
                <w:bCs/>
                <w:color w:val="000000" w:themeColor="text1"/>
              </w:rPr>
            </w:pPr>
            <w:r w:rsidRPr="3D6ED029">
              <w:rPr>
                <w:rFonts w:ascii="Times New Roman" w:eastAsia="Times New Roman" w:hAnsi="Times New Roman" w:cs="Times New Roman"/>
                <w:b/>
                <w:bCs/>
              </w:rPr>
              <w:t>I-V. hó</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2AE7A1" w14:textId="54D20DE5" w:rsidR="002E70D5" w:rsidRPr="00BF0B23" w:rsidRDefault="3D6ED029" w:rsidP="3D6ED029">
            <w:pPr>
              <w:spacing w:after="0"/>
              <w:jc w:val="center"/>
              <w:rPr>
                <w:rFonts w:ascii="Times New Roman" w:hAnsi="Times New Roman" w:cs="Times New Roman"/>
                <w:b/>
                <w:bCs/>
                <w:color w:val="000000" w:themeColor="text1"/>
              </w:rPr>
            </w:pPr>
            <w:r w:rsidRPr="3D6ED029">
              <w:rPr>
                <w:rFonts w:ascii="Times New Roman" w:eastAsia="Times New Roman" w:hAnsi="Times New Roman" w:cs="Times New Roman"/>
                <w:b/>
                <w:bCs/>
              </w:rPr>
              <w:t>2026.</w:t>
            </w:r>
            <w:r w:rsidR="20D1F198">
              <w:br/>
            </w:r>
            <w:r w:rsidRPr="3D6ED029">
              <w:rPr>
                <w:rFonts w:ascii="Times New Roman" w:eastAsia="Times New Roman" w:hAnsi="Times New Roman" w:cs="Times New Roman"/>
                <w:b/>
                <w:bCs/>
              </w:rPr>
              <w:t>I-V. hó</w:t>
            </w:r>
          </w:p>
        </w:tc>
        <w:tc>
          <w:tcPr>
            <w:tcW w:w="1583"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A04EB2C" w14:textId="77777777" w:rsidR="002E70D5" w:rsidRPr="00BF0B23" w:rsidRDefault="3D6ED029" w:rsidP="3D6ED029">
            <w:pPr>
              <w:spacing w:after="0"/>
              <w:jc w:val="center"/>
              <w:rPr>
                <w:rFonts w:ascii="Times New Roman" w:hAnsi="Times New Roman" w:cs="Times New Roman"/>
                <w:b/>
                <w:bCs/>
                <w:color w:val="000000" w:themeColor="text1"/>
              </w:rPr>
            </w:pPr>
            <w:r w:rsidRPr="3D6ED029">
              <w:rPr>
                <w:rFonts w:ascii="Times New Roman" w:hAnsi="Times New Roman" w:cs="Times New Roman"/>
                <w:b/>
                <w:bCs/>
                <w:color w:val="000000" w:themeColor="text1"/>
              </w:rPr>
              <w:t>Eltérés</w:t>
            </w:r>
          </w:p>
        </w:tc>
      </w:tr>
      <w:tr w:rsidR="002E70D5" w:rsidRPr="002E70D5" w14:paraId="6BE2994C" w14:textId="77777777" w:rsidTr="3D6ED029">
        <w:trPr>
          <w:trHeight w:val="473"/>
        </w:trPr>
        <w:tc>
          <w:tcPr>
            <w:tcW w:w="5720" w:type="dxa"/>
            <w:vMerge/>
            <w:tcBorders>
              <w:top w:val="single" w:sz="4" w:space="0" w:color="auto"/>
              <w:left w:val="single" w:sz="4" w:space="0" w:color="auto"/>
              <w:bottom w:val="single" w:sz="4" w:space="0" w:color="000000"/>
              <w:right w:val="single" w:sz="4" w:space="0" w:color="auto"/>
            </w:tcBorders>
            <w:vAlign w:val="center"/>
            <w:hideMark/>
          </w:tcPr>
          <w:p w14:paraId="681BE34C" w14:textId="77777777" w:rsidR="002E70D5" w:rsidRPr="002E70D5" w:rsidRDefault="002E70D5" w:rsidP="00554C64">
            <w:pPr>
              <w:spacing w:after="0"/>
              <w:rPr>
                <w:rFonts w:ascii="Times New Roman" w:hAnsi="Times New Roman" w:cs="Times New Roman"/>
                <w:b/>
                <w:bCs/>
                <w:color w:val="000000"/>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14:paraId="10EBC60F" w14:textId="77777777" w:rsidR="002E70D5" w:rsidRPr="00BF0B23" w:rsidRDefault="002E70D5" w:rsidP="00554C64">
            <w:pPr>
              <w:spacing w:after="0"/>
              <w:rPr>
                <w:rFonts w:ascii="Times New Roman" w:hAnsi="Times New Roman" w:cs="Times New Roman"/>
                <w:b/>
                <w:bCs/>
                <w:color w:val="00000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019F30F" w14:textId="77777777" w:rsidR="002E70D5" w:rsidRPr="00BF0B23" w:rsidRDefault="002E70D5" w:rsidP="00554C64">
            <w:pPr>
              <w:spacing w:after="0"/>
              <w:rPr>
                <w:rFonts w:ascii="Times New Roman" w:hAnsi="Times New Roman" w:cs="Times New Roman"/>
                <w:b/>
                <w:bCs/>
                <w:color w:val="000000"/>
              </w:rPr>
            </w:pPr>
          </w:p>
        </w:tc>
        <w:tc>
          <w:tcPr>
            <w:tcW w:w="85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E8E5679" w14:textId="77777777" w:rsidR="002E70D5" w:rsidRPr="00BF0B23" w:rsidRDefault="3D6ED029" w:rsidP="3D6ED029">
            <w:pPr>
              <w:spacing w:after="0"/>
              <w:jc w:val="center"/>
              <w:rPr>
                <w:rFonts w:ascii="Times New Roman" w:hAnsi="Times New Roman" w:cs="Times New Roman"/>
                <w:b/>
                <w:bCs/>
                <w:color w:val="000000" w:themeColor="text1"/>
              </w:rPr>
            </w:pPr>
            <w:r w:rsidRPr="3D6ED029">
              <w:rPr>
                <w:rFonts w:ascii="Times New Roman" w:hAnsi="Times New Roman" w:cs="Times New Roman"/>
                <w:b/>
                <w:bCs/>
                <w:color w:val="000000" w:themeColor="text1"/>
              </w:rPr>
              <w:t>Mrd Ft</w:t>
            </w:r>
          </w:p>
        </w:tc>
        <w:tc>
          <w:tcPr>
            <w:tcW w:w="73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598397E" w14:textId="77777777" w:rsidR="002E70D5" w:rsidRPr="00BF0B23" w:rsidRDefault="3D6ED029" w:rsidP="3D6ED029">
            <w:pPr>
              <w:spacing w:after="0"/>
              <w:jc w:val="center"/>
              <w:rPr>
                <w:rFonts w:ascii="Times New Roman" w:hAnsi="Times New Roman" w:cs="Times New Roman"/>
                <w:b/>
                <w:bCs/>
                <w:color w:val="000000" w:themeColor="text1"/>
              </w:rPr>
            </w:pPr>
            <w:r w:rsidRPr="3D6ED029">
              <w:rPr>
                <w:rFonts w:ascii="Times New Roman" w:hAnsi="Times New Roman" w:cs="Times New Roman"/>
                <w:b/>
                <w:bCs/>
                <w:color w:val="000000" w:themeColor="text1"/>
              </w:rPr>
              <w:t>%</w:t>
            </w:r>
          </w:p>
        </w:tc>
      </w:tr>
      <w:tr w:rsidR="00374988" w:rsidRPr="002E70D5" w14:paraId="79BDD8E7"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6F1FE2A1" w14:textId="77777777" w:rsidR="00374988" w:rsidRPr="002E70D5" w:rsidRDefault="3D6ED029" w:rsidP="3D6ED029">
            <w:pPr>
              <w:spacing w:after="0"/>
              <w:rPr>
                <w:rFonts w:ascii="Times New Roman" w:hAnsi="Times New Roman" w:cs="Times New Roman"/>
                <w:b/>
                <w:bCs/>
                <w:color w:val="000000" w:themeColor="text1"/>
                <w:sz w:val="20"/>
                <w:szCs w:val="20"/>
              </w:rPr>
            </w:pPr>
            <w:r w:rsidRPr="3D6ED029">
              <w:rPr>
                <w:rFonts w:ascii="Times New Roman" w:hAnsi="Times New Roman" w:cs="Times New Roman"/>
                <w:b/>
                <w:bCs/>
                <w:color w:val="000000" w:themeColor="text1"/>
                <w:sz w:val="20"/>
                <w:szCs w:val="20"/>
              </w:rPr>
              <w:t>Családi támogatások</w:t>
            </w:r>
          </w:p>
        </w:tc>
        <w:tc>
          <w:tcPr>
            <w:tcW w:w="1024" w:type="dxa"/>
            <w:tcBorders>
              <w:top w:val="single" w:sz="4" w:space="0" w:color="auto"/>
              <w:left w:val="single" w:sz="4" w:space="0" w:color="auto"/>
              <w:bottom w:val="single" w:sz="4" w:space="0" w:color="auto"/>
              <w:right w:val="single" w:sz="4" w:space="0" w:color="auto"/>
            </w:tcBorders>
            <w:noWrap/>
            <w:vAlign w:val="bottom"/>
            <w:hideMark/>
          </w:tcPr>
          <w:p w14:paraId="35463B97" w14:textId="5D30BD66"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167,2</w:t>
            </w:r>
          </w:p>
        </w:tc>
        <w:tc>
          <w:tcPr>
            <w:tcW w:w="991" w:type="dxa"/>
            <w:tcBorders>
              <w:top w:val="single" w:sz="4" w:space="0" w:color="auto"/>
              <w:left w:val="nil"/>
              <w:bottom w:val="single" w:sz="4" w:space="0" w:color="auto"/>
              <w:right w:val="single" w:sz="4" w:space="0" w:color="auto"/>
            </w:tcBorders>
            <w:noWrap/>
            <w:vAlign w:val="bottom"/>
            <w:hideMark/>
          </w:tcPr>
          <w:p w14:paraId="6268E87E" w14:textId="36E09294"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164,7</w:t>
            </w:r>
          </w:p>
        </w:tc>
        <w:tc>
          <w:tcPr>
            <w:tcW w:w="850" w:type="dxa"/>
            <w:tcBorders>
              <w:top w:val="single" w:sz="4" w:space="0" w:color="auto"/>
              <w:left w:val="nil"/>
              <w:bottom w:val="single" w:sz="4" w:space="0" w:color="auto"/>
              <w:right w:val="single" w:sz="4" w:space="0" w:color="auto"/>
            </w:tcBorders>
            <w:noWrap/>
            <w:vAlign w:val="bottom"/>
            <w:hideMark/>
          </w:tcPr>
          <w:p w14:paraId="6DAC2567" w14:textId="2E9651ED"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-2,5</w:t>
            </w:r>
          </w:p>
        </w:tc>
        <w:tc>
          <w:tcPr>
            <w:tcW w:w="733" w:type="dxa"/>
            <w:tcBorders>
              <w:top w:val="single" w:sz="4" w:space="0" w:color="auto"/>
              <w:left w:val="nil"/>
              <w:bottom w:val="single" w:sz="4" w:space="0" w:color="auto"/>
              <w:right w:val="single" w:sz="4" w:space="0" w:color="auto"/>
            </w:tcBorders>
            <w:noWrap/>
            <w:vAlign w:val="bottom"/>
            <w:hideMark/>
          </w:tcPr>
          <w:p w14:paraId="0023D563" w14:textId="2ACE9590"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98,5</w:t>
            </w:r>
          </w:p>
        </w:tc>
      </w:tr>
      <w:tr w:rsidR="00374988" w:rsidRPr="002E70D5" w14:paraId="5AF1064F"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033720FE" w14:textId="77777777" w:rsidR="00374988" w:rsidRPr="002E70D5" w:rsidRDefault="3D6ED029" w:rsidP="3D6ED029">
            <w:pPr>
              <w:spacing w:after="0"/>
              <w:ind w:firstLineChars="100" w:firstLine="2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Ebből:</w:t>
            </w:r>
          </w:p>
        </w:tc>
        <w:tc>
          <w:tcPr>
            <w:tcW w:w="1024" w:type="dxa"/>
            <w:tcBorders>
              <w:top w:val="nil"/>
              <w:left w:val="single" w:sz="4" w:space="0" w:color="auto"/>
              <w:bottom w:val="single" w:sz="4" w:space="0" w:color="auto"/>
              <w:right w:val="single" w:sz="4" w:space="0" w:color="auto"/>
            </w:tcBorders>
            <w:noWrap/>
            <w:vAlign w:val="bottom"/>
            <w:hideMark/>
          </w:tcPr>
          <w:p w14:paraId="74F95091" w14:textId="4590963A"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 </w:t>
            </w:r>
          </w:p>
        </w:tc>
        <w:tc>
          <w:tcPr>
            <w:tcW w:w="991" w:type="dxa"/>
            <w:tcBorders>
              <w:top w:val="nil"/>
              <w:left w:val="nil"/>
              <w:bottom w:val="single" w:sz="4" w:space="0" w:color="auto"/>
              <w:right w:val="single" w:sz="4" w:space="0" w:color="auto"/>
            </w:tcBorders>
            <w:noWrap/>
            <w:vAlign w:val="bottom"/>
            <w:hideMark/>
          </w:tcPr>
          <w:p w14:paraId="1B94AF89" w14:textId="6913A339"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 </w:t>
            </w:r>
          </w:p>
        </w:tc>
        <w:tc>
          <w:tcPr>
            <w:tcW w:w="850" w:type="dxa"/>
            <w:tcBorders>
              <w:top w:val="nil"/>
              <w:left w:val="nil"/>
              <w:bottom w:val="single" w:sz="4" w:space="0" w:color="auto"/>
              <w:right w:val="single" w:sz="4" w:space="0" w:color="auto"/>
            </w:tcBorders>
            <w:noWrap/>
            <w:vAlign w:val="bottom"/>
            <w:hideMark/>
          </w:tcPr>
          <w:p w14:paraId="321ED1B1" w14:textId="3F4F8FB1"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 </w:t>
            </w:r>
          </w:p>
        </w:tc>
        <w:tc>
          <w:tcPr>
            <w:tcW w:w="733" w:type="dxa"/>
            <w:tcBorders>
              <w:top w:val="nil"/>
              <w:left w:val="nil"/>
              <w:bottom w:val="single" w:sz="4" w:space="0" w:color="auto"/>
              <w:right w:val="single" w:sz="4" w:space="0" w:color="auto"/>
            </w:tcBorders>
            <w:noWrap/>
            <w:vAlign w:val="bottom"/>
            <w:hideMark/>
          </w:tcPr>
          <w:p w14:paraId="635F529C" w14:textId="7134DA12"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 </w:t>
            </w:r>
          </w:p>
        </w:tc>
      </w:tr>
      <w:tr w:rsidR="00374988" w:rsidRPr="002E70D5" w14:paraId="189AA6D7"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6B8BE428"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családi pótlék</w:t>
            </w:r>
          </w:p>
        </w:tc>
        <w:tc>
          <w:tcPr>
            <w:tcW w:w="1024" w:type="dxa"/>
            <w:tcBorders>
              <w:top w:val="nil"/>
              <w:left w:val="single" w:sz="4" w:space="0" w:color="auto"/>
              <w:bottom w:val="single" w:sz="4" w:space="0" w:color="auto"/>
              <w:right w:val="single" w:sz="4" w:space="0" w:color="auto"/>
            </w:tcBorders>
            <w:noWrap/>
            <w:vAlign w:val="bottom"/>
            <w:hideMark/>
          </w:tcPr>
          <w:p w14:paraId="70BCBC1A" w14:textId="6A5A61E0"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126,3</w:t>
            </w:r>
          </w:p>
        </w:tc>
        <w:tc>
          <w:tcPr>
            <w:tcW w:w="991" w:type="dxa"/>
            <w:tcBorders>
              <w:top w:val="nil"/>
              <w:left w:val="nil"/>
              <w:bottom w:val="single" w:sz="4" w:space="0" w:color="auto"/>
              <w:right w:val="single" w:sz="4" w:space="0" w:color="auto"/>
            </w:tcBorders>
            <w:noWrap/>
            <w:vAlign w:val="bottom"/>
            <w:hideMark/>
          </w:tcPr>
          <w:p w14:paraId="13892F1A" w14:textId="22CCE199"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124,3</w:t>
            </w:r>
          </w:p>
        </w:tc>
        <w:tc>
          <w:tcPr>
            <w:tcW w:w="850" w:type="dxa"/>
            <w:tcBorders>
              <w:top w:val="nil"/>
              <w:left w:val="nil"/>
              <w:bottom w:val="single" w:sz="4" w:space="0" w:color="auto"/>
              <w:right w:val="single" w:sz="4" w:space="0" w:color="auto"/>
            </w:tcBorders>
            <w:noWrap/>
            <w:vAlign w:val="bottom"/>
            <w:hideMark/>
          </w:tcPr>
          <w:p w14:paraId="10E0C374" w14:textId="63345864"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-2,0</w:t>
            </w:r>
          </w:p>
        </w:tc>
        <w:tc>
          <w:tcPr>
            <w:tcW w:w="733" w:type="dxa"/>
            <w:tcBorders>
              <w:top w:val="nil"/>
              <w:left w:val="nil"/>
              <w:bottom w:val="single" w:sz="4" w:space="0" w:color="auto"/>
              <w:right w:val="single" w:sz="4" w:space="0" w:color="auto"/>
            </w:tcBorders>
            <w:noWrap/>
            <w:vAlign w:val="bottom"/>
            <w:hideMark/>
          </w:tcPr>
          <w:p w14:paraId="19B6E5CD" w14:textId="43BC4243"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98,4</w:t>
            </w:r>
          </w:p>
        </w:tc>
      </w:tr>
      <w:tr w:rsidR="00374988" w:rsidRPr="002E70D5" w14:paraId="5E22A8DD"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7FFF56E0"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anyasági támogatás</w:t>
            </w:r>
          </w:p>
        </w:tc>
        <w:tc>
          <w:tcPr>
            <w:tcW w:w="1024" w:type="dxa"/>
            <w:tcBorders>
              <w:top w:val="nil"/>
              <w:left w:val="single" w:sz="4" w:space="0" w:color="auto"/>
              <w:bottom w:val="single" w:sz="4" w:space="0" w:color="auto"/>
              <w:right w:val="single" w:sz="4" w:space="0" w:color="auto"/>
            </w:tcBorders>
            <w:noWrap/>
            <w:vAlign w:val="bottom"/>
            <w:hideMark/>
          </w:tcPr>
          <w:p w14:paraId="01B4C83D" w14:textId="3D8FDD50"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2,1</w:t>
            </w:r>
          </w:p>
        </w:tc>
        <w:tc>
          <w:tcPr>
            <w:tcW w:w="991" w:type="dxa"/>
            <w:tcBorders>
              <w:top w:val="nil"/>
              <w:left w:val="nil"/>
              <w:bottom w:val="single" w:sz="4" w:space="0" w:color="auto"/>
              <w:right w:val="single" w:sz="4" w:space="0" w:color="auto"/>
            </w:tcBorders>
            <w:noWrap/>
            <w:vAlign w:val="bottom"/>
            <w:hideMark/>
          </w:tcPr>
          <w:p w14:paraId="0F727F31" w14:textId="2447C99D"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2,0</w:t>
            </w:r>
          </w:p>
        </w:tc>
        <w:tc>
          <w:tcPr>
            <w:tcW w:w="850" w:type="dxa"/>
            <w:tcBorders>
              <w:top w:val="nil"/>
              <w:left w:val="nil"/>
              <w:bottom w:val="single" w:sz="4" w:space="0" w:color="auto"/>
              <w:right w:val="single" w:sz="4" w:space="0" w:color="auto"/>
            </w:tcBorders>
            <w:noWrap/>
            <w:vAlign w:val="bottom"/>
            <w:hideMark/>
          </w:tcPr>
          <w:p w14:paraId="368622AA" w14:textId="78620623"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-0,1</w:t>
            </w:r>
          </w:p>
        </w:tc>
        <w:tc>
          <w:tcPr>
            <w:tcW w:w="733" w:type="dxa"/>
            <w:tcBorders>
              <w:top w:val="nil"/>
              <w:left w:val="nil"/>
              <w:bottom w:val="single" w:sz="4" w:space="0" w:color="auto"/>
              <w:right w:val="single" w:sz="4" w:space="0" w:color="auto"/>
            </w:tcBorders>
            <w:noWrap/>
            <w:vAlign w:val="bottom"/>
            <w:hideMark/>
          </w:tcPr>
          <w:p w14:paraId="52ECB683" w14:textId="7D5AC42D"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95,2</w:t>
            </w:r>
          </w:p>
        </w:tc>
      </w:tr>
      <w:tr w:rsidR="00374988" w:rsidRPr="002E70D5" w14:paraId="660813D3" w14:textId="77777777" w:rsidTr="3D6ED029">
        <w:trPr>
          <w:trHeight w:val="218"/>
        </w:trPr>
        <w:tc>
          <w:tcPr>
            <w:tcW w:w="5640" w:type="dxa"/>
            <w:tcBorders>
              <w:top w:val="nil"/>
              <w:left w:val="single" w:sz="4" w:space="0" w:color="auto"/>
              <w:bottom w:val="single" w:sz="4" w:space="0" w:color="auto"/>
              <w:right w:val="single" w:sz="4" w:space="0" w:color="auto"/>
            </w:tcBorders>
            <w:vAlign w:val="center"/>
            <w:hideMark/>
          </w:tcPr>
          <w:p w14:paraId="72B507FD"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gyermekgondozást segítő ellátás</w:t>
            </w:r>
          </w:p>
        </w:tc>
        <w:tc>
          <w:tcPr>
            <w:tcW w:w="1024" w:type="dxa"/>
            <w:tcBorders>
              <w:top w:val="nil"/>
              <w:left w:val="single" w:sz="4" w:space="0" w:color="auto"/>
              <w:bottom w:val="single" w:sz="4" w:space="0" w:color="auto"/>
              <w:right w:val="single" w:sz="4" w:space="0" w:color="auto"/>
            </w:tcBorders>
            <w:noWrap/>
            <w:vAlign w:val="bottom"/>
            <w:hideMark/>
          </w:tcPr>
          <w:p w14:paraId="26006FB8" w14:textId="7E5C7F90"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22,0</w:t>
            </w:r>
          </w:p>
        </w:tc>
        <w:tc>
          <w:tcPr>
            <w:tcW w:w="991" w:type="dxa"/>
            <w:tcBorders>
              <w:top w:val="nil"/>
              <w:left w:val="nil"/>
              <w:bottom w:val="single" w:sz="4" w:space="0" w:color="auto"/>
              <w:right w:val="single" w:sz="4" w:space="0" w:color="auto"/>
            </w:tcBorders>
            <w:noWrap/>
            <w:vAlign w:val="bottom"/>
            <w:hideMark/>
          </w:tcPr>
          <w:p w14:paraId="79CAB497" w14:textId="77B44C49"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21,2</w:t>
            </w:r>
          </w:p>
        </w:tc>
        <w:tc>
          <w:tcPr>
            <w:tcW w:w="850" w:type="dxa"/>
            <w:tcBorders>
              <w:top w:val="nil"/>
              <w:left w:val="nil"/>
              <w:bottom w:val="single" w:sz="4" w:space="0" w:color="auto"/>
              <w:right w:val="single" w:sz="4" w:space="0" w:color="auto"/>
            </w:tcBorders>
            <w:noWrap/>
            <w:vAlign w:val="bottom"/>
            <w:hideMark/>
          </w:tcPr>
          <w:p w14:paraId="707F0162" w14:textId="5C29D5F2"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-0,8</w:t>
            </w:r>
          </w:p>
        </w:tc>
        <w:tc>
          <w:tcPr>
            <w:tcW w:w="733" w:type="dxa"/>
            <w:tcBorders>
              <w:top w:val="nil"/>
              <w:left w:val="nil"/>
              <w:bottom w:val="single" w:sz="4" w:space="0" w:color="auto"/>
              <w:right w:val="single" w:sz="4" w:space="0" w:color="auto"/>
            </w:tcBorders>
            <w:noWrap/>
            <w:vAlign w:val="bottom"/>
            <w:hideMark/>
          </w:tcPr>
          <w:p w14:paraId="5365089B" w14:textId="455FB1DC"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96,4</w:t>
            </w:r>
          </w:p>
        </w:tc>
      </w:tr>
      <w:tr w:rsidR="00374988" w:rsidRPr="002E70D5" w14:paraId="54D4B8EA" w14:textId="77777777" w:rsidTr="3D6ED029">
        <w:trPr>
          <w:trHeight w:val="218"/>
        </w:trPr>
        <w:tc>
          <w:tcPr>
            <w:tcW w:w="5640" w:type="dxa"/>
            <w:tcBorders>
              <w:top w:val="nil"/>
              <w:left w:val="single" w:sz="4" w:space="0" w:color="auto"/>
              <w:bottom w:val="single" w:sz="4" w:space="0" w:color="auto"/>
              <w:right w:val="single" w:sz="4" w:space="0" w:color="auto"/>
            </w:tcBorders>
            <w:vAlign w:val="center"/>
            <w:hideMark/>
          </w:tcPr>
          <w:p w14:paraId="5EED669C"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gyermeknevelési támogatás</w:t>
            </w:r>
          </w:p>
        </w:tc>
        <w:tc>
          <w:tcPr>
            <w:tcW w:w="1024" w:type="dxa"/>
            <w:tcBorders>
              <w:top w:val="nil"/>
              <w:left w:val="single" w:sz="4" w:space="0" w:color="auto"/>
              <w:bottom w:val="single" w:sz="4" w:space="0" w:color="auto"/>
              <w:right w:val="single" w:sz="4" w:space="0" w:color="auto"/>
            </w:tcBorders>
            <w:noWrap/>
            <w:vAlign w:val="bottom"/>
            <w:hideMark/>
          </w:tcPr>
          <w:p w14:paraId="54864A29" w14:textId="3F34CB88"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3,8</w:t>
            </w:r>
          </w:p>
        </w:tc>
        <w:tc>
          <w:tcPr>
            <w:tcW w:w="991" w:type="dxa"/>
            <w:tcBorders>
              <w:top w:val="nil"/>
              <w:left w:val="nil"/>
              <w:bottom w:val="single" w:sz="4" w:space="0" w:color="auto"/>
              <w:right w:val="single" w:sz="4" w:space="0" w:color="auto"/>
            </w:tcBorders>
            <w:noWrap/>
            <w:vAlign w:val="bottom"/>
            <w:hideMark/>
          </w:tcPr>
          <w:p w14:paraId="3ED7D86B" w14:textId="6B4CE77C"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3,5</w:t>
            </w:r>
          </w:p>
        </w:tc>
        <w:tc>
          <w:tcPr>
            <w:tcW w:w="850" w:type="dxa"/>
            <w:tcBorders>
              <w:top w:val="nil"/>
              <w:left w:val="nil"/>
              <w:bottom w:val="single" w:sz="4" w:space="0" w:color="auto"/>
              <w:right w:val="single" w:sz="4" w:space="0" w:color="auto"/>
            </w:tcBorders>
            <w:noWrap/>
            <w:vAlign w:val="bottom"/>
            <w:hideMark/>
          </w:tcPr>
          <w:p w14:paraId="79964C52" w14:textId="5F8424CC"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-0,3</w:t>
            </w:r>
          </w:p>
        </w:tc>
        <w:tc>
          <w:tcPr>
            <w:tcW w:w="733" w:type="dxa"/>
            <w:tcBorders>
              <w:top w:val="nil"/>
              <w:left w:val="nil"/>
              <w:bottom w:val="single" w:sz="4" w:space="0" w:color="auto"/>
              <w:right w:val="single" w:sz="4" w:space="0" w:color="auto"/>
            </w:tcBorders>
            <w:noWrap/>
            <w:vAlign w:val="bottom"/>
            <w:hideMark/>
          </w:tcPr>
          <w:p w14:paraId="15FAE29F" w14:textId="298F06DD"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92,1</w:t>
            </w:r>
          </w:p>
        </w:tc>
      </w:tr>
      <w:tr w:rsidR="00374988" w:rsidRPr="002E70D5" w14:paraId="0932D838" w14:textId="77777777" w:rsidTr="3D6ED029">
        <w:trPr>
          <w:trHeight w:val="218"/>
        </w:trPr>
        <w:tc>
          <w:tcPr>
            <w:tcW w:w="5640" w:type="dxa"/>
            <w:tcBorders>
              <w:top w:val="nil"/>
              <w:left w:val="single" w:sz="4" w:space="0" w:color="auto"/>
              <w:bottom w:val="single" w:sz="4" w:space="0" w:color="auto"/>
              <w:right w:val="single" w:sz="4" w:space="0" w:color="auto"/>
            </w:tcBorders>
            <w:vAlign w:val="center"/>
            <w:hideMark/>
          </w:tcPr>
          <w:p w14:paraId="7FC6C9F6"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gyermekek születésével kapcsolatos szabadság megtérítése</w:t>
            </w:r>
          </w:p>
        </w:tc>
        <w:tc>
          <w:tcPr>
            <w:tcW w:w="1024" w:type="dxa"/>
            <w:tcBorders>
              <w:top w:val="nil"/>
              <w:left w:val="single" w:sz="4" w:space="0" w:color="auto"/>
              <w:bottom w:val="single" w:sz="4" w:space="0" w:color="auto"/>
              <w:right w:val="single" w:sz="4" w:space="0" w:color="auto"/>
            </w:tcBorders>
            <w:noWrap/>
            <w:vAlign w:val="bottom"/>
            <w:hideMark/>
          </w:tcPr>
          <w:p w14:paraId="083EE439" w14:textId="4996A45F"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2,6</w:t>
            </w:r>
          </w:p>
        </w:tc>
        <w:tc>
          <w:tcPr>
            <w:tcW w:w="991" w:type="dxa"/>
            <w:tcBorders>
              <w:top w:val="nil"/>
              <w:left w:val="nil"/>
              <w:bottom w:val="single" w:sz="4" w:space="0" w:color="auto"/>
              <w:right w:val="single" w:sz="4" w:space="0" w:color="auto"/>
            </w:tcBorders>
            <w:noWrap/>
            <w:vAlign w:val="bottom"/>
            <w:hideMark/>
          </w:tcPr>
          <w:p w14:paraId="6FC609F0" w14:textId="1B6DBA47"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2,8</w:t>
            </w:r>
          </w:p>
        </w:tc>
        <w:tc>
          <w:tcPr>
            <w:tcW w:w="850" w:type="dxa"/>
            <w:tcBorders>
              <w:top w:val="nil"/>
              <w:left w:val="nil"/>
              <w:bottom w:val="single" w:sz="4" w:space="0" w:color="auto"/>
              <w:right w:val="single" w:sz="4" w:space="0" w:color="auto"/>
            </w:tcBorders>
            <w:noWrap/>
            <w:vAlign w:val="bottom"/>
            <w:hideMark/>
          </w:tcPr>
          <w:p w14:paraId="1B7834F9" w14:textId="2482D8A6"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0,2</w:t>
            </w:r>
          </w:p>
        </w:tc>
        <w:tc>
          <w:tcPr>
            <w:tcW w:w="733" w:type="dxa"/>
            <w:tcBorders>
              <w:top w:val="nil"/>
              <w:left w:val="nil"/>
              <w:bottom w:val="single" w:sz="4" w:space="0" w:color="auto"/>
              <w:right w:val="single" w:sz="4" w:space="0" w:color="auto"/>
            </w:tcBorders>
            <w:noWrap/>
            <w:vAlign w:val="bottom"/>
            <w:hideMark/>
          </w:tcPr>
          <w:p w14:paraId="6D9506CD" w14:textId="0158D641"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107,7</w:t>
            </w:r>
          </w:p>
        </w:tc>
      </w:tr>
      <w:tr w:rsidR="00374988" w:rsidRPr="002E70D5" w14:paraId="5C1FD170" w14:textId="77777777" w:rsidTr="3D6ED029">
        <w:trPr>
          <w:trHeight w:val="218"/>
        </w:trPr>
        <w:tc>
          <w:tcPr>
            <w:tcW w:w="5640" w:type="dxa"/>
            <w:tcBorders>
              <w:top w:val="nil"/>
              <w:left w:val="single" w:sz="4" w:space="0" w:color="auto"/>
              <w:bottom w:val="single" w:sz="4" w:space="0" w:color="auto"/>
              <w:right w:val="single" w:sz="4" w:space="0" w:color="auto"/>
            </w:tcBorders>
            <w:vAlign w:val="center"/>
            <w:hideMark/>
          </w:tcPr>
          <w:p w14:paraId="7E9D85A0"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életkezdési támogatás</w:t>
            </w:r>
          </w:p>
        </w:tc>
        <w:tc>
          <w:tcPr>
            <w:tcW w:w="1024" w:type="dxa"/>
            <w:tcBorders>
              <w:top w:val="nil"/>
              <w:left w:val="single" w:sz="4" w:space="0" w:color="auto"/>
              <w:bottom w:val="single" w:sz="4" w:space="0" w:color="auto"/>
              <w:right w:val="single" w:sz="4" w:space="0" w:color="auto"/>
            </w:tcBorders>
            <w:noWrap/>
            <w:vAlign w:val="bottom"/>
            <w:hideMark/>
          </w:tcPr>
          <w:p w14:paraId="7C1C4E8C" w14:textId="1C39F152"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9,3</w:t>
            </w:r>
          </w:p>
        </w:tc>
        <w:tc>
          <w:tcPr>
            <w:tcW w:w="991" w:type="dxa"/>
            <w:tcBorders>
              <w:top w:val="nil"/>
              <w:left w:val="nil"/>
              <w:bottom w:val="single" w:sz="4" w:space="0" w:color="auto"/>
              <w:right w:val="single" w:sz="4" w:space="0" w:color="auto"/>
            </w:tcBorders>
            <w:noWrap/>
            <w:vAlign w:val="bottom"/>
            <w:hideMark/>
          </w:tcPr>
          <w:p w14:paraId="64FE41C6" w14:textId="614F527E"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9,7</w:t>
            </w:r>
          </w:p>
        </w:tc>
        <w:tc>
          <w:tcPr>
            <w:tcW w:w="850" w:type="dxa"/>
            <w:tcBorders>
              <w:top w:val="nil"/>
              <w:left w:val="nil"/>
              <w:bottom w:val="single" w:sz="4" w:space="0" w:color="auto"/>
              <w:right w:val="single" w:sz="4" w:space="0" w:color="auto"/>
            </w:tcBorders>
            <w:noWrap/>
            <w:vAlign w:val="bottom"/>
            <w:hideMark/>
          </w:tcPr>
          <w:p w14:paraId="092E3EF2" w14:textId="70A8166B"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0,4</w:t>
            </w:r>
          </w:p>
        </w:tc>
        <w:tc>
          <w:tcPr>
            <w:tcW w:w="733" w:type="dxa"/>
            <w:tcBorders>
              <w:top w:val="nil"/>
              <w:left w:val="nil"/>
              <w:bottom w:val="single" w:sz="4" w:space="0" w:color="auto"/>
              <w:right w:val="single" w:sz="4" w:space="0" w:color="auto"/>
            </w:tcBorders>
            <w:noWrap/>
            <w:vAlign w:val="bottom"/>
            <w:hideMark/>
          </w:tcPr>
          <w:p w14:paraId="4E31809C" w14:textId="67701DC7"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104,3</w:t>
            </w:r>
          </w:p>
        </w:tc>
      </w:tr>
      <w:tr w:rsidR="00374988" w:rsidRPr="002E70D5" w14:paraId="5B535E4D"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4BB29DB0" w14:textId="77777777" w:rsidR="00374988" w:rsidRPr="002E70D5" w:rsidRDefault="3D6ED029" w:rsidP="3D6ED029">
            <w:pPr>
              <w:spacing w:after="0"/>
              <w:rPr>
                <w:rFonts w:ascii="Times New Roman" w:hAnsi="Times New Roman" w:cs="Times New Roman"/>
                <w:b/>
                <w:bCs/>
                <w:color w:val="000000" w:themeColor="text1"/>
                <w:sz w:val="20"/>
                <w:szCs w:val="20"/>
              </w:rPr>
            </w:pPr>
            <w:r w:rsidRPr="3D6ED029">
              <w:rPr>
                <w:rFonts w:ascii="Times New Roman" w:hAnsi="Times New Roman" w:cs="Times New Roman"/>
                <w:b/>
                <w:bCs/>
                <w:color w:val="000000" w:themeColor="text1"/>
                <w:sz w:val="20"/>
                <w:szCs w:val="20"/>
              </w:rPr>
              <w:t>Korhatár alatti ellátások</w:t>
            </w:r>
          </w:p>
        </w:tc>
        <w:tc>
          <w:tcPr>
            <w:tcW w:w="1024" w:type="dxa"/>
            <w:tcBorders>
              <w:top w:val="nil"/>
              <w:left w:val="single" w:sz="4" w:space="0" w:color="auto"/>
              <w:bottom w:val="single" w:sz="4" w:space="0" w:color="auto"/>
              <w:right w:val="single" w:sz="4" w:space="0" w:color="auto"/>
            </w:tcBorders>
            <w:noWrap/>
            <w:vAlign w:val="bottom"/>
            <w:hideMark/>
          </w:tcPr>
          <w:p w14:paraId="1E584746" w14:textId="5406BAA6"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56,4</w:t>
            </w:r>
          </w:p>
        </w:tc>
        <w:tc>
          <w:tcPr>
            <w:tcW w:w="991" w:type="dxa"/>
            <w:tcBorders>
              <w:top w:val="nil"/>
              <w:left w:val="nil"/>
              <w:bottom w:val="single" w:sz="4" w:space="0" w:color="auto"/>
              <w:right w:val="single" w:sz="4" w:space="0" w:color="auto"/>
            </w:tcBorders>
            <w:noWrap/>
            <w:vAlign w:val="bottom"/>
            <w:hideMark/>
          </w:tcPr>
          <w:p w14:paraId="3BB31635" w14:textId="11862002"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57,9</w:t>
            </w:r>
          </w:p>
        </w:tc>
        <w:tc>
          <w:tcPr>
            <w:tcW w:w="850" w:type="dxa"/>
            <w:tcBorders>
              <w:top w:val="nil"/>
              <w:left w:val="nil"/>
              <w:bottom w:val="single" w:sz="4" w:space="0" w:color="auto"/>
              <w:right w:val="single" w:sz="4" w:space="0" w:color="auto"/>
            </w:tcBorders>
            <w:noWrap/>
            <w:vAlign w:val="bottom"/>
            <w:hideMark/>
          </w:tcPr>
          <w:p w14:paraId="6067B78F" w14:textId="354B6C08"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1,5</w:t>
            </w:r>
          </w:p>
        </w:tc>
        <w:tc>
          <w:tcPr>
            <w:tcW w:w="733" w:type="dxa"/>
            <w:tcBorders>
              <w:top w:val="nil"/>
              <w:left w:val="nil"/>
              <w:bottom w:val="single" w:sz="4" w:space="0" w:color="auto"/>
              <w:right w:val="single" w:sz="4" w:space="0" w:color="auto"/>
            </w:tcBorders>
            <w:noWrap/>
            <w:vAlign w:val="bottom"/>
            <w:hideMark/>
          </w:tcPr>
          <w:p w14:paraId="05F9CDA8" w14:textId="3CC0B452"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102,7</w:t>
            </w:r>
          </w:p>
        </w:tc>
      </w:tr>
      <w:tr w:rsidR="00374988" w:rsidRPr="002E70D5" w14:paraId="2D6D4FB3"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285599A0" w14:textId="77777777" w:rsidR="00374988" w:rsidRPr="002E70D5" w:rsidRDefault="3D6ED029" w:rsidP="3D6ED029">
            <w:pPr>
              <w:spacing w:after="0"/>
              <w:rPr>
                <w:rFonts w:ascii="Times New Roman" w:hAnsi="Times New Roman" w:cs="Times New Roman"/>
                <w:b/>
                <w:bCs/>
                <w:color w:val="000000" w:themeColor="text1"/>
                <w:sz w:val="20"/>
                <w:szCs w:val="20"/>
              </w:rPr>
            </w:pPr>
            <w:r w:rsidRPr="3D6ED029">
              <w:rPr>
                <w:rFonts w:ascii="Times New Roman" w:hAnsi="Times New Roman" w:cs="Times New Roman"/>
                <w:b/>
                <w:bCs/>
                <w:color w:val="000000" w:themeColor="text1"/>
                <w:sz w:val="20"/>
                <w:szCs w:val="20"/>
              </w:rPr>
              <w:t>Jövedelempótló és jövedelemkiegészítő szociális támogatások</w:t>
            </w:r>
          </w:p>
        </w:tc>
        <w:tc>
          <w:tcPr>
            <w:tcW w:w="1024" w:type="dxa"/>
            <w:tcBorders>
              <w:top w:val="nil"/>
              <w:left w:val="single" w:sz="4" w:space="0" w:color="auto"/>
              <w:bottom w:val="single" w:sz="4" w:space="0" w:color="auto"/>
              <w:right w:val="single" w:sz="4" w:space="0" w:color="auto"/>
            </w:tcBorders>
            <w:noWrap/>
            <w:vAlign w:val="bottom"/>
            <w:hideMark/>
          </w:tcPr>
          <w:p w14:paraId="76F346F2" w14:textId="1AF03392"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93,6</w:t>
            </w:r>
          </w:p>
        </w:tc>
        <w:tc>
          <w:tcPr>
            <w:tcW w:w="991" w:type="dxa"/>
            <w:tcBorders>
              <w:top w:val="nil"/>
              <w:left w:val="nil"/>
              <w:bottom w:val="single" w:sz="4" w:space="0" w:color="auto"/>
              <w:right w:val="single" w:sz="4" w:space="0" w:color="auto"/>
            </w:tcBorders>
            <w:noWrap/>
            <w:vAlign w:val="bottom"/>
            <w:hideMark/>
          </w:tcPr>
          <w:p w14:paraId="6DF5981D" w14:textId="6E5A0877"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105,5</w:t>
            </w:r>
          </w:p>
        </w:tc>
        <w:tc>
          <w:tcPr>
            <w:tcW w:w="850" w:type="dxa"/>
            <w:tcBorders>
              <w:top w:val="nil"/>
              <w:left w:val="nil"/>
              <w:bottom w:val="single" w:sz="4" w:space="0" w:color="auto"/>
              <w:right w:val="single" w:sz="4" w:space="0" w:color="auto"/>
            </w:tcBorders>
            <w:noWrap/>
            <w:vAlign w:val="bottom"/>
            <w:hideMark/>
          </w:tcPr>
          <w:p w14:paraId="01D98773" w14:textId="16645DF5"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11,9</w:t>
            </w:r>
          </w:p>
        </w:tc>
        <w:tc>
          <w:tcPr>
            <w:tcW w:w="733" w:type="dxa"/>
            <w:tcBorders>
              <w:top w:val="nil"/>
              <w:left w:val="nil"/>
              <w:bottom w:val="single" w:sz="4" w:space="0" w:color="auto"/>
              <w:right w:val="single" w:sz="4" w:space="0" w:color="auto"/>
            </w:tcBorders>
            <w:noWrap/>
            <w:vAlign w:val="bottom"/>
            <w:hideMark/>
          </w:tcPr>
          <w:p w14:paraId="112E0472" w14:textId="7C5DC964"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112,7</w:t>
            </w:r>
          </w:p>
        </w:tc>
      </w:tr>
      <w:tr w:rsidR="00374988" w:rsidRPr="002E70D5" w14:paraId="2F68BD6E"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55975F0B" w14:textId="77777777" w:rsidR="00374988" w:rsidRPr="002E70D5" w:rsidRDefault="3D6ED029" w:rsidP="3D6ED029">
            <w:pPr>
              <w:spacing w:after="0"/>
              <w:ind w:firstLineChars="100" w:firstLine="2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Ebből:</w:t>
            </w:r>
          </w:p>
        </w:tc>
        <w:tc>
          <w:tcPr>
            <w:tcW w:w="1024" w:type="dxa"/>
            <w:tcBorders>
              <w:top w:val="nil"/>
              <w:left w:val="single" w:sz="4" w:space="0" w:color="auto"/>
              <w:bottom w:val="single" w:sz="4" w:space="0" w:color="auto"/>
              <w:right w:val="single" w:sz="4" w:space="0" w:color="auto"/>
            </w:tcBorders>
            <w:noWrap/>
            <w:vAlign w:val="bottom"/>
            <w:hideMark/>
          </w:tcPr>
          <w:p w14:paraId="2B25FABF" w14:textId="45B38A6A" w:rsidR="00374988" w:rsidRPr="00374988" w:rsidRDefault="00374988" w:rsidP="1D3ABBAA">
            <w:pPr>
              <w:spacing w:after="0"/>
              <w:jc w:val="right"/>
              <w:rPr>
                <w:rFonts w:ascii="Times New Roman" w:hAnsi="Times New Roman" w:cs="Times New Roman"/>
                <w:sz w:val="20"/>
                <w:szCs w:val="20"/>
              </w:rPr>
            </w:pPr>
          </w:p>
        </w:tc>
        <w:tc>
          <w:tcPr>
            <w:tcW w:w="991" w:type="dxa"/>
            <w:tcBorders>
              <w:top w:val="nil"/>
              <w:left w:val="nil"/>
              <w:bottom w:val="single" w:sz="4" w:space="0" w:color="auto"/>
              <w:right w:val="single" w:sz="4" w:space="0" w:color="auto"/>
            </w:tcBorders>
            <w:noWrap/>
            <w:vAlign w:val="bottom"/>
            <w:hideMark/>
          </w:tcPr>
          <w:p w14:paraId="6B112B61" w14:textId="62020126" w:rsidR="00374988" w:rsidRPr="00374988" w:rsidRDefault="00374988" w:rsidP="1D3ABBAA">
            <w:pPr>
              <w:spacing w:after="0"/>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vAlign w:val="bottom"/>
            <w:hideMark/>
          </w:tcPr>
          <w:p w14:paraId="0CBA18B6" w14:textId="239631E2" w:rsidR="00374988" w:rsidRPr="00374988" w:rsidRDefault="00374988" w:rsidP="1D3ABBAA">
            <w:pPr>
              <w:spacing w:after="0"/>
              <w:jc w:val="right"/>
              <w:rPr>
                <w:rFonts w:ascii="Times New Roman" w:hAnsi="Times New Roman" w:cs="Times New Roman"/>
                <w:sz w:val="20"/>
                <w:szCs w:val="20"/>
              </w:rPr>
            </w:pPr>
          </w:p>
        </w:tc>
        <w:tc>
          <w:tcPr>
            <w:tcW w:w="733" w:type="dxa"/>
            <w:tcBorders>
              <w:top w:val="nil"/>
              <w:left w:val="nil"/>
              <w:bottom w:val="single" w:sz="4" w:space="0" w:color="auto"/>
              <w:right w:val="single" w:sz="4" w:space="0" w:color="auto"/>
            </w:tcBorders>
            <w:noWrap/>
            <w:vAlign w:val="bottom"/>
            <w:hideMark/>
          </w:tcPr>
          <w:p w14:paraId="5A52A3F4" w14:textId="6097B7FA"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 </w:t>
            </w:r>
          </w:p>
        </w:tc>
      </w:tr>
      <w:tr w:rsidR="00374988" w:rsidRPr="002E70D5" w14:paraId="0E61B6E0" w14:textId="77777777" w:rsidTr="3D6ED029">
        <w:trPr>
          <w:trHeight w:val="218"/>
        </w:trPr>
        <w:tc>
          <w:tcPr>
            <w:tcW w:w="5640" w:type="dxa"/>
            <w:tcBorders>
              <w:top w:val="nil"/>
              <w:left w:val="single" w:sz="4" w:space="0" w:color="auto"/>
              <w:bottom w:val="single" w:sz="4" w:space="0" w:color="auto"/>
              <w:right w:val="single" w:sz="4" w:space="0" w:color="auto"/>
            </w:tcBorders>
            <w:noWrap/>
            <w:vAlign w:val="center"/>
            <w:hideMark/>
          </w:tcPr>
          <w:p w14:paraId="6037ED1E"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Jövedelempótló és jövedelemkiegészítő ellátások</w:t>
            </w:r>
          </w:p>
        </w:tc>
        <w:tc>
          <w:tcPr>
            <w:tcW w:w="1024" w:type="dxa"/>
            <w:tcBorders>
              <w:top w:val="nil"/>
              <w:left w:val="single" w:sz="4" w:space="0" w:color="auto"/>
              <w:bottom w:val="single" w:sz="4" w:space="0" w:color="auto"/>
              <w:right w:val="single" w:sz="4" w:space="0" w:color="auto"/>
            </w:tcBorders>
            <w:noWrap/>
            <w:vAlign w:val="bottom"/>
            <w:hideMark/>
          </w:tcPr>
          <w:p w14:paraId="5C906EAA" w14:textId="05967CAC"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34,7</w:t>
            </w:r>
          </w:p>
        </w:tc>
        <w:tc>
          <w:tcPr>
            <w:tcW w:w="991" w:type="dxa"/>
            <w:tcBorders>
              <w:top w:val="nil"/>
              <w:left w:val="nil"/>
              <w:bottom w:val="single" w:sz="4" w:space="0" w:color="auto"/>
              <w:right w:val="single" w:sz="4" w:space="0" w:color="auto"/>
            </w:tcBorders>
            <w:noWrap/>
            <w:vAlign w:val="bottom"/>
            <w:hideMark/>
          </w:tcPr>
          <w:p w14:paraId="2BF256A3" w14:textId="74DF92EE"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37,1</w:t>
            </w:r>
          </w:p>
        </w:tc>
        <w:tc>
          <w:tcPr>
            <w:tcW w:w="850" w:type="dxa"/>
            <w:tcBorders>
              <w:top w:val="nil"/>
              <w:left w:val="nil"/>
              <w:bottom w:val="single" w:sz="4" w:space="0" w:color="auto"/>
              <w:right w:val="single" w:sz="4" w:space="0" w:color="auto"/>
            </w:tcBorders>
            <w:noWrap/>
            <w:vAlign w:val="bottom"/>
            <w:hideMark/>
          </w:tcPr>
          <w:p w14:paraId="0AF26DC1" w14:textId="75810850"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2,4</w:t>
            </w:r>
          </w:p>
        </w:tc>
        <w:tc>
          <w:tcPr>
            <w:tcW w:w="733" w:type="dxa"/>
            <w:tcBorders>
              <w:top w:val="nil"/>
              <w:left w:val="nil"/>
              <w:bottom w:val="single" w:sz="4" w:space="0" w:color="auto"/>
              <w:right w:val="single" w:sz="4" w:space="0" w:color="auto"/>
            </w:tcBorders>
            <w:noWrap/>
            <w:vAlign w:val="bottom"/>
            <w:hideMark/>
          </w:tcPr>
          <w:p w14:paraId="116943FB" w14:textId="297DA4C5"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106,9</w:t>
            </w:r>
          </w:p>
        </w:tc>
      </w:tr>
      <w:tr w:rsidR="00374988" w:rsidRPr="002E70D5" w14:paraId="4BD7171B" w14:textId="77777777" w:rsidTr="3D6ED029">
        <w:trPr>
          <w:trHeight w:val="218"/>
        </w:trPr>
        <w:tc>
          <w:tcPr>
            <w:tcW w:w="5640" w:type="dxa"/>
            <w:tcBorders>
              <w:top w:val="nil"/>
              <w:left w:val="single" w:sz="4" w:space="0" w:color="auto"/>
              <w:bottom w:val="single" w:sz="4" w:space="0" w:color="auto"/>
              <w:right w:val="single" w:sz="4" w:space="0" w:color="auto"/>
            </w:tcBorders>
            <w:noWrap/>
            <w:vAlign w:val="center"/>
            <w:hideMark/>
          </w:tcPr>
          <w:p w14:paraId="55B155D0"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Járási szociális feladatok ellátása</w:t>
            </w:r>
          </w:p>
        </w:tc>
        <w:tc>
          <w:tcPr>
            <w:tcW w:w="1024" w:type="dxa"/>
            <w:tcBorders>
              <w:top w:val="nil"/>
              <w:left w:val="single" w:sz="4" w:space="0" w:color="auto"/>
              <w:bottom w:val="single" w:sz="4" w:space="0" w:color="auto"/>
              <w:right w:val="single" w:sz="4" w:space="0" w:color="auto"/>
            </w:tcBorders>
            <w:noWrap/>
            <w:vAlign w:val="bottom"/>
            <w:hideMark/>
          </w:tcPr>
          <w:p w14:paraId="0F35ED60" w14:textId="274830B2"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58,9</w:t>
            </w:r>
          </w:p>
        </w:tc>
        <w:tc>
          <w:tcPr>
            <w:tcW w:w="991" w:type="dxa"/>
            <w:tcBorders>
              <w:top w:val="nil"/>
              <w:left w:val="nil"/>
              <w:bottom w:val="single" w:sz="4" w:space="0" w:color="auto"/>
              <w:right w:val="single" w:sz="4" w:space="0" w:color="auto"/>
            </w:tcBorders>
            <w:noWrap/>
            <w:vAlign w:val="bottom"/>
            <w:hideMark/>
          </w:tcPr>
          <w:p w14:paraId="22E02311" w14:textId="4B505344"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68,4</w:t>
            </w:r>
          </w:p>
        </w:tc>
        <w:tc>
          <w:tcPr>
            <w:tcW w:w="850" w:type="dxa"/>
            <w:tcBorders>
              <w:top w:val="nil"/>
              <w:left w:val="nil"/>
              <w:bottom w:val="single" w:sz="4" w:space="0" w:color="auto"/>
              <w:right w:val="single" w:sz="4" w:space="0" w:color="auto"/>
            </w:tcBorders>
            <w:noWrap/>
            <w:vAlign w:val="bottom"/>
            <w:hideMark/>
          </w:tcPr>
          <w:p w14:paraId="0BADF695" w14:textId="3BC7554F"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9,5</w:t>
            </w:r>
          </w:p>
        </w:tc>
        <w:tc>
          <w:tcPr>
            <w:tcW w:w="733" w:type="dxa"/>
            <w:tcBorders>
              <w:top w:val="nil"/>
              <w:left w:val="nil"/>
              <w:bottom w:val="single" w:sz="4" w:space="0" w:color="auto"/>
              <w:right w:val="single" w:sz="4" w:space="0" w:color="auto"/>
            </w:tcBorders>
            <w:noWrap/>
            <w:vAlign w:val="bottom"/>
            <w:hideMark/>
          </w:tcPr>
          <w:p w14:paraId="2BD95678" w14:textId="768FADE9"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116,1</w:t>
            </w:r>
          </w:p>
        </w:tc>
      </w:tr>
      <w:tr w:rsidR="00374988" w:rsidRPr="002E70D5" w14:paraId="5D884F8B"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159E34A9" w14:textId="77777777" w:rsidR="00374988" w:rsidRPr="002E70D5" w:rsidRDefault="3D6ED029" w:rsidP="3D6ED029">
            <w:pPr>
              <w:spacing w:after="0"/>
              <w:rPr>
                <w:rFonts w:ascii="Times New Roman" w:hAnsi="Times New Roman" w:cs="Times New Roman"/>
                <w:b/>
                <w:bCs/>
                <w:color w:val="000000" w:themeColor="text1"/>
                <w:sz w:val="20"/>
                <w:szCs w:val="20"/>
              </w:rPr>
            </w:pPr>
            <w:r w:rsidRPr="3D6ED029">
              <w:rPr>
                <w:rFonts w:ascii="Times New Roman" w:hAnsi="Times New Roman" w:cs="Times New Roman"/>
                <w:b/>
                <w:bCs/>
                <w:color w:val="000000" w:themeColor="text1"/>
                <w:sz w:val="20"/>
                <w:szCs w:val="20"/>
              </w:rPr>
              <w:t>Különféle jogcímen adott térítések</w:t>
            </w:r>
          </w:p>
        </w:tc>
        <w:tc>
          <w:tcPr>
            <w:tcW w:w="1024" w:type="dxa"/>
            <w:tcBorders>
              <w:top w:val="nil"/>
              <w:left w:val="single" w:sz="4" w:space="0" w:color="auto"/>
              <w:bottom w:val="single" w:sz="4" w:space="0" w:color="auto"/>
              <w:right w:val="single" w:sz="4" w:space="0" w:color="auto"/>
            </w:tcBorders>
            <w:noWrap/>
            <w:vAlign w:val="bottom"/>
            <w:hideMark/>
          </w:tcPr>
          <w:p w14:paraId="715706AA" w14:textId="70B7F9B0"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9,9</w:t>
            </w:r>
          </w:p>
        </w:tc>
        <w:tc>
          <w:tcPr>
            <w:tcW w:w="991" w:type="dxa"/>
            <w:tcBorders>
              <w:top w:val="nil"/>
              <w:left w:val="nil"/>
              <w:bottom w:val="single" w:sz="4" w:space="0" w:color="auto"/>
              <w:right w:val="single" w:sz="4" w:space="0" w:color="auto"/>
            </w:tcBorders>
            <w:noWrap/>
            <w:vAlign w:val="bottom"/>
            <w:hideMark/>
          </w:tcPr>
          <w:p w14:paraId="32A7AEB4" w14:textId="0408111F"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10,0</w:t>
            </w:r>
          </w:p>
        </w:tc>
        <w:tc>
          <w:tcPr>
            <w:tcW w:w="850" w:type="dxa"/>
            <w:tcBorders>
              <w:top w:val="nil"/>
              <w:left w:val="nil"/>
              <w:bottom w:val="single" w:sz="4" w:space="0" w:color="auto"/>
              <w:right w:val="single" w:sz="4" w:space="0" w:color="auto"/>
            </w:tcBorders>
            <w:noWrap/>
            <w:vAlign w:val="bottom"/>
            <w:hideMark/>
          </w:tcPr>
          <w:p w14:paraId="65E60E79" w14:textId="1A5EC34F"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0,1</w:t>
            </w:r>
          </w:p>
        </w:tc>
        <w:tc>
          <w:tcPr>
            <w:tcW w:w="733" w:type="dxa"/>
            <w:tcBorders>
              <w:top w:val="nil"/>
              <w:left w:val="nil"/>
              <w:bottom w:val="single" w:sz="4" w:space="0" w:color="auto"/>
              <w:right w:val="single" w:sz="4" w:space="0" w:color="auto"/>
            </w:tcBorders>
            <w:noWrap/>
            <w:vAlign w:val="bottom"/>
            <w:hideMark/>
          </w:tcPr>
          <w:p w14:paraId="45C6250D" w14:textId="3EC3B7AC"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101,0</w:t>
            </w:r>
          </w:p>
        </w:tc>
      </w:tr>
      <w:tr w:rsidR="00374988" w:rsidRPr="002E70D5" w14:paraId="1F6A3088"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51606FF2" w14:textId="77777777" w:rsidR="00374988" w:rsidRPr="002E70D5" w:rsidRDefault="3D6ED029" w:rsidP="3D6ED029">
            <w:pPr>
              <w:spacing w:after="0"/>
              <w:ind w:firstLineChars="100" w:firstLine="2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 xml:space="preserve">Ebből: </w:t>
            </w:r>
          </w:p>
        </w:tc>
        <w:tc>
          <w:tcPr>
            <w:tcW w:w="1024" w:type="dxa"/>
            <w:tcBorders>
              <w:top w:val="nil"/>
              <w:left w:val="single" w:sz="4" w:space="0" w:color="auto"/>
              <w:bottom w:val="single" w:sz="4" w:space="0" w:color="auto"/>
              <w:right w:val="single" w:sz="4" w:space="0" w:color="auto"/>
            </w:tcBorders>
            <w:noWrap/>
            <w:vAlign w:val="bottom"/>
            <w:hideMark/>
          </w:tcPr>
          <w:p w14:paraId="7BB378B1" w14:textId="32B1285D" w:rsidR="00374988" w:rsidRPr="00374988" w:rsidRDefault="00374988" w:rsidP="1D3ABBAA">
            <w:pPr>
              <w:spacing w:after="0"/>
              <w:jc w:val="right"/>
              <w:rPr>
                <w:rFonts w:ascii="Times New Roman" w:hAnsi="Times New Roman" w:cs="Times New Roman"/>
                <w:sz w:val="20"/>
                <w:szCs w:val="20"/>
              </w:rPr>
            </w:pPr>
          </w:p>
        </w:tc>
        <w:tc>
          <w:tcPr>
            <w:tcW w:w="991" w:type="dxa"/>
            <w:tcBorders>
              <w:top w:val="nil"/>
              <w:left w:val="nil"/>
              <w:bottom w:val="single" w:sz="4" w:space="0" w:color="auto"/>
              <w:right w:val="single" w:sz="4" w:space="0" w:color="auto"/>
            </w:tcBorders>
            <w:noWrap/>
            <w:vAlign w:val="bottom"/>
            <w:hideMark/>
          </w:tcPr>
          <w:p w14:paraId="2F2A2014" w14:textId="0DB6691C" w:rsidR="00374988" w:rsidRPr="00374988" w:rsidRDefault="00374988" w:rsidP="1D3ABBAA">
            <w:pPr>
              <w:spacing w:after="0"/>
              <w:jc w:val="right"/>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noWrap/>
            <w:vAlign w:val="bottom"/>
            <w:hideMark/>
          </w:tcPr>
          <w:p w14:paraId="7E1D69D1" w14:textId="60615FDD" w:rsidR="00374988" w:rsidRPr="00374988" w:rsidRDefault="00374988" w:rsidP="1D3ABBAA">
            <w:pPr>
              <w:spacing w:after="0"/>
              <w:jc w:val="right"/>
              <w:rPr>
                <w:rFonts w:ascii="Times New Roman" w:hAnsi="Times New Roman" w:cs="Times New Roman"/>
                <w:sz w:val="20"/>
                <w:szCs w:val="20"/>
              </w:rPr>
            </w:pPr>
          </w:p>
        </w:tc>
        <w:tc>
          <w:tcPr>
            <w:tcW w:w="733" w:type="dxa"/>
            <w:tcBorders>
              <w:top w:val="nil"/>
              <w:left w:val="nil"/>
              <w:bottom w:val="single" w:sz="4" w:space="0" w:color="auto"/>
              <w:right w:val="single" w:sz="4" w:space="0" w:color="auto"/>
            </w:tcBorders>
            <w:noWrap/>
            <w:vAlign w:val="bottom"/>
            <w:hideMark/>
          </w:tcPr>
          <w:p w14:paraId="49716CDD" w14:textId="6A02F8FE"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 </w:t>
            </w:r>
          </w:p>
        </w:tc>
      </w:tr>
      <w:tr w:rsidR="00374988" w:rsidRPr="002E70D5" w14:paraId="084817F6"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47D48781" w14:textId="77777777" w:rsidR="00374988" w:rsidRPr="002E70D5" w:rsidRDefault="3D6ED029" w:rsidP="3D6ED029">
            <w:pPr>
              <w:spacing w:after="0"/>
              <w:ind w:firstLineChars="400" w:firstLine="800"/>
              <w:rPr>
                <w:rFonts w:ascii="Times New Roman" w:hAnsi="Times New Roman" w:cs="Times New Roman"/>
                <w:i/>
                <w:iCs/>
                <w:color w:val="000000" w:themeColor="text1"/>
                <w:sz w:val="20"/>
                <w:szCs w:val="20"/>
              </w:rPr>
            </w:pPr>
            <w:r w:rsidRPr="3D6ED029">
              <w:rPr>
                <w:rFonts w:ascii="Times New Roman" w:hAnsi="Times New Roman" w:cs="Times New Roman"/>
                <w:i/>
                <w:iCs/>
                <w:color w:val="000000" w:themeColor="text1"/>
                <w:sz w:val="20"/>
                <w:szCs w:val="20"/>
              </w:rPr>
              <w:t>közgyógyellátás</w:t>
            </w:r>
          </w:p>
        </w:tc>
        <w:tc>
          <w:tcPr>
            <w:tcW w:w="1024" w:type="dxa"/>
            <w:tcBorders>
              <w:top w:val="nil"/>
              <w:left w:val="single" w:sz="4" w:space="0" w:color="auto"/>
              <w:bottom w:val="single" w:sz="4" w:space="0" w:color="auto"/>
              <w:right w:val="single" w:sz="4" w:space="0" w:color="auto"/>
            </w:tcBorders>
            <w:noWrap/>
            <w:vAlign w:val="bottom"/>
            <w:hideMark/>
          </w:tcPr>
          <w:p w14:paraId="3F5F3F3F" w14:textId="4C7E3996"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6,6</w:t>
            </w:r>
          </w:p>
        </w:tc>
        <w:tc>
          <w:tcPr>
            <w:tcW w:w="991" w:type="dxa"/>
            <w:tcBorders>
              <w:top w:val="nil"/>
              <w:left w:val="nil"/>
              <w:bottom w:val="single" w:sz="4" w:space="0" w:color="auto"/>
              <w:right w:val="single" w:sz="4" w:space="0" w:color="auto"/>
            </w:tcBorders>
            <w:noWrap/>
            <w:vAlign w:val="bottom"/>
            <w:hideMark/>
          </w:tcPr>
          <w:p w14:paraId="440A367E" w14:textId="28E1B992"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6,6</w:t>
            </w:r>
          </w:p>
        </w:tc>
        <w:tc>
          <w:tcPr>
            <w:tcW w:w="850" w:type="dxa"/>
            <w:tcBorders>
              <w:top w:val="nil"/>
              <w:left w:val="nil"/>
              <w:bottom w:val="single" w:sz="4" w:space="0" w:color="auto"/>
              <w:right w:val="single" w:sz="4" w:space="0" w:color="auto"/>
            </w:tcBorders>
            <w:noWrap/>
            <w:vAlign w:val="bottom"/>
            <w:hideMark/>
          </w:tcPr>
          <w:p w14:paraId="56D95B1C" w14:textId="0FBE93C7"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0,0</w:t>
            </w:r>
          </w:p>
        </w:tc>
        <w:tc>
          <w:tcPr>
            <w:tcW w:w="733" w:type="dxa"/>
            <w:tcBorders>
              <w:top w:val="nil"/>
              <w:left w:val="nil"/>
              <w:bottom w:val="single" w:sz="4" w:space="0" w:color="auto"/>
              <w:right w:val="single" w:sz="4" w:space="0" w:color="auto"/>
            </w:tcBorders>
            <w:noWrap/>
            <w:vAlign w:val="bottom"/>
            <w:hideMark/>
          </w:tcPr>
          <w:p w14:paraId="6B892B1E" w14:textId="558123F8" w:rsidR="00374988" w:rsidRPr="00374988" w:rsidRDefault="3D6ED029" w:rsidP="3D6ED029">
            <w:pPr>
              <w:spacing w:after="0"/>
              <w:jc w:val="right"/>
              <w:rPr>
                <w:rFonts w:ascii="Times New Roman" w:hAnsi="Times New Roman" w:cs="Times New Roman"/>
                <w:sz w:val="20"/>
                <w:szCs w:val="20"/>
              </w:rPr>
            </w:pPr>
            <w:r w:rsidRPr="3D6ED029">
              <w:rPr>
                <w:rFonts w:ascii="Times New Roman" w:hAnsi="Times New Roman" w:cs="Times New Roman"/>
                <w:sz w:val="20"/>
                <w:szCs w:val="20"/>
              </w:rPr>
              <w:t>100,0</w:t>
            </w:r>
          </w:p>
        </w:tc>
      </w:tr>
      <w:tr w:rsidR="00374988" w:rsidRPr="002E70D5" w14:paraId="4A95CF06" w14:textId="77777777" w:rsidTr="3D6ED029">
        <w:trPr>
          <w:trHeight w:val="218"/>
        </w:trPr>
        <w:tc>
          <w:tcPr>
            <w:tcW w:w="5640" w:type="dxa"/>
            <w:tcBorders>
              <w:top w:val="nil"/>
              <w:left w:val="single" w:sz="4" w:space="0" w:color="auto"/>
              <w:bottom w:val="single" w:sz="4" w:space="0" w:color="auto"/>
              <w:right w:val="single" w:sz="4" w:space="0" w:color="auto"/>
            </w:tcBorders>
            <w:noWrap/>
            <w:vAlign w:val="bottom"/>
            <w:hideMark/>
          </w:tcPr>
          <w:p w14:paraId="50CBE7CC" w14:textId="77777777" w:rsidR="00374988" w:rsidRPr="002E70D5" w:rsidRDefault="3D6ED029" w:rsidP="3D6ED029">
            <w:pPr>
              <w:spacing w:after="0"/>
              <w:rPr>
                <w:rFonts w:ascii="Times New Roman" w:hAnsi="Times New Roman" w:cs="Times New Roman"/>
                <w:b/>
                <w:bCs/>
                <w:color w:val="000000" w:themeColor="text1"/>
                <w:sz w:val="20"/>
                <w:szCs w:val="20"/>
              </w:rPr>
            </w:pPr>
            <w:r w:rsidRPr="3D6ED029">
              <w:rPr>
                <w:rFonts w:ascii="Times New Roman" w:hAnsi="Times New Roman" w:cs="Times New Roman"/>
                <w:b/>
                <w:bCs/>
                <w:color w:val="000000" w:themeColor="text1"/>
                <w:sz w:val="20"/>
                <w:szCs w:val="20"/>
              </w:rPr>
              <w:t>Összesen</w:t>
            </w:r>
          </w:p>
        </w:tc>
        <w:tc>
          <w:tcPr>
            <w:tcW w:w="1024" w:type="dxa"/>
            <w:tcBorders>
              <w:top w:val="nil"/>
              <w:left w:val="single" w:sz="4" w:space="0" w:color="auto"/>
              <w:bottom w:val="single" w:sz="4" w:space="0" w:color="auto"/>
              <w:right w:val="single" w:sz="4" w:space="0" w:color="auto"/>
            </w:tcBorders>
            <w:noWrap/>
            <w:vAlign w:val="bottom"/>
            <w:hideMark/>
          </w:tcPr>
          <w:p w14:paraId="39885620" w14:textId="50B31656"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327,1</w:t>
            </w:r>
          </w:p>
        </w:tc>
        <w:tc>
          <w:tcPr>
            <w:tcW w:w="991" w:type="dxa"/>
            <w:tcBorders>
              <w:top w:val="nil"/>
              <w:left w:val="nil"/>
              <w:bottom w:val="single" w:sz="4" w:space="0" w:color="auto"/>
              <w:right w:val="single" w:sz="4" w:space="0" w:color="auto"/>
            </w:tcBorders>
            <w:noWrap/>
            <w:vAlign w:val="bottom"/>
            <w:hideMark/>
          </w:tcPr>
          <w:p w14:paraId="3E5CDB5F" w14:textId="3210ADBA"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338,1</w:t>
            </w:r>
          </w:p>
        </w:tc>
        <w:tc>
          <w:tcPr>
            <w:tcW w:w="850" w:type="dxa"/>
            <w:tcBorders>
              <w:top w:val="nil"/>
              <w:left w:val="nil"/>
              <w:bottom w:val="single" w:sz="4" w:space="0" w:color="auto"/>
              <w:right w:val="single" w:sz="4" w:space="0" w:color="auto"/>
            </w:tcBorders>
            <w:noWrap/>
            <w:vAlign w:val="bottom"/>
            <w:hideMark/>
          </w:tcPr>
          <w:p w14:paraId="0B58ABDF" w14:textId="4D566C63"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11,0</w:t>
            </w:r>
          </w:p>
        </w:tc>
        <w:tc>
          <w:tcPr>
            <w:tcW w:w="733" w:type="dxa"/>
            <w:tcBorders>
              <w:top w:val="nil"/>
              <w:left w:val="nil"/>
              <w:bottom w:val="single" w:sz="4" w:space="0" w:color="auto"/>
              <w:right w:val="single" w:sz="4" w:space="0" w:color="auto"/>
            </w:tcBorders>
            <w:noWrap/>
            <w:vAlign w:val="bottom"/>
            <w:hideMark/>
          </w:tcPr>
          <w:p w14:paraId="63C6541D" w14:textId="48CECC41" w:rsidR="00374988" w:rsidRPr="00374988" w:rsidRDefault="3D6ED029" w:rsidP="3D6ED029">
            <w:pPr>
              <w:spacing w:after="0"/>
              <w:jc w:val="right"/>
              <w:rPr>
                <w:rFonts w:ascii="Times New Roman" w:hAnsi="Times New Roman" w:cs="Times New Roman"/>
                <w:b/>
                <w:bCs/>
                <w:sz w:val="20"/>
                <w:szCs w:val="20"/>
              </w:rPr>
            </w:pPr>
            <w:r w:rsidRPr="3D6ED029">
              <w:rPr>
                <w:rFonts w:ascii="Times New Roman" w:hAnsi="Times New Roman" w:cs="Times New Roman"/>
                <w:b/>
                <w:bCs/>
                <w:sz w:val="20"/>
                <w:szCs w:val="20"/>
              </w:rPr>
              <w:t>103,4</w:t>
            </w:r>
          </w:p>
        </w:tc>
      </w:tr>
    </w:tbl>
    <w:p w14:paraId="34B7B69D" w14:textId="178F61E5" w:rsidR="20D1F198" w:rsidRDefault="3D6ED029" w:rsidP="00496D0A">
      <w:pPr>
        <w:spacing w:before="160"/>
        <w:jc w:val="both"/>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családi támogatásokra</w:t>
      </w:r>
      <w:r w:rsidRPr="3D6ED029">
        <w:rPr>
          <w:rFonts w:ascii="Times New Roman" w:eastAsia="Times New Roman" w:hAnsi="Times New Roman" w:cs="Times New Roman"/>
          <w:sz w:val="26"/>
          <w:szCs w:val="26"/>
        </w:rPr>
        <w:t xml:space="preserve"> 2026 első öt hónapjában összesen 164,7 milliárd forintot fizettek ki, amely 2,5 milliárd forinttal volt alacsonyabb az előző évi teljesítésnél.</w:t>
      </w:r>
    </w:p>
    <w:p w14:paraId="047D32AE" w14:textId="3521D020" w:rsidR="20D1F198" w:rsidRDefault="3D6ED029" w:rsidP="00496D0A">
      <w:pPr>
        <w:spacing w:before="160"/>
        <w:jc w:val="both"/>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korhatár alatti ellátások</w:t>
      </w:r>
      <w:r w:rsidRPr="3D6ED029">
        <w:rPr>
          <w:rFonts w:ascii="Times New Roman" w:eastAsia="Times New Roman" w:hAnsi="Times New Roman" w:cs="Times New Roman"/>
          <w:sz w:val="26"/>
          <w:szCs w:val="26"/>
        </w:rPr>
        <w:t xml:space="preserve"> esetében a kiadás 1,5 milliárd forinttal magasabb volt az előző év azonos időszakához képest. A kiadások növekedését elsősorban az okozta, hogy februárban a korhatár előtti ellátásban részesülő személyek is részesültek 13. havi ellátásban és 14. havi ellátás 25%-ában. Ezen túlmenően januárban sor került – az öregségi nyugdíjakhoz hasonlóan – az ellátások 3,6%-os emelésére is.</w:t>
      </w:r>
    </w:p>
    <w:p w14:paraId="13D1AFC4" w14:textId="5A10B331" w:rsidR="20D1F198" w:rsidRDefault="3D6ED029" w:rsidP="00496D0A">
      <w:pPr>
        <w:spacing w:before="160"/>
        <w:jc w:val="both"/>
      </w:pPr>
      <w:r w:rsidRPr="3D6ED029">
        <w:rPr>
          <w:rFonts w:ascii="Times New Roman" w:eastAsia="Times New Roman" w:hAnsi="Times New Roman" w:cs="Times New Roman"/>
          <w:sz w:val="26"/>
          <w:szCs w:val="26"/>
        </w:rPr>
        <w:t>2026</w:t>
      </w:r>
      <w:r w:rsidR="00496D0A">
        <w:rPr>
          <w:rFonts w:ascii="Times New Roman" w:eastAsia="Times New Roman" w:hAnsi="Times New Roman" w:cs="Times New Roman"/>
          <w:sz w:val="26"/>
          <w:szCs w:val="26"/>
        </w:rPr>
        <w:t>.</w:t>
      </w:r>
      <w:r w:rsidRPr="3D6ED029">
        <w:rPr>
          <w:rFonts w:ascii="Times New Roman" w:eastAsia="Times New Roman" w:hAnsi="Times New Roman" w:cs="Times New Roman"/>
          <w:sz w:val="26"/>
          <w:szCs w:val="26"/>
        </w:rPr>
        <w:t xml:space="preserve"> május végéig a </w:t>
      </w:r>
      <w:r w:rsidRPr="00496D0A">
        <w:rPr>
          <w:rFonts w:ascii="Times New Roman" w:eastAsia="Times New Roman" w:hAnsi="Times New Roman" w:cs="Times New Roman"/>
          <w:b/>
          <w:bCs/>
          <w:sz w:val="26"/>
          <w:szCs w:val="26"/>
        </w:rPr>
        <w:t>jövedelempótló és jövedelemkiegészítő szociális támogatásokra</w:t>
      </w:r>
      <w:r w:rsidRPr="3D6ED029">
        <w:rPr>
          <w:rFonts w:ascii="Times New Roman" w:eastAsia="Times New Roman" w:hAnsi="Times New Roman" w:cs="Times New Roman"/>
          <w:sz w:val="26"/>
          <w:szCs w:val="26"/>
        </w:rPr>
        <w:t xml:space="preserve"> biztosított kiadásokon belül a </w:t>
      </w:r>
      <w:r w:rsidRPr="00496D0A">
        <w:rPr>
          <w:rFonts w:ascii="Times New Roman" w:eastAsia="Times New Roman" w:hAnsi="Times New Roman" w:cs="Times New Roman"/>
          <w:sz w:val="26"/>
          <w:szCs w:val="26"/>
        </w:rPr>
        <w:t>járási szociális feladatok ellátására</w:t>
      </w:r>
      <w:r w:rsidRPr="3D6ED029">
        <w:rPr>
          <w:rFonts w:ascii="Times New Roman" w:eastAsia="Times New Roman" w:hAnsi="Times New Roman" w:cs="Times New Roman"/>
          <w:sz w:val="26"/>
          <w:szCs w:val="26"/>
        </w:rPr>
        <w:t xml:space="preserve"> (gyermekek otthongondozási díja, ápolási díj, időskorúak járadéka, foglalkoztatást helyettesítő támogatás, egészségkárosodási és gyermekfelügyeleti támogatás) 68,4 milliárd forintot </w:t>
      </w:r>
      <w:r w:rsidRPr="3D6ED029">
        <w:rPr>
          <w:rFonts w:ascii="Times New Roman" w:eastAsia="Times New Roman" w:hAnsi="Times New Roman" w:cs="Times New Roman"/>
          <w:sz w:val="26"/>
          <w:szCs w:val="26"/>
        </w:rPr>
        <w:lastRenderedPageBreak/>
        <w:t>fordítottak, mely 9,5 milliárd forinttal magasabb az előző évi adatnál. A növekedést az</w:t>
      </w:r>
      <w:r w:rsidR="006D524E">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okozza, hogy 2026. januártól a gyermekek otthongondozási díj összege a minimálbér emelkedése miatt (290 800 forintról 322 800 forintra) emelkedett, az ápolási díj összege pedig 3,6%-kal nőtt, és a gyermekek otthongondozási díjában részesülők száma is folyamatosan emelkedik.</w:t>
      </w:r>
    </w:p>
    <w:p w14:paraId="444EB994" w14:textId="7C1E6953" w:rsidR="20D1F198" w:rsidRPr="00496D0A" w:rsidRDefault="3D6ED029" w:rsidP="00496D0A">
      <w:pPr>
        <w:spacing w:before="160"/>
        <w:jc w:val="both"/>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Jövedelempótló és jövedelemkiegészítő ellátások</w:t>
      </w:r>
      <w:r w:rsidRPr="3D6ED029">
        <w:rPr>
          <w:rFonts w:ascii="Times New Roman" w:eastAsia="Times New Roman" w:hAnsi="Times New Roman" w:cs="Times New Roman"/>
          <w:sz w:val="26"/>
          <w:szCs w:val="26"/>
        </w:rPr>
        <w:t xml:space="preserve"> előirányzat tartalmazza a</w:t>
      </w:r>
      <w:r w:rsidR="0073668C">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 xml:space="preserve">fogyatékossági támogatás, a vakok személyi járadéka, az átmeneti bányászjáradék és számos további, jellemzően kifutó jellegű ellátás (pl. mezőgazdasági járadék, politikai rehabilitációs és más nyugdíj-kiegészítések, házastársi pótlék) forrását. A </w:t>
      </w:r>
      <w:r w:rsidRPr="3D6ED029">
        <w:rPr>
          <w:rFonts w:ascii="Times New Roman" w:eastAsia="Times New Roman" w:hAnsi="Times New Roman" w:cs="Times New Roman"/>
          <w:b/>
          <w:bCs/>
          <w:sz w:val="26"/>
          <w:szCs w:val="26"/>
        </w:rPr>
        <w:t>jövedelempótló és jövedelemkiegészítő ellátásokra</w:t>
      </w:r>
      <w:r w:rsidRPr="3D6ED029">
        <w:rPr>
          <w:rFonts w:ascii="Times New Roman" w:eastAsia="Times New Roman" w:hAnsi="Times New Roman" w:cs="Times New Roman"/>
          <w:sz w:val="26"/>
          <w:szCs w:val="26"/>
        </w:rPr>
        <w:t xml:space="preserve"> 37,1 milliárd forintot fizettek ki, mely az előző évi kifizetésnél 2,4 milliárd forinttal magasabb. A kiadások növekedését egyes ellátások januárban végrehajtott 3,6%-os emelésének, valamint a 2026. februárjában kifizetett 13.</w:t>
      </w:r>
      <w:r w:rsidR="00496D0A">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 xml:space="preserve">havi ellátásnak és 14. havi ellátás 25%-ának hatása okozza. A </w:t>
      </w:r>
      <w:r w:rsidRPr="3D6ED029">
        <w:rPr>
          <w:rFonts w:ascii="Times New Roman" w:eastAsia="Times New Roman" w:hAnsi="Times New Roman" w:cs="Times New Roman"/>
          <w:b/>
          <w:bCs/>
          <w:sz w:val="26"/>
          <w:szCs w:val="26"/>
        </w:rPr>
        <w:t>különféle jogcímen adott térítések</w:t>
      </w:r>
      <w:r w:rsidRPr="3D6ED029">
        <w:rPr>
          <w:rFonts w:ascii="Times New Roman" w:eastAsia="Times New Roman" w:hAnsi="Times New Roman" w:cs="Times New Roman"/>
          <w:sz w:val="26"/>
          <w:szCs w:val="26"/>
        </w:rPr>
        <w:t xml:space="preserve"> 2026</w:t>
      </w:r>
      <w:r w:rsidR="00782813">
        <w:rPr>
          <w:rFonts w:ascii="Times New Roman" w:eastAsia="Times New Roman" w:hAnsi="Times New Roman" w:cs="Times New Roman"/>
          <w:sz w:val="26"/>
          <w:szCs w:val="26"/>
        </w:rPr>
        <w:t>.</w:t>
      </w:r>
      <w:r w:rsidRPr="3D6ED029">
        <w:rPr>
          <w:rFonts w:ascii="Times New Roman" w:eastAsia="Times New Roman" w:hAnsi="Times New Roman" w:cs="Times New Roman"/>
          <w:sz w:val="26"/>
          <w:szCs w:val="26"/>
        </w:rPr>
        <w:t xml:space="preserve"> május végéig kifizetett összege az előző év azonos időszakával közel azonos. A térítéseken belül a legnagyobb összeget, 6,6</w:t>
      </w:r>
      <w:r w:rsidR="00564C50">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milliárd</w:t>
      </w:r>
      <w:r w:rsidR="0099734D">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forintot a</w:t>
      </w:r>
      <w:r w:rsidR="0073668C">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közgyógyellátásra fizették ki.</w:t>
      </w:r>
    </w:p>
    <w:p w14:paraId="2BBDBEB3" w14:textId="204A1B98" w:rsidR="0032261D" w:rsidRPr="005C3ECD" w:rsidRDefault="3D6ED029" w:rsidP="00496D0A">
      <w:pPr>
        <w:pStyle w:val="NormlWeb"/>
        <w:spacing w:before="160" w:beforeAutospacing="0" w:after="160" w:afterAutospacing="0" w:line="259" w:lineRule="auto"/>
        <w:jc w:val="both"/>
        <w:rPr>
          <w:sz w:val="26"/>
          <w:szCs w:val="26"/>
        </w:rPr>
      </w:pPr>
      <w:r w:rsidRPr="3D6ED029">
        <w:rPr>
          <w:sz w:val="26"/>
          <w:szCs w:val="26"/>
        </w:rPr>
        <w:t xml:space="preserve">A </w:t>
      </w:r>
      <w:r w:rsidRPr="3D6ED029">
        <w:rPr>
          <w:b/>
          <w:bCs/>
          <w:sz w:val="26"/>
          <w:szCs w:val="26"/>
        </w:rPr>
        <w:t>babaváró támogatásokra</w:t>
      </w:r>
      <w:r w:rsidRPr="3D6ED029">
        <w:rPr>
          <w:sz w:val="26"/>
          <w:szCs w:val="26"/>
        </w:rPr>
        <w:t xml:space="preserve"> fordított kiadások összege 2026. május végéig 113,4 milliárd forintot tett ki, amely a törvényi előirányzat 41,0%-ának felel meg, és a 2025. év azonos időszakához viszonyítva 17,7 milliárd forinttal teljesült magasabban.</w:t>
      </w:r>
    </w:p>
    <w:p w14:paraId="7A487CB6" w14:textId="52BD470F" w:rsidR="00FA3493" w:rsidRPr="00B2521A" w:rsidRDefault="3D6ED029" w:rsidP="00B2521A">
      <w:pPr>
        <w:pStyle w:val="NormlWeb"/>
        <w:spacing w:before="160" w:beforeAutospacing="0" w:after="160" w:afterAutospacing="0" w:line="259" w:lineRule="auto"/>
        <w:jc w:val="both"/>
        <w:rPr>
          <w:sz w:val="26"/>
          <w:szCs w:val="26"/>
        </w:rPr>
      </w:pPr>
      <w:bookmarkStart w:id="4" w:name="_Hlk202786542"/>
      <w:r w:rsidRPr="3D6ED029">
        <w:rPr>
          <w:sz w:val="26"/>
          <w:szCs w:val="26"/>
        </w:rPr>
        <w:t xml:space="preserve">A </w:t>
      </w:r>
      <w:r w:rsidRPr="3D6ED029">
        <w:rPr>
          <w:b/>
          <w:bCs/>
          <w:sz w:val="26"/>
          <w:szCs w:val="26"/>
        </w:rPr>
        <w:t>helyi önkormányzatok</w:t>
      </w:r>
      <w:r w:rsidRPr="3D6ED029">
        <w:rPr>
          <w:sz w:val="26"/>
          <w:szCs w:val="26"/>
        </w:rPr>
        <w:t xml:space="preserve"> 2026. évi feladataihoz a hatályos költségvetési törvény alapján 1419,4 milliárd forint állami támogatás került megállapításra. A május havi tényadat alapján összesen 690,3 milliárd forint kifizetés történt, ami a</w:t>
      </w:r>
      <w:r w:rsidR="00496D0A">
        <w:rPr>
          <w:sz w:val="26"/>
          <w:szCs w:val="26"/>
        </w:rPr>
        <w:t>z</w:t>
      </w:r>
      <w:r w:rsidRPr="3D6ED029">
        <w:rPr>
          <w:sz w:val="26"/>
          <w:szCs w:val="26"/>
        </w:rPr>
        <w:t xml:space="preserve"> eredeti előirányzat 48,6%-át teszi ki. Az előző év azonos időszakához viszonyított 109,2 milliárd forint (18,8%-os) növekedés mintegy 60%-a a hivatali dolgozók és tanárok béremeléséből, valamint a minimálbér, garantált bérminimum emeléséből fakad, a többi az év közben létrejött egyedi önkormányzati támogatások többletéből adódik. A jelentősebb tételek alakulását a következő táblázat mutatja:</w:t>
      </w:r>
    </w:p>
    <w:p w14:paraId="2723D8B3" w14:textId="761AB96D" w:rsidR="00C24948" w:rsidRPr="00B32682" w:rsidRDefault="3D6ED029" w:rsidP="3D6ED029">
      <w:pPr>
        <w:pStyle w:val="NormlWeb"/>
        <w:spacing w:before="0" w:beforeAutospacing="0" w:after="160" w:afterAutospacing="0" w:line="259" w:lineRule="auto"/>
        <w:jc w:val="center"/>
      </w:pPr>
      <w:r w:rsidRPr="3D6ED029">
        <w:rPr>
          <w:b/>
          <w:bCs/>
        </w:rPr>
        <w:t>A helyi önkormányzatok támogatásának alakulása (milliárd forint)</w:t>
      </w:r>
    </w:p>
    <w:tbl>
      <w:tblPr>
        <w:tblpPr w:leftFromText="141" w:rightFromText="141" w:vertAnchor="text" w:horzAnchor="margin" w:tblpY="20"/>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1134"/>
        <w:gridCol w:w="1134"/>
        <w:gridCol w:w="850"/>
        <w:gridCol w:w="771"/>
      </w:tblGrid>
      <w:tr w:rsidR="00081A16" w:rsidRPr="00377D59" w14:paraId="6741B982" w14:textId="77777777" w:rsidTr="3D6ED029">
        <w:trPr>
          <w:trHeight w:val="340"/>
        </w:trPr>
        <w:tc>
          <w:tcPr>
            <w:tcW w:w="5382" w:type="dxa"/>
            <w:vMerge w:val="restart"/>
            <w:shd w:val="clear" w:color="auto" w:fill="BDD6EE" w:themeFill="accent1" w:themeFillTint="66"/>
            <w:noWrap/>
            <w:vAlign w:val="center"/>
            <w:hideMark/>
          </w:tcPr>
          <w:p w14:paraId="07514BAA" w14:textId="77777777" w:rsidR="00081A16" w:rsidRPr="00EB7ACF" w:rsidRDefault="3D6ED029" w:rsidP="3D6ED029">
            <w:pPr>
              <w:keepNext/>
              <w:keepLines/>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Megnevezés</w:t>
            </w:r>
          </w:p>
        </w:tc>
        <w:tc>
          <w:tcPr>
            <w:tcW w:w="1134" w:type="dxa"/>
            <w:vMerge w:val="restart"/>
            <w:shd w:val="clear" w:color="auto" w:fill="BDD6EE" w:themeFill="accent1" w:themeFillTint="66"/>
            <w:vAlign w:val="center"/>
            <w:hideMark/>
          </w:tcPr>
          <w:p w14:paraId="5DC080D6" w14:textId="19772E28" w:rsidR="00081A16" w:rsidRPr="00EB7ACF" w:rsidRDefault="3D6ED029" w:rsidP="3D6ED029">
            <w:pPr>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 xml:space="preserve">2025. </w:t>
            </w:r>
            <w:r w:rsidR="1B95ADFA">
              <w:br/>
            </w:r>
            <w:r w:rsidRPr="3D6ED029">
              <w:rPr>
                <w:rFonts w:ascii="Times New Roman" w:hAnsi="Times New Roman" w:cs="Times New Roman"/>
                <w:b/>
                <w:bCs/>
              </w:rPr>
              <w:t>I-V. hó</w:t>
            </w:r>
          </w:p>
        </w:tc>
        <w:tc>
          <w:tcPr>
            <w:tcW w:w="1134" w:type="dxa"/>
            <w:vMerge w:val="restart"/>
            <w:shd w:val="clear" w:color="auto" w:fill="BDD6EE" w:themeFill="accent1" w:themeFillTint="66"/>
            <w:vAlign w:val="center"/>
            <w:hideMark/>
          </w:tcPr>
          <w:p w14:paraId="626AC8BC" w14:textId="0C327114" w:rsidR="00081A16" w:rsidRPr="00EB7ACF" w:rsidRDefault="3D6ED029" w:rsidP="3D6ED029">
            <w:pPr>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 xml:space="preserve">2026. </w:t>
            </w:r>
            <w:r w:rsidR="1B95ADFA">
              <w:br/>
            </w:r>
            <w:r w:rsidRPr="3D6ED029">
              <w:rPr>
                <w:rFonts w:ascii="Times New Roman" w:eastAsia="Times New Roman" w:hAnsi="Times New Roman" w:cs="Times New Roman"/>
                <w:b/>
                <w:bCs/>
                <w:lang w:eastAsia="hu-HU"/>
              </w:rPr>
              <w:t>I-V. hó</w:t>
            </w:r>
          </w:p>
        </w:tc>
        <w:tc>
          <w:tcPr>
            <w:tcW w:w="1621" w:type="dxa"/>
            <w:gridSpan w:val="2"/>
            <w:shd w:val="clear" w:color="auto" w:fill="BDD6EE" w:themeFill="accent1" w:themeFillTint="66"/>
            <w:noWrap/>
            <w:vAlign w:val="center"/>
            <w:hideMark/>
          </w:tcPr>
          <w:p w14:paraId="35A3C823" w14:textId="77777777" w:rsidR="00081A16" w:rsidRPr="00EB7ACF" w:rsidRDefault="3D6ED029" w:rsidP="3D6ED029">
            <w:pPr>
              <w:keepNext/>
              <w:keepLines/>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Eltérés</w:t>
            </w:r>
          </w:p>
        </w:tc>
      </w:tr>
      <w:tr w:rsidR="00C24948" w:rsidRPr="00377D59" w14:paraId="2DD9A798" w14:textId="77777777" w:rsidTr="00C600EF">
        <w:trPr>
          <w:trHeight w:val="340"/>
        </w:trPr>
        <w:tc>
          <w:tcPr>
            <w:tcW w:w="5382" w:type="dxa"/>
            <w:vMerge/>
            <w:shd w:val="clear" w:color="auto" w:fill="BDD6EE" w:themeFill="accent1" w:themeFillTint="66"/>
            <w:vAlign w:val="center"/>
            <w:hideMark/>
          </w:tcPr>
          <w:p w14:paraId="5F76A56A" w14:textId="77777777" w:rsidR="00C24948" w:rsidRPr="00EB7ACF" w:rsidRDefault="00C24948" w:rsidP="00C24948">
            <w:pPr>
              <w:keepNext/>
              <w:keepLines/>
              <w:spacing w:after="0" w:line="240" w:lineRule="auto"/>
              <w:rPr>
                <w:rFonts w:ascii="Times New Roman" w:eastAsia="Times New Roman" w:hAnsi="Times New Roman" w:cs="Times New Roman"/>
                <w:b/>
                <w:bCs/>
                <w:lang w:eastAsia="hu-HU"/>
              </w:rPr>
            </w:pPr>
          </w:p>
        </w:tc>
        <w:tc>
          <w:tcPr>
            <w:tcW w:w="1134" w:type="dxa"/>
            <w:vMerge/>
            <w:shd w:val="clear" w:color="auto" w:fill="BDD6EE" w:themeFill="accent1" w:themeFillTint="66"/>
            <w:vAlign w:val="center"/>
            <w:hideMark/>
          </w:tcPr>
          <w:p w14:paraId="65B4B0A4"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1134" w:type="dxa"/>
            <w:vMerge/>
            <w:shd w:val="clear" w:color="auto" w:fill="BDD6EE" w:themeFill="accent1" w:themeFillTint="66"/>
            <w:vAlign w:val="center"/>
            <w:hideMark/>
          </w:tcPr>
          <w:p w14:paraId="5FE97B50" w14:textId="77777777" w:rsidR="00C24948" w:rsidRPr="00EB7ACF" w:rsidRDefault="00C24948" w:rsidP="00C24948">
            <w:pPr>
              <w:keepNext/>
              <w:keepLines/>
              <w:spacing w:after="0" w:line="240" w:lineRule="auto"/>
              <w:jc w:val="center"/>
              <w:rPr>
                <w:rFonts w:ascii="Times New Roman" w:eastAsia="Times New Roman" w:hAnsi="Times New Roman" w:cs="Times New Roman"/>
                <w:b/>
                <w:bCs/>
                <w:lang w:eastAsia="hu-HU"/>
              </w:rPr>
            </w:pPr>
          </w:p>
        </w:tc>
        <w:tc>
          <w:tcPr>
            <w:tcW w:w="850" w:type="dxa"/>
            <w:shd w:val="clear" w:color="auto" w:fill="BDD6EE" w:themeFill="accent1" w:themeFillTint="66"/>
            <w:noWrap/>
            <w:vAlign w:val="center"/>
            <w:hideMark/>
          </w:tcPr>
          <w:p w14:paraId="1B2C8FF2" w14:textId="77777777" w:rsidR="00C24948" w:rsidRPr="00EB7ACF" w:rsidRDefault="3D6ED029" w:rsidP="3D6ED029">
            <w:pPr>
              <w:keepNext/>
              <w:keepLines/>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Mrd Ft</w:t>
            </w:r>
          </w:p>
        </w:tc>
        <w:tc>
          <w:tcPr>
            <w:tcW w:w="771" w:type="dxa"/>
            <w:shd w:val="clear" w:color="auto" w:fill="BDD6EE" w:themeFill="accent1" w:themeFillTint="66"/>
            <w:noWrap/>
            <w:vAlign w:val="center"/>
            <w:hideMark/>
          </w:tcPr>
          <w:p w14:paraId="179AEF43" w14:textId="77777777" w:rsidR="00C24948" w:rsidRPr="00EB7ACF" w:rsidRDefault="3D6ED029" w:rsidP="3D6ED029">
            <w:pPr>
              <w:keepNext/>
              <w:keepLines/>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w:t>
            </w:r>
          </w:p>
        </w:tc>
      </w:tr>
      <w:tr w:rsidR="00F178C7" w:rsidRPr="00377D59" w14:paraId="5CF52B9C" w14:textId="77777777" w:rsidTr="00C600EF">
        <w:trPr>
          <w:trHeight w:val="510"/>
        </w:trPr>
        <w:tc>
          <w:tcPr>
            <w:tcW w:w="5382" w:type="dxa"/>
            <w:vAlign w:val="center"/>
            <w:hideMark/>
          </w:tcPr>
          <w:p w14:paraId="11FF4C49" w14:textId="77777777" w:rsidR="00F178C7" w:rsidRPr="00EB7ACF" w:rsidRDefault="3D6ED029" w:rsidP="3D6ED029">
            <w:pPr>
              <w:keepNext/>
              <w:keepLines/>
              <w:spacing w:after="0" w:line="240" w:lineRule="auto"/>
              <w:rPr>
                <w:rFonts w:ascii="Times New Roman" w:eastAsia="Times New Roman" w:hAnsi="Times New Roman" w:cs="Times New Roman"/>
                <w:b/>
                <w:bCs/>
                <w:sz w:val="20"/>
                <w:szCs w:val="20"/>
                <w:lang w:eastAsia="hu-HU"/>
              </w:rPr>
            </w:pPr>
            <w:r w:rsidRPr="3D6ED029">
              <w:rPr>
                <w:rFonts w:ascii="Times New Roman" w:eastAsia="Times New Roman" w:hAnsi="Times New Roman" w:cs="Times New Roman"/>
                <w:b/>
                <w:bCs/>
                <w:sz w:val="20"/>
                <w:szCs w:val="20"/>
                <w:lang w:eastAsia="hu-HU"/>
              </w:rPr>
              <w:t>A helyi önkormányzatok általános működésének és ágazati feladatainak támogatása</w:t>
            </w:r>
          </w:p>
        </w:tc>
        <w:tc>
          <w:tcPr>
            <w:tcW w:w="1134" w:type="dxa"/>
            <w:noWrap/>
            <w:vAlign w:val="center"/>
          </w:tcPr>
          <w:p w14:paraId="0A1E4CBD" w14:textId="4876A8BD"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524,0</w:t>
            </w:r>
          </w:p>
        </w:tc>
        <w:tc>
          <w:tcPr>
            <w:tcW w:w="1134" w:type="dxa"/>
            <w:noWrap/>
            <w:vAlign w:val="center"/>
          </w:tcPr>
          <w:p w14:paraId="47729553" w14:textId="6E10D5AF"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594,1</w:t>
            </w:r>
          </w:p>
        </w:tc>
        <w:tc>
          <w:tcPr>
            <w:tcW w:w="850" w:type="dxa"/>
            <w:noWrap/>
            <w:vAlign w:val="center"/>
          </w:tcPr>
          <w:p w14:paraId="11D76081" w14:textId="0E1958E3"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70,1</w:t>
            </w:r>
          </w:p>
        </w:tc>
        <w:tc>
          <w:tcPr>
            <w:tcW w:w="771" w:type="dxa"/>
            <w:noWrap/>
            <w:vAlign w:val="center"/>
          </w:tcPr>
          <w:p w14:paraId="0E9DF60E" w14:textId="5D423EEA"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113,4</w:t>
            </w:r>
          </w:p>
        </w:tc>
      </w:tr>
      <w:tr w:rsidR="00F178C7" w:rsidRPr="00377D59" w14:paraId="66D88640" w14:textId="77777777" w:rsidTr="00C600EF">
        <w:trPr>
          <w:trHeight w:val="340"/>
        </w:trPr>
        <w:tc>
          <w:tcPr>
            <w:tcW w:w="5382" w:type="dxa"/>
            <w:vAlign w:val="center"/>
            <w:hideMark/>
          </w:tcPr>
          <w:p w14:paraId="4496E62C" w14:textId="77777777" w:rsidR="00F178C7" w:rsidRPr="00EB7ACF" w:rsidRDefault="3D6ED029" w:rsidP="3D6ED029">
            <w:pPr>
              <w:keepNext/>
              <w:keepLines/>
              <w:spacing w:after="0" w:line="240" w:lineRule="auto"/>
              <w:rPr>
                <w:rFonts w:ascii="Times New Roman" w:eastAsia="Times New Roman" w:hAnsi="Times New Roman" w:cs="Times New Roman"/>
                <w:i/>
                <w:iCs/>
                <w:sz w:val="20"/>
                <w:szCs w:val="20"/>
                <w:lang w:eastAsia="hu-HU"/>
              </w:rPr>
            </w:pPr>
            <w:r w:rsidRPr="3D6ED029">
              <w:rPr>
                <w:rFonts w:ascii="Times New Roman" w:eastAsia="Times New Roman" w:hAnsi="Times New Roman" w:cs="Times New Roman"/>
                <w:i/>
                <w:iCs/>
                <w:sz w:val="20"/>
                <w:szCs w:val="20"/>
                <w:lang w:eastAsia="hu-HU"/>
              </w:rPr>
              <w:t>A helyi önkormányzatok működésének általános támogatása</w:t>
            </w:r>
          </w:p>
        </w:tc>
        <w:tc>
          <w:tcPr>
            <w:tcW w:w="1134" w:type="dxa"/>
            <w:noWrap/>
            <w:vAlign w:val="center"/>
          </w:tcPr>
          <w:p w14:paraId="6C091267" w14:textId="7EEB5A88"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136,5</w:t>
            </w:r>
          </w:p>
        </w:tc>
        <w:tc>
          <w:tcPr>
            <w:tcW w:w="1134" w:type="dxa"/>
            <w:noWrap/>
            <w:vAlign w:val="center"/>
          </w:tcPr>
          <w:p w14:paraId="3313F341" w14:textId="75D27CDA"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162,1</w:t>
            </w:r>
          </w:p>
        </w:tc>
        <w:tc>
          <w:tcPr>
            <w:tcW w:w="850" w:type="dxa"/>
            <w:noWrap/>
            <w:vAlign w:val="center"/>
          </w:tcPr>
          <w:p w14:paraId="1F67C594" w14:textId="2B9D0FFB"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25,6</w:t>
            </w:r>
          </w:p>
        </w:tc>
        <w:tc>
          <w:tcPr>
            <w:tcW w:w="771" w:type="dxa"/>
            <w:noWrap/>
            <w:vAlign w:val="center"/>
          </w:tcPr>
          <w:p w14:paraId="6B1384BF" w14:textId="5C42E76E"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118,8</w:t>
            </w:r>
          </w:p>
        </w:tc>
      </w:tr>
      <w:tr w:rsidR="00F178C7" w:rsidRPr="00377D59" w14:paraId="644FC967" w14:textId="77777777" w:rsidTr="00C600EF">
        <w:trPr>
          <w:trHeight w:val="510"/>
        </w:trPr>
        <w:tc>
          <w:tcPr>
            <w:tcW w:w="5382" w:type="dxa"/>
            <w:vAlign w:val="center"/>
            <w:hideMark/>
          </w:tcPr>
          <w:p w14:paraId="1BA330A0" w14:textId="77777777" w:rsidR="00F178C7" w:rsidRPr="00EB7ACF" w:rsidRDefault="3D6ED029" w:rsidP="3D6ED029">
            <w:pPr>
              <w:keepNext/>
              <w:keepLines/>
              <w:spacing w:after="0" w:line="240" w:lineRule="auto"/>
              <w:rPr>
                <w:rFonts w:ascii="Times New Roman" w:eastAsia="Times New Roman" w:hAnsi="Times New Roman" w:cs="Times New Roman"/>
                <w:i/>
                <w:iCs/>
                <w:sz w:val="20"/>
                <w:szCs w:val="20"/>
                <w:lang w:eastAsia="hu-HU"/>
              </w:rPr>
            </w:pPr>
            <w:r w:rsidRPr="3D6ED029">
              <w:rPr>
                <w:rFonts w:ascii="Times New Roman" w:eastAsia="Times New Roman" w:hAnsi="Times New Roman" w:cs="Times New Roman"/>
                <w:i/>
                <w:iCs/>
                <w:sz w:val="20"/>
                <w:szCs w:val="20"/>
                <w:lang w:eastAsia="hu-HU"/>
              </w:rPr>
              <w:t>A települési önkormányzatok egyes köznevelési feladatainak támogatása</w:t>
            </w:r>
          </w:p>
        </w:tc>
        <w:tc>
          <w:tcPr>
            <w:tcW w:w="1134" w:type="dxa"/>
            <w:noWrap/>
            <w:vAlign w:val="center"/>
          </w:tcPr>
          <w:p w14:paraId="5E8D28C3" w14:textId="58B70297"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176</w:t>
            </w:r>
            <w:r w:rsidR="00496D0A">
              <w:rPr>
                <w:rFonts w:ascii="Times New Roman" w:hAnsi="Times New Roman" w:cs="Times New Roman"/>
                <w:i/>
                <w:iCs/>
                <w:sz w:val="20"/>
                <w:szCs w:val="20"/>
              </w:rPr>
              <w:t>,0</w:t>
            </w:r>
          </w:p>
        </w:tc>
        <w:tc>
          <w:tcPr>
            <w:tcW w:w="1134" w:type="dxa"/>
            <w:noWrap/>
            <w:vAlign w:val="center"/>
          </w:tcPr>
          <w:p w14:paraId="6861BB58" w14:textId="7E259388"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192,4</w:t>
            </w:r>
          </w:p>
        </w:tc>
        <w:tc>
          <w:tcPr>
            <w:tcW w:w="850" w:type="dxa"/>
            <w:noWrap/>
            <w:vAlign w:val="center"/>
          </w:tcPr>
          <w:p w14:paraId="085D1E80" w14:textId="5D5C20E7"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16,4</w:t>
            </w:r>
          </w:p>
        </w:tc>
        <w:tc>
          <w:tcPr>
            <w:tcW w:w="771" w:type="dxa"/>
            <w:noWrap/>
            <w:vAlign w:val="center"/>
          </w:tcPr>
          <w:p w14:paraId="7767CDD1" w14:textId="397FE536"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109,3</w:t>
            </w:r>
          </w:p>
        </w:tc>
      </w:tr>
      <w:tr w:rsidR="00F178C7" w:rsidRPr="00377D59" w14:paraId="11F06AEB" w14:textId="77777777" w:rsidTr="00C600EF">
        <w:trPr>
          <w:trHeight w:val="510"/>
        </w:trPr>
        <w:tc>
          <w:tcPr>
            <w:tcW w:w="5382" w:type="dxa"/>
            <w:vAlign w:val="center"/>
            <w:hideMark/>
          </w:tcPr>
          <w:p w14:paraId="63EE65A2" w14:textId="77777777" w:rsidR="00F178C7" w:rsidRPr="00EB7ACF" w:rsidRDefault="3D6ED029" w:rsidP="3D6ED029">
            <w:pPr>
              <w:keepNext/>
              <w:keepLines/>
              <w:spacing w:after="0" w:line="240" w:lineRule="auto"/>
              <w:rPr>
                <w:rFonts w:ascii="Times New Roman" w:eastAsia="Times New Roman" w:hAnsi="Times New Roman" w:cs="Times New Roman"/>
                <w:i/>
                <w:iCs/>
                <w:sz w:val="20"/>
                <w:szCs w:val="20"/>
                <w:lang w:eastAsia="hu-HU"/>
              </w:rPr>
            </w:pPr>
            <w:r w:rsidRPr="3D6ED029">
              <w:rPr>
                <w:rFonts w:ascii="Times New Roman" w:eastAsia="Times New Roman" w:hAnsi="Times New Roman" w:cs="Times New Roman"/>
                <w:i/>
                <w:iCs/>
                <w:sz w:val="20"/>
                <w:szCs w:val="20"/>
                <w:lang w:eastAsia="hu-HU"/>
              </w:rPr>
              <w:t>A települési önkormányzatok egyes szociális, gyermekjóléti és gyermekétkeztetési feladatainak támogatása</w:t>
            </w:r>
          </w:p>
        </w:tc>
        <w:tc>
          <w:tcPr>
            <w:tcW w:w="1134" w:type="dxa"/>
            <w:noWrap/>
            <w:vAlign w:val="center"/>
          </w:tcPr>
          <w:p w14:paraId="4BBDE34C" w14:textId="78244962"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201,6</w:t>
            </w:r>
          </w:p>
        </w:tc>
        <w:tc>
          <w:tcPr>
            <w:tcW w:w="1134" w:type="dxa"/>
            <w:noWrap/>
            <w:vAlign w:val="center"/>
          </w:tcPr>
          <w:p w14:paraId="4EC5C695" w14:textId="2357AE73"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229,7</w:t>
            </w:r>
          </w:p>
        </w:tc>
        <w:tc>
          <w:tcPr>
            <w:tcW w:w="850" w:type="dxa"/>
            <w:noWrap/>
            <w:vAlign w:val="center"/>
          </w:tcPr>
          <w:p w14:paraId="14601228" w14:textId="3780F4F6"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28,1</w:t>
            </w:r>
          </w:p>
        </w:tc>
        <w:tc>
          <w:tcPr>
            <w:tcW w:w="771" w:type="dxa"/>
            <w:noWrap/>
            <w:vAlign w:val="center"/>
          </w:tcPr>
          <w:p w14:paraId="44A53BB5" w14:textId="31B791AB"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113,9</w:t>
            </w:r>
          </w:p>
        </w:tc>
      </w:tr>
      <w:tr w:rsidR="00F178C7" w:rsidRPr="00377D59" w14:paraId="1FC403F4" w14:textId="77777777" w:rsidTr="00C600EF">
        <w:trPr>
          <w:trHeight w:val="340"/>
        </w:trPr>
        <w:tc>
          <w:tcPr>
            <w:tcW w:w="5382" w:type="dxa"/>
            <w:vAlign w:val="center"/>
            <w:hideMark/>
          </w:tcPr>
          <w:p w14:paraId="4F427CE2" w14:textId="77777777" w:rsidR="00F178C7" w:rsidRPr="00EB7ACF" w:rsidRDefault="3D6ED029" w:rsidP="3D6ED029">
            <w:pPr>
              <w:keepNext/>
              <w:keepLines/>
              <w:spacing w:after="0" w:line="240" w:lineRule="auto"/>
              <w:rPr>
                <w:rFonts w:ascii="Times New Roman" w:eastAsia="Times New Roman" w:hAnsi="Times New Roman" w:cs="Times New Roman"/>
                <w:i/>
                <w:iCs/>
                <w:sz w:val="20"/>
                <w:szCs w:val="20"/>
                <w:lang w:eastAsia="hu-HU"/>
              </w:rPr>
            </w:pPr>
            <w:r w:rsidRPr="3D6ED029">
              <w:rPr>
                <w:rFonts w:ascii="Times New Roman" w:eastAsia="Times New Roman" w:hAnsi="Times New Roman" w:cs="Times New Roman"/>
                <w:i/>
                <w:iCs/>
                <w:sz w:val="20"/>
                <w:szCs w:val="20"/>
                <w:lang w:eastAsia="hu-HU"/>
              </w:rPr>
              <w:t>A települési önkormányzatok kulturális feladatainak támogatása</w:t>
            </w:r>
          </w:p>
        </w:tc>
        <w:tc>
          <w:tcPr>
            <w:tcW w:w="1134" w:type="dxa"/>
            <w:noWrap/>
            <w:vAlign w:val="center"/>
          </w:tcPr>
          <w:p w14:paraId="44BDB6D4" w14:textId="6B020C0A"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9,9</w:t>
            </w:r>
          </w:p>
        </w:tc>
        <w:tc>
          <w:tcPr>
            <w:tcW w:w="1134" w:type="dxa"/>
            <w:noWrap/>
            <w:vAlign w:val="center"/>
          </w:tcPr>
          <w:p w14:paraId="3D1BBCDB" w14:textId="0E97D6F6"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sz w:val="20"/>
                <w:szCs w:val="20"/>
              </w:rPr>
              <w:t>9,9</w:t>
            </w:r>
          </w:p>
        </w:tc>
        <w:tc>
          <w:tcPr>
            <w:tcW w:w="850" w:type="dxa"/>
            <w:noWrap/>
            <w:vAlign w:val="center"/>
          </w:tcPr>
          <w:p w14:paraId="6C28EF3A" w14:textId="126CC77E"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0,0</w:t>
            </w:r>
          </w:p>
        </w:tc>
        <w:tc>
          <w:tcPr>
            <w:tcW w:w="771" w:type="dxa"/>
            <w:noWrap/>
            <w:vAlign w:val="center"/>
          </w:tcPr>
          <w:p w14:paraId="796E83D2" w14:textId="680EA5BE" w:rsidR="00F178C7" w:rsidRPr="00F178C7" w:rsidRDefault="3D6ED029" w:rsidP="3D6ED029">
            <w:pPr>
              <w:keepNext/>
              <w:keepLines/>
              <w:spacing w:after="0" w:line="240" w:lineRule="auto"/>
              <w:jc w:val="right"/>
              <w:rPr>
                <w:rFonts w:ascii="Times New Roman" w:eastAsia="Times New Roman" w:hAnsi="Times New Roman" w:cs="Times New Roman"/>
                <w:i/>
                <w:iCs/>
                <w:sz w:val="20"/>
                <w:szCs w:val="20"/>
                <w:lang w:eastAsia="hu-HU"/>
              </w:rPr>
            </w:pPr>
            <w:r w:rsidRPr="3D6ED029">
              <w:rPr>
                <w:rFonts w:ascii="Times New Roman" w:hAnsi="Times New Roman" w:cs="Times New Roman"/>
                <w:i/>
                <w:iCs/>
                <w:sz w:val="20"/>
                <w:szCs w:val="20"/>
              </w:rPr>
              <w:t>100,0</w:t>
            </w:r>
          </w:p>
        </w:tc>
      </w:tr>
      <w:tr w:rsidR="00F178C7" w:rsidRPr="00377D59" w14:paraId="44EF96BF" w14:textId="77777777" w:rsidTr="00C600EF">
        <w:trPr>
          <w:trHeight w:val="340"/>
        </w:trPr>
        <w:tc>
          <w:tcPr>
            <w:tcW w:w="5382" w:type="dxa"/>
            <w:vAlign w:val="center"/>
            <w:hideMark/>
          </w:tcPr>
          <w:p w14:paraId="3DD87A70" w14:textId="766307B5" w:rsidR="00F178C7" w:rsidRPr="00EB7ACF" w:rsidRDefault="3D6ED029" w:rsidP="3D6ED029">
            <w:pPr>
              <w:keepNext/>
              <w:keepLines/>
              <w:spacing w:after="0" w:line="240" w:lineRule="auto"/>
              <w:rPr>
                <w:rFonts w:ascii="Times New Roman" w:eastAsia="Times New Roman" w:hAnsi="Times New Roman" w:cs="Times New Roman"/>
                <w:b/>
                <w:bCs/>
                <w:sz w:val="20"/>
                <w:szCs w:val="20"/>
                <w:lang w:eastAsia="hu-HU"/>
              </w:rPr>
            </w:pPr>
            <w:r w:rsidRPr="3D6ED029">
              <w:rPr>
                <w:rFonts w:ascii="Times New Roman" w:eastAsia="Times New Roman" w:hAnsi="Times New Roman" w:cs="Times New Roman"/>
                <w:b/>
                <w:bCs/>
                <w:sz w:val="20"/>
                <w:szCs w:val="20"/>
                <w:lang w:eastAsia="hu-HU"/>
              </w:rPr>
              <w:t>Helyi önkormányzatok kiegészítő támogatása</w:t>
            </w:r>
          </w:p>
        </w:tc>
        <w:tc>
          <w:tcPr>
            <w:tcW w:w="1134" w:type="dxa"/>
            <w:noWrap/>
            <w:vAlign w:val="center"/>
          </w:tcPr>
          <w:p w14:paraId="34DDE983" w14:textId="3E1F93BF"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56,3</w:t>
            </w:r>
          </w:p>
        </w:tc>
        <w:tc>
          <w:tcPr>
            <w:tcW w:w="1134" w:type="dxa"/>
            <w:noWrap/>
            <w:vAlign w:val="center"/>
          </w:tcPr>
          <w:p w14:paraId="405423BA" w14:textId="61434736"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59,4</w:t>
            </w:r>
          </w:p>
        </w:tc>
        <w:tc>
          <w:tcPr>
            <w:tcW w:w="850" w:type="dxa"/>
            <w:noWrap/>
            <w:vAlign w:val="center"/>
          </w:tcPr>
          <w:p w14:paraId="76EB67F0" w14:textId="115B938E"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3,1</w:t>
            </w:r>
          </w:p>
        </w:tc>
        <w:tc>
          <w:tcPr>
            <w:tcW w:w="771" w:type="dxa"/>
            <w:noWrap/>
            <w:vAlign w:val="center"/>
          </w:tcPr>
          <w:p w14:paraId="3FFF6C6E" w14:textId="6E192ED3"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105,5</w:t>
            </w:r>
          </w:p>
        </w:tc>
      </w:tr>
      <w:tr w:rsidR="00F178C7" w:rsidRPr="00377D59" w14:paraId="648C3F54" w14:textId="77777777" w:rsidTr="00C600EF">
        <w:trPr>
          <w:trHeight w:val="340"/>
        </w:trPr>
        <w:tc>
          <w:tcPr>
            <w:tcW w:w="5382" w:type="dxa"/>
            <w:vAlign w:val="center"/>
            <w:hideMark/>
          </w:tcPr>
          <w:p w14:paraId="3676EE9C" w14:textId="4925EF27" w:rsidR="00F178C7" w:rsidRPr="00EB7ACF" w:rsidRDefault="3D6ED029" w:rsidP="3D6ED029">
            <w:pPr>
              <w:keepNext/>
              <w:keepLines/>
              <w:spacing w:after="0" w:line="240" w:lineRule="auto"/>
              <w:rPr>
                <w:rFonts w:ascii="Times New Roman" w:eastAsia="Times New Roman" w:hAnsi="Times New Roman" w:cs="Times New Roman"/>
                <w:b/>
                <w:bCs/>
                <w:sz w:val="20"/>
                <w:szCs w:val="20"/>
                <w:lang w:eastAsia="hu-HU"/>
              </w:rPr>
            </w:pPr>
            <w:r w:rsidRPr="3D6ED029">
              <w:rPr>
                <w:rFonts w:ascii="Times New Roman" w:eastAsia="Times New Roman" w:hAnsi="Times New Roman" w:cs="Times New Roman"/>
                <w:b/>
                <w:bCs/>
                <w:sz w:val="20"/>
                <w:szCs w:val="20"/>
                <w:lang w:eastAsia="hu-HU"/>
              </w:rPr>
              <w:t>Év közben létrejött új jogcímek kiadásai</w:t>
            </w:r>
          </w:p>
        </w:tc>
        <w:tc>
          <w:tcPr>
            <w:tcW w:w="1134" w:type="dxa"/>
            <w:noWrap/>
            <w:vAlign w:val="center"/>
          </w:tcPr>
          <w:p w14:paraId="0BACAC9E" w14:textId="6FF7A7DE"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0,8</w:t>
            </w:r>
          </w:p>
        </w:tc>
        <w:tc>
          <w:tcPr>
            <w:tcW w:w="1134" w:type="dxa"/>
            <w:noWrap/>
            <w:vAlign w:val="center"/>
          </w:tcPr>
          <w:p w14:paraId="7A66E9FC" w14:textId="2D22A5F3"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36,8</w:t>
            </w:r>
          </w:p>
        </w:tc>
        <w:tc>
          <w:tcPr>
            <w:tcW w:w="850" w:type="dxa"/>
            <w:noWrap/>
            <w:vAlign w:val="center"/>
          </w:tcPr>
          <w:p w14:paraId="592B586A" w14:textId="662B6A15"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36,0</w:t>
            </w:r>
          </w:p>
        </w:tc>
        <w:tc>
          <w:tcPr>
            <w:tcW w:w="771" w:type="dxa"/>
            <w:noWrap/>
            <w:vAlign w:val="center"/>
          </w:tcPr>
          <w:p w14:paraId="6EEBBBB0" w14:textId="307BCC94"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4600,0</w:t>
            </w:r>
          </w:p>
        </w:tc>
      </w:tr>
      <w:tr w:rsidR="00F178C7" w:rsidRPr="00377D59" w14:paraId="60064293" w14:textId="77777777" w:rsidTr="00C600EF">
        <w:trPr>
          <w:trHeight w:val="340"/>
        </w:trPr>
        <w:tc>
          <w:tcPr>
            <w:tcW w:w="5382" w:type="dxa"/>
            <w:noWrap/>
            <w:vAlign w:val="center"/>
            <w:hideMark/>
          </w:tcPr>
          <w:p w14:paraId="73666509" w14:textId="770E1DDA" w:rsidR="00F178C7" w:rsidRPr="00EB7ACF" w:rsidRDefault="3D6ED029" w:rsidP="3D6ED029">
            <w:pPr>
              <w:widowControl w:val="0"/>
              <w:spacing w:after="0" w:line="240" w:lineRule="auto"/>
              <w:rPr>
                <w:rFonts w:ascii="Times New Roman" w:eastAsia="Times New Roman" w:hAnsi="Times New Roman" w:cs="Times New Roman"/>
                <w:b/>
                <w:bCs/>
                <w:sz w:val="20"/>
                <w:szCs w:val="20"/>
                <w:lang w:eastAsia="hu-HU"/>
              </w:rPr>
            </w:pPr>
            <w:r w:rsidRPr="3D6ED029">
              <w:rPr>
                <w:rFonts w:ascii="Times New Roman" w:eastAsia="Times New Roman" w:hAnsi="Times New Roman" w:cs="Times New Roman"/>
                <w:b/>
                <w:bCs/>
                <w:sz w:val="20"/>
                <w:szCs w:val="20"/>
                <w:lang w:eastAsia="hu-HU"/>
              </w:rPr>
              <w:t>Összesen</w:t>
            </w:r>
          </w:p>
        </w:tc>
        <w:tc>
          <w:tcPr>
            <w:tcW w:w="1134" w:type="dxa"/>
            <w:noWrap/>
            <w:vAlign w:val="center"/>
          </w:tcPr>
          <w:p w14:paraId="3A3EFD36" w14:textId="5343F3AA"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581,1</w:t>
            </w:r>
          </w:p>
        </w:tc>
        <w:tc>
          <w:tcPr>
            <w:tcW w:w="1134" w:type="dxa"/>
            <w:noWrap/>
            <w:vAlign w:val="center"/>
          </w:tcPr>
          <w:p w14:paraId="1D84CCAC" w14:textId="7F3F9B78"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690,3</w:t>
            </w:r>
          </w:p>
        </w:tc>
        <w:tc>
          <w:tcPr>
            <w:tcW w:w="850" w:type="dxa"/>
            <w:noWrap/>
            <w:vAlign w:val="center"/>
          </w:tcPr>
          <w:p w14:paraId="0AACA3FA" w14:textId="0F0BE885"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109,2</w:t>
            </w:r>
          </w:p>
        </w:tc>
        <w:tc>
          <w:tcPr>
            <w:tcW w:w="771" w:type="dxa"/>
            <w:noWrap/>
            <w:vAlign w:val="center"/>
          </w:tcPr>
          <w:p w14:paraId="1C1B57DC" w14:textId="00508523" w:rsidR="00F178C7" w:rsidRPr="00F178C7" w:rsidRDefault="3D6ED029" w:rsidP="3D6ED029">
            <w:pPr>
              <w:keepNext/>
              <w:keepLines/>
              <w:spacing w:after="0" w:line="240" w:lineRule="auto"/>
              <w:jc w:val="right"/>
              <w:rPr>
                <w:rFonts w:ascii="Times New Roman" w:eastAsia="Times New Roman" w:hAnsi="Times New Roman" w:cs="Times New Roman"/>
                <w:b/>
                <w:bCs/>
                <w:sz w:val="20"/>
                <w:szCs w:val="20"/>
                <w:lang w:eastAsia="hu-HU"/>
              </w:rPr>
            </w:pPr>
            <w:r w:rsidRPr="3D6ED029">
              <w:rPr>
                <w:rFonts w:ascii="Times New Roman" w:hAnsi="Times New Roman" w:cs="Times New Roman"/>
                <w:b/>
                <w:bCs/>
                <w:sz w:val="20"/>
                <w:szCs w:val="20"/>
              </w:rPr>
              <w:t>118,8</w:t>
            </w:r>
          </w:p>
        </w:tc>
      </w:tr>
    </w:tbl>
    <w:bookmarkEnd w:id="4"/>
    <w:p w14:paraId="2068B27F" w14:textId="07754BA9" w:rsidR="74B9DF17" w:rsidRPr="00CD1AC2" w:rsidRDefault="3D6ED029" w:rsidP="3D6ED029">
      <w:pPr>
        <w:spacing w:before="160"/>
        <w:jc w:val="both"/>
        <w:rPr>
          <w:rFonts w:ascii="Times New Roman" w:eastAsia="Times New Roman" w:hAnsi="Times New Roman" w:cs="Times New Roman"/>
          <w:sz w:val="26"/>
          <w:szCs w:val="26"/>
        </w:rPr>
      </w:pPr>
      <w:r w:rsidRPr="006436D0">
        <w:rPr>
          <w:rFonts w:ascii="Times New Roman" w:eastAsia="Times New Roman" w:hAnsi="Times New Roman" w:cs="Times New Roman"/>
          <w:sz w:val="26"/>
          <w:szCs w:val="26"/>
        </w:rPr>
        <w:lastRenderedPageBreak/>
        <w:t xml:space="preserve">Az </w:t>
      </w:r>
      <w:r w:rsidRPr="006436D0">
        <w:rPr>
          <w:rFonts w:ascii="Times New Roman" w:eastAsia="Times New Roman" w:hAnsi="Times New Roman" w:cs="Times New Roman"/>
          <w:b/>
          <w:bCs/>
          <w:sz w:val="26"/>
          <w:szCs w:val="26"/>
        </w:rPr>
        <w:t>Uniós programok kiadásai</w:t>
      </w:r>
      <w:r w:rsidRPr="006436D0">
        <w:rPr>
          <w:rFonts w:ascii="Times New Roman" w:eastAsia="Times New Roman" w:hAnsi="Times New Roman" w:cs="Times New Roman"/>
          <w:i/>
          <w:iCs/>
          <w:sz w:val="26"/>
          <w:szCs w:val="26"/>
        </w:rPr>
        <w:t xml:space="preserve"> </w:t>
      </w:r>
      <w:r w:rsidRPr="006436D0">
        <w:rPr>
          <w:rFonts w:ascii="Times New Roman" w:eastAsia="Times New Roman" w:hAnsi="Times New Roman" w:cs="Times New Roman"/>
          <w:sz w:val="26"/>
          <w:szCs w:val="26"/>
        </w:rPr>
        <w:t xml:space="preserve">mérlegsoron 2026. </w:t>
      </w:r>
      <w:r w:rsidR="006436D0" w:rsidRPr="006436D0">
        <w:rPr>
          <w:rFonts w:ascii="Times New Roman" w:eastAsia="Times New Roman" w:hAnsi="Times New Roman" w:cs="Times New Roman"/>
          <w:sz w:val="26"/>
          <w:szCs w:val="26"/>
        </w:rPr>
        <w:t>máju</w:t>
      </w:r>
      <w:r w:rsidRPr="006436D0">
        <w:rPr>
          <w:rFonts w:ascii="Times New Roman" w:eastAsia="Times New Roman" w:hAnsi="Times New Roman" w:cs="Times New Roman"/>
          <w:sz w:val="26"/>
          <w:szCs w:val="26"/>
        </w:rPr>
        <w:t>s végéig 7</w:t>
      </w:r>
      <w:r w:rsidR="006436D0" w:rsidRPr="006436D0">
        <w:rPr>
          <w:rFonts w:ascii="Times New Roman" w:eastAsia="Times New Roman" w:hAnsi="Times New Roman" w:cs="Times New Roman"/>
          <w:sz w:val="26"/>
          <w:szCs w:val="26"/>
        </w:rPr>
        <w:t>69,1</w:t>
      </w:r>
      <w:r w:rsidRPr="006436D0">
        <w:rPr>
          <w:rFonts w:ascii="Times New Roman" w:eastAsia="Times New Roman" w:hAnsi="Times New Roman" w:cs="Times New Roman"/>
          <w:sz w:val="26"/>
          <w:szCs w:val="26"/>
        </w:rPr>
        <w:t xml:space="preserve"> milliárd forint összegű kifizetés történt, amely a törvényi előirányzat (2761,2 milliárd forint) 2</w:t>
      </w:r>
      <w:r w:rsidR="006436D0" w:rsidRPr="006436D0">
        <w:rPr>
          <w:rFonts w:ascii="Times New Roman" w:eastAsia="Times New Roman" w:hAnsi="Times New Roman" w:cs="Times New Roman"/>
          <w:sz w:val="26"/>
          <w:szCs w:val="26"/>
        </w:rPr>
        <w:t>7,9</w:t>
      </w:r>
      <w:r w:rsidRPr="006436D0">
        <w:rPr>
          <w:rFonts w:ascii="Times New Roman" w:eastAsia="Times New Roman" w:hAnsi="Times New Roman" w:cs="Times New Roman"/>
          <w:sz w:val="26"/>
          <w:szCs w:val="26"/>
        </w:rPr>
        <w:t xml:space="preserve">%-os teljesítését jelenti. A felmerült kiadások túlnyomó részét a 2021-2027-es Széchenyi </w:t>
      </w:r>
      <w:r w:rsidR="006436D0" w:rsidRPr="006436D0">
        <w:rPr>
          <w:rFonts w:ascii="Times New Roman" w:eastAsia="Times New Roman" w:hAnsi="Times New Roman" w:cs="Times New Roman"/>
          <w:sz w:val="26"/>
          <w:szCs w:val="26"/>
        </w:rPr>
        <w:t xml:space="preserve">Terv </w:t>
      </w:r>
      <w:r w:rsidRPr="006436D0">
        <w:rPr>
          <w:rFonts w:ascii="Times New Roman" w:eastAsia="Times New Roman" w:hAnsi="Times New Roman" w:cs="Times New Roman"/>
          <w:sz w:val="26"/>
          <w:szCs w:val="26"/>
        </w:rPr>
        <w:t>Plusz programjai adták.</w:t>
      </w:r>
    </w:p>
    <w:p w14:paraId="6ABC464B" w14:textId="60303D0D" w:rsidR="74B9DF17" w:rsidRDefault="3D6ED029" w:rsidP="3D6ED029">
      <w:pPr>
        <w:spacing w:before="240" w:after="120"/>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A legnagyobb összegű kifizetéseket ezen időszakban a Széchenyi Terv Plusz operatív programok közül a Terület- és Településfejlesztési OP (TOP Plusz) és a Gazdaságfejlesztési és Innovációs OP Plusz (GINOP Plusz) teljesítette. Kiemelkedők továbbá a Vidékfejlesztési Program és a KAP Stratégiai Terv Vidékfejlesztési Intézkedéseinek kifizetése.</w:t>
      </w:r>
    </w:p>
    <w:p w14:paraId="5F4799EE" w14:textId="58E9382B" w:rsidR="00B2521A" w:rsidRDefault="3D6ED029" w:rsidP="3D6ED029">
      <w:pPr>
        <w:spacing w:before="240" w:after="120"/>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Az </w:t>
      </w:r>
      <w:r w:rsidRPr="3D6ED029">
        <w:rPr>
          <w:rFonts w:ascii="Times New Roman" w:eastAsia="Times New Roman" w:hAnsi="Times New Roman" w:cs="Times New Roman"/>
          <w:b/>
          <w:bCs/>
          <w:sz w:val="26"/>
          <w:szCs w:val="26"/>
        </w:rPr>
        <w:t>állami vagyonnal kapcsolatos kiadások</w:t>
      </w:r>
      <w:r w:rsidRPr="3D6ED029">
        <w:rPr>
          <w:rFonts w:ascii="Times New Roman" w:eastAsia="Times New Roman" w:hAnsi="Times New Roman" w:cs="Times New Roman"/>
          <w:sz w:val="26"/>
          <w:szCs w:val="26"/>
        </w:rPr>
        <w:t xml:space="preserve"> májusi összege 108,0 milliárd forint volt, amelynek meghatározó része az ingatlanokkal kapcsolatos kiadásokra kerültek kifizetésre.</w:t>
      </w:r>
    </w:p>
    <w:p w14:paraId="174CAE49" w14:textId="77777777" w:rsidR="00B2521A" w:rsidRPr="00CD1AC2" w:rsidRDefault="00B2521A" w:rsidP="3D6ED029">
      <w:pPr>
        <w:spacing w:before="240" w:after="120"/>
        <w:jc w:val="both"/>
        <w:rPr>
          <w:rFonts w:ascii="Times New Roman" w:eastAsia="Times New Roman" w:hAnsi="Times New Roman" w:cs="Times New Roman"/>
          <w:sz w:val="26"/>
          <w:szCs w:val="26"/>
        </w:rPr>
      </w:pPr>
    </w:p>
    <w:p w14:paraId="3A0AA8B3" w14:textId="77777777" w:rsidR="00C600EF" w:rsidRDefault="00C600EF" w:rsidP="00C600EF">
      <w:pPr>
        <w:jc w:val="center"/>
        <w:rPr>
          <w:rFonts w:ascii="Times New Roman" w:eastAsia="Times New Roman" w:hAnsi="Times New Roman" w:cs="Times New Roman"/>
          <w:sz w:val="26"/>
          <w:szCs w:val="26"/>
        </w:rPr>
      </w:pPr>
      <w:r w:rsidRPr="00C600EF">
        <w:rPr>
          <w:rFonts w:ascii="Times New Roman" w:eastAsia="Times New Roman" w:hAnsi="Times New Roman" w:cs="Times New Roman"/>
          <w:noProof/>
          <w:sz w:val="26"/>
          <w:szCs w:val="26"/>
        </w:rPr>
        <w:drawing>
          <wp:inline distT="0" distB="0" distL="0" distR="0" wp14:anchorId="1EFF2255" wp14:editId="238006FD">
            <wp:extent cx="5522681" cy="3379623"/>
            <wp:effectExtent l="0" t="0" r="1905" b="0"/>
            <wp:docPr id="140451816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18160" name=""/>
                    <pic:cNvPicPr/>
                  </pic:nvPicPr>
                  <pic:blipFill>
                    <a:blip r:embed="rId19"/>
                    <a:stretch>
                      <a:fillRect/>
                    </a:stretch>
                  </pic:blipFill>
                  <pic:spPr>
                    <a:xfrm>
                      <a:off x="0" y="0"/>
                      <a:ext cx="5542884" cy="3391987"/>
                    </a:xfrm>
                    <a:prstGeom prst="rect">
                      <a:avLst/>
                    </a:prstGeom>
                  </pic:spPr>
                </pic:pic>
              </a:graphicData>
            </a:graphic>
          </wp:inline>
        </w:drawing>
      </w:r>
    </w:p>
    <w:p w14:paraId="030326D3" w14:textId="3EE388FA" w:rsidR="5B67C7D7" w:rsidRPr="007C57DF" w:rsidRDefault="3D6ED029" w:rsidP="00C600EF">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Az </w:t>
      </w:r>
      <w:r w:rsidRPr="3D6ED029">
        <w:rPr>
          <w:rFonts w:ascii="Times New Roman" w:eastAsia="Times New Roman" w:hAnsi="Times New Roman" w:cs="Times New Roman"/>
          <w:b/>
          <w:bCs/>
          <w:sz w:val="26"/>
          <w:szCs w:val="26"/>
        </w:rPr>
        <w:t xml:space="preserve">állami beruházási fejezet kiadásait </w:t>
      </w:r>
      <w:r w:rsidRPr="3D6ED029">
        <w:rPr>
          <w:rFonts w:ascii="Times New Roman" w:eastAsia="Times New Roman" w:hAnsi="Times New Roman" w:cs="Times New Roman"/>
          <w:sz w:val="26"/>
          <w:szCs w:val="26"/>
        </w:rPr>
        <w:t>alapvetően az egyes projektek előrehaladása határozza meg. 2026 első öt hónapjában összesen 334,5 milliárd forint kiadás teljesült, amely magasabb a 2025 azonos időszakában teljesültekhez képest, amelyet az állami közútfejlesztési beruházások előző évihez képest magasabb teljesítménye okoz. A kifizetések nagy része az állami közútfejlesztési beruházásokhoz (270,7 milliárd forint) és az uniós kiadásokhoz (42,1 milliárd forint) kapcsolódtak.</w:t>
      </w:r>
    </w:p>
    <w:p w14:paraId="598CEA5E" w14:textId="615AF06C" w:rsidR="00C224F5" w:rsidRPr="007C57DF"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Az </w:t>
      </w:r>
      <w:r w:rsidRPr="3D6ED029">
        <w:rPr>
          <w:rFonts w:ascii="Times New Roman" w:eastAsia="Times New Roman" w:hAnsi="Times New Roman" w:cs="Times New Roman"/>
          <w:b/>
          <w:bCs/>
          <w:sz w:val="26"/>
          <w:szCs w:val="26"/>
        </w:rPr>
        <w:t>egyéb kiadások</w:t>
      </w:r>
      <w:r w:rsidRPr="3D6ED029">
        <w:rPr>
          <w:rFonts w:ascii="Times New Roman" w:eastAsia="Times New Roman" w:hAnsi="Times New Roman" w:cs="Times New Roman"/>
          <w:sz w:val="26"/>
          <w:szCs w:val="26"/>
        </w:rPr>
        <w:t xml:space="preserve"> 2026. évi </w:t>
      </w:r>
      <w:r w:rsidR="00496D0A">
        <w:rPr>
          <w:rFonts w:ascii="Times New Roman" w:eastAsia="Times New Roman" w:hAnsi="Times New Roman" w:cs="Times New Roman"/>
          <w:sz w:val="26"/>
          <w:szCs w:val="26"/>
        </w:rPr>
        <w:t>máju</w:t>
      </w:r>
      <w:r w:rsidRPr="3D6ED029">
        <w:rPr>
          <w:rFonts w:ascii="Times New Roman" w:eastAsia="Times New Roman" w:hAnsi="Times New Roman" w:cs="Times New Roman"/>
          <w:sz w:val="26"/>
          <w:szCs w:val="26"/>
        </w:rPr>
        <w:t>s havi teljesítése 2</w:t>
      </w:r>
      <w:r w:rsidR="00BF051F">
        <w:rPr>
          <w:rFonts w:ascii="Times New Roman" w:eastAsia="Times New Roman" w:hAnsi="Times New Roman" w:cs="Times New Roman"/>
          <w:sz w:val="26"/>
          <w:szCs w:val="26"/>
        </w:rPr>
        <w:t>54,4</w:t>
      </w:r>
      <w:r w:rsidRPr="3D6ED029">
        <w:rPr>
          <w:rFonts w:ascii="Times New Roman" w:eastAsia="Times New Roman" w:hAnsi="Times New Roman" w:cs="Times New Roman"/>
          <w:sz w:val="26"/>
          <w:szCs w:val="26"/>
        </w:rPr>
        <w:t> milliárd forint lett, ami 2</w:t>
      </w:r>
      <w:r w:rsidR="00BF051F">
        <w:rPr>
          <w:rFonts w:ascii="Times New Roman" w:eastAsia="Times New Roman" w:hAnsi="Times New Roman" w:cs="Times New Roman"/>
          <w:sz w:val="26"/>
          <w:szCs w:val="26"/>
        </w:rPr>
        <w:t>7,8</w:t>
      </w:r>
      <w:r w:rsidRPr="3D6ED029">
        <w:rPr>
          <w:rFonts w:ascii="Times New Roman" w:eastAsia="Times New Roman" w:hAnsi="Times New Roman" w:cs="Times New Roman"/>
          <w:sz w:val="26"/>
          <w:szCs w:val="26"/>
        </w:rPr>
        <w:t> milliárd forinttal magasabban alakult az előző év azonos időszakához képest.</w:t>
      </w:r>
    </w:p>
    <w:p w14:paraId="15F013A7" w14:textId="4243A3EF" w:rsidR="74B9DF17" w:rsidRPr="007C57DF"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Hozzájárulás az EU költségvetéséhez</w:t>
      </w:r>
      <w:r w:rsidRPr="3D6ED029">
        <w:rPr>
          <w:rFonts w:ascii="Times New Roman" w:eastAsia="Times New Roman" w:hAnsi="Times New Roman" w:cs="Times New Roman"/>
          <w:sz w:val="26"/>
          <w:szCs w:val="26"/>
        </w:rPr>
        <w:t xml:space="preserve"> mérlegsoron 2026. </w:t>
      </w:r>
      <w:r w:rsidR="00BF051F">
        <w:rPr>
          <w:rFonts w:ascii="Times New Roman" w:eastAsia="Times New Roman" w:hAnsi="Times New Roman" w:cs="Times New Roman"/>
          <w:sz w:val="26"/>
          <w:szCs w:val="26"/>
        </w:rPr>
        <w:t>máju</w:t>
      </w:r>
      <w:r w:rsidRPr="3D6ED029">
        <w:rPr>
          <w:rFonts w:ascii="Times New Roman" w:eastAsia="Times New Roman" w:hAnsi="Times New Roman" w:cs="Times New Roman"/>
          <w:sz w:val="26"/>
          <w:szCs w:val="26"/>
        </w:rPr>
        <w:t xml:space="preserve">s végéig </w:t>
      </w:r>
      <w:r w:rsidR="00BF051F">
        <w:rPr>
          <w:rFonts w:ascii="Times New Roman" w:eastAsia="Times New Roman" w:hAnsi="Times New Roman" w:cs="Times New Roman"/>
          <w:sz w:val="26"/>
          <w:szCs w:val="26"/>
        </w:rPr>
        <w:t>314,1</w:t>
      </w:r>
      <w:r w:rsidRPr="3D6ED029">
        <w:rPr>
          <w:rFonts w:ascii="Times New Roman" w:eastAsia="Times New Roman" w:hAnsi="Times New Roman" w:cs="Times New Roman"/>
          <w:sz w:val="26"/>
          <w:szCs w:val="26"/>
        </w:rPr>
        <w:t xml:space="preserve"> milliárd forint kiadás teljesült, ami a törvényi előirányzat 3</w:t>
      </w:r>
      <w:r w:rsidR="00BF051F">
        <w:rPr>
          <w:rFonts w:ascii="Times New Roman" w:eastAsia="Times New Roman" w:hAnsi="Times New Roman" w:cs="Times New Roman"/>
          <w:sz w:val="26"/>
          <w:szCs w:val="26"/>
        </w:rPr>
        <w:t>9,8</w:t>
      </w:r>
      <w:r w:rsidRPr="3D6ED029">
        <w:rPr>
          <w:rFonts w:ascii="Times New Roman" w:eastAsia="Times New Roman" w:hAnsi="Times New Roman" w:cs="Times New Roman"/>
          <w:sz w:val="26"/>
          <w:szCs w:val="26"/>
        </w:rPr>
        <w:t>%-a. E hozzájárulás </w:t>
      </w:r>
      <w:r w:rsidR="00BF051F">
        <w:rPr>
          <w:rFonts w:ascii="Times New Roman" w:eastAsia="Times New Roman" w:hAnsi="Times New Roman" w:cs="Times New Roman"/>
          <w:sz w:val="26"/>
          <w:szCs w:val="26"/>
        </w:rPr>
        <w:t>szinte teljesen megegyezik</w:t>
      </w:r>
      <w:r w:rsidRPr="3D6ED029">
        <w:rPr>
          <w:rFonts w:ascii="Times New Roman" w:eastAsia="Times New Roman" w:hAnsi="Times New Roman" w:cs="Times New Roman"/>
          <w:sz w:val="26"/>
          <w:szCs w:val="26"/>
        </w:rPr>
        <w:t xml:space="preserve"> a 2025. év azonos időszakában teljesített kiadások</w:t>
      </w:r>
      <w:r w:rsidR="00BF051F">
        <w:rPr>
          <w:rFonts w:ascii="Times New Roman" w:eastAsia="Times New Roman" w:hAnsi="Times New Roman" w:cs="Times New Roman"/>
          <w:sz w:val="26"/>
          <w:szCs w:val="26"/>
        </w:rPr>
        <w:t>ka</w:t>
      </w:r>
      <w:r w:rsidRPr="3D6ED029">
        <w:rPr>
          <w:rFonts w:ascii="Times New Roman" w:eastAsia="Times New Roman" w:hAnsi="Times New Roman" w:cs="Times New Roman"/>
          <w:sz w:val="26"/>
          <w:szCs w:val="26"/>
        </w:rPr>
        <w:t>l.</w:t>
      </w:r>
    </w:p>
    <w:p w14:paraId="0F5A0F03" w14:textId="02960CE9" w:rsidR="6462B5A6" w:rsidRPr="007C57DF"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lastRenderedPageBreak/>
        <w:t xml:space="preserve">A </w:t>
      </w:r>
      <w:r w:rsidRPr="3D6ED029">
        <w:rPr>
          <w:rFonts w:ascii="Times New Roman" w:eastAsia="Times New Roman" w:hAnsi="Times New Roman" w:cs="Times New Roman"/>
          <w:b/>
          <w:bCs/>
          <w:sz w:val="26"/>
          <w:szCs w:val="26"/>
        </w:rPr>
        <w:t>Nemzeti Kutatási, Fejlesztési és Innovációs Alapból</w:t>
      </w:r>
      <w:r w:rsidRPr="3D6ED029">
        <w:rPr>
          <w:rFonts w:ascii="Times New Roman" w:eastAsia="Times New Roman" w:hAnsi="Times New Roman" w:cs="Times New Roman"/>
          <w:sz w:val="26"/>
          <w:szCs w:val="26"/>
        </w:rPr>
        <w:t xml:space="preserve"> (NKFI Alap) 2026. május végéig 73,8 milliárd forint kiadás teljesült.</w:t>
      </w:r>
    </w:p>
    <w:p w14:paraId="17605E21" w14:textId="5A3E54C2" w:rsidR="6462B5A6" w:rsidRPr="007C57DF"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Nemzeti Foglalkoztatási Alap</w:t>
      </w:r>
      <w:r w:rsidRPr="3D6ED029">
        <w:rPr>
          <w:rFonts w:ascii="Times New Roman" w:eastAsia="Times New Roman" w:hAnsi="Times New Roman" w:cs="Times New Roman"/>
          <w:sz w:val="26"/>
          <w:szCs w:val="26"/>
        </w:rPr>
        <w:t xml:space="preserve"> (NFA) kiadásai esetében a Start-munkaprogramra összesen 60,5 milliárd forint teljesült. Az uniós elő- és társfinanszírozásra 22,2 milliárd forintot fordítottak.</w:t>
      </w:r>
    </w:p>
    <w:p w14:paraId="76B18BB1" w14:textId="3D52C851" w:rsidR="123EFD2F" w:rsidRPr="007C57DF"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A</w:t>
      </w:r>
      <w:r w:rsidRPr="3D6ED029">
        <w:rPr>
          <w:rFonts w:ascii="Times New Roman" w:eastAsia="Times New Roman" w:hAnsi="Times New Roman" w:cs="Times New Roman"/>
          <w:b/>
          <w:bCs/>
          <w:sz w:val="26"/>
          <w:szCs w:val="26"/>
        </w:rPr>
        <w:t xml:space="preserve"> Bethlen Gábor Alapból</w:t>
      </w:r>
      <w:r w:rsidRPr="3D6ED029">
        <w:rPr>
          <w:rFonts w:ascii="Times New Roman" w:eastAsia="Times New Roman" w:hAnsi="Times New Roman" w:cs="Times New Roman"/>
          <w:sz w:val="26"/>
          <w:szCs w:val="26"/>
        </w:rPr>
        <w:t xml:space="preserve"> (BGA) a 2026. év első öt hónapjában 41,8 milliárd forint kiadás teljesült. Az alapból nyújtott támogatások a BGA irányítását ellátó Bizottság döntései alapján, ütemezetten kerültek kifizetésre.</w:t>
      </w:r>
    </w:p>
    <w:p w14:paraId="29A20A18" w14:textId="4A9C8AC7" w:rsidR="00D72777" w:rsidRPr="007C57DF" w:rsidRDefault="3D6ED029" w:rsidP="00505767">
      <w:pPr>
        <w:jc w:val="both"/>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 xml:space="preserve">Nyugdíjbiztosítási Alap </w:t>
      </w:r>
      <w:r w:rsidRPr="3D6ED029">
        <w:rPr>
          <w:rFonts w:ascii="Times New Roman" w:eastAsia="Times New Roman" w:hAnsi="Times New Roman" w:cs="Times New Roman"/>
          <w:sz w:val="26"/>
          <w:szCs w:val="26"/>
        </w:rPr>
        <w:t>nyugellátási kiadásai május végéig 3377,4 milliárd forintban teljesültek, ami 386,</w:t>
      </w:r>
      <w:r w:rsidR="00D642A9">
        <w:rPr>
          <w:rFonts w:ascii="Times New Roman" w:eastAsia="Times New Roman" w:hAnsi="Times New Roman" w:cs="Times New Roman"/>
          <w:sz w:val="26"/>
          <w:szCs w:val="26"/>
        </w:rPr>
        <w:t>3</w:t>
      </w:r>
      <w:r w:rsidRPr="3D6ED029">
        <w:rPr>
          <w:rFonts w:ascii="Times New Roman" w:eastAsia="Times New Roman" w:hAnsi="Times New Roman" w:cs="Times New Roman"/>
          <w:sz w:val="26"/>
          <w:szCs w:val="26"/>
        </w:rPr>
        <w:t xml:space="preserve"> milliárd forinttal haladta meg az előző év azonos időszakának teljesítési adatait. </w:t>
      </w:r>
    </w:p>
    <w:p w14:paraId="70AB0063" w14:textId="3CB99CCC" w:rsidR="00D72777" w:rsidRPr="007C57DF"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 xml:space="preserve">A 12,9%-os kiadásnövekedést az előző év novemberében végrehajtott 1,6%-os kiegészítő nyugdíjemelés, a tárgyév január hónapban végrehajtott 3,6%-os inflációkövető nyugdíjemelés, a 2026. évtől bevezetésre kerülő 14. havi nyugdíj nyugellátási kiadásokra gyakorolt hatása, valamint az eltelt időszakban bekövetkezett létszámváltozás és cserélődés együttes hatása okozta. </w:t>
      </w:r>
    </w:p>
    <w:p w14:paraId="67E390F1" w14:textId="7594B5E0" w:rsidR="00D72777" w:rsidRPr="007C57DF"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2026 februárjában mintegy 2 millió öregségi nyugdíjban és hozzátartozói nyugellátásban részesülő személy részére folyósítottak 13. és 14. havi nyugdíjat. A 13. havi nyugdíj Nyugdíjbiztosítási Alapot terhelő kiadása május végéig 534,6 milliárd forint volt, ami 41,3 milliárd forinttal haladta meg az előző év azonos időszakában ezen a jogcímen teljesített kiadások összegét. A 14. havi nyugdíj bevezetésére vonatkozó szabályok szerint 2026. február hónapban a havi ellátás negyedének megfelelő összegben kaptak az</w:t>
      </w:r>
      <w:r w:rsidR="0073668C">
        <w:rPr>
          <w:rFonts w:ascii="Times New Roman" w:eastAsia="Times New Roman" w:hAnsi="Times New Roman" w:cs="Times New Roman"/>
          <w:sz w:val="26"/>
          <w:szCs w:val="26"/>
        </w:rPr>
        <w:t> </w:t>
      </w:r>
      <w:r w:rsidRPr="3D6ED029">
        <w:rPr>
          <w:rFonts w:ascii="Times New Roman" w:eastAsia="Times New Roman" w:hAnsi="Times New Roman" w:cs="Times New Roman"/>
          <w:sz w:val="26"/>
          <w:szCs w:val="26"/>
        </w:rPr>
        <w:t xml:space="preserve">érintettek 14. havi nyugdíjat, összesen 133,3 milliárd forint összegben. </w:t>
      </w:r>
    </w:p>
    <w:p w14:paraId="168226B1" w14:textId="1187C132" w:rsidR="00D72777" w:rsidRPr="007C57DF"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A 14. havi nyugdíj kiadásnövelő hatását leszámítva a nyugellátási kiadásokon belül a korbetöltött öregségi nyugdíjak 8,8%-kal, a nők 40 év jogosultsági idővel igénybe vehető öregségi nyugdíja („nők 40”) pedig 9,5%-kal haladta meg az előző év azonos időszakának kiadásait.</w:t>
      </w:r>
    </w:p>
    <w:p w14:paraId="636BCB9D" w14:textId="3D91AF16" w:rsidR="00AA22CB" w:rsidRDefault="00705D41" w:rsidP="00527154">
      <w:pPr>
        <w:ind w:right="-1"/>
        <w:jc w:val="center"/>
        <w:rPr>
          <w:rFonts w:ascii="Times New Roman" w:eastAsia="Times New Roman" w:hAnsi="Times New Roman" w:cs="Times New Roman"/>
          <w:sz w:val="26"/>
          <w:szCs w:val="26"/>
        </w:rPr>
      </w:pPr>
      <w:r w:rsidRPr="00705D41">
        <w:rPr>
          <w:rFonts w:ascii="Times New Roman" w:eastAsia="Times New Roman" w:hAnsi="Times New Roman" w:cs="Times New Roman"/>
          <w:noProof/>
          <w:sz w:val="26"/>
          <w:szCs w:val="26"/>
        </w:rPr>
        <w:drawing>
          <wp:inline distT="0" distB="0" distL="0" distR="0" wp14:anchorId="18F6C08D" wp14:editId="0DC41138">
            <wp:extent cx="5940082" cy="2750516"/>
            <wp:effectExtent l="0" t="0" r="3810" b="0"/>
            <wp:docPr id="209000165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01654" name=""/>
                    <pic:cNvPicPr/>
                  </pic:nvPicPr>
                  <pic:blipFill>
                    <a:blip r:embed="rId20"/>
                    <a:stretch>
                      <a:fillRect/>
                    </a:stretch>
                  </pic:blipFill>
                  <pic:spPr>
                    <a:xfrm>
                      <a:off x="0" y="0"/>
                      <a:ext cx="5942421" cy="2751599"/>
                    </a:xfrm>
                    <a:prstGeom prst="rect">
                      <a:avLst/>
                    </a:prstGeom>
                  </pic:spPr>
                </pic:pic>
              </a:graphicData>
            </a:graphic>
          </wp:inline>
        </w:drawing>
      </w:r>
    </w:p>
    <w:p w14:paraId="7BDB967D" w14:textId="333941BF" w:rsidR="3E75DAF6"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lastRenderedPageBreak/>
        <w:t xml:space="preserve">Az öregségi nyugdíjban részesülők 2026. május havi </w:t>
      </w:r>
      <w:r w:rsidRPr="3D6ED029">
        <w:rPr>
          <w:rFonts w:ascii="Times New Roman" w:eastAsia="Times New Roman" w:hAnsi="Times New Roman" w:cs="Times New Roman"/>
          <w:b/>
          <w:bCs/>
          <w:sz w:val="26"/>
          <w:szCs w:val="26"/>
        </w:rPr>
        <w:t>átlagos statisztikai állományi létszáma</w:t>
      </w:r>
      <w:r w:rsidRPr="3D6ED029">
        <w:rPr>
          <w:rFonts w:ascii="Times New Roman" w:eastAsia="Times New Roman" w:hAnsi="Times New Roman" w:cs="Times New Roman"/>
          <w:sz w:val="26"/>
          <w:szCs w:val="26"/>
        </w:rPr>
        <w:t xml:space="preserve"> az előző év azonos időszakához képest 15 968 fővel nőtt, ezen belül a korbetöltött öregségi nyugdíjban részesülők létszáma 15 647 fővel, a nők kedvezményes nyugdíjában részesülők létszáma 321 fővel lett magasabb. Jelenleg 139 776 fő veszi igénybe a „nők 40” kedvezményes nyugdíját. A nők kedvezményes nyugdíjában részesülők (korhatár alattiak) létszámát az új ellátások megállapításán és az elhalálozottak állományi létszámból való kivezetésén túl a korhatár betöltések is befolyásolják.</w:t>
      </w:r>
    </w:p>
    <w:p w14:paraId="11F8A96C" w14:textId="3186F9BF" w:rsidR="3E75DAF6" w:rsidRDefault="3D6ED029" w:rsidP="00E36865">
      <w:pPr>
        <w:jc w:val="both"/>
      </w:pPr>
      <w:r w:rsidRPr="3D6ED029">
        <w:rPr>
          <w:rFonts w:ascii="Times New Roman" w:eastAsia="Times New Roman" w:hAnsi="Times New Roman" w:cs="Times New Roman"/>
          <w:sz w:val="26"/>
          <w:szCs w:val="26"/>
        </w:rPr>
        <w:t>Az előző évhez viszonyítottan kiugró létszámnövekedés oka, hogy 2026. január 1-jétől az egészségügyi ágazatban foglalkoztatottak – a szociális, gyermekvédelmi és köznevelési intézményekben foglalkoztatottakhoz hasonlóan – mentesülnek az öregségi nyugdíjuk szüneteltetése alól, részükre januártól ismét folyósításra kerülnek a Nyugdíjbiztosítási Alapból az öregségi nyugellátások. A jogszabálymódosítás mintegy 10 ezer főt érintett.</w:t>
      </w:r>
    </w:p>
    <w:p w14:paraId="52250089" w14:textId="00E1C71B" w:rsidR="3E75DAF6" w:rsidRDefault="3D6ED029" w:rsidP="00E36865">
      <w:pPr>
        <w:jc w:val="both"/>
      </w:pPr>
      <w:r w:rsidRPr="3D6ED029">
        <w:rPr>
          <w:rFonts w:ascii="Times New Roman" w:eastAsia="Times New Roman" w:hAnsi="Times New Roman" w:cs="Times New Roman"/>
          <w:sz w:val="26"/>
          <w:szCs w:val="26"/>
        </w:rPr>
        <w:t>Az öregségi nyugdíjak átlagos havi összege egy év alatt 18 783 forinttal emelkedett, 2026. májusban 262 860 forint volt.</w:t>
      </w:r>
    </w:p>
    <w:p w14:paraId="725BF303" w14:textId="174F7D04" w:rsidR="7BF38582" w:rsidRDefault="3D6ED029" w:rsidP="3D6ED029">
      <w:pPr>
        <w:jc w:val="both"/>
        <w:rPr>
          <w:rFonts w:ascii="Times New Roman" w:eastAsia="Times New Roman" w:hAnsi="Times New Roman" w:cs="Times New Roman"/>
          <w:sz w:val="26"/>
          <w:szCs w:val="26"/>
        </w:rPr>
      </w:pPr>
      <w:r w:rsidRPr="3D6ED029">
        <w:rPr>
          <w:rFonts w:ascii="Times New Roman" w:eastAsia="Times New Roman" w:hAnsi="Times New Roman" w:cs="Times New Roman"/>
          <w:sz w:val="26"/>
          <w:szCs w:val="26"/>
        </w:rPr>
        <w:t>Az ellátások egy főre jutó havi átlagos összege az egyes ellátotti jogcímeken belül az előző év azonos időszakával összehasonlítva az alábbiak szerint alakult.</w:t>
      </w:r>
    </w:p>
    <w:p w14:paraId="503DFEB7" w14:textId="7889FAD5" w:rsidR="00EF1F5B" w:rsidRDefault="0004116D" w:rsidP="002D6802">
      <w:pPr>
        <w:pStyle w:val="NormlWeb"/>
        <w:spacing w:before="0" w:beforeAutospacing="0" w:after="0" w:afterAutospacing="0"/>
        <w:jc w:val="center"/>
      </w:pPr>
      <w:r w:rsidRPr="0004116D">
        <w:rPr>
          <w:noProof/>
        </w:rPr>
        <w:drawing>
          <wp:inline distT="0" distB="0" distL="0" distR="0" wp14:anchorId="6068A7DA" wp14:editId="6CBD1E31">
            <wp:extent cx="5823477" cy="4257447"/>
            <wp:effectExtent l="0" t="0" r="6350" b="0"/>
            <wp:docPr id="168962074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20744" name=""/>
                    <pic:cNvPicPr/>
                  </pic:nvPicPr>
                  <pic:blipFill>
                    <a:blip r:embed="rId21"/>
                    <a:stretch>
                      <a:fillRect/>
                    </a:stretch>
                  </pic:blipFill>
                  <pic:spPr>
                    <a:xfrm>
                      <a:off x="0" y="0"/>
                      <a:ext cx="5855802" cy="4281079"/>
                    </a:xfrm>
                    <a:prstGeom prst="rect">
                      <a:avLst/>
                    </a:prstGeom>
                  </pic:spPr>
                </pic:pic>
              </a:graphicData>
            </a:graphic>
          </wp:inline>
        </w:drawing>
      </w:r>
    </w:p>
    <w:p w14:paraId="3779DB9C" w14:textId="0B15285F" w:rsidR="0022104D" w:rsidRDefault="3D6ED029" w:rsidP="00A31F84">
      <w:pPr>
        <w:widowControl w:val="0"/>
        <w:spacing w:before="240"/>
        <w:jc w:val="both"/>
      </w:pPr>
      <w:r w:rsidRPr="3D6ED029">
        <w:rPr>
          <w:rFonts w:ascii="Times New Roman" w:eastAsia="Times New Roman" w:hAnsi="Times New Roman" w:cs="Times New Roman"/>
          <w:sz w:val="26"/>
          <w:szCs w:val="26"/>
        </w:rPr>
        <w:t xml:space="preserve">Az öregségi nyugdíjban, hozzátartozói nyugellátásban részesülők jogcím szerinti megoszlásának összehasonlítását a korábbi adatokkal az alábbi ábrák mutatják. </w:t>
      </w:r>
    </w:p>
    <w:p w14:paraId="6E229341" w14:textId="3CC95635" w:rsidR="00EF1F5B" w:rsidRDefault="0004116D" w:rsidP="00614FDF">
      <w:pPr>
        <w:pStyle w:val="NormlWeb"/>
        <w:widowControl w:val="0"/>
        <w:ind w:right="-1"/>
        <w:jc w:val="center"/>
      </w:pPr>
      <w:r w:rsidRPr="0004116D">
        <w:rPr>
          <w:noProof/>
        </w:rPr>
        <w:lastRenderedPageBreak/>
        <w:drawing>
          <wp:inline distT="0" distB="0" distL="0" distR="0" wp14:anchorId="12FD00A1" wp14:editId="0A5269E5">
            <wp:extent cx="5940425" cy="2161309"/>
            <wp:effectExtent l="0" t="0" r="3175" b="0"/>
            <wp:docPr id="6607083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08314" name=""/>
                    <pic:cNvPicPr/>
                  </pic:nvPicPr>
                  <pic:blipFill rotWithShape="1">
                    <a:blip r:embed="rId22"/>
                    <a:srcRect b="3333"/>
                    <a:stretch/>
                  </pic:blipFill>
                  <pic:spPr bwMode="auto">
                    <a:xfrm>
                      <a:off x="0" y="0"/>
                      <a:ext cx="5940425" cy="2161309"/>
                    </a:xfrm>
                    <a:prstGeom prst="rect">
                      <a:avLst/>
                    </a:prstGeom>
                    <a:ln>
                      <a:noFill/>
                    </a:ln>
                    <a:extLst>
                      <a:ext uri="{53640926-AAD7-44D8-BBD7-CCE9431645EC}">
                        <a14:shadowObscured xmlns:a14="http://schemas.microsoft.com/office/drawing/2010/main"/>
                      </a:ext>
                    </a:extLst>
                  </pic:spPr>
                </pic:pic>
              </a:graphicData>
            </a:graphic>
          </wp:inline>
        </w:drawing>
      </w:r>
    </w:p>
    <w:p w14:paraId="2A4F88FB" w14:textId="0DFE69E9" w:rsidR="00D4148C" w:rsidRPr="002B492B" w:rsidRDefault="3D6ED029" w:rsidP="0004116D">
      <w:pPr>
        <w:widowControl w:val="0"/>
        <w:spacing w:after="120"/>
        <w:rPr>
          <w:rFonts w:ascii="Times New Roman" w:eastAsia="Times New Roman" w:hAnsi="Times New Roman" w:cs="Times New Roman"/>
          <w:b/>
          <w:bCs/>
          <w:sz w:val="26"/>
          <w:szCs w:val="26"/>
        </w:rPr>
      </w:pPr>
      <w:r w:rsidRPr="3D6ED029">
        <w:rPr>
          <w:rFonts w:ascii="Times New Roman" w:eastAsia="Times New Roman" w:hAnsi="Times New Roman" w:cs="Times New Roman"/>
          <w:sz w:val="26"/>
          <w:szCs w:val="26"/>
        </w:rPr>
        <w:t xml:space="preserve">Az </w:t>
      </w:r>
      <w:r w:rsidRPr="3D6ED029">
        <w:rPr>
          <w:rFonts w:ascii="Times New Roman" w:eastAsia="Times New Roman" w:hAnsi="Times New Roman" w:cs="Times New Roman"/>
          <w:b/>
          <w:bCs/>
          <w:sz w:val="26"/>
          <w:szCs w:val="26"/>
        </w:rPr>
        <w:t>Egészségbiztosítási Alap kiadásainak</w:t>
      </w:r>
      <w:r w:rsidRPr="3D6ED029">
        <w:rPr>
          <w:rFonts w:ascii="Times New Roman" w:eastAsia="Times New Roman" w:hAnsi="Times New Roman" w:cs="Times New Roman"/>
          <w:sz w:val="26"/>
          <w:szCs w:val="26"/>
        </w:rPr>
        <w:t xml:space="preserve"> összetételét a következő ábra mutatja be:</w:t>
      </w:r>
      <w:r w:rsidRPr="3D6ED029">
        <w:rPr>
          <w:rFonts w:ascii="Times New Roman" w:eastAsia="Times New Roman" w:hAnsi="Times New Roman" w:cs="Times New Roman"/>
          <w:b/>
          <w:bCs/>
          <w:sz w:val="26"/>
          <w:szCs w:val="26"/>
        </w:rPr>
        <w:t xml:space="preserve"> </w:t>
      </w:r>
    </w:p>
    <w:p w14:paraId="57C38B59" w14:textId="388281D2" w:rsidR="00D4148C" w:rsidRDefault="0004116D" w:rsidP="009B1114">
      <w:pPr>
        <w:widowControl w:val="0"/>
        <w:spacing w:after="240"/>
        <w:jc w:val="center"/>
        <w:rPr>
          <w:rFonts w:ascii="Times New Roman" w:eastAsia="Times New Roman" w:hAnsi="Times New Roman" w:cs="Times New Roman"/>
          <w:sz w:val="26"/>
          <w:szCs w:val="26"/>
        </w:rPr>
      </w:pPr>
      <w:r w:rsidRPr="0004116D">
        <w:rPr>
          <w:rFonts w:ascii="Times New Roman" w:eastAsia="Times New Roman" w:hAnsi="Times New Roman" w:cs="Times New Roman"/>
          <w:noProof/>
          <w:sz w:val="26"/>
          <w:szCs w:val="26"/>
        </w:rPr>
        <w:drawing>
          <wp:inline distT="0" distB="0" distL="0" distR="0" wp14:anchorId="01BB2FE2" wp14:editId="2C7695A5">
            <wp:extent cx="5940425" cy="2347595"/>
            <wp:effectExtent l="0" t="0" r="3175" b="0"/>
            <wp:docPr id="91994354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43542" name=""/>
                    <pic:cNvPicPr/>
                  </pic:nvPicPr>
                  <pic:blipFill>
                    <a:blip r:embed="rId23"/>
                    <a:stretch>
                      <a:fillRect/>
                    </a:stretch>
                  </pic:blipFill>
                  <pic:spPr>
                    <a:xfrm>
                      <a:off x="0" y="0"/>
                      <a:ext cx="5940425" cy="2347595"/>
                    </a:xfrm>
                    <a:prstGeom prst="rect">
                      <a:avLst/>
                    </a:prstGeom>
                  </pic:spPr>
                </pic:pic>
              </a:graphicData>
            </a:graphic>
          </wp:inline>
        </w:drawing>
      </w:r>
    </w:p>
    <w:p w14:paraId="19FDF989" w14:textId="32E9DBBE" w:rsidR="00CA3468" w:rsidRDefault="0CCC0FD8" w:rsidP="0CCC0FD8">
      <w:pPr>
        <w:widowControl w:val="0"/>
        <w:spacing w:after="120"/>
        <w:ind w:right="-1"/>
        <w:jc w:val="both"/>
        <w:rPr>
          <w:rFonts w:ascii="Times New Roman" w:eastAsia="Times New Roman" w:hAnsi="Times New Roman" w:cs="Times New Roman"/>
          <w:sz w:val="26"/>
          <w:szCs w:val="26"/>
        </w:rPr>
      </w:pPr>
      <w:r w:rsidRPr="0CCC0FD8">
        <w:rPr>
          <w:rFonts w:ascii="Times New Roman" w:eastAsia="Times New Roman" w:hAnsi="Times New Roman" w:cs="Times New Roman"/>
          <w:sz w:val="26"/>
          <w:szCs w:val="26"/>
        </w:rPr>
        <w:t xml:space="preserve">Az </w:t>
      </w:r>
      <w:r w:rsidRPr="0CCC0FD8">
        <w:rPr>
          <w:rFonts w:ascii="Times New Roman" w:eastAsia="Times New Roman" w:hAnsi="Times New Roman" w:cs="Times New Roman"/>
          <w:b/>
          <w:bCs/>
          <w:sz w:val="26"/>
          <w:szCs w:val="26"/>
        </w:rPr>
        <w:t>Egészségbiztosítási Alap</w:t>
      </w:r>
      <w:r w:rsidRPr="0CCC0FD8">
        <w:rPr>
          <w:rFonts w:ascii="Times New Roman" w:eastAsia="Times New Roman" w:hAnsi="Times New Roman" w:cs="Times New Roman"/>
          <w:sz w:val="26"/>
          <w:szCs w:val="26"/>
        </w:rPr>
        <w:t xml:space="preserve"> összes kiadásának 26,4%-át a </w:t>
      </w:r>
      <w:r w:rsidRPr="0CCC0FD8">
        <w:rPr>
          <w:rFonts w:ascii="Times New Roman" w:eastAsia="Times New Roman" w:hAnsi="Times New Roman" w:cs="Times New Roman"/>
          <w:b/>
          <w:bCs/>
          <w:sz w:val="26"/>
          <w:szCs w:val="26"/>
        </w:rPr>
        <w:t>pénzbeli ellátásokra</w:t>
      </w:r>
      <w:r w:rsidRPr="0CCC0FD8">
        <w:rPr>
          <w:rFonts w:ascii="Times New Roman" w:eastAsia="Times New Roman" w:hAnsi="Times New Roman" w:cs="Times New Roman"/>
          <w:sz w:val="26"/>
          <w:szCs w:val="26"/>
        </w:rPr>
        <w:t xml:space="preserve"> fordított összeg adta. Az ellátások részletes bemutatását a következő táblázat tartalmazza:</w:t>
      </w:r>
    </w:p>
    <w:p w14:paraId="1D31F2C8" w14:textId="3F5AAC59" w:rsidR="00DA4FBC" w:rsidRPr="001074A1" w:rsidRDefault="3D6ED029" w:rsidP="3D6ED029">
      <w:pPr>
        <w:widowControl w:val="0"/>
        <w:spacing w:after="240"/>
        <w:ind w:right="-1"/>
        <w:jc w:val="center"/>
        <w:rPr>
          <w:rFonts w:ascii="Times New Roman" w:eastAsia="Times New Roman" w:hAnsi="Times New Roman" w:cs="Times New Roman"/>
          <w:b/>
          <w:bCs/>
        </w:rPr>
      </w:pPr>
      <w:r w:rsidRPr="3D6ED029">
        <w:rPr>
          <w:rFonts w:ascii="Times New Roman" w:eastAsia="Times New Roman" w:hAnsi="Times New Roman" w:cs="Times New Roman"/>
          <w:b/>
          <w:bCs/>
        </w:rPr>
        <w:t>Az Egészségbiztosítási Alap pénzbeli ellátásokra fordított kiadásainak alakulása (milliárd forint)</w:t>
      </w:r>
    </w:p>
    <w:tbl>
      <w:tblPr>
        <w:tblpPr w:leftFromText="141" w:rightFromText="141" w:vertAnchor="text" w:tblpXSpec="center" w:tblpY="1"/>
        <w:tblOverlap w:val="never"/>
        <w:tblW w:w="8718" w:type="dxa"/>
        <w:tblLayout w:type="fixed"/>
        <w:tblCellMar>
          <w:left w:w="70" w:type="dxa"/>
          <w:right w:w="70" w:type="dxa"/>
        </w:tblCellMar>
        <w:tblLook w:val="04A0" w:firstRow="1" w:lastRow="0" w:firstColumn="1" w:lastColumn="0" w:noHBand="0" w:noVBand="1"/>
      </w:tblPr>
      <w:tblGrid>
        <w:gridCol w:w="4248"/>
        <w:gridCol w:w="1276"/>
        <w:gridCol w:w="1209"/>
        <w:gridCol w:w="992"/>
        <w:gridCol w:w="993"/>
      </w:tblGrid>
      <w:tr w:rsidR="00E601EF" w:rsidRPr="00377D59" w14:paraId="06E6BC15" w14:textId="77777777" w:rsidTr="3D6ED029">
        <w:trPr>
          <w:trHeight w:val="340"/>
        </w:trPr>
        <w:tc>
          <w:tcPr>
            <w:tcW w:w="4248" w:type="dxa"/>
            <w:vMerge w:val="restart"/>
            <w:tcBorders>
              <w:top w:val="single" w:sz="4" w:space="0" w:color="auto"/>
              <w:left w:val="single" w:sz="4" w:space="0" w:color="auto"/>
              <w:bottom w:val="single" w:sz="4" w:space="0" w:color="000000" w:themeColor="text1"/>
              <w:right w:val="single" w:sz="4" w:space="0" w:color="auto"/>
            </w:tcBorders>
            <w:shd w:val="clear" w:color="auto" w:fill="BDD6EE" w:themeFill="accent1" w:themeFillTint="66"/>
            <w:noWrap/>
            <w:vAlign w:val="center"/>
            <w:hideMark/>
          </w:tcPr>
          <w:p w14:paraId="510863DA" w14:textId="77777777" w:rsidR="00E601EF" w:rsidRPr="00377D59" w:rsidRDefault="3D6ED029" w:rsidP="3D6ED029">
            <w:pPr>
              <w:widowControl w:val="0"/>
              <w:spacing w:after="0" w:line="240" w:lineRule="auto"/>
              <w:jc w:val="center"/>
              <w:rPr>
                <w:rFonts w:ascii="Times New Roman" w:eastAsia="Times New Roman" w:hAnsi="Times New Roman" w:cs="Times New Roman"/>
                <w:b/>
                <w:bCs/>
              </w:rPr>
            </w:pPr>
            <w:r w:rsidRPr="3D6ED029">
              <w:rPr>
                <w:rFonts w:ascii="Times New Roman" w:eastAsia="Times New Roman" w:hAnsi="Times New Roman" w:cs="Times New Roman"/>
                <w:b/>
                <w:bCs/>
              </w:rPr>
              <w:t>Megnevezés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A7FE5D" w14:textId="77777777" w:rsidR="005F7B25" w:rsidRDefault="3D6ED029" w:rsidP="3D6ED029">
            <w:pPr>
              <w:widowControl w:val="0"/>
              <w:spacing w:after="0" w:line="240" w:lineRule="auto"/>
              <w:jc w:val="center"/>
              <w:rPr>
                <w:rFonts w:ascii="Times New Roman" w:eastAsia="Times New Roman" w:hAnsi="Times New Roman" w:cs="Times New Roman"/>
                <w:b/>
                <w:bCs/>
              </w:rPr>
            </w:pPr>
            <w:r w:rsidRPr="3D6ED029">
              <w:rPr>
                <w:rFonts w:ascii="Times New Roman" w:eastAsia="Times New Roman" w:hAnsi="Times New Roman" w:cs="Times New Roman"/>
                <w:b/>
                <w:bCs/>
              </w:rPr>
              <w:t xml:space="preserve">2025. </w:t>
            </w:r>
          </w:p>
          <w:p w14:paraId="6BB44369" w14:textId="15D8E5B2" w:rsidR="00E601EF" w:rsidRPr="00377D59" w:rsidRDefault="0CCC0FD8" w:rsidP="0CCC0FD8">
            <w:pPr>
              <w:widowControl w:val="0"/>
              <w:spacing w:after="0" w:line="240" w:lineRule="auto"/>
              <w:jc w:val="center"/>
              <w:rPr>
                <w:rFonts w:ascii="Times New Roman" w:eastAsia="Times New Roman" w:hAnsi="Times New Roman" w:cs="Times New Roman"/>
                <w:b/>
                <w:bCs/>
              </w:rPr>
            </w:pPr>
            <w:r w:rsidRPr="0CCC0FD8">
              <w:rPr>
                <w:rFonts w:ascii="Times New Roman" w:eastAsia="Times New Roman" w:hAnsi="Times New Roman" w:cs="Times New Roman"/>
                <w:b/>
                <w:bCs/>
              </w:rPr>
              <w:t>I-V. hó</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26BDEFD" w14:textId="77777777" w:rsidR="005F7B25" w:rsidRDefault="3D6ED029" w:rsidP="3D6ED029">
            <w:pPr>
              <w:widowControl w:val="0"/>
              <w:spacing w:after="0" w:line="240" w:lineRule="auto"/>
              <w:jc w:val="center"/>
              <w:rPr>
                <w:rFonts w:ascii="Times New Roman" w:eastAsia="Times New Roman" w:hAnsi="Times New Roman" w:cs="Times New Roman"/>
                <w:b/>
                <w:bCs/>
              </w:rPr>
            </w:pPr>
            <w:r w:rsidRPr="3D6ED029">
              <w:rPr>
                <w:rFonts w:ascii="Times New Roman" w:eastAsia="Times New Roman" w:hAnsi="Times New Roman" w:cs="Times New Roman"/>
                <w:b/>
                <w:bCs/>
              </w:rPr>
              <w:t xml:space="preserve">2026. </w:t>
            </w:r>
          </w:p>
          <w:p w14:paraId="5A1BFE64" w14:textId="1F961326" w:rsidR="00E601EF" w:rsidRPr="004E5F60" w:rsidRDefault="0CCC0FD8" w:rsidP="0CCC0FD8">
            <w:pPr>
              <w:widowControl w:val="0"/>
              <w:spacing w:after="0" w:line="240" w:lineRule="auto"/>
              <w:jc w:val="center"/>
              <w:rPr>
                <w:rFonts w:ascii="Times New Roman" w:eastAsia="Times New Roman" w:hAnsi="Times New Roman" w:cs="Times New Roman"/>
                <w:b/>
                <w:bCs/>
              </w:rPr>
            </w:pPr>
            <w:r w:rsidRPr="0CCC0FD8">
              <w:rPr>
                <w:rFonts w:ascii="Times New Roman" w:eastAsia="Times New Roman" w:hAnsi="Times New Roman" w:cs="Times New Roman"/>
                <w:b/>
                <w:bCs/>
              </w:rPr>
              <w:t>I-V. hó</w:t>
            </w:r>
          </w:p>
        </w:tc>
        <w:tc>
          <w:tcPr>
            <w:tcW w:w="1985"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EFB39D6" w14:textId="77777777" w:rsidR="00E601EF" w:rsidRPr="00377D59" w:rsidRDefault="3D6ED029" w:rsidP="3D6ED029">
            <w:pPr>
              <w:widowControl w:val="0"/>
              <w:spacing w:after="0" w:line="240" w:lineRule="auto"/>
              <w:jc w:val="center"/>
              <w:rPr>
                <w:rFonts w:ascii="Times New Roman" w:eastAsia="Times New Roman" w:hAnsi="Times New Roman" w:cs="Times New Roman"/>
                <w:b/>
                <w:bCs/>
              </w:rPr>
            </w:pPr>
            <w:r w:rsidRPr="3D6ED029">
              <w:rPr>
                <w:rFonts w:ascii="Times New Roman" w:eastAsia="Times New Roman" w:hAnsi="Times New Roman" w:cs="Times New Roman"/>
                <w:b/>
                <w:bCs/>
              </w:rPr>
              <w:t>Eltérés</w:t>
            </w:r>
          </w:p>
        </w:tc>
      </w:tr>
      <w:tr w:rsidR="00E601EF" w:rsidRPr="00377D59" w14:paraId="67C6C54B" w14:textId="77777777" w:rsidTr="3D6ED029">
        <w:trPr>
          <w:trHeight w:val="340"/>
        </w:trPr>
        <w:tc>
          <w:tcPr>
            <w:tcW w:w="4248"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CCA367D" w14:textId="77777777" w:rsidR="00E601EF" w:rsidRPr="00377D59" w:rsidRDefault="00E601EF" w:rsidP="00A31F84">
            <w:pPr>
              <w:widowControl w:val="0"/>
              <w:spacing w:after="0" w:line="240" w:lineRule="auto"/>
              <w:rPr>
                <w:rFonts w:ascii="Times New Roman" w:eastAsia="Times New Roman" w:hAnsi="Times New Roman" w:cs="Times New Roman"/>
                <w:b/>
                <w:bCs/>
                <w:lang w:eastAsia="hu-HU"/>
              </w:rPr>
            </w:pPr>
          </w:p>
        </w:tc>
        <w:tc>
          <w:tcPr>
            <w:tcW w:w="127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99307A"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12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E594B6" w14:textId="77777777" w:rsidR="00E601EF" w:rsidRPr="00377D59" w:rsidRDefault="00E601EF" w:rsidP="00A31F84">
            <w:pPr>
              <w:widowControl w:val="0"/>
              <w:spacing w:after="0" w:line="240" w:lineRule="auto"/>
              <w:jc w:val="center"/>
              <w:rPr>
                <w:rFonts w:ascii="Times New Roman" w:eastAsia="Times New Roman" w:hAnsi="Times New Roman" w:cs="Times New Roman"/>
                <w:b/>
                <w:bCs/>
                <w:lang w:eastAsia="hu-HU"/>
              </w:rPr>
            </w:pP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986BC2B" w14:textId="77777777" w:rsidR="00E601EF" w:rsidRPr="00377D59" w:rsidRDefault="3D6ED029" w:rsidP="3D6ED029">
            <w:pPr>
              <w:widowControl w:val="0"/>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Mrd Ft</w:t>
            </w:r>
          </w:p>
        </w:tc>
        <w:tc>
          <w:tcPr>
            <w:tcW w:w="9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0EDA458" w14:textId="77777777" w:rsidR="00E601EF" w:rsidRPr="00377D59" w:rsidRDefault="3D6ED029" w:rsidP="3D6ED029">
            <w:pPr>
              <w:widowControl w:val="0"/>
              <w:spacing w:after="0" w:line="240" w:lineRule="auto"/>
              <w:jc w:val="center"/>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w:t>
            </w:r>
          </w:p>
        </w:tc>
      </w:tr>
      <w:tr w:rsidR="00494D4B" w:rsidRPr="00377D59" w14:paraId="0F7FB8C0" w14:textId="77777777" w:rsidTr="3D6ED029">
        <w:trPr>
          <w:trHeight w:val="340"/>
        </w:trPr>
        <w:tc>
          <w:tcPr>
            <w:tcW w:w="4248" w:type="dxa"/>
            <w:tcBorders>
              <w:top w:val="nil"/>
              <w:left w:val="single" w:sz="4" w:space="0" w:color="auto"/>
              <w:bottom w:val="single" w:sz="4" w:space="0" w:color="auto"/>
              <w:right w:val="single" w:sz="4" w:space="0" w:color="auto"/>
            </w:tcBorders>
            <w:noWrap/>
            <w:vAlign w:val="center"/>
            <w:hideMark/>
          </w:tcPr>
          <w:p w14:paraId="4F8BBBDE" w14:textId="77777777" w:rsidR="00494D4B" w:rsidRPr="00377D59" w:rsidRDefault="3D6ED029" w:rsidP="3D6ED029">
            <w:pPr>
              <w:widowControl w:val="0"/>
              <w:spacing w:after="0" w:line="240" w:lineRule="auto"/>
              <w:ind w:firstLine="67"/>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Pénzbeli ellátások</w:t>
            </w:r>
          </w:p>
        </w:tc>
        <w:tc>
          <w:tcPr>
            <w:tcW w:w="1276" w:type="dxa"/>
            <w:tcBorders>
              <w:top w:val="single" w:sz="4" w:space="0" w:color="auto"/>
              <w:left w:val="nil"/>
              <w:bottom w:val="single" w:sz="4" w:space="0" w:color="auto"/>
              <w:right w:val="single" w:sz="4" w:space="0" w:color="auto"/>
            </w:tcBorders>
            <w:vAlign w:val="center"/>
          </w:tcPr>
          <w:p w14:paraId="3EB30386" w14:textId="02E613F1" w:rsidR="00494D4B" w:rsidRPr="001074A1" w:rsidRDefault="3D6ED029" w:rsidP="3D6ED029">
            <w:pPr>
              <w:widowControl w:val="0"/>
              <w:spacing w:after="0"/>
              <w:jc w:val="right"/>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527,6</w:t>
            </w:r>
          </w:p>
        </w:tc>
        <w:tc>
          <w:tcPr>
            <w:tcW w:w="1209" w:type="dxa"/>
            <w:tcBorders>
              <w:top w:val="single" w:sz="4" w:space="0" w:color="auto"/>
              <w:left w:val="nil"/>
              <w:bottom w:val="single" w:sz="4" w:space="0" w:color="auto"/>
              <w:right w:val="single" w:sz="4" w:space="0" w:color="auto"/>
            </w:tcBorders>
            <w:vAlign w:val="center"/>
          </w:tcPr>
          <w:p w14:paraId="749AF748" w14:textId="318D066C" w:rsidR="00494D4B" w:rsidRPr="001074A1" w:rsidRDefault="3D6ED029" w:rsidP="3D6ED029">
            <w:pPr>
              <w:widowControl w:val="0"/>
              <w:spacing w:after="0"/>
              <w:jc w:val="right"/>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579,9</w:t>
            </w:r>
          </w:p>
        </w:tc>
        <w:tc>
          <w:tcPr>
            <w:tcW w:w="992" w:type="dxa"/>
            <w:tcBorders>
              <w:top w:val="single" w:sz="4" w:space="0" w:color="auto"/>
              <w:left w:val="nil"/>
              <w:bottom w:val="single" w:sz="4" w:space="0" w:color="auto"/>
              <w:right w:val="single" w:sz="4" w:space="0" w:color="auto"/>
            </w:tcBorders>
            <w:noWrap/>
            <w:vAlign w:val="center"/>
          </w:tcPr>
          <w:p w14:paraId="780D698F" w14:textId="0298E19C" w:rsidR="00494D4B" w:rsidRPr="001074A1" w:rsidRDefault="3D6ED029" w:rsidP="3D6ED029">
            <w:pPr>
              <w:widowControl w:val="0"/>
              <w:spacing w:after="0"/>
              <w:jc w:val="right"/>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52,3</w:t>
            </w:r>
          </w:p>
        </w:tc>
        <w:tc>
          <w:tcPr>
            <w:tcW w:w="993" w:type="dxa"/>
            <w:tcBorders>
              <w:top w:val="single" w:sz="4" w:space="0" w:color="auto"/>
              <w:left w:val="nil"/>
              <w:bottom w:val="single" w:sz="4" w:space="0" w:color="auto"/>
              <w:right w:val="single" w:sz="4" w:space="0" w:color="auto"/>
            </w:tcBorders>
            <w:noWrap/>
            <w:vAlign w:val="center"/>
          </w:tcPr>
          <w:p w14:paraId="35977C13" w14:textId="6F08F6F0" w:rsidR="00494D4B" w:rsidRPr="001074A1" w:rsidRDefault="3D6ED029" w:rsidP="3D6ED029">
            <w:pPr>
              <w:widowControl w:val="0"/>
              <w:spacing w:after="0"/>
              <w:jc w:val="right"/>
              <w:rPr>
                <w:rFonts w:ascii="Times New Roman" w:eastAsia="Times New Roman" w:hAnsi="Times New Roman" w:cs="Times New Roman"/>
                <w:b/>
                <w:bCs/>
                <w:lang w:eastAsia="hu-HU"/>
              </w:rPr>
            </w:pPr>
            <w:r w:rsidRPr="3D6ED029">
              <w:rPr>
                <w:rFonts w:ascii="Times New Roman" w:eastAsia="Times New Roman" w:hAnsi="Times New Roman" w:cs="Times New Roman"/>
                <w:b/>
                <w:bCs/>
                <w:lang w:eastAsia="hu-HU"/>
              </w:rPr>
              <w:t>109,9</w:t>
            </w:r>
          </w:p>
        </w:tc>
      </w:tr>
      <w:tr w:rsidR="00494D4B" w:rsidRPr="00377D59" w14:paraId="07715518" w14:textId="77777777" w:rsidTr="3D6ED029">
        <w:trPr>
          <w:trHeight w:val="284"/>
        </w:trPr>
        <w:tc>
          <w:tcPr>
            <w:tcW w:w="4248" w:type="dxa"/>
            <w:tcBorders>
              <w:top w:val="nil"/>
              <w:left w:val="single" w:sz="4" w:space="0" w:color="auto"/>
              <w:bottom w:val="single" w:sz="4" w:space="0" w:color="auto"/>
              <w:right w:val="single" w:sz="4" w:space="0" w:color="auto"/>
            </w:tcBorders>
            <w:noWrap/>
            <w:vAlign w:val="center"/>
            <w:hideMark/>
          </w:tcPr>
          <w:p w14:paraId="31DF5B0B" w14:textId="77777777" w:rsidR="00494D4B" w:rsidRPr="003D21B5" w:rsidRDefault="3D6ED029" w:rsidP="3D6ED029">
            <w:pPr>
              <w:widowControl w:val="0"/>
              <w:spacing w:after="0" w:line="240" w:lineRule="auto"/>
              <w:ind w:firstLine="285"/>
              <w:rPr>
                <w:rFonts w:ascii="Times New Roman" w:eastAsia="Times New Roman" w:hAnsi="Times New Roman" w:cs="Times New Roman"/>
                <w:i/>
                <w:iCs/>
                <w:lang w:eastAsia="hu-HU"/>
              </w:rPr>
            </w:pPr>
            <w:r w:rsidRPr="3D6ED029">
              <w:rPr>
                <w:rFonts w:ascii="Times New Roman" w:eastAsia="Times New Roman" w:hAnsi="Times New Roman" w:cs="Times New Roman"/>
                <w:i/>
                <w:iCs/>
                <w:lang w:eastAsia="hu-HU"/>
              </w:rPr>
              <w:t>Ebből:</w:t>
            </w:r>
          </w:p>
        </w:tc>
        <w:tc>
          <w:tcPr>
            <w:tcW w:w="4470" w:type="dxa"/>
            <w:gridSpan w:val="4"/>
            <w:tcBorders>
              <w:top w:val="single" w:sz="4" w:space="0" w:color="auto"/>
              <w:left w:val="nil"/>
              <w:bottom w:val="single" w:sz="4" w:space="0" w:color="auto"/>
              <w:right w:val="single" w:sz="4" w:space="0" w:color="auto"/>
            </w:tcBorders>
            <w:vAlign w:val="center"/>
          </w:tcPr>
          <w:p w14:paraId="60B47ECC" w14:textId="007D4839" w:rsidR="00494D4B" w:rsidRPr="003D21B5" w:rsidRDefault="3D6ED029" w:rsidP="3D6ED029">
            <w:pPr>
              <w:widowControl w:val="0"/>
              <w:spacing w:after="0" w:line="240" w:lineRule="auto"/>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 </w:t>
            </w:r>
          </w:p>
        </w:tc>
      </w:tr>
      <w:tr w:rsidR="00494D4B" w:rsidRPr="00377D59" w14:paraId="72B9616A" w14:textId="77777777" w:rsidTr="3D6ED029">
        <w:trPr>
          <w:trHeight w:val="340"/>
        </w:trPr>
        <w:tc>
          <w:tcPr>
            <w:tcW w:w="4248" w:type="dxa"/>
            <w:tcBorders>
              <w:top w:val="nil"/>
              <w:left w:val="single" w:sz="4" w:space="0" w:color="auto"/>
              <w:bottom w:val="single" w:sz="4" w:space="0" w:color="auto"/>
              <w:right w:val="single" w:sz="4" w:space="0" w:color="auto"/>
            </w:tcBorders>
            <w:noWrap/>
            <w:vAlign w:val="center"/>
            <w:hideMark/>
          </w:tcPr>
          <w:p w14:paraId="21DA2C4C" w14:textId="77777777" w:rsidR="00494D4B" w:rsidRPr="003D21B5" w:rsidRDefault="3D6ED029" w:rsidP="3D6ED029">
            <w:pPr>
              <w:widowControl w:val="0"/>
              <w:spacing w:after="0" w:line="240" w:lineRule="auto"/>
              <w:ind w:firstLine="67"/>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Rokkantsági, rehabilitációs ellátások</w:t>
            </w:r>
          </w:p>
        </w:tc>
        <w:tc>
          <w:tcPr>
            <w:tcW w:w="1276" w:type="dxa"/>
            <w:tcBorders>
              <w:top w:val="single" w:sz="4" w:space="0" w:color="auto"/>
              <w:left w:val="nil"/>
              <w:bottom w:val="single" w:sz="4" w:space="0" w:color="auto"/>
              <w:right w:val="single" w:sz="4" w:space="0" w:color="auto"/>
            </w:tcBorders>
            <w:noWrap/>
            <w:vAlign w:val="center"/>
          </w:tcPr>
          <w:p w14:paraId="49E22A63" w14:textId="5AF92159"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191,7</w:t>
            </w:r>
          </w:p>
        </w:tc>
        <w:tc>
          <w:tcPr>
            <w:tcW w:w="1209" w:type="dxa"/>
            <w:tcBorders>
              <w:top w:val="single" w:sz="4" w:space="0" w:color="auto"/>
              <w:left w:val="nil"/>
              <w:bottom w:val="single" w:sz="4" w:space="0" w:color="auto"/>
              <w:right w:val="single" w:sz="4" w:space="0" w:color="auto"/>
            </w:tcBorders>
            <w:noWrap/>
            <w:vAlign w:val="center"/>
          </w:tcPr>
          <w:p w14:paraId="0480FC73" w14:textId="1B19DAB8"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215,6</w:t>
            </w:r>
          </w:p>
        </w:tc>
        <w:tc>
          <w:tcPr>
            <w:tcW w:w="992" w:type="dxa"/>
            <w:tcBorders>
              <w:top w:val="single" w:sz="4" w:space="0" w:color="auto"/>
              <w:left w:val="nil"/>
              <w:bottom w:val="single" w:sz="4" w:space="0" w:color="auto"/>
              <w:right w:val="single" w:sz="4" w:space="0" w:color="auto"/>
            </w:tcBorders>
            <w:noWrap/>
            <w:vAlign w:val="center"/>
          </w:tcPr>
          <w:p w14:paraId="63616B24" w14:textId="795F0307"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23,9</w:t>
            </w:r>
          </w:p>
        </w:tc>
        <w:tc>
          <w:tcPr>
            <w:tcW w:w="993" w:type="dxa"/>
            <w:tcBorders>
              <w:top w:val="single" w:sz="4" w:space="0" w:color="auto"/>
              <w:left w:val="nil"/>
              <w:bottom w:val="single" w:sz="4" w:space="0" w:color="auto"/>
              <w:right w:val="single" w:sz="4" w:space="0" w:color="auto"/>
            </w:tcBorders>
            <w:noWrap/>
            <w:vAlign w:val="center"/>
          </w:tcPr>
          <w:p w14:paraId="2B583A17" w14:textId="4904E3BE"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124,7</w:t>
            </w:r>
          </w:p>
        </w:tc>
      </w:tr>
      <w:tr w:rsidR="00494D4B" w:rsidRPr="00377D59" w14:paraId="778FD915" w14:textId="77777777" w:rsidTr="3D6ED029">
        <w:trPr>
          <w:trHeight w:val="340"/>
        </w:trPr>
        <w:tc>
          <w:tcPr>
            <w:tcW w:w="4248" w:type="dxa"/>
            <w:tcBorders>
              <w:top w:val="nil"/>
              <w:left w:val="single" w:sz="4" w:space="0" w:color="auto"/>
              <w:bottom w:val="single" w:sz="4" w:space="0" w:color="auto"/>
              <w:right w:val="single" w:sz="4" w:space="0" w:color="auto"/>
            </w:tcBorders>
            <w:noWrap/>
            <w:vAlign w:val="center"/>
            <w:hideMark/>
          </w:tcPr>
          <w:p w14:paraId="4CDB1046" w14:textId="4891E4FD" w:rsidR="00494D4B" w:rsidRPr="003D21B5" w:rsidRDefault="3D6ED029" w:rsidP="3D6ED029">
            <w:pPr>
              <w:widowControl w:val="0"/>
              <w:spacing w:after="0" w:line="240" w:lineRule="auto"/>
              <w:ind w:firstLine="67"/>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Gyermekgondozási díj és örökbefogadói díj</w:t>
            </w:r>
          </w:p>
        </w:tc>
        <w:tc>
          <w:tcPr>
            <w:tcW w:w="1276" w:type="dxa"/>
            <w:tcBorders>
              <w:top w:val="single" w:sz="4" w:space="0" w:color="auto"/>
              <w:left w:val="nil"/>
              <w:bottom w:val="single" w:sz="4" w:space="0" w:color="auto"/>
              <w:right w:val="single" w:sz="4" w:space="0" w:color="auto"/>
            </w:tcBorders>
            <w:noWrap/>
            <w:vAlign w:val="center"/>
          </w:tcPr>
          <w:p w14:paraId="0B0C3582" w14:textId="3B200B7F"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163,8</w:t>
            </w:r>
          </w:p>
        </w:tc>
        <w:tc>
          <w:tcPr>
            <w:tcW w:w="1209" w:type="dxa"/>
            <w:tcBorders>
              <w:top w:val="single" w:sz="4" w:space="0" w:color="auto"/>
              <w:left w:val="nil"/>
              <w:bottom w:val="single" w:sz="4" w:space="0" w:color="auto"/>
              <w:right w:val="single" w:sz="4" w:space="0" w:color="auto"/>
            </w:tcBorders>
            <w:noWrap/>
            <w:vAlign w:val="center"/>
          </w:tcPr>
          <w:p w14:paraId="6E6D7B2A" w14:textId="08568657"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170,5</w:t>
            </w:r>
          </w:p>
        </w:tc>
        <w:tc>
          <w:tcPr>
            <w:tcW w:w="992" w:type="dxa"/>
            <w:tcBorders>
              <w:top w:val="single" w:sz="4" w:space="0" w:color="auto"/>
              <w:left w:val="nil"/>
              <w:bottom w:val="single" w:sz="4" w:space="0" w:color="auto"/>
              <w:right w:val="single" w:sz="4" w:space="0" w:color="auto"/>
            </w:tcBorders>
            <w:noWrap/>
            <w:vAlign w:val="center"/>
          </w:tcPr>
          <w:p w14:paraId="791AEA46" w14:textId="77F764B6"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6,7</w:t>
            </w:r>
          </w:p>
        </w:tc>
        <w:tc>
          <w:tcPr>
            <w:tcW w:w="993" w:type="dxa"/>
            <w:tcBorders>
              <w:top w:val="single" w:sz="4" w:space="0" w:color="auto"/>
              <w:left w:val="nil"/>
              <w:bottom w:val="single" w:sz="4" w:space="0" w:color="auto"/>
              <w:right w:val="single" w:sz="4" w:space="0" w:color="auto"/>
            </w:tcBorders>
            <w:noWrap/>
            <w:vAlign w:val="center"/>
          </w:tcPr>
          <w:p w14:paraId="189A6E8D" w14:textId="2122EA8E"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104,1</w:t>
            </w:r>
          </w:p>
        </w:tc>
      </w:tr>
      <w:tr w:rsidR="00494D4B" w:rsidRPr="00377D59" w14:paraId="7D62EFFD" w14:textId="77777777" w:rsidTr="3D6ED029">
        <w:trPr>
          <w:trHeight w:val="34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487EDDE" w14:textId="77777777" w:rsidR="00494D4B" w:rsidRPr="003D21B5" w:rsidRDefault="3D6ED029" w:rsidP="3D6ED029">
            <w:pPr>
              <w:widowControl w:val="0"/>
              <w:spacing w:after="0" w:line="240" w:lineRule="auto"/>
              <w:ind w:firstLine="67"/>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Táppénz</w:t>
            </w:r>
          </w:p>
        </w:tc>
        <w:tc>
          <w:tcPr>
            <w:tcW w:w="1276" w:type="dxa"/>
            <w:tcBorders>
              <w:top w:val="single" w:sz="4" w:space="0" w:color="auto"/>
              <w:left w:val="nil"/>
              <w:bottom w:val="single" w:sz="4" w:space="0" w:color="auto"/>
              <w:right w:val="single" w:sz="4" w:space="0" w:color="auto"/>
            </w:tcBorders>
            <w:noWrap/>
            <w:vAlign w:val="center"/>
          </w:tcPr>
          <w:p w14:paraId="4DBD4593" w14:textId="60131010"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97,9</w:t>
            </w:r>
          </w:p>
        </w:tc>
        <w:tc>
          <w:tcPr>
            <w:tcW w:w="1209" w:type="dxa"/>
            <w:tcBorders>
              <w:top w:val="single" w:sz="4" w:space="0" w:color="auto"/>
              <w:left w:val="nil"/>
              <w:bottom w:val="single" w:sz="4" w:space="0" w:color="auto"/>
              <w:right w:val="single" w:sz="4" w:space="0" w:color="auto"/>
            </w:tcBorders>
            <w:noWrap/>
            <w:vAlign w:val="center"/>
          </w:tcPr>
          <w:p w14:paraId="7122EFC4" w14:textId="3245B3BF"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116,4</w:t>
            </w:r>
          </w:p>
        </w:tc>
        <w:tc>
          <w:tcPr>
            <w:tcW w:w="992" w:type="dxa"/>
            <w:tcBorders>
              <w:top w:val="single" w:sz="4" w:space="0" w:color="auto"/>
              <w:left w:val="nil"/>
              <w:bottom w:val="single" w:sz="4" w:space="0" w:color="auto"/>
              <w:right w:val="single" w:sz="4" w:space="0" w:color="auto"/>
            </w:tcBorders>
            <w:noWrap/>
            <w:vAlign w:val="center"/>
          </w:tcPr>
          <w:p w14:paraId="64552A76" w14:textId="3C01C128"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18,5</w:t>
            </w:r>
          </w:p>
        </w:tc>
        <w:tc>
          <w:tcPr>
            <w:tcW w:w="993" w:type="dxa"/>
            <w:tcBorders>
              <w:top w:val="single" w:sz="4" w:space="0" w:color="auto"/>
              <w:left w:val="nil"/>
              <w:bottom w:val="single" w:sz="4" w:space="0" w:color="auto"/>
              <w:right w:val="single" w:sz="4" w:space="0" w:color="auto"/>
            </w:tcBorders>
            <w:noWrap/>
            <w:vAlign w:val="center"/>
          </w:tcPr>
          <w:p w14:paraId="324ADF3D" w14:textId="3560DB08" w:rsidR="00494D4B" w:rsidRPr="003D21B5" w:rsidRDefault="3D6ED029" w:rsidP="3D6ED029">
            <w:pPr>
              <w:widowControl w:val="0"/>
              <w:spacing w:after="0"/>
              <w:jc w:val="right"/>
              <w:rPr>
                <w:rFonts w:ascii="Times New Roman" w:eastAsia="Times New Roman" w:hAnsi="Times New Roman" w:cs="Times New Roman"/>
                <w:lang w:eastAsia="hu-HU"/>
              </w:rPr>
            </w:pPr>
            <w:r w:rsidRPr="3D6ED029">
              <w:rPr>
                <w:rFonts w:ascii="Times New Roman" w:eastAsia="Times New Roman" w:hAnsi="Times New Roman" w:cs="Times New Roman"/>
                <w:lang w:eastAsia="hu-HU"/>
              </w:rPr>
              <w:t>118,9</w:t>
            </w:r>
          </w:p>
        </w:tc>
      </w:tr>
    </w:tbl>
    <w:p w14:paraId="4AE7E0F0" w14:textId="05ED8F10" w:rsidR="0CCC0FD8" w:rsidRDefault="3D6ED029" w:rsidP="0004116D">
      <w:pPr>
        <w:spacing w:before="60"/>
        <w:jc w:val="both"/>
      </w:pPr>
      <w:r w:rsidRPr="3D6ED029">
        <w:rPr>
          <w:rFonts w:ascii="Times New Roman" w:eastAsia="Times New Roman" w:hAnsi="Times New Roman" w:cs="Times New Roman"/>
          <w:sz w:val="26"/>
          <w:szCs w:val="26"/>
        </w:rPr>
        <w:t xml:space="preserve">A </w:t>
      </w:r>
      <w:r w:rsidRPr="3D6ED029">
        <w:rPr>
          <w:rFonts w:ascii="Times New Roman" w:eastAsia="Times New Roman" w:hAnsi="Times New Roman" w:cs="Times New Roman"/>
          <w:b/>
          <w:bCs/>
          <w:sz w:val="26"/>
          <w:szCs w:val="26"/>
        </w:rPr>
        <w:t>gyógyító-megelőző ellátásokra</w:t>
      </w:r>
      <w:r w:rsidRPr="3D6ED029">
        <w:rPr>
          <w:rFonts w:ascii="Times New Roman" w:eastAsia="Times New Roman" w:hAnsi="Times New Roman" w:cs="Times New Roman"/>
          <w:sz w:val="26"/>
          <w:szCs w:val="26"/>
        </w:rPr>
        <w:t xml:space="preserve"> fordított kiadás 2026. május végéig 1295,0 milliárd forintot tett ki, ami az előző év azonos időszakát 44,4 milliárd forinttal haladja meg. </w:t>
      </w:r>
    </w:p>
    <w:p w14:paraId="69E4940B" w14:textId="05BE9B19" w:rsidR="001074A1" w:rsidRPr="00F1519E" w:rsidRDefault="0CCC0FD8" w:rsidP="0CCC0FD8">
      <w:pPr>
        <w:jc w:val="both"/>
        <w:rPr>
          <w:rFonts w:ascii="Times New Roman" w:eastAsia="Times New Roman" w:hAnsi="Times New Roman" w:cs="Times New Roman"/>
          <w:sz w:val="26"/>
          <w:szCs w:val="26"/>
        </w:rPr>
      </w:pPr>
      <w:r w:rsidRPr="0CCC0FD8">
        <w:rPr>
          <w:rFonts w:ascii="Times New Roman" w:eastAsia="Times New Roman" w:hAnsi="Times New Roman" w:cs="Times New Roman"/>
          <w:b/>
          <w:bCs/>
          <w:sz w:val="26"/>
          <w:szCs w:val="26"/>
        </w:rPr>
        <w:t>Gyógyszertámogatásra</w:t>
      </w:r>
      <w:r w:rsidRPr="0CCC0FD8">
        <w:rPr>
          <w:rFonts w:ascii="Times New Roman" w:eastAsia="Times New Roman" w:hAnsi="Times New Roman" w:cs="Times New Roman"/>
          <w:sz w:val="26"/>
          <w:szCs w:val="26"/>
        </w:rPr>
        <w:t xml:space="preserve"> 2026. május végéig 259,7 milliárd forint került kifizetésre, amely 21,2 milliárd forinttal magasabb az előző év azonos időszakában kifizetett összegnél.</w:t>
      </w:r>
    </w:p>
    <w:p w14:paraId="7B768C24" w14:textId="4F783F64" w:rsidR="00B155FE" w:rsidRPr="004966FE" w:rsidRDefault="3D6ED029" w:rsidP="3D6ED029">
      <w:pPr>
        <w:keepNext/>
        <w:pageBreakBefore/>
        <w:numPr>
          <w:ilvl w:val="0"/>
          <w:numId w:val="3"/>
        </w:numPr>
        <w:spacing w:after="120" w:line="240" w:lineRule="auto"/>
        <w:ind w:left="714" w:hanging="357"/>
        <w:jc w:val="both"/>
        <w:outlineLvl w:val="2"/>
        <w:rPr>
          <w:rFonts w:ascii="Times New Roman" w:eastAsia="Times New Roman" w:hAnsi="Times New Roman" w:cs="Times New Roman"/>
          <w:b/>
          <w:bCs/>
          <w:smallCaps/>
          <w:sz w:val="28"/>
          <w:szCs w:val="28"/>
          <w:lang w:eastAsia="hu-HU"/>
        </w:rPr>
      </w:pPr>
      <w:r w:rsidRPr="3D6ED029">
        <w:rPr>
          <w:rFonts w:ascii="Times New Roman" w:eastAsia="Times New Roman" w:hAnsi="Times New Roman" w:cs="Times New Roman"/>
          <w:b/>
          <w:bCs/>
          <w:smallCaps/>
          <w:sz w:val="28"/>
          <w:szCs w:val="28"/>
          <w:lang w:eastAsia="hu-HU"/>
        </w:rPr>
        <w:lastRenderedPageBreak/>
        <w:t>A költségvetési szervek és fejezeti kezelésű előirányzatok alakulása</w:t>
      </w:r>
    </w:p>
    <w:p w14:paraId="41120C33" w14:textId="67205309" w:rsidR="00484365" w:rsidRPr="00EF42A2" w:rsidRDefault="3D6ED029" w:rsidP="3D6ED029">
      <w:pPr>
        <w:spacing w:before="240"/>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t xml:space="preserve">A </w:t>
      </w:r>
      <w:r w:rsidRPr="3D6ED029">
        <w:rPr>
          <w:rFonts w:ascii="Times New Roman" w:eastAsia="Times New Roman" w:hAnsi="Times New Roman" w:cs="Times New Roman"/>
          <w:b/>
          <w:bCs/>
          <w:sz w:val="26"/>
          <w:szCs w:val="26"/>
          <w:lang w:eastAsia="hu-HU"/>
        </w:rPr>
        <w:t>költségvetési szervek bevételei</w:t>
      </w:r>
      <w:r w:rsidRPr="3D6ED029">
        <w:rPr>
          <w:rFonts w:ascii="Times New Roman" w:eastAsia="Times New Roman" w:hAnsi="Times New Roman" w:cs="Times New Roman"/>
          <w:sz w:val="26"/>
          <w:szCs w:val="26"/>
          <w:lang w:eastAsia="hu-HU"/>
        </w:rPr>
        <w:t xml:space="preserve"> 2026 első öt hónapjában 1188,0 milliárd forintot tettek ki, amely 1,5%-kal alacsonyabb az előző év azonos időszakának bevételeihez képest. Az intézmények bevételei közül 703,5</w:t>
      </w:r>
      <w:r w:rsidR="00496D0A">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milliárd forintot tett ki a Nemzeti Egészségbiztosítási Alapkezelő által az egészségügyi intézményeknek utalt támogatás.</w:t>
      </w:r>
    </w:p>
    <w:p w14:paraId="6C6ADA97" w14:textId="6B18F8B7" w:rsidR="00484365" w:rsidRPr="0004116D" w:rsidRDefault="3D6ED029" w:rsidP="3D6ED029">
      <w:pPr>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t xml:space="preserve">A </w:t>
      </w:r>
      <w:r w:rsidRPr="3D6ED029">
        <w:rPr>
          <w:rFonts w:ascii="Times New Roman" w:eastAsia="Times New Roman" w:hAnsi="Times New Roman" w:cs="Times New Roman"/>
          <w:b/>
          <w:bCs/>
          <w:sz w:val="26"/>
          <w:szCs w:val="26"/>
          <w:lang w:eastAsia="hu-HU"/>
        </w:rPr>
        <w:t>szakmai fejezeti kezelésű előirányzatok bevételei</w:t>
      </w:r>
      <w:r w:rsidRPr="3D6ED029">
        <w:rPr>
          <w:rFonts w:ascii="Times New Roman" w:eastAsia="Times New Roman" w:hAnsi="Times New Roman" w:cs="Times New Roman"/>
          <w:sz w:val="26"/>
          <w:szCs w:val="26"/>
          <w:lang w:eastAsia="hu-HU"/>
        </w:rPr>
        <w:t xml:space="preserve"> 2026 első öt hónapjában 300,5 milliárd forintot tettek ki, mely 78,7%-kal magasabb az év azonos időszakának bevételéhez képest. A bevételek jelentős részét az „Alapok alapja GINOP pénzügyi eszközök” törvényi sorra befolyt összegek teszik ki, melyek nem uniós bevételként jóváírt tételek.</w:t>
      </w:r>
    </w:p>
    <w:p w14:paraId="5A50B96E" w14:textId="1E2BBF17" w:rsidR="00484365" w:rsidRPr="004966FE" w:rsidRDefault="3D6ED029" w:rsidP="3D6ED029">
      <w:pPr>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t xml:space="preserve">A </w:t>
      </w:r>
      <w:r w:rsidRPr="3D6ED029">
        <w:rPr>
          <w:rFonts w:ascii="Times New Roman" w:hAnsi="Times New Roman" w:cs="Times New Roman"/>
          <w:sz w:val="26"/>
          <w:szCs w:val="26"/>
          <w:lang w:eastAsia="hu-HU"/>
        </w:rPr>
        <w:t>2026. év első öthavi, 1488,5 milliárd forint összegű bevételek megoszlását a következő grafikon szemlélteti</w:t>
      </w:r>
      <w:r w:rsidRPr="3D6ED029">
        <w:rPr>
          <w:rFonts w:ascii="Times New Roman" w:eastAsia="Times New Roman" w:hAnsi="Times New Roman" w:cs="Times New Roman"/>
          <w:sz w:val="26"/>
          <w:szCs w:val="26"/>
          <w:lang w:eastAsia="hu-HU"/>
        </w:rPr>
        <w:t>:</w:t>
      </w:r>
    </w:p>
    <w:p w14:paraId="576D18BB" w14:textId="3EC12E3E" w:rsidR="00B056CC" w:rsidRPr="00377D59" w:rsidRDefault="0004116D" w:rsidP="00C2238F">
      <w:pPr>
        <w:spacing w:before="240" w:after="120"/>
        <w:jc w:val="center"/>
        <w:rPr>
          <w:rFonts w:ascii="Times New Roman" w:eastAsia="Times New Roman" w:hAnsi="Times New Roman" w:cs="Times New Roman"/>
          <w:b/>
          <w:sz w:val="26"/>
          <w:szCs w:val="26"/>
        </w:rPr>
      </w:pPr>
      <w:r w:rsidRPr="0004116D">
        <w:rPr>
          <w:rFonts w:ascii="Times New Roman" w:eastAsia="Times New Roman" w:hAnsi="Times New Roman" w:cs="Times New Roman"/>
          <w:b/>
          <w:noProof/>
          <w:sz w:val="26"/>
          <w:szCs w:val="26"/>
        </w:rPr>
        <w:drawing>
          <wp:inline distT="0" distB="0" distL="0" distR="0" wp14:anchorId="1417D891" wp14:editId="6CF06B3F">
            <wp:extent cx="5691043" cy="3125470"/>
            <wp:effectExtent l="0" t="0" r="5080" b="0"/>
            <wp:docPr id="76357482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74829" name=""/>
                    <pic:cNvPicPr/>
                  </pic:nvPicPr>
                  <pic:blipFill rotWithShape="1">
                    <a:blip r:embed="rId24"/>
                    <a:srcRect l="4198"/>
                    <a:stretch/>
                  </pic:blipFill>
                  <pic:spPr bwMode="auto">
                    <a:xfrm>
                      <a:off x="0" y="0"/>
                      <a:ext cx="5691043" cy="3125470"/>
                    </a:xfrm>
                    <a:prstGeom prst="rect">
                      <a:avLst/>
                    </a:prstGeom>
                    <a:ln>
                      <a:noFill/>
                    </a:ln>
                    <a:extLst>
                      <a:ext uri="{53640926-AAD7-44D8-BBD7-CCE9431645EC}">
                        <a14:shadowObscured xmlns:a14="http://schemas.microsoft.com/office/drawing/2010/main"/>
                      </a:ext>
                    </a:extLst>
                  </pic:spPr>
                </pic:pic>
              </a:graphicData>
            </a:graphic>
          </wp:inline>
        </w:drawing>
      </w:r>
    </w:p>
    <w:p w14:paraId="1D98D1A9" w14:textId="3CAAE89B" w:rsidR="00484365" w:rsidRPr="00AE11E0" w:rsidRDefault="3D6ED029" w:rsidP="3D6ED029">
      <w:pPr>
        <w:spacing w:before="240"/>
        <w:jc w:val="both"/>
        <w:rPr>
          <w:rFonts w:ascii="Times New Roman" w:eastAsia="Times New Roman" w:hAnsi="Times New Roman" w:cs="Times New Roman"/>
          <w:color w:val="FF0000"/>
          <w:sz w:val="26"/>
          <w:szCs w:val="26"/>
          <w:lang w:eastAsia="hu-HU"/>
        </w:rPr>
      </w:pPr>
      <w:r w:rsidRPr="3D6ED029">
        <w:rPr>
          <w:rFonts w:ascii="Times New Roman" w:eastAsia="Times New Roman" w:hAnsi="Times New Roman" w:cs="Times New Roman"/>
          <w:sz w:val="26"/>
          <w:szCs w:val="26"/>
          <w:lang w:eastAsia="hu-HU"/>
        </w:rPr>
        <w:t xml:space="preserve">A </w:t>
      </w:r>
      <w:r w:rsidRPr="3D6ED029">
        <w:rPr>
          <w:rFonts w:ascii="Times New Roman" w:eastAsia="Times New Roman" w:hAnsi="Times New Roman" w:cs="Times New Roman"/>
          <w:b/>
          <w:bCs/>
          <w:sz w:val="26"/>
          <w:szCs w:val="26"/>
          <w:lang w:eastAsia="hu-HU"/>
        </w:rPr>
        <w:t>költségvetési szervek kiadásai</w:t>
      </w:r>
      <w:r w:rsidRPr="3D6ED029">
        <w:rPr>
          <w:rFonts w:ascii="Times New Roman" w:eastAsia="Times New Roman" w:hAnsi="Times New Roman" w:cs="Times New Roman"/>
          <w:sz w:val="26"/>
          <w:szCs w:val="26"/>
          <w:lang w:eastAsia="hu-HU"/>
        </w:rPr>
        <w:t xml:space="preserve"> mérlegsoron 2026 első öt hónapjában 4326,7 milliárd forint kiadás teljesült, mely 17,6%-kal magasabb az előző év azonos időszakának kiadásaihoz képest. A kiadásból 2925,9 milliárd forint a személyi juttatásokra és</w:t>
      </w:r>
      <w:r w:rsidR="0073668C">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munkaadókat terhelő járulékokra kifizetett összeg. Ez tartalmazza a fegyveres és</w:t>
      </w:r>
      <w:r w:rsidR="0073668C">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a rendvédelmi feladatokat ellátó szervek részére kifizetett 2026. évi szolgálati juttatás („fegyverpénz”) összegét is.</w:t>
      </w:r>
    </w:p>
    <w:p w14:paraId="0AB00615" w14:textId="37144CB4" w:rsidR="00484365" w:rsidRPr="00947C58" w:rsidRDefault="3D6ED029" w:rsidP="3D6ED029">
      <w:pPr>
        <w:spacing w:before="240"/>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t xml:space="preserve">A </w:t>
      </w:r>
      <w:r w:rsidRPr="3D6ED029">
        <w:rPr>
          <w:rFonts w:ascii="Times New Roman" w:eastAsia="Times New Roman" w:hAnsi="Times New Roman" w:cs="Times New Roman"/>
          <w:b/>
          <w:bCs/>
          <w:sz w:val="26"/>
          <w:szCs w:val="26"/>
          <w:lang w:eastAsia="hu-HU"/>
        </w:rPr>
        <w:t>szakmai fejezeti kezelésű előirányzatok kiadásai</w:t>
      </w:r>
      <w:r w:rsidRPr="3D6ED029">
        <w:rPr>
          <w:rFonts w:ascii="Times New Roman" w:eastAsia="Times New Roman" w:hAnsi="Times New Roman" w:cs="Times New Roman"/>
          <w:sz w:val="26"/>
          <w:szCs w:val="26"/>
          <w:lang w:eastAsia="hu-HU"/>
        </w:rPr>
        <w:t xml:space="preserve"> mérlegsoron 2026 első öt hónapjában 3621,5 milliárd forint kiadás teljesült, mely 65,1%-kal magasabb, mint az</w:t>
      </w:r>
      <w:r w:rsidR="0073668C">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előző év azonos időszakának kiadása. Ezen időszak teljesítéséből az alábbi kiadások emelhetők ki:</w:t>
      </w:r>
    </w:p>
    <w:p w14:paraId="1DE60443" w14:textId="77777777" w:rsidR="00484365" w:rsidRPr="00947C58" w:rsidRDefault="00484365" w:rsidP="00484365">
      <w:pPr>
        <w:jc w:val="both"/>
        <w:rPr>
          <w:rFonts w:ascii="Times New Roman" w:eastAsia="Times New Roman" w:hAnsi="Times New Roman" w:cs="Times New Roman"/>
          <w:sz w:val="26"/>
          <w:szCs w:val="26"/>
          <w:lang w:eastAsia="hu-HU"/>
        </w:rPr>
      </w:pPr>
      <w:r w:rsidRPr="00947C58">
        <w:rPr>
          <w:rFonts w:ascii="Times New Roman" w:eastAsia="Times New Roman" w:hAnsi="Times New Roman" w:cs="Times New Roman"/>
          <w:sz w:val="26"/>
          <w:szCs w:val="26"/>
          <w:lang w:eastAsia="hu-HU"/>
        </w:rPr>
        <w:br w:type="page"/>
      </w:r>
    </w:p>
    <w:p w14:paraId="1C3E2D66" w14:textId="77777777" w:rsidR="00484365" w:rsidRPr="008E4041" w:rsidRDefault="3D6ED029" w:rsidP="3D6ED029">
      <w:pPr>
        <w:spacing w:after="120" w:line="240" w:lineRule="auto"/>
        <w:jc w:val="right"/>
        <w:rPr>
          <w:rFonts w:ascii="Times New Roman" w:eastAsia="Times New Roman" w:hAnsi="Times New Roman" w:cs="Times New Roman"/>
          <w:i/>
          <w:iCs/>
          <w:sz w:val="20"/>
          <w:szCs w:val="20"/>
          <w:lang w:eastAsia="hu-HU"/>
        </w:rPr>
      </w:pPr>
      <w:r w:rsidRPr="3D6ED029">
        <w:rPr>
          <w:rFonts w:ascii="Times New Roman" w:eastAsia="Times New Roman" w:hAnsi="Times New Roman" w:cs="Times New Roman"/>
          <w:i/>
          <w:iCs/>
          <w:sz w:val="20"/>
          <w:szCs w:val="20"/>
          <w:lang w:eastAsia="hu-HU"/>
        </w:rPr>
        <w:lastRenderedPageBreak/>
        <w:t>milliárd forint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51"/>
        <w:gridCol w:w="992"/>
      </w:tblGrid>
      <w:tr w:rsidR="00947C58" w:rsidRPr="008E4041" w14:paraId="165EDCFB" w14:textId="77777777" w:rsidTr="3D6ED029">
        <w:trPr>
          <w:trHeight w:val="283"/>
        </w:trPr>
        <w:tc>
          <w:tcPr>
            <w:tcW w:w="8251" w:type="dxa"/>
            <w:tcMar>
              <w:top w:w="0" w:type="dxa"/>
              <w:left w:w="108" w:type="dxa"/>
              <w:bottom w:w="0" w:type="dxa"/>
              <w:right w:w="108" w:type="dxa"/>
            </w:tcMar>
            <w:vAlign w:val="center"/>
            <w:hideMark/>
          </w:tcPr>
          <w:p w14:paraId="6D2249A8" w14:textId="5E18E1F5" w:rsidR="00947C58" w:rsidRPr="00942E3A" w:rsidRDefault="3D6ED029" w:rsidP="3D6ED029">
            <w:pPr>
              <w:spacing w:after="0" w:line="240" w:lineRule="auto"/>
              <w:jc w:val="both"/>
              <w:rPr>
                <w:rFonts w:ascii="Times New Roman" w:hAnsi="Times New Roman" w:cs="Times New Roman"/>
                <w:lang w:eastAsia="hu-HU"/>
              </w:rPr>
            </w:pPr>
            <w:r w:rsidRPr="3D6ED029">
              <w:rPr>
                <w:rFonts w:ascii="Times New Roman" w:hAnsi="Times New Roman" w:cs="Times New Roman"/>
              </w:rPr>
              <w:t>Normatív finanszírozás (köznevelési célú humánszolgáltatás és működési támogatás, hit- és erkölcstanoktatás és tankönyvtámogatás, illetve szociális, gyermekvédelmi, gyermekjóléti és fogyatékos személyek esélyegyenlőségét elősegítő célelőirányzatok)</w:t>
            </w:r>
          </w:p>
        </w:tc>
        <w:tc>
          <w:tcPr>
            <w:tcW w:w="992" w:type="dxa"/>
            <w:noWrap/>
            <w:tcMar>
              <w:top w:w="0" w:type="dxa"/>
              <w:left w:w="108" w:type="dxa"/>
              <w:bottom w:w="0" w:type="dxa"/>
              <w:right w:w="108" w:type="dxa"/>
            </w:tcMar>
            <w:vAlign w:val="center"/>
          </w:tcPr>
          <w:p w14:paraId="57709DB4" w14:textId="1D38C2A0" w:rsidR="00947C58" w:rsidRPr="00942E3A" w:rsidRDefault="3D6ED029" w:rsidP="3D6ED029">
            <w:pPr>
              <w:spacing w:after="0" w:line="240" w:lineRule="auto"/>
              <w:jc w:val="right"/>
              <w:rPr>
                <w:rFonts w:ascii="Times New Roman" w:hAnsi="Times New Roman" w:cs="Times New Roman"/>
                <w:lang w:eastAsia="hu-HU"/>
              </w:rPr>
            </w:pPr>
            <w:r w:rsidRPr="3D6ED029">
              <w:rPr>
                <w:rFonts w:ascii="Times New Roman" w:hAnsi="Times New Roman" w:cs="Times New Roman"/>
              </w:rPr>
              <w:t>500,8</w:t>
            </w:r>
          </w:p>
        </w:tc>
      </w:tr>
      <w:tr w:rsidR="00947C58" w:rsidRPr="008E4041" w14:paraId="653C7308" w14:textId="77777777" w:rsidTr="3D6ED029">
        <w:trPr>
          <w:trHeight w:val="340"/>
        </w:trPr>
        <w:tc>
          <w:tcPr>
            <w:tcW w:w="8251" w:type="dxa"/>
            <w:tcMar>
              <w:top w:w="0" w:type="dxa"/>
              <w:left w:w="108" w:type="dxa"/>
              <w:bottom w:w="0" w:type="dxa"/>
              <w:right w:w="108" w:type="dxa"/>
            </w:tcMar>
            <w:vAlign w:val="center"/>
            <w:hideMark/>
          </w:tcPr>
          <w:p w14:paraId="6E666FF1" w14:textId="0497169D" w:rsidR="00947C58" w:rsidRPr="00942E3A" w:rsidRDefault="3D6ED029" w:rsidP="3D6ED029">
            <w:pPr>
              <w:spacing w:after="0" w:line="240" w:lineRule="auto"/>
              <w:rPr>
                <w:rFonts w:ascii="Times New Roman" w:hAnsi="Times New Roman" w:cs="Times New Roman"/>
                <w:lang w:eastAsia="hu-HU"/>
              </w:rPr>
            </w:pPr>
            <w:r w:rsidRPr="3D6ED029">
              <w:rPr>
                <w:rFonts w:ascii="Times New Roman" w:hAnsi="Times New Roman" w:cs="Times New Roman"/>
              </w:rPr>
              <w:t>Nem állami felsőoktatási intézmények támogatása</w:t>
            </w:r>
          </w:p>
        </w:tc>
        <w:tc>
          <w:tcPr>
            <w:tcW w:w="992" w:type="dxa"/>
            <w:noWrap/>
            <w:tcMar>
              <w:top w:w="0" w:type="dxa"/>
              <w:left w:w="108" w:type="dxa"/>
              <w:bottom w:w="0" w:type="dxa"/>
              <w:right w:w="108" w:type="dxa"/>
            </w:tcMar>
            <w:vAlign w:val="center"/>
          </w:tcPr>
          <w:p w14:paraId="6AE16DC1" w14:textId="3E49DDDC" w:rsidR="00947C58" w:rsidRPr="00942E3A" w:rsidRDefault="3D6ED029" w:rsidP="3D6ED029">
            <w:pPr>
              <w:spacing w:after="0" w:line="240" w:lineRule="auto"/>
              <w:jc w:val="right"/>
              <w:rPr>
                <w:rFonts w:ascii="Times New Roman" w:hAnsi="Times New Roman" w:cs="Times New Roman"/>
                <w:lang w:eastAsia="hu-HU"/>
              </w:rPr>
            </w:pPr>
            <w:r w:rsidRPr="3D6ED029">
              <w:rPr>
                <w:rFonts w:ascii="Times New Roman" w:hAnsi="Times New Roman" w:cs="Times New Roman"/>
              </w:rPr>
              <w:t>362,9</w:t>
            </w:r>
          </w:p>
        </w:tc>
      </w:tr>
      <w:tr w:rsidR="00947C58" w:rsidRPr="008E4041" w14:paraId="3C01C8B1" w14:textId="77777777" w:rsidTr="3D6ED029">
        <w:trPr>
          <w:trHeight w:val="283"/>
        </w:trPr>
        <w:tc>
          <w:tcPr>
            <w:tcW w:w="8251" w:type="dxa"/>
            <w:tcMar>
              <w:top w:w="0" w:type="dxa"/>
              <w:left w:w="108" w:type="dxa"/>
              <w:bottom w:w="0" w:type="dxa"/>
              <w:right w:w="108" w:type="dxa"/>
            </w:tcMar>
            <w:vAlign w:val="center"/>
          </w:tcPr>
          <w:p w14:paraId="4BB1C2C8" w14:textId="35E14CE8" w:rsidR="00947C58" w:rsidRPr="00942E3A" w:rsidRDefault="3D6ED029" w:rsidP="3D6ED029">
            <w:pPr>
              <w:spacing w:after="0" w:line="240" w:lineRule="auto"/>
              <w:jc w:val="both"/>
              <w:rPr>
                <w:rFonts w:ascii="Times New Roman" w:hAnsi="Times New Roman" w:cs="Times New Roman"/>
                <w:lang w:eastAsia="hu-HU"/>
              </w:rPr>
            </w:pPr>
            <w:r w:rsidRPr="3D6ED029">
              <w:rPr>
                <w:rFonts w:ascii="Times New Roman" w:hAnsi="Times New Roman" w:cs="Times New Roman"/>
              </w:rPr>
              <w:t>Turisztikai fejlesztési feladatok</w:t>
            </w:r>
          </w:p>
        </w:tc>
        <w:tc>
          <w:tcPr>
            <w:tcW w:w="992" w:type="dxa"/>
            <w:noWrap/>
            <w:tcMar>
              <w:top w:w="0" w:type="dxa"/>
              <w:left w:w="108" w:type="dxa"/>
              <w:bottom w:w="0" w:type="dxa"/>
              <w:right w:w="108" w:type="dxa"/>
            </w:tcMar>
            <w:vAlign w:val="center"/>
          </w:tcPr>
          <w:p w14:paraId="7D8A418D" w14:textId="70CB8F82" w:rsidR="00947C58" w:rsidRPr="00942E3A" w:rsidRDefault="3D6ED029" w:rsidP="3D6ED029">
            <w:pPr>
              <w:spacing w:after="0" w:line="240" w:lineRule="auto"/>
              <w:jc w:val="right"/>
              <w:rPr>
                <w:rFonts w:ascii="Times New Roman" w:hAnsi="Times New Roman" w:cs="Times New Roman"/>
                <w:lang w:eastAsia="hu-HU"/>
              </w:rPr>
            </w:pPr>
            <w:r w:rsidRPr="3D6ED029">
              <w:rPr>
                <w:rFonts w:ascii="Times New Roman" w:hAnsi="Times New Roman" w:cs="Times New Roman"/>
                <w:lang w:eastAsia="hu-HU"/>
              </w:rPr>
              <w:t>98,9</w:t>
            </w:r>
          </w:p>
        </w:tc>
      </w:tr>
      <w:tr w:rsidR="00EF42A2" w:rsidRPr="00EF42A2" w14:paraId="43EADCD2" w14:textId="77777777" w:rsidTr="3D6ED029">
        <w:trPr>
          <w:trHeight w:val="283"/>
        </w:trPr>
        <w:tc>
          <w:tcPr>
            <w:tcW w:w="8251" w:type="dxa"/>
            <w:tcMar>
              <w:top w:w="0" w:type="dxa"/>
              <w:left w:w="108" w:type="dxa"/>
              <w:bottom w:w="0" w:type="dxa"/>
              <w:right w:w="108" w:type="dxa"/>
            </w:tcMar>
            <w:vAlign w:val="center"/>
          </w:tcPr>
          <w:p w14:paraId="4198CF34" w14:textId="6C0175C3" w:rsidR="00947C58" w:rsidRPr="00EF42A2" w:rsidRDefault="3D6ED029" w:rsidP="3D6ED029">
            <w:pPr>
              <w:spacing w:after="0" w:line="240" w:lineRule="auto"/>
              <w:jc w:val="both"/>
              <w:rPr>
                <w:rFonts w:ascii="Times New Roman" w:hAnsi="Times New Roman" w:cs="Times New Roman"/>
                <w:lang w:eastAsia="hu-HU"/>
              </w:rPr>
            </w:pPr>
            <w:r w:rsidRPr="3D6ED029">
              <w:rPr>
                <w:rFonts w:ascii="Times New Roman" w:hAnsi="Times New Roman" w:cs="Times New Roman"/>
              </w:rPr>
              <w:t>Területfejlesztési Alap</w:t>
            </w:r>
          </w:p>
        </w:tc>
        <w:tc>
          <w:tcPr>
            <w:tcW w:w="992" w:type="dxa"/>
            <w:noWrap/>
            <w:tcMar>
              <w:top w:w="0" w:type="dxa"/>
              <w:left w:w="108" w:type="dxa"/>
              <w:bottom w:w="0" w:type="dxa"/>
              <w:right w:w="108" w:type="dxa"/>
            </w:tcMar>
            <w:vAlign w:val="center"/>
          </w:tcPr>
          <w:p w14:paraId="1E51D1D0" w14:textId="6B76D42E" w:rsidR="00947C58" w:rsidRPr="00EF42A2" w:rsidRDefault="3D6ED029" w:rsidP="3D6ED029">
            <w:pPr>
              <w:spacing w:after="0" w:line="240" w:lineRule="auto"/>
              <w:jc w:val="right"/>
              <w:rPr>
                <w:rFonts w:ascii="Times New Roman" w:hAnsi="Times New Roman" w:cs="Times New Roman"/>
                <w:lang w:eastAsia="hu-HU"/>
              </w:rPr>
            </w:pPr>
            <w:r w:rsidRPr="3D6ED029">
              <w:rPr>
                <w:rFonts w:ascii="Times New Roman" w:hAnsi="Times New Roman" w:cs="Times New Roman"/>
              </w:rPr>
              <w:t>94,1</w:t>
            </w:r>
          </w:p>
        </w:tc>
      </w:tr>
      <w:tr w:rsidR="00EF42A2" w:rsidRPr="00EF42A2" w14:paraId="3B84CF10" w14:textId="77777777" w:rsidTr="3D6ED029">
        <w:trPr>
          <w:trHeight w:val="283"/>
        </w:trPr>
        <w:tc>
          <w:tcPr>
            <w:tcW w:w="8251" w:type="dxa"/>
            <w:tcMar>
              <w:top w:w="0" w:type="dxa"/>
              <w:left w:w="108" w:type="dxa"/>
              <w:bottom w:w="0" w:type="dxa"/>
              <w:right w:w="108" w:type="dxa"/>
            </w:tcMar>
            <w:vAlign w:val="center"/>
          </w:tcPr>
          <w:p w14:paraId="0FD0169A" w14:textId="386ED925" w:rsidR="00947C58" w:rsidRPr="00EF42A2" w:rsidRDefault="3D6ED029" w:rsidP="3D6ED029">
            <w:pPr>
              <w:spacing w:after="0" w:line="240" w:lineRule="auto"/>
              <w:jc w:val="both"/>
              <w:rPr>
                <w:rFonts w:ascii="Times New Roman" w:hAnsi="Times New Roman" w:cs="Times New Roman"/>
                <w:lang w:eastAsia="hu-HU"/>
              </w:rPr>
            </w:pPr>
            <w:r w:rsidRPr="3D6ED029">
              <w:rPr>
                <w:rFonts w:ascii="Times New Roman" w:hAnsi="Times New Roman" w:cs="Times New Roman"/>
              </w:rPr>
              <w:t>Közúthálózat fenntartás és működtetés</w:t>
            </w:r>
          </w:p>
        </w:tc>
        <w:tc>
          <w:tcPr>
            <w:tcW w:w="992" w:type="dxa"/>
            <w:noWrap/>
            <w:tcMar>
              <w:top w:w="0" w:type="dxa"/>
              <w:left w:w="108" w:type="dxa"/>
              <w:bottom w:w="0" w:type="dxa"/>
              <w:right w:w="108" w:type="dxa"/>
            </w:tcMar>
            <w:vAlign w:val="center"/>
          </w:tcPr>
          <w:p w14:paraId="3CFFC712" w14:textId="35A3291E" w:rsidR="00947C58" w:rsidRPr="00EF42A2" w:rsidRDefault="3D6ED029" w:rsidP="3D6ED029">
            <w:pPr>
              <w:spacing w:after="0" w:line="240" w:lineRule="auto"/>
              <w:jc w:val="right"/>
              <w:rPr>
                <w:rFonts w:ascii="Times New Roman" w:hAnsi="Times New Roman" w:cs="Times New Roman"/>
                <w:lang w:eastAsia="hu-HU"/>
              </w:rPr>
            </w:pPr>
            <w:r w:rsidRPr="3D6ED029">
              <w:rPr>
                <w:rFonts w:ascii="Times New Roman" w:hAnsi="Times New Roman" w:cs="Times New Roman"/>
              </w:rPr>
              <w:t>71,0</w:t>
            </w:r>
          </w:p>
        </w:tc>
      </w:tr>
      <w:tr w:rsidR="00EF42A2" w:rsidRPr="00EF42A2" w14:paraId="63FCC791" w14:textId="77777777" w:rsidTr="3D6ED029">
        <w:trPr>
          <w:trHeight w:val="283"/>
        </w:trPr>
        <w:tc>
          <w:tcPr>
            <w:tcW w:w="8251" w:type="dxa"/>
            <w:tcMar>
              <w:top w:w="0" w:type="dxa"/>
              <w:left w:w="108" w:type="dxa"/>
              <w:bottom w:w="0" w:type="dxa"/>
              <w:right w:w="108" w:type="dxa"/>
            </w:tcMar>
            <w:vAlign w:val="center"/>
          </w:tcPr>
          <w:p w14:paraId="07B44A79" w14:textId="189CBBEC" w:rsidR="003379A9" w:rsidRPr="00EF42A2" w:rsidRDefault="3D6ED029" w:rsidP="3D6ED029">
            <w:pPr>
              <w:spacing w:after="0" w:line="240" w:lineRule="auto"/>
              <w:jc w:val="both"/>
              <w:rPr>
                <w:rFonts w:ascii="Times New Roman" w:hAnsi="Times New Roman" w:cs="Times New Roman"/>
              </w:rPr>
            </w:pPr>
            <w:r w:rsidRPr="3D6ED029">
              <w:rPr>
                <w:rFonts w:ascii="Times New Roman" w:hAnsi="Times New Roman" w:cs="Times New Roman"/>
              </w:rPr>
              <w:t>Országos közúthálózat felújítása</w:t>
            </w:r>
          </w:p>
        </w:tc>
        <w:tc>
          <w:tcPr>
            <w:tcW w:w="992" w:type="dxa"/>
            <w:noWrap/>
            <w:tcMar>
              <w:top w:w="0" w:type="dxa"/>
              <w:left w:w="108" w:type="dxa"/>
              <w:bottom w:w="0" w:type="dxa"/>
              <w:right w:w="108" w:type="dxa"/>
            </w:tcMar>
            <w:vAlign w:val="center"/>
          </w:tcPr>
          <w:p w14:paraId="2A99A933" w14:textId="189E3278" w:rsidR="003379A9" w:rsidRPr="00EF42A2" w:rsidRDefault="3D6ED029" w:rsidP="3D6ED029">
            <w:pPr>
              <w:spacing w:after="0" w:line="240" w:lineRule="auto"/>
              <w:jc w:val="right"/>
              <w:rPr>
                <w:rFonts w:ascii="Times New Roman" w:hAnsi="Times New Roman" w:cs="Times New Roman"/>
              </w:rPr>
            </w:pPr>
            <w:r w:rsidRPr="3D6ED029">
              <w:rPr>
                <w:rFonts w:ascii="Times New Roman" w:hAnsi="Times New Roman" w:cs="Times New Roman"/>
              </w:rPr>
              <w:t>70,3</w:t>
            </w:r>
          </w:p>
        </w:tc>
      </w:tr>
      <w:tr w:rsidR="00EF42A2" w:rsidRPr="00EF42A2" w14:paraId="0C4084D1" w14:textId="77777777" w:rsidTr="3D6ED029">
        <w:trPr>
          <w:trHeight w:val="283"/>
        </w:trPr>
        <w:tc>
          <w:tcPr>
            <w:tcW w:w="8251" w:type="dxa"/>
            <w:tcMar>
              <w:top w:w="0" w:type="dxa"/>
              <w:left w:w="108" w:type="dxa"/>
              <w:bottom w:w="0" w:type="dxa"/>
              <w:right w:w="108" w:type="dxa"/>
            </w:tcMar>
            <w:vAlign w:val="center"/>
          </w:tcPr>
          <w:p w14:paraId="394DD88A" w14:textId="2AE98439" w:rsidR="00947C58" w:rsidRPr="00EF42A2" w:rsidRDefault="3D6ED029" w:rsidP="3D6ED029">
            <w:pPr>
              <w:spacing w:after="0" w:line="240" w:lineRule="auto"/>
              <w:jc w:val="both"/>
              <w:rPr>
                <w:rFonts w:ascii="Times New Roman" w:hAnsi="Times New Roman" w:cs="Times New Roman"/>
                <w:lang w:eastAsia="hu-HU"/>
              </w:rPr>
            </w:pPr>
            <w:r w:rsidRPr="3D6ED029">
              <w:rPr>
                <w:rFonts w:ascii="Times New Roman" w:hAnsi="Times New Roman" w:cs="Times New Roman"/>
              </w:rPr>
              <w:t>Nemzeti agrárkár-enyhítés</w:t>
            </w:r>
          </w:p>
        </w:tc>
        <w:tc>
          <w:tcPr>
            <w:tcW w:w="992" w:type="dxa"/>
            <w:noWrap/>
            <w:tcMar>
              <w:top w:w="0" w:type="dxa"/>
              <w:left w:w="108" w:type="dxa"/>
              <w:bottom w:w="0" w:type="dxa"/>
              <w:right w:w="108" w:type="dxa"/>
            </w:tcMar>
            <w:vAlign w:val="center"/>
          </w:tcPr>
          <w:p w14:paraId="7A78ED9C" w14:textId="328EA467" w:rsidR="00947C58" w:rsidRPr="00EF42A2" w:rsidRDefault="3D6ED029" w:rsidP="3D6ED029">
            <w:pPr>
              <w:spacing w:after="0" w:line="240" w:lineRule="auto"/>
              <w:jc w:val="right"/>
              <w:rPr>
                <w:rFonts w:ascii="Times New Roman" w:hAnsi="Times New Roman" w:cs="Times New Roman"/>
                <w:lang w:eastAsia="hu-HU"/>
              </w:rPr>
            </w:pPr>
            <w:r w:rsidRPr="3D6ED029">
              <w:rPr>
                <w:rFonts w:ascii="Times New Roman" w:hAnsi="Times New Roman" w:cs="Times New Roman"/>
              </w:rPr>
              <w:t>35,8</w:t>
            </w:r>
          </w:p>
        </w:tc>
      </w:tr>
      <w:tr w:rsidR="00EF42A2" w:rsidRPr="00EF42A2" w14:paraId="19B728EA" w14:textId="77777777" w:rsidTr="3D6ED029">
        <w:trPr>
          <w:trHeight w:val="283"/>
        </w:trPr>
        <w:tc>
          <w:tcPr>
            <w:tcW w:w="8251" w:type="dxa"/>
            <w:tcMar>
              <w:top w:w="0" w:type="dxa"/>
              <w:left w:w="108" w:type="dxa"/>
              <w:bottom w:w="0" w:type="dxa"/>
              <w:right w:w="108" w:type="dxa"/>
            </w:tcMar>
            <w:vAlign w:val="center"/>
          </w:tcPr>
          <w:p w14:paraId="0E880990" w14:textId="0396A68B" w:rsidR="00947C58" w:rsidRPr="00EF42A2" w:rsidRDefault="3D6ED029" w:rsidP="3D6ED029">
            <w:pPr>
              <w:spacing w:after="0" w:line="240" w:lineRule="auto"/>
              <w:jc w:val="both"/>
              <w:rPr>
                <w:rFonts w:ascii="Times New Roman" w:hAnsi="Times New Roman" w:cs="Times New Roman"/>
                <w:lang w:eastAsia="hu-HU"/>
              </w:rPr>
            </w:pPr>
            <w:r w:rsidRPr="3D6ED029">
              <w:rPr>
                <w:rFonts w:ascii="Times New Roman" w:hAnsi="Times New Roman" w:cs="Times New Roman"/>
              </w:rPr>
              <w:t>Egyházi alapintézmény működés, SZJA rendelkezés és kiegészítése</w:t>
            </w:r>
          </w:p>
        </w:tc>
        <w:tc>
          <w:tcPr>
            <w:tcW w:w="992" w:type="dxa"/>
            <w:noWrap/>
            <w:tcMar>
              <w:top w:w="0" w:type="dxa"/>
              <w:left w:w="108" w:type="dxa"/>
              <w:bottom w:w="0" w:type="dxa"/>
              <w:right w:w="108" w:type="dxa"/>
            </w:tcMar>
            <w:vAlign w:val="center"/>
          </w:tcPr>
          <w:p w14:paraId="13E38021" w14:textId="519D0185" w:rsidR="00947C58" w:rsidRPr="00EF42A2" w:rsidRDefault="3D6ED029" w:rsidP="3D6ED029">
            <w:pPr>
              <w:spacing w:after="0" w:line="240" w:lineRule="auto"/>
              <w:jc w:val="right"/>
              <w:rPr>
                <w:rFonts w:ascii="Times New Roman" w:hAnsi="Times New Roman" w:cs="Times New Roman"/>
                <w:lang w:eastAsia="hu-HU"/>
              </w:rPr>
            </w:pPr>
            <w:r w:rsidRPr="3D6ED029">
              <w:rPr>
                <w:rFonts w:ascii="Times New Roman" w:hAnsi="Times New Roman" w:cs="Times New Roman"/>
              </w:rPr>
              <w:t>32,3</w:t>
            </w:r>
          </w:p>
        </w:tc>
      </w:tr>
    </w:tbl>
    <w:p w14:paraId="032A8560" w14:textId="444A8135" w:rsidR="00484365" w:rsidRDefault="3D6ED029" w:rsidP="3D6ED029">
      <w:pPr>
        <w:spacing w:before="160" w:after="0"/>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t>A 2026. év első öthavi, 7948,2 milliárd forint összegű kiadásának megoszlását a következő grafikon szemlélteti:</w:t>
      </w:r>
    </w:p>
    <w:p w14:paraId="3599A16D" w14:textId="64AA1F1D" w:rsidR="00B056CC" w:rsidRDefault="0004116D" w:rsidP="009C33A4">
      <w:pPr>
        <w:spacing w:before="240"/>
        <w:jc w:val="center"/>
        <w:rPr>
          <w:rFonts w:ascii="Times New Roman" w:eastAsia="Times New Roman" w:hAnsi="Times New Roman" w:cs="Times New Roman"/>
          <w:b/>
          <w:sz w:val="26"/>
          <w:szCs w:val="26"/>
        </w:rPr>
      </w:pPr>
      <w:r w:rsidRPr="0004116D">
        <w:rPr>
          <w:rFonts w:ascii="Times New Roman" w:eastAsia="Times New Roman" w:hAnsi="Times New Roman" w:cs="Times New Roman"/>
          <w:b/>
          <w:noProof/>
          <w:sz w:val="26"/>
          <w:szCs w:val="26"/>
        </w:rPr>
        <w:drawing>
          <wp:inline distT="0" distB="0" distL="0" distR="0" wp14:anchorId="6D7890B8" wp14:editId="12FD550E">
            <wp:extent cx="5830462" cy="3370512"/>
            <wp:effectExtent l="0" t="0" r="0" b="1905"/>
            <wp:docPr id="38747294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72943" name=""/>
                    <pic:cNvPicPr/>
                  </pic:nvPicPr>
                  <pic:blipFill>
                    <a:blip r:embed="rId25"/>
                    <a:stretch>
                      <a:fillRect/>
                    </a:stretch>
                  </pic:blipFill>
                  <pic:spPr>
                    <a:xfrm>
                      <a:off x="0" y="0"/>
                      <a:ext cx="5834910" cy="3373083"/>
                    </a:xfrm>
                    <a:prstGeom prst="rect">
                      <a:avLst/>
                    </a:prstGeom>
                  </pic:spPr>
                </pic:pic>
              </a:graphicData>
            </a:graphic>
          </wp:inline>
        </w:drawing>
      </w:r>
    </w:p>
    <w:p w14:paraId="7B768C4E" w14:textId="3E063542" w:rsidR="00B155FE" w:rsidRPr="00377D59" w:rsidRDefault="3D6ED029" w:rsidP="3D6ED029">
      <w:pPr>
        <w:keepNext/>
        <w:numPr>
          <w:ilvl w:val="0"/>
          <w:numId w:val="3"/>
        </w:numPr>
        <w:ind w:left="714" w:hanging="357"/>
        <w:jc w:val="both"/>
        <w:outlineLvl w:val="2"/>
        <w:rPr>
          <w:rFonts w:ascii="Times New Roman" w:eastAsia="Times New Roman" w:hAnsi="Times New Roman" w:cs="Times New Roman"/>
          <w:b/>
          <w:bCs/>
          <w:smallCaps/>
          <w:sz w:val="28"/>
          <w:szCs w:val="28"/>
          <w:lang w:eastAsia="hu-HU"/>
        </w:rPr>
      </w:pPr>
      <w:r w:rsidRPr="3D6ED029">
        <w:rPr>
          <w:rFonts w:ascii="Times New Roman" w:eastAsia="Times New Roman" w:hAnsi="Times New Roman" w:cs="Times New Roman"/>
          <w:b/>
          <w:bCs/>
          <w:smallCaps/>
          <w:sz w:val="28"/>
          <w:szCs w:val="28"/>
          <w:lang w:eastAsia="hu-HU"/>
        </w:rPr>
        <w:t>Kamategyenleg</w:t>
      </w:r>
    </w:p>
    <w:p w14:paraId="405C0557" w14:textId="568D3D20" w:rsidR="00174460" w:rsidRPr="00174460" w:rsidRDefault="3D6ED029" w:rsidP="00174460">
      <w:pPr>
        <w:jc w:val="both"/>
        <w:rPr>
          <w:rFonts w:ascii="Times New Roman" w:hAnsi="Times New Roman" w:cs="Times New Roman"/>
          <w:sz w:val="26"/>
          <w:szCs w:val="26"/>
        </w:rPr>
      </w:pPr>
      <w:bookmarkStart w:id="5" w:name="_Hlk211416201"/>
      <w:r w:rsidRPr="3D6ED029">
        <w:rPr>
          <w:rFonts w:ascii="Times New Roman" w:hAnsi="Times New Roman" w:cs="Times New Roman"/>
          <w:sz w:val="26"/>
          <w:szCs w:val="26"/>
          <w:lang w:eastAsia="hu-HU"/>
        </w:rPr>
        <w:t>A bevételek és kiadások egyenlegeként adódó 1165,8 milliárd forint összegű nettó kamatkiadás 2026. május végéig 905,6 milliárd forinttal lett alacsonyabb az előző évhez képest, mely az eltérő hozamokkal és finanszírozási szerkezettel magyarázható</w:t>
      </w:r>
      <w:r w:rsidRPr="3D6ED029">
        <w:rPr>
          <w:rFonts w:ascii="Times New Roman" w:hAnsi="Times New Roman" w:cs="Times New Roman"/>
          <w:sz w:val="26"/>
          <w:szCs w:val="26"/>
        </w:rPr>
        <w:t>.</w:t>
      </w:r>
      <w:bookmarkEnd w:id="5"/>
      <w:r w:rsidR="00174460">
        <w:rPr>
          <w:rFonts w:ascii="Times New Roman" w:hAnsi="Times New Roman" w:cs="Times New Roman"/>
          <w:sz w:val="26"/>
          <w:szCs w:val="26"/>
        </w:rPr>
        <w:br/>
      </w:r>
      <w:r w:rsidR="00174460">
        <w:rPr>
          <w:rFonts w:ascii="Times New Roman" w:hAnsi="Times New Roman" w:cs="Times New Roman"/>
          <w:sz w:val="26"/>
          <w:szCs w:val="26"/>
        </w:rPr>
        <w:br/>
      </w:r>
      <w:r w:rsidR="00174460">
        <w:rPr>
          <w:rFonts w:ascii="Times New Roman" w:hAnsi="Times New Roman" w:cs="Times New Roman"/>
          <w:sz w:val="26"/>
          <w:szCs w:val="26"/>
        </w:rPr>
        <w:br/>
      </w:r>
      <w:r w:rsidR="00174460">
        <w:rPr>
          <w:rFonts w:ascii="Times New Roman" w:hAnsi="Times New Roman" w:cs="Times New Roman"/>
          <w:sz w:val="26"/>
          <w:szCs w:val="26"/>
        </w:rPr>
        <w:br/>
      </w:r>
    </w:p>
    <w:p w14:paraId="1D5CB400" w14:textId="77777777" w:rsidR="00174460" w:rsidRDefault="00174460" w:rsidP="00174460">
      <w:pPr>
        <w:keepNext/>
        <w:spacing w:after="120" w:line="240" w:lineRule="auto"/>
        <w:jc w:val="center"/>
        <w:outlineLvl w:val="3"/>
        <w:rPr>
          <w:rFonts w:ascii="Times New Roman" w:eastAsia="Times New Roman" w:hAnsi="Times New Roman" w:cs="Times New Roman"/>
          <w:b/>
          <w:bCs/>
          <w:caps/>
          <w:sz w:val="26"/>
          <w:szCs w:val="26"/>
          <w:lang w:eastAsia="hu-HU"/>
        </w:rPr>
      </w:pPr>
      <w:r w:rsidRPr="3D6ED029">
        <w:rPr>
          <w:rFonts w:ascii="Times New Roman" w:eastAsia="Times New Roman" w:hAnsi="Times New Roman" w:cs="Times New Roman"/>
          <w:b/>
          <w:bCs/>
          <w:caps/>
          <w:sz w:val="26"/>
          <w:szCs w:val="26"/>
          <w:lang w:eastAsia="hu-HU"/>
        </w:rPr>
        <w:lastRenderedPageBreak/>
        <w:t>II.</w:t>
      </w:r>
    </w:p>
    <w:p w14:paraId="08722245" w14:textId="77777777" w:rsidR="00174460" w:rsidRPr="00377D59" w:rsidRDefault="00174460" w:rsidP="00174460">
      <w:pPr>
        <w:keepNext/>
        <w:spacing w:after="240" w:line="240" w:lineRule="auto"/>
        <w:jc w:val="center"/>
        <w:outlineLvl w:val="3"/>
        <w:rPr>
          <w:rFonts w:ascii="Times New Roman" w:eastAsia="Times New Roman" w:hAnsi="Times New Roman" w:cs="Times New Roman"/>
          <w:b/>
          <w:bCs/>
          <w:caps/>
          <w:sz w:val="26"/>
          <w:szCs w:val="26"/>
          <w:lang w:eastAsia="hu-HU"/>
        </w:rPr>
      </w:pPr>
      <w:r w:rsidRPr="3D6ED029">
        <w:rPr>
          <w:rFonts w:ascii="Times New Roman" w:eastAsia="Times New Roman" w:hAnsi="Times New Roman" w:cs="Times New Roman"/>
          <w:b/>
          <w:bCs/>
          <w:caps/>
          <w:sz w:val="26"/>
          <w:szCs w:val="26"/>
          <w:lang w:eastAsia="hu-HU"/>
        </w:rPr>
        <w:t>Az államháztartás központi alrendszerének finanszírozása</w:t>
      </w:r>
    </w:p>
    <w:p w14:paraId="1D99625F" w14:textId="77777777" w:rsidR="00174460" w:rsidRPr="008E6DF0" w:rsidRDefault="00174460" w:rsidP="00174460">
      <w:pPr>
        <w:ind w:right="23"/>
        <w:jc w:val="both"/>
        <w:rPr>
          <w:rFonts w:ascii="Times New Roman" w:eastAsia="Times New Roman" w:hAnsi="Times New Roman" w:cs="Times New Roman"/>
          <w:b/>
          <w:bCs/>
          <w:sz w:val="26"/>
          <w:szCs w:val="26"/>
          <w:lang w:eastAsia="hu-HU"/>
        </w:rPr>
      </w:pPr>
      <w:r w:rsidRPr="3D6ED029">
        <w:rPr>
          <w:rFonts w:ascii="Times New Roman" w:eastAsia="Times New Roman" w:hAnsi="Times New Roman" w:cs="Times New Roman"/>
          <w:sz w:val="26"/>
          <w:szCs w:val="26"/>
          <w:lang w:eastAsia="hu-HU"/>
        </w:rPr>
        <w:t>A központi költségvetés adóssága 2026. május végéig 2556,6 milliárd forinttal növekedett a következő négy tényező eredményeképpen:</w:t>
      </w:r>
    </w:p>
    <w:p w14:paraId="205F9DEC" w14:textId="77777777" w:rsidR="00174460" w:rsidRPr="00A8682B" w:rsidRDefault="00174460" w:rsidP="00174460">
      <w:pPr>
        <w:pStyle w:val="Listaszerbekezds"/>
        <w:numPr>
          <w:ilvl w:val="0"/>
          <w:numId w:val="2"/>
        </w:numPr>
        <w:spacing w:before="120"/>
        <w:ind w:left="714" w:hanging="357"/>
        <w:contextualSpacing w:val="0"/>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b/>
          <w:bCs/>
          <w:sz w:val="26"/>
          <w:szCs w:val="26"/>
          <w:lang w:eastAsia="hu-HU"/>
        </w:rPr>
        <w:t xml:space="preserve">Az első tényező </w:t>
      </w:r>
      <w:r w:rsidRPr="3D6ED029">
        <w:rPr>
          <w:rFonts w:ascii="Times New Roman" w:eastAsia="Times New Roman" w:hAnsi="Times New Roman" w:cs="Times New Roman"/>
          <w:sz w:val="26"/>
          <w:szCs w:val="26"/>
          <w:lang w:eastAsia="hu-HU"/>
        </w:rPr>
        <w:t xml:space="preserve">a nettó forintkibocsátás, amely 2762,9 milliárd forinttal </w:t>
      </w:r>
      <w:r w:rsidRPr="3D6ED029">
        <w:rPr>
          <w:rFonts w:ascii="Times New Roman" w:eastAsia="Times New Roman" w:hAnsi="Times New Roman" w:cs="Times New Roman"/>
          <w:b/>
          <w:bCs/>
          <w:sz w:val="26"/>
          <w:szCs w:val="26"/>
          <w:lang w:eastAsia="hu-HU"/>
        </w:rPr>
        <w:t>növelte</w:t>
      </w:r>
      <w:r w:rsidRPr="3D6ED029">
        <w:rPr>
          <w:rFonts w:ascii="Times New Roman" w:eastAsia="Times New Roman" w:hAnsi="Times New Roman" w:cs="Times New Roman"/>
          <w:sz w:val="26"/>
          <w:szCs w:val="26"/>
          <w:lang w:eastAsia="hu-HU"/>
        </w:rPr>
        <w:t xml:space="preserve"> az</w:t>
      </w:r>
      <w:r>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adósságot, így segítette a költségvetési hiány egy részének finanszírozását.</w:t>
      </w:r>
    </w:p>
    <w:p w14:paraId="0F3A1E2F" w14:textId="77777777" w:rsidR="00174460" w:rsidRDefault="00174460" w:rsidP="00174460">
      <w:pPr>
        <w:pStyle w:val="Listaszerbekezds"/>
        <w:numPr>
          <w:ilvl w:val="0"/>
          <w:numId w:val="2"/>
        </w:numPr>
        <w:spacing w:before="120"/>
        <w:ind w:left="714" w:hanging="357"/>
        <w:contextualSpacing w:val="0"/>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b/>
          <w:bCs/>
          <w:sz w:val="26"/>
          <w:szCs w:val="26"/>
          <w:lang w:eastAsia="hu-HU"/>
        </w:rPr>
        <w:t>A második – növelő hatású – tényező</w:t>
      </w:r>
      <w:r w:rsidRPr="3D6ED029">
        <w:rPr>
          <w:rFonts w:ascii="Times New Roman" w:eastAsia="Times New Roman" w:hAnsi="Times New Roman" w:cs="Times New Roman"/>
          <w:sz w:val="26"/>
          <w:szCs w:val="26"/>
          <w:lang w:eastAsia="hu-HU"/>
        </w:rPr>
        <w:t xml:space="preserve"> a nettó devizakibocsátás, amely 1359,2 milliárd forint összegben hozzájárul a hiány finanszírozásához és</w:t>
      </w:r>
      <w:r>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a</w:t>
      </w:r>
      <w:r>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devizabetétállomány növekedéséhez.</w:t>
      </w:r>
    </w:p>
    <w:p w14:paraId="43A4B46F" w14:textId="77777777" w:rsidR="00174460" w:rsidRPr="00A8682B" w:rsidRDefault="00174460" w:rsidP="00174460">
      <w:pPr>
        <w:pStyle w:val="Listaszerbekezds"/>
        <w:numPr>
          <w:ilvl w:val="0"/>
          <w:numId w:val="2"/>
        </w:numPr>
        <w:spacing w:before="120"/>
        <w:ind w:left="714" w:hanging="357"/>
        <w:contextualSpacing w:val="0"/>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b/>
          <w:bCs/>
          <w:sz w:val="26"/>
          <w:szCs w:val="26"/>
          <w:lang w:eastAsia="hu-HU"/>
        </w:rPr>
        <w:t>A harmadik – fentiekkel ellentétes, csökkentő hatású – tényező</w:t>
      </w:r>
      <w:r w:rsidRPr="3D6ED029">
        <w:rPr>
          <w:rFonts w:ascii="Times New Roman" w:eastAsia="Times New Roman" w:hAnsi="Times New Roman" w:cs="Times New Roman"/>
          <w:sz w:val="26"/>
          <w:szCs w:val="26"/>
          <w:lang w:eastAsia="hu-HU"/>
        </w:rPr>
        <w:t xml:space="preserve"> a forint árfolyamának az elmúlt év végéhez képest bekövetkezett erősödése, amely az</w:t>
      </w:r>
      <w:r>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adósság devizában fennálló részének forintban számított nyilvántartási értékét 1561,2 milliárd forinttal csökkentette</w:t>
      </w:r>
      <w:r>
        <w:rPr>
          <w:rFonts w:ascii="Times New Roman" w:eastAsia="Times New Roman" w:hAnsi="Times New Roman" w:cs="Times New Roman"/>
          <w:sz w:val="26"/>
          <w:szCs w:val="26"/>
          <w:lang w:eastAsia="hu-HU"/>
        </w:rPr>
        <w:t>.</w:t>
      </w:r>
    </w:p>
    <w:p w14:paraId="20AAEB7B" w14:textId="77777777" w:rsidR="00174460" w:rsidRPr="00937499" w:rsidRDefault="00174460" w:rsidP="00174460">
      <w:pPr>
        <w:pStyle w:val="Listaszerbekezds"/>
        <w:numPr>
          <w:ilvl w:val="0"/>
          <w:numId w:val="2"/>
        </w:numPr>
        <w:spacing w:before="120"/>
        <w:ind w:left="714" w:hanging="357"/>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b/>
          <w:bCs/>
          <w:sz w:val="26"/>
          <w:szCs w:val="26"/>
          <w:lang w:eastAsia="hu-HU"/>
        </w:rPr>
        <w:t>A negyedik – szintén csökkentő hatású – tényező</w:t>
      </w:r>
      <w:r w:rsidRPr="3D6ED029">
        <w:rPr>
          <w:rFonts w:ascii="Times New Roman" w:eastAsia="Times New Roman" w:hAnsi="Times New Roman" w:cs="Times New Roman"/>
          <w:sz w:val="26"/>
          <w:szCs w:val="26"/>
          <w:lang w:eastAsia="hu-HU"/>
        </w:rPr>
        <w:t xml:space="preserve"> a deviza-keresztárfolyamok változása és az egyéb tényezők miatt bekövetkezett mark-to-market betétállományok csökkenése 4,3 milliárd forint összegben.</w:t>
      </w:r>
    </w:p>
    <w:p w14:paraId="3223E93B" w14:textId="77777777" w:rsidR="00174460" w:rsidRDefault="00174460" w:rsidP="00174460">
      <w:pPr>
        <w:keepNext/>
        <w:spacing w:after="120" w:line="240" w:lineRule="auto"/>
        <w:outlineLvl w:val="3"/>
        <w:rPr>
          <w:rFonts w:ascii="Times New Roman" w:eastAsia="Times New Roman" w:hAnsi="Times New Roman" w:cs="Times New Roman"/>
          <w:b/>
          <w:bCs/>
          <w:caps/>
          <w:sz w:val="26"/>
          <w:szCs w:val="26"/>
          <w:lang w:eastAsia="hu-HU"/>
        </w:rPr>
      </w:pPr>
    </w:p>
    <w:p w14:paraId="5E6ABBA8" w14:textId="77777777" w:rsidR="00174460" w:rsidRDefault="00174460" w:rsidP="00174460">
      <w:pPr>
        <w:keepNext/>
        <w:spacing w:after="120" w:line="240" w:lineRule="auto"/>
        <w:outlineLvl w:val="3"/>
        <w:rPr>
          <w:rFonts w:ascii="Times New Roman" w:eastAsia="Times New Roman" w:hAnsi="Times New Roman" w:cs="Times New Roman"/>
          <w:b/>
          <w:bCs/>
          <w:caps/>
          <w:sz w:val="26"/>
          <w:szCs w:val="26"/>
          <w:lang w:eastAsia="hu-HU"/>
        </w:rPr>
      </w:pPr>
    </w:p>
    <w:p w14:paraId="09EB601C" w14:textId="77777777" w:rsidR="00937499" w:rsidRPr="00937499" w:rsidRDefault="00937499" w:rsidP="00937499">
      <w:pPr>
        <w:ind w:left="360"/>
        <w:jc w:val="both"/>
        <w:rPr>
          <w:rFonts w:ascii="Times New Roman" w:eastAsia="Times New Roman" w:hAnsi="Times New Roman" w:cs="Times New Roman"/>
          <w:sz w:val="26"/>
          <w:szCs w:val="26"/>
          <w:lang w:eastAsia="hu-HU"/>
        </w:rPr>
      </w:pPr>
    </w:p>
    <w:p w14:paraId="043BF77C" w14:textId="77777777" w:rsidR="00937499" w:rsidRDefault="00937499" w:rsidP="00937499">
      <w:pPr>
        <w:jc w:val="both"/>
        <w:rPr>
          <w:rFonts w:ascii="Times New Roman" w:eastAsia="Times New Roman" w:hAnsi="Times New Roman" w:cs="Times New Roman"/>
          <w:sz w:val="26"/>
          <w:szCs w:val="26"/>
          <w:lang w:eastAsia="hu-HU"/>
        </w:rPr>
      </w:pPr>
    </w:p>
    <w:p w14:paraId="157CBCF7" w14:textId="712DC0E5" w:rsidR="00937499" w:rsidRPr="00937499" w:rsidRDefault="00937499" w:rsidP="00937499">
      <w:pPr>
        <w:jc w:val="both"/>
        <w:rPr>
          <w:rFonts w:ascii="Times New Roman" w:eastAsia="Times New Roman" w:hAnsi="Times New Roman" w:cs="Times New Roman"/>
          <w:sz w:val="26"/>
          <w:szCs w:val="26"/>
          <w:lang w:eastAsia="hu-HU"/>
        </w:rPr>
        <w:sectPr w:rsidR="00937499" w:rsidRPr="00937499" w:rsidSect="00AB17FF">
          <w:headerReference w:type="default" r:id="rId26"/>
          <w:footerReference w:type="default" r:id="rId27"/>
          <w:footnotePr>
            <w:numRestart w:val="eachPage"/>
          </w:footnotePr>
          <w:pgSz w:w="11907" w:h="16840" w:code="9"/>
          <w:pgMar w:top="1134" w:right="1134" w:bottom="1418" w:left="1418" w:header="709" w:footer="709" w:gutter="0"/>
          <w:cols w:space="708"/>
          <w:docGrid w:linePitch="354"/>
        </w:sectPr>
      </w:pPr>
    </w:p>
    <w:p w14:paraId="7B768C5C" w14:textId="0F1949D9" w:rsidR="00B155FE" w:rsidRPr="00377D59" w:rsidRDefault="3D6ED029" w:rsidP="3D6ED029">
      <w:pPr>
        <w:spacing w:after="120" w:line="240" w:lineRule="auto"/>
        <w:ind w:right="23"/>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lastRenderedPageBreak/>
        <w:t xml:space="preserve">Az előzetes adatok szerint 2026. május végén a </w:t>
      </w:r>
      <w:r w:rsidRPr="3D6ED029">
        <w:rPr>
          <w:rFonts w:ascii="Times New Roman" w:eastAsia="Times New Roman" w:hAnsi="Times New Roman" w:cs="Times New Roman"/>
          <w:b/>
          <w:bCs/>
          <w:sz w:val="26"/>
          <w:szCs w:val="26"/>
          <w:lang w:eastAsia="hu-HU"/>
        </w:rPr>
        <w:t xml:space="preserve">központi költségvetés forint- és devizaadóssága </w:t>
      </w:r>
      <w:r w:rsidRPr="3D6ED029">
        <w:rPr>
          <w:rFonts w:ascii="Times New Roman" w:eastAsia="Times New Roman" w:hAnsi="Times New Roman" w:cs="Times New Roman"/>
          <w:sz w:val="26"/>
          <w:szCs w:val="26"/>
          <w:lang w:eastAsia="hu-HU"/>
        </w:rPr>
        <w:t>az alábbiak szerint alakult:</w:t>
      </w:r>
    </w:p>
    <w:p w14:paraId="7B768C5D" w14:textId="228E6358" w:rsidR="00B155FE" w:rsidRDefault="3D6ED029" w:rsidP="3D6ED029">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t>A központi költségvetés adósságának alakulása 2026-ban, milliárd forint</w:t>
      </w:r>
    </w:p>
    <w:p w14:paraId="31C86ED1" w14:textId="54073633" w:rsidR="007B0B76" w:rsidRDefault="00A8682B" w:rsidP="13E847AC">
      <w:pPr>
        <w:overflowPunct w:val="0"/>
        <w:autoSpaceDE w:val="0"/>
        <w:autoSpaceDN w:val="0"/>
        <w:adjustRightInd w:val="0"/>
        <w:spacing w:after="120" w:line="240" w:lineRule="auto"/>
        <w:ind w:right="23"/>
        <w:jc w:val="center"/>
        <w:textAlignment w:val="baseline"/>
        <w:rPr>
          <w:rFonts w:ascii="Times New Roman" w:eastAsia="Times New Roman" w:hAnsi="Times New Roman" w:cs="Times New Roman"/>
          <w:sz w:val="26"/>
          <w:szCs w:val="26"/>
          <w:lang w:eastAsia="hu-HU"/>
        </w:rPr>
      </w:pPr>
      <w:r w:rsidRPr="00A8682B">
        <w:rPr>
          <w:noProof/>
        </w:rPr>
        <w:drawing>
          <wp:inline distT="0" distB="0" distL="0" distR="0" wp14:anchorId="3D49A257" wp14:editId="570152A2">
            <wp:extent cx="9072880" cy="4058920"/>
            <wp:effectExtent l="0" t="0" r="0" b="0"/>
            <wp:docPr id="124628787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72880" cy="4058920"/>
                    </a:xfrm>
                    <a:prstGeom prst="rect">
                      <a:avLst/>
                    </a:prstGeom>
                    <a:noFill/>
                    <a:ln>
                      <a:noFill/>
                    </a:ln>
                  </pic:spPr>
                </pic:pic>
              </a:graphicData>
            </a:graphic>
          </wp:inline>
        </w:drawing>
      </w:r>
    </w:p>
    <w:p w14:paraId="7B768C5F" w14:textId="77777777" w:rsidR="00B155FE" w:rsidRPr="00377D59" w:rsidRDefault="3D6ED029" w:rsidP="3D6ED029">
      <w:pPr>
        <w:spacing w:after="120" w:line="240" w:lineRule="auto"/>
        <w:jc w:val="both"/>
        <w:rPr>
          <w:rFonts w:ascii="Times New Roman" w:eastAsia="Times New Roman" w:hAnsi="Times New Roman" w:cs="Times New Roman"/>
          <w:sz w:val="24"/>
          <w:szCs w:val="24"/>
          <w:lang w:eastAsia="hu-HU"/>
        </w:rPr>
      </w:pPr>
      <w:r w:rsidRPr="3D6ED029">
        <w:rPr>
          <w:rFonts w:ascii="Times New Roman" w:eastAsia="Times New Roman" w:hAnsi="Times New Roman" w:cs="Times New Roman"/>
          <w:i/>
          <w:iCs/>
          <w:sz w:val="24"/>
          <w:szCs w:val="24"/>
          <w:lang w:eastAsia="hu-HU"/>
        </w:rPr>
        <w:t>Megjegyzés: a táblában szereplő tizedes eltérések kerekítésből adódnak.</w:t>
      </w:r>
    </w:p>
    <w:p w14:paraId="612D5E01" w14:textId="247C2A7A" w:rsidR="00617877" w:rsidRPr="00377D59" w:rsidRDefault="00617877" w:rsidP="00617877">
      <w:pPr>
        <w:rPr>
          <w:rFonts w:ascii="Times New Roman" w:eastAsia="Times New Roman" w:hAnsi="Times New Roman" w:cs="Times New Roman"/>
          <w:sz w:val="26"/>
          <w:szCs w:val="26"/>
          <w:lang w:eastAsia="hu-HU"/>
        </w:rPr>
      </w:pPr>
    </w:p>
    <w:p w14:paraId="3C11BC0D" w14:textId="77777777" w:rsidR="008D26E2" w:rsidRDefault="008D26E2" w:rsidP="008D26E2">
      <w:pPr>
        <w:rPr>
          <w:rFonts w:ascii="Times New Roman" w:eastAsia="Times New Roman" w:hAnsi="Times New Roman" w:cs="Times New Roman"/>
          <w:sz w:val="26"/>
          <w:szCs w:val="26"/>
          <w:lang w:eastAsia="hu-HU"/>
        </w:rPr>
      </w:pPr>
    </w:p>
    <w:p w14:paraId="4A764331" w14:textId="77777777" w:rsidR="008D26E2" w:rsidRPr="008D26E2" w:rsidRDefault="008D26E2" w:rsidP="008D26E2">
      <w:pPr>
        <w:rPr>
          <w:rFonts w:ascii="Times New Roman" w:eastAsia="Times New Roman" w:hAnsi="Times New Roman" w:cs="Times New Roman"/>
          <w:sz w:val="26"/>
          <w:szCs w:val="26"/>
          <w:lang w:eastAsia="hu-HU"/>
        </w:rPr>
        <w:sectPr w:rsidR="008D26E2" w:rsidRPr="008D26E2" w:rsidSect="007449BF">
          <w:headerReference w:type="default" r:id="rId29"/>
          <w:headerReference w:type="first" r:id="rId30"/>
          <w:footnotePr>
            <w:numRestart w:val="eachPage"/>
          </w:footnotePr>
          <w:pgSz w:w="16840" w:h="11907" w:orient="landscape" w:code="9"/>
          <w:pgMar w:top="993" w:right="1134" w:bottom="1134" w:left="1418" w:header="709" w:footer="709" w:gutter="0"/>
          <w:pgNumType w:start="19"/>
          <w:cols w:space="708"/>
          <w:titlePg/>
          <w:docGrid w:linePitch="299"/>
        </w:sectPr>
      </w:pPr>
    </w:p>
    <w:p w14:paraId="2C56FBBA" w14:textId="5FD77138" w:rsidR="00A8682B" w:rsidRPr="00A8682B" w:rsidRDefault="3D6ED029" w:rsidP="3D6ED029">
      <w:pPr>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b/>
          <w:bCs/>
          <w:sz w:val="26"/>
          <w:szCs w:val="26"/>
          <w:lang w:eastAsia="hu-HU"/>
        </w:rPr>
        <w:lastRenderedPageBreak/>
        <w:t>A központi költségvetés devizaadóssága</w:t>
      </w:r>
      <w:r w:rsidRPr="3D6ED029">
        <w:rPr>
          <w:rFonts w:ascii="Times New Roman" w:eastAsia="Times New Roman" w:hAnsi="Times New Roman" w:cs="Times New Roman"/>
          <w:sz w:val="26"/>
          <w:szCs w:val="26"/>
          <w:lang w:eastAsia="hu-HU"/>
        </w:rPr>
        <w:t xml:space="preserve"> 2026-ban 202,0 milliárd forinttal 17 607,7 milliárd forintra mérséklődött az elmúlt év végéhez képest. A devizaadósság részaránya a 2025. év végi 29,4%-os szintről 27,9%-os szintre csökkent a teljes adósságon belül.</w:t>
      </w:r>
      <w:r w:rsidR="00496D0A">
        <w:rPr>
          <w:rFonts w:ascii="Times New Roman" w:eastAsia="Times New Roman" w:hAnsi="Times New Roman" w:cs="Times New Roman"/>
          <w:sz w:val="26"/>
          <w:szCs w:val="26"/>
          <w:lang w:eastAsia="hu-HU"/>
        </w:rPr>
        <w:t xml:space="preserve"> </w:t>
      </w:r>
      <w:r w:rsidRPr="3D6ED029">
        <w:rPr>
          <w:rFonts w:ascii="Times New Roman" w:eastAsia="Times New Roman" w:hAnsi="Times New Roman" w:cs="Times New Roman"/>
          <w:sz w:val="26"/>
          <w:szCs w:val="26"/>
          <w:lang w:eastAsia="hu-HU"/>
        </w:rPr>
        <w:t>2026. január 7-én került sor az idei év első nemzetközi eurókötvény-kibocsátására összesen 1157,9 milliárd forint (3,0 milliárd euró) összegben. Két sorozat piacra vitele történt meg, egy 7 éves futamidejű hagyományos sorozat 771,9 milliárd forint (2,0 milliárd EUR) összegben és egy 12 éves futamidejű zöld sorozat 386,0 milliárd forint (1,0 milliárd EUR) összegben. 2026.</w:t>
      </w:r>
      <w:r w:rsidR="00496D0A">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március 3-án került jóváírásra a zárt körben, befektetői megkeresésre kibocsátott, 2035.</w:t>
      </w:r>
      <w:r w:rsidR="00496D0A">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szeptember 26-án lejáró dollárkötvény 382,3 milliárd forint (1,2 milliárd USD) összegű megemelése. A devizahitel lehívások összege szintén emelte, míg a devizakötvény törlesztések összege csökkentette a fennálló devizaadósság összegét, valamint a jelentős árfolyamerősödésnek is szerepe volt a devizaadósság részarányának csökkenésében.</w:t>
      </w:r>
    </w:p>
    <w:p w14:paraId="4BEA5003" w14:textId="5535588F" w:rsidR="00A8682B" w:rsidRPr="00A8682B" w:rsidRDefault="3D6ED029" w:rsidP="3D6ED029">
      <w:pPr>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b/>
          <w:bCs/>
          <w:sz w:val="26"/>
          <w:szCs w:val="26"/>
          <w:lang w:eastAsia="hu-HU"/>
        </w:rPr>
        <w:t>A költségvetés forintadóssága</w:t>
      </w:r>
      <w:r w:rsidRPr="3D6ED029">
        <w:rPr>
          <w:rFonts w:ascii="Times New Roman" w:eastAsia="Times New Roman" w:hAnsi="Times New Roman" w:cs="Times New Roman"/>
          <w:sz w:val="26"/>
          <w:szCs w:val="26"/>
          <w:lang w:eastAsia="hu-HU"/>
        </w:rPr>
        <w:t xml:space="preserve"> május végéig 2762,9 milliárd forinttal növekedett és</w:t>
      </w:r>
      <w:r w:rsidR="002A49BC">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45</w:t>
      </w:r>
      <w:r w:rsidR="00496D0A">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338,9 milliárd forintot ért el, a forint adósság a teljes államadósság 71,9%-át teszi ki. 2025</w:t>
      </w:r>
      <w:r w:rsidR="00496D0A">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 xml:space="preserve">decemberében ez az arány 70,3% volt. </w:t>
      </w:r>
    </w:p>
    <w:p w14:paraId="770C6984" w14:textId="22D44A2D" w:rsidR="00A8682B" w:rsidRPr="00A8682B" w:rsidRDefault="3D6ED029" w:rsidP="3D6ED029">
      <w:pPr>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t>2026. május végén a forint lakossági állampapírok állománya 12</w:t>
      </w:r>
      <w:r w:rsidR="00496D0A">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606,1 milliárd forintot tett ki, ami 880,1 milliárd forint növekedést jelent 2025. december vége óta. A Fix Magyar Állampapír állománya 1228,6 milliárd forinttal növekedett és elérte a 4880,5 milliárd forintot hó végén. A Magyar Állampapír Plusz állománya, a nyomdai kibocsátású és a korábban értékesített papírokkal együtt, 391,7 milliárd forinttal emelkedett, így hó végén 1539,9 milliárd forint volt. A Bónusz Magyar Állampapír állománya csökkent 55,2 milliárd forinttal, ezért hó végén 2015,3 milliárd forintot tett ki. A Prémium Magyar Állampapír állománya 2026. május végére 745,1 milliárd forinttal csökkent, amelynek következtében 2964,7 milliárd forintot tett ki. A lakossági állampapírok közül a Fix Magyar Állampapír értékesítése volt a legmagasabb májusban.</w:t>
      </w:r>
    </w:p>
    <w:p w14:paraId="3238D268" w14:textId="7E784148" w:rsidR="00A8682B" w:rsidRPr="00A8682B" w:rsidRDefault="3D6ED029" w:rsidP="3D6ED029">
      <w:pPr>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sz w:val="26"/>
          <w:szCs w:val="26"/>
          <w:lang w:eastAsia="hu-HU"/>
        </w:rPr>
        <w:t>Az ÁKK Zrt. május hó folyamán összesen 43,2 milliárd forint összegben vásárolt vissza lakossági állampapírokat a forgalmazó bankoktól. A forgalmazóknak lehetősége van saját számlájukra került lakossági állampapírok cseréjére, amelynek keretében a lakossági állampapírokat az épp értékesítés alatt álló sorozatokra válthatják be, majd a másodpiacon tovább értékesíthetik a lakosság számára. Ennek keretében májusban 22,2 milliárd forint összegben váltották be a forgalmazók a saját számlájukra került lakossági állampapírokat.</w:t>
      </w:r>
    </w:p>
    <w:p w14:paraId="2F84FBFA" w14:textId="5271EA84" w:rsidR="002756E3" w:rsidRPr="00937499" w:rsidRDefault="3D6ED029" w:rsidP="3D6ED029">
      <w:pPr>
        <w:jc w:val="both"/>
        <w:rPr>
          <w:rFonts w:ascii="Times New Roman" w:eastAsia="Times New Roman" w:hAnsi="Times New Roman" w:cs="Times New Roman"/>
          <w:sz w:val="26"/>
          <w:szCs w:val="26"/>
          <w:lang w:eastAsia="hu-HU"/>
        </w:rPr>
      </w:pPr>
      <w:r w:rsidRPr="3D6ED029">
        <w:rPr>
          <w:rFonts w:ascii="Times New Roman" w:eastAsia="Times New Roman" w:hAnsi="Times New Roman" w:cs="Times New Roman"/>
          <w:b/>
          <w:bCs/>
          <w:sz w:val="26"/>
          <w:szCs w:val="26"/>
          <w:lang w:eastAsia="hu-HU"/>
        </w:rPr>
        <w:t>A külföldi befektetők állampapír állománya</w:t>
      </w:r>
      <w:r w:rsidRPr="3D6ED029">
        <w:rPr>
          <w:rFonts w:ascii="Times New Roman" w:eastAsia="Times New Roman" w:hAnsi="Times New Roman" w:cs="Times New Roman"/>
          <w:sz w:val="26"/>
          <w:szCs w:val="26"/>
          <w:lang w:eastAsia="hu-HU"/>
        </w:rPr>
        <w:t xml:space="preserve"> májusban 871,6 milliárd forinttal 9284,0 milliárd forintra emelkedett az előző hónaphoz képest. A külföldi állomány 99,4%-a, 9226,9 milliárd forint államkötvény, 0,6%-a, 57,1 milliárd forint diszkontkincstárjegy. A</w:t>
      </w:r>
      <w:r w:rsidR="00496D0A">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külföldi állomány átlagos hátralévő futamideje május végén 6,5 év volt.</w:t>
      </w:r>
      <w:r w:rsidR="00496D0A">
        <w:rPr>
          <w:rFonts w:ascii="Times New Roman" w:eastAsia="Times New Roman" w:hAnsi="Times New Roman" w:cs="Times New Roman"/>
          <w:sz w:val="26"/>
          <w:szCs w:val="26"/>
          <w:lang w:eastAsia="hu-HU"/>
        </w:rPr>
        <w:t xml:space="preserve"> </w:t>
      </w:r>
      <w:r w:rsidRPr="3D6ED029">
        <w:rPr>
          <w:rFonts w:ascii="Times New Roman" w:eastAsia="Times New Roman" w:hAnsi="Times New Roman" w:cs="Times New Roman"/>
          <w:sz w:val="26"/>
          <w:szCs w:val="26"/>
          <w:lang w:eastAsia="hu-HU"/>
        </w:rPr>
        <w:t>A</w:t>
      </w:r>
      <w:r w:rsidR="0073668C">
        <w:rPr>
          <w:rFonts w:ascii="Times New Roman" w:eastAsia="Times New Roman" w:hAnsi="Times New Roman" w:cs="Times New Roman"/>
          <w:sz w:val="26"/>
          <w:szCs w:val="26"/>
          <w:lang w:eastAsia="hu-HU"/>
        </w:rPr>
        <w:t> </w:t>
      </w:r>
      <w:r w:rsidRPr="3D6ED029">
        <w:rPr>
          <w:rFonts w:ascii="Times New Roman" w:eastAsia="Times New Roman" w:hAnsi="Times New Roman" w:cs="Times New Roman"/>
          <w:sz w:val="26"/>
          <w:szCs w:val="26"/>
          <w:lang w:eastAsia="hu-HU"/>
        </w:rPr>
        <w:t>devizaállamadósság kockázatainak mérséklése érdekében az ÁKK Zrt. swapügyleteket köt. Ezen ügyletekhez kapcsolódóan az ÁKK Zrt.-nél elhelyezett fedezeti összegek (ún. mark-to-market betétek) az adósságállomány részét képezik, és az „egyéb kötelezettségek” soron kerülnek kimutatásra. A vizsgált időszakban az egyéb kötelezettségek állománya 4,3 milliárd forinttal csökkent. Május végén az állomány 149,8 milliárd forintot tett ki, ami a teljes államadósság 0,2%-át jelenti.</w:t>
      </w:r>
    </w:p>
    <w:sectPr w:rsidR="002756E3" w:rsidRPr="00937499" w:rsidSect="007449BF">
      <w:headerReference w:type="even" r:id="rId31"/>
      <w:footerReference w:type="default" r:id="rId32"/>
      <w:footerReference w:type="first" r:id="rId33"/>
      <w:pgSz w:w="11906" w:h="16838"/>
      <w:pgMar w:top="1418" w:right="1134" w:bottom="1418" w:left="1134" w:header="708" w:footer="6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E073" w14:textId="77777777" w:rsidR="00AF1F5C" w:rsidRDefault="00AF1F5C" w:rsidP="00B155FE">
      <w:pPr>
        <w:spacing w:after="0" w:line="240" w:lineRule="auto"/>
      </w:pPr>
      <w:r>
        <w:separator/>
      </w:r>
    </w:p>
  </w:endnote>
  <w:endnote w:type="continuationSeparator" w:id="0">
    <w:p w14:paraId="3FA33A2E" w14:textId="77777777" w:rsidR="00AF1F5C" w:rsidRDefault="00AF1F5C" w:rsidP="00B155FE">
      <w:pPr>
        <w:spacing w:after="0" w:line="240" w:lineRule="auto"/>
      </w:pPr>
      <w:r>
        <w:continuationSeparator/>
      </w:r>
    </w:p>
  </w:endnote>
  <w:endnote w:type="continuationNotice" w:id="1">
    <w:p w14:paraId="1BB3A2F8" w14:textId="77777777" w:rsidR="00AF1F5C" w:rsidRDefault="00AF1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2D1F" w14:textId="4DE2DC1D" w:rsidR="00473AC1" w:rsidRDefault="00473AC1">
    <w:pPr>
      <w:pStyle w:val="llb"/>
      <w:jc w:val="center"/>
    </w:pPr>
  </w:p>
  <w:p w14:paraId="41773F2F" w14:textId="77777777" w:rsidR="00473AC1" w:rsidRDefault="00473AC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4736" w14:textId="0BDF3ABB" w:rsidR="00473AC1" w:rsidRDefault="3D6ED029" w:rsidP="00E02619">
    <w:pPr>
      <w:pStyle w:val="llb"/>
      <w:jc w:val="center"/>
    </w:pPr>
    <w:r w:rsidRPr="3D6ED029">
      <w:rPr>
        <w:rFonts w:ascii="Times New Roman" w:hAnsi="Times New Roman" w:cs="Times New Roman"/>
        <w:sz w:val="24"/>
        <w:szCs w:val="24"/>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558895"/>
      <w:docPartObj>
        <w:docPartGallery w:val="Page Numbers (Bottom of Page)"/>
        <w:docPartUnique/>
      </w:docPartObj>
    </w:sdtPr>
    <w:sdtEndPr>
      <w:rPr>
        <w:rFonts w:ascii="Times New Roman" w:hAnsi="Times New Roman" w:cs="Times New Roman"/>
        <w:sz w:val="24"/>
      </w:rPr>
    </w:sdtEndPr>
    <w:sdtContent>
      <w:p w14:paraId="10FD5F29" w14:textId="40A4F116" w:rsidR="00473AC1" w:rsidRPr="00470868" w:rsidRDefault="00473AC1">
        <w:pPr>
          <w:pStyle w:val="llb"/>
          <w:jc w:val="center"/>
          <w:rPr>
            <w:rFonts w:ascii="Times New Roman" w:hAnsi="Times New Roman" w:cs="Times New Roman"/>
            <w:sz w:val="24"/>
          </w:rPr>
        </w:pPr>
        <w:r w:rsidRPr="00470868">
          <w:rPr>
            <w:rFonts w:ascii="Times New Roman" w:hAnsi="Times New Roman" w:cs="Times New Roman"/>
            <w:sz w:val="24"/>
          </w:rPr>
          <w:fldChar w:fldCharType="begin"/>
        </w:r>
        <w:r w:rsidRPr="00470868">
          <w:rPr>
            <w:rFonts w:ascii="Times New Roman" w:hAnsi="Times New Roman" w:cs="Times New Roman"/>
            <w:sz w:val="24"/>
          </w:rPr>
          <w:instrText>PAGE   \* MERGEFORMAT</w:instrText>
        </w:r>
        <w:r w:rsidRPr="00470868">
          <w:rPr>
            <w:rFonts w:ascii="Times New Roman" w:hAnsi="Times New Roman" w:cs="Times New Roman"/>
            <w:sz w:val="24"/>
          </w:rPr>
          <w:fldChar w:fldCharType="separate"/>
        </w:r>
        <w:r w:rsidR="00501730">
          <w:rPr>
            <w:rFonts w:ascii="Times New Roman" w:hAnsi="Times New Roman" w:cs="Times New Roman"/>
            <w:noProof/>
            <w:sz w:val="24"/>
          </w:rPr>
          <w:t>12</w:t>
        </w:r>
        <w:r w:rsidRPr="00470868">
          <w:rPr>
            <w:rFonts w:ascii="Times New Roman" w:hAnsi="Times New Roman" w:cs="Times New Roman"/>
            <w:sz w:val="24"/>
          </w:rPr>
          <w:fldChar w:fldCharType="end"/>
        </w:r>
      </w:p>
    </w:sdtContent>
  </w:sdt>
  <w:p w14:paraId="17329691" w14:textId="773A5D5E" w:rsidR="00473AC1" w:rsidRPr="00556984" w:rsidRDefault="00473AC1" w:rsidP="00556984">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18299"/>
      <w:docPartObj>
        <w:docPartGallery w:val="Page Numbers (Bottom of Page)"/>
        <w:docPartUnique/>
      </w:docPartObj>
    </w:sdtPr>
    <w:sdtEndPr>
      <w:rPr>
        <w:rFonts w:ascii="Times New Roman" w:hAnsi="Times New Roman" w:cs="Times New Roman"/>
        <w:sz w:val="24"/>
      </w:rPr>
    </w:sdtEndPr>
    <w:sdtContent>
      <w:p w14:paraId="7ADCE6C8" w14:textId="1E2D2D65" w:rsidR="00473AC1" w:rsidRPr="00D4148C" w:rsidRDefault="00473AC1">
        <w:pPr>
          <w:pStyle w:val="llb"/>
          <w:jc w:val="center"/>
          <w:rPr>
            <w:rFonts w:ascii="Times New Roman" w:hAnsi="Times New Roman" w:cs="Times New Roman"/>
            <w:sz w:val="24"/>
          </w:rPr>
        </w:pPr>
        <w:r>
          <w:rPr>
            <w:rFonts w:ascii="Times New Roman" w:hAnsi="Times New Roman" w:cs="Times New Roman"/>
            <w:sz w:val="24"/>
          </w:rPr>
          <w:t>2</w:t>
        </w:r>
        <w:r w:rsidR="00432BDD">
          <w:rPr>
            <w:rFonts w:ascii="Times New Roman" w:hAnsi="Times New Roman" w:cs="Times New Roman"/>
            <w:sz w:val="24"/>
          </w:rPr>
          <w:t>2</w:t>
        </w:r>
      </w:p>
    </w:sdtContent>
  </w:sdt>
  <w:p w14:paraId="078E8FA1" w14:textId="77777777" w:rsidR="00473AC1" w:rsidRDefault="00473AC1" w:rsidP="00C74E0F">
    <w:pPr>
      <w:pStyle w:val="ll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0D1" w14:textId="583E2A93" w:rsidR="00473AC1" w:rsidRDefault="3D6ED029" w:rsidP="004A3001">
    <w:pPr>
      <w:pStyle w:val="llb"/>
      <w:jc w:val="center"/>
    </w:pPr>
    <w:r w:rsidRPr="3D6ED029">
      <w:rPr>
        <w:rFonts w:ascii="Times New Roman" w:hAnsi="Times New Roman" w:cs="Times New Roman"/>
        <w:sz w:val="24"/>
        <w:szCs w:val="2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8BF9" w14:textId="77777777" w:rsidR="00AF1F5C" w:rsidRDefault="00AF1F5C" w:rsidP="00B155FE">
      <w:pPr>
        <w:spacing w:after="0" w:line="240" w:lineRule="auto"/>
      </w:pPr>
      <w:r>
        <w:separator/>
      </w:r>
    </w:p>
  </w:footnote>
  <w:footnote w:type="continuationSeparator" w:id="0">
    <w:p w14:paraId="4158BE8D" w14:textId="77777777" w:rsidR="00AF1F5C" w:rsidRDefault="00AF1F5C" w:rsidP="00B155FE">
      <w:pPr>
        <w:spacing w:after="0" w:line="240" w:lineRule="auto"/>
      </w:pPr>
      <w:r>
        <w:continuationSeparator/>
      </w:r>
    </w:p>
  </w:footnote>
  <w:footnote w:type="continuationNotice" w:id="1">
    <w:p w14:paraId="13ED9365" w14:textId="77777777" w:rsidR="00AF1F5C" w:rsidRDefault="00AF1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00473AC1" w14:paraId="1027336C" w14:textId="77777777" w:rsidTr="75E7E8C2">
      <w:tc>
        <w:tcPr>
          <w:tcW w:w="3118" w:type="dxa"/>
        </w:tcPr>
        <w:p w14:paraId="4C837DDD" w14:textId="79A8EEFC" w:rsidR="00473AC1" w:rsidRDefault="00473AC1" w:rsidP="75E7E8C2">
          <w:pPr>
            <w:pStyle w:val="lfej"/>
            <w:ind w:left="-115"/>
          </w:pPr>
        </w:p>
      </w:tc>
      <w:tc>
        <w:tcPr>
          <w:tcW w:w="3118" w:type="dxa"/>
        </w:tcPr>
        <w:p w14:paraId="215A5B55" w14:textId="4B5EFC16" w:rsidR="00473AC1" w:rsidRDefault="00473AC1" w:rsidP="75E7E8C2">
          <w:pPr>
            <w:pStyle w:val="lfej"/>
            <w:jc w:val="center"/>
          </w:pPr>
        </w:p>
      </w:tc>
      <w:tc>
        <w:tcPr>
          <w:tcW w:w="3118" w:type="dxa"/>
        </w:tcPr>
        <w:p w14:paraId="08CD3A76" w14:textId="283AC16D" w:rsidR="00473AC1" w:rsidRDefault="00473AC1" w:rsidP="75E7E8C2">
          <w:pPr>
            <w:pStyle w:val="lfej"/>
            <w:ind w:right="-115"/>
            <w:jc w:val="right"/>
          </w:pPr>
        </w:p>
      </w:tc>
    </w:tr>
  </w:tbl>
  <w:p w14:paraId="4176297E" w14:textId="7CD13837" w:rsidR="00473AC1" w:rsidRDefault="00473AC1" w:rsidP="75E7E8C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7D1" w14:textId="3D0DDD49" w:rsidR="00473AC1" w:rsidRDefault="00473AC1" w:rsidP="75E7E8C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6" w14:textId="77777777" w:rsidR="00473AC1" w:rsidRPr="00881044" w:rsidRDefault="00473AC1" w:rsidP="00C74E0F">
    <w:pPr>
      <w:pStyle w:val="lfej"/>
      <w:rPr>
        <w:rStyle w:val="Oldalszm"/>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8C97" w14:textId="77777777" w:rsidR="00473AC1" w:rsidRPr="00FE4DD1" w:rsidRDefault="00473AC1" w:rsidP="00C74E0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09518"/>
      <w:docPartObj>
        <w:docPartGallery w:val="Page Numbers (Top of Page)"/>
        <w:docPartUnique/>
      </w:docPartObj>
    </w:sdtPr>
    <w:sdtEndPr>
      <w:rPr>
        <w:noProof/>
      </w:rPr>
    </w:sdtEndPr>
    <w:sdtContent>
      <w:p w14:paraId="2CB15785" w14:textId="77777777" w:rsidR="00473AC1" w:rsidRDefault="00473AC1">
        <w:pPr>
          <w:pStyle w:val="lfej"/>
          <w:jc w:val="center"/>
        </w:pPr>
        <w:r>
          <w:fldChar w:fldCharType="begin"/>
        </w:r>
        <w:r>
          <w:instrText xml:space="preserve"> PAGE   \* MERGEFORMAT </w:instrText>
        </w:r>
        <w:r>
          <w:fldChar w:fldCharType="separate"/>
        </w:r>
        <w:r>
          <w:rPr>
            <w:noProof/>
          </w:rPr>
          <w:t>20</w:t>
        </w:r>
        <w:r>
          <w:rPr>
            <w:noProof/>
          </w:rPr>
          <w:fldChar w:fldCharType="end"/>
        </w:r>
      </w:p>
    </w:sdtContent>
  </w:sdt>
  <w:p w14:paraId="2A775F7D" w14:textId="77777777" w:rsidR="00473AC1" w:rsidRDefault="00473AC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298"/>
    <w:multiLevelType w:val="hybridMultilevel"/>
    <w:tmpl w:val="44CCC2AC"/>
    <w:lvl w:ilvl="0" w:tplc="08783BEC">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6602D43"/>
    <w:multiLevelType w:val="hybridMultilevel"/>
    <w:tmpl w:val="390E53F2"/>
    <w:lvl w:ilvl="0" w:tplc="F872D380">
      <w:start w:val="1"/>
      <w:numFmt w:val="bullet"/>
      <w:lvlText w:val=""/>
      <w:lvlJc w:val="left"/>
      <w:pPr>
        <w:ind w:left="720" w:hanging="360"/>
      </w:pPr>
      <w:rPr>
        <w:rFonts w:ascii="Symbol" w:hAnsi="Symbol" w:hint="default"/>
      </w:rPr>
    </w:lvl>
    <w:lvl w:ilvl="1" w:tplc="86BC4448">
      <w:start w:val="1"/>
      <w:numFmt w:val="bullet"/>
      <w:lvlText w:val="o"/>
      <w:lvlJc w:val="left"/>
      <w:pPr>
        <w:ind w:left="1440" w:hanging="360"/>
      </w:pPr>
      <w:rPr>
        <w:rFonts w:ascii="Courier New" w:hAnsi="Courier New" w:hint="default"/>
      </w:rPr>
    </w:lvl>
    <w:lvl w:ilvl="2" w:tplc="F05C9352">
      <w:start w:val="1"/>
      <w:numFmt w:val="bullet"/>
      <w:lvlText w:val=""/>
      <w:lvlJc w:val="left"/>
      <w:pPr>
        <w:ind w:left="2160" w:hanging="360"/>
      </w:pPr>
      <w:rPr>
        <w:rFonts w:ascii="Wingdings" w:hAnsi="Wingdings" w:hint="default"/>
      </w:rPr>
    </w:lvl>
    <w:lvl w:ilvl="3" w:tplc="232EF98C">
      <w:start w:val="1"/>
      <w:numFmt w:val="bullet"/>
      <w:lvlText w:val=""/>
      <w:lvlJc w:val="left"/>
      <w:pPr>
        <w:ind w:left="2880" w:hanging="360"/>
      </w:pPr>
      <w:rPr>
        <w:rFonts w:ascii="Symbol" w:hAnsi="Symbol" w:hint="default"/>
      </w:rPr>
    </w:lvl>
    <w:lvl w:ilvl="4" w:tplc="03066B72">
      <w:start w:val="1"/>
      <w:numFmt w:val="bullet"/>
      <w:lvlText w:val="o"/>
      <w:lvlJc w:val="left"/>
      <w:pPr>
        <w:ind w:left="3600" w:hanging="360"/>
      </w:pPr>
      <w:rPr>
        <w:rFonts w:ascii="Courier New" w:hAnsi="Courier New" w:hint="default"/>
      </w:rPr>
    </w:lvl>
    <w:lvl w:ilvl="5" w:tplc="7A906010">
      <w:start w:val="1"/>
      <w:numFmt w:val="bullet"/>
      <w:lvlText w:val=""/>
      <w:lvlJc w:val="left"/>
      <w:pPr>
        <w:ind w:left="4320" w:hanging="360"/>
      </w:pPr>
      <w:rPr>
        <w:rFonts w:ascii="Wingdings" w:hAnsi="Wingdings" w:hint="default"/>
      </w:rPr>
    </w:lvl>
    <w:lvl w:ilvl="6" w:tplc="9F6A3F04">
      <w:start w:val="1"/>
      <w:numFmt w:val="bullet"/>
      <w:lvlText w:val=""/>
      <w:lvlJc w:val="left"/>
      <w:pPr>
        <w:ind w:left="5040" w:hanging="360"/>
      </w:pPr>
      <w:rPr>
        <w:rFonts w:ascii="Symbol" w:hAnsi="Symbol" w:hint="default"/>
      </w:rPr>
    </w:lvl>
    <w:lvl w:ilvl="7" w:tplc="D5603E42">
      <w:start w:val="1"/>
      <w:numFmt w:val="bullet"/>
      <w:lvlText w:val="o"/>
      <w:lvlJc w:val="left"/>
      <w:pPr>
        <w:ind w:left="5760" w:hanging="360"/>
      </w:pPr>
      <w:rPr>
        <w:rFonts w:ascii="Courier New" w:hAnsi="Courier New" w:hint="default"/>
      </w:rPr>
    </w:lvl>
    <w:lvl w:ilvl="8" w:tplc="F1D4D0F8">
      <w:start w:val="1"/>
      <w:numFmt w:val="bullet"/>
      <w:lvlText w:val=""/>
      <w:lvlJc w:val="left"/>
      <w:pPr>
        <w:ind w:left="6480" w:hanging="360"/>
      </w:pPr>
      <w:rPr>
        <w:rFonts w:ascii="Wingdings" w:hAnsi="Wingdings" w:hint="default"/>
      </w:rPr>
    </w:lvl>
  </w:abstractNum>
  <w:abstractNum w:abstractNumId="2" w15:restartNumberingAfterBreak="0">
    <w:nsid w:val="3CC7670D"/>
    <w:multiLevelType w:val="hybridMultilevel"/>
    <w:tmpl w:val="FDDC7674"/>
    <w:lvl w:ilvl="0" w:tplc="9120DF1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1033469"/>
    <w:multiLevelType w:val="hybridMultilevel"/>
    <w:tmpl w:val="D612FE54"/>
    <w:lvl w:ilvl="0" w:tplc="85BCE940">
      <w:start w:val="1"/>
      <w:numFmt w:val="bullet"/>
      <w:lvlText w:val=""/>
      <w:lvlJc w:val="left"/>
      <w:pPr>
        <w:ind w:left="720" w:hanging="360"/>
      </w:pPr>
      <w:rPr>
        <w:rFonts w:ascii="Symbol" w:hAnsi="Symbol" w:hint="default"/>
      </w:rPr>
    </w:lvl>
    <w:lvl w:ilvl="1" w:tplc="EDE89D4A">
      <w:start w:val="1"/>
      <w:numFmt w:val="bullet"/>
      <w:lvlText w:val="o"/>
      <w:lvlJc w:val="left"/>
      <w:pPr>
        <w:ind w:left="1440" w:hanging="360"/>
      </w:pPr>
      <w:rPr>
        <w:rFonts w:ascii="Courier New" w:hAnsi="Courier New" w:hint="default"/>
      </w:rPr>
    </w:lvl>
    <w:lvl w:ilvl="2" w:tplc="91061732">
      <w:start w:val="1"/>
      <w:numFmt w:val="bullet"/>
      <w:lvlText w:val=""/>
      <w:lvlJc w:val="left"/>
      <w:pPr>
        <w:ind w:left="2160" w:hanging="360"/>
      </w:pPr>
      <w:rPr>
        <w:rFonts w:ascii="Wingdings" w:hAnsi="Wingdings" w:hint="default"/>
      </w:rPr>
    </w:lvl>
    <w:lvl w:ilvl="3" w:tplc="5D04C974">
      <w:start w:val="1"/>
      <w:numFmt w:val="bullet"/>
      <w:lvlText w:val=""/>
      <w:lvlJc w:val="left"/>
      <w:pPr>
        <w:ind w:left="2880" w:hanging="360"/>
      </w:pPr>
      <w:rPr>
        <w:rFonts w:ascii="Symbol" w:hAnsi="Symbol" w:hint="default"/>
      </w:rPr>
    </w:lvl>
    <w:lvl w:ilvl="4" w:tplc="1C648E36">
      <w:start w:val="1"/>
      <w:numFmt w:val="bullet"/>
      <w:lvlText w:val="o"/>
      <w:lvlJc w:val="left"/>
      <w:pPr>
        <w:ind w:left="3600" w:hanging="360"/>
      </w:pPr>
      <w:rPr>
        <w:rFonts w:ascii="Courier New" w:hAnsi="Courier New" w:hint="default"/>
      </w:rPr>
    </w:lvl>
    <w:lvl w:ilvl="5" w:tplc="2DB00CB0">
      <w:start w:val="1"/>
      <w:numFmt w:val="bullet"/>
      <w:lvlText w:val=""/>
      <w:lvlJc w:val="left"/>
      <w:pPr>
        <w:ind w:left="4320" w:hanging="360"/>
      </w:pPr>
      <w:rPr>
        <w:rFonts w:ascii="Wingdings" w:hAnsi="Wingdings" w:hint="default"/>
      </w:rPr>
    </w:lvl>
    <w:lvl w:ilvl="6" w:tplc="3C9E0854">
      <w:start w:val="1"/>
      <w:numFmt w:val="bullet"/>
      <w:lvlText w:val=""/>
      <w:lvlJc w:val="left"/>
      <w:pPr>
        <w:ind w:left="5040" w:hanging="360"/>
      </w:pPr>
      <w:rPr>
        <w:rFonts w:ascii="Symbol" w:hAnsi="Symbol" w:hint="default"/>
      </w:rPr>
    </w:lvl>
    <w:lvl w:ilvl="7" w:tplc="EF2AE296">
      <w:start w:val="1"/>
      <w:numFmt w:val="bullet"/>
      <w:lvlText w:val="o"/>
      <w:lvlJc w:val="left"/>
      <w:pPr>
        <w:ind w:left="5760" w:hanging="360"/>
      </w:pPr>
      <w:rPr>
        <w:rFonts w:ascii="Courier New" w:hAnsi="Courier New" w:hint="default"/>
      </w:rPr>
    </w:lvl>
    <w:lvl w:ilvl="8" w:tplc="1B7CE0FC">
      <w:start w:val="1"/>
      <w:numFmt w:val="bullet"/>
      <w:lvlText w:val=""/>
      <w:lvlJc w:val="left"/>
      <w:pPr>
        <w:ind w:left="6480" w:hanging="360"/>
      </w:pPr>
      <w:rPr>
        <w:rFonts w:ascii="Wingdings" w:hAnsi="Wingdings" w:hint="default"/>
      </w:rPr>
    </w:lvl>
  </w:abstractNum>
  <w:abstractNum w:abstractNumId="4" w15:restartNumberingAfterBreak="0">
    <w:nsid w:val="5573523A"/>
    <w:multiLevelType w:val="hybridMultilevel"/>
    <w:tmpl w:val="92D45DA0"/>
    <w:lvl w:ilvl="0" w:tplc="5E429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0F720B"/>
    <w:multiLevelType w:val="hybridMultilevel"/>
    <w:tmpl w:val="9D346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81659007">
    <w:abstractNumId w:val="3"/>
  </w:num>
  <w:num w:numId="2" w16cid:durableId="765465481">
    <w:abstractNumId w:val="4"/>
  </w:num>
  <w:num w:numId="3" w16cid:durableId="1374579551">
    <w:abstractNumId w:val="0"/>
  </w:num>
  <w:num w:numId="4" w16cid:durableId="2133479471">
    <w:abstractNumId w:val="5"/>
  </w:num>
  <w:num w:numId="5" w16cid:durableId="80179525">
    <w:abstractNumId w:val="2"/>
  </w:num>
  <w:num w:numId="6" w16cid:durableId="185021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FE"/>
    <w:rsid w:val="00000517"/>
    <w:rsid w:val="0000169C"/>
    <w:rsid w:val="000017BD"/>
    <w:rsid w:val="00001DDD"/>
    <w:rsid w:val="00001F08"/>
    <w:rsid w:val="000044C3"/>
    <w:rsid w:val="00007D4A"/>
    <w:rsid w:val="00007DB5"/>
    <w:rsid w:val="000103E9"/>
    <w:rsid w:val="000118DE"/>
    <w:rsid w:val="00011BB8"/>
    <w:rsid w:val="000131DE"/>
    <w:rsid w:val="0001446D"/>
    <w:rsid w:val="00015558"/>
    <w:rsid w:val="00015945"/>
    <w:rsid w:val="0001644C"/>
    <w:rsid w:val="00020D17"/>
    <w:rsid w:val="0002105A"/>
    <w:rsid w:val="0002125B"/>
    <w:rsid w:val="00022205"/>
    <w:rsid w:val="00022974"/>
    <w:rsid w:val="000237EA"/>
    <w:rsid w:val="00024158"/>
    <w:rsid w:val="0002586B"/>
    <w:rsid w:val="00025889"/>
    <w:rsid w:val="00026266"/>
    <w:rsid w:val="0002674A"/>
    <w:rsid w:val="000302F3"/>
    <w:rsid w:val="00031896"/>
    <w:rsid w:val="00031C82"/>
    <w:rsid w:val="00031C9D"/>
    <w:rsid w:val="00034760"/>
    <w:rsid w:val="00035ACF"/>
    <w:rsid w:val="000365DC"/>
    <w:rsid w:val="0003668B"/>
    <w:rsid w:val="0003701E"/>
    <w:rsid w:val="000401EE"/>
    <w:rsid w:val="0004032B"/>
    <w:rsid w:val="000407DB"/>
    <w:rsid w:val="0004116D"/>
    <w:rsid w:val="00042512"/>
    <w:rsid w:val="00042C38"/>
    <w:rsid w:val="00043E49"/>
    <w:rsid w:val="00044042"/>
    <w:rsid w:val="000458BD"/>
    <w:rsid w:val="00045DF7"/>
    <w:rsid w:val="00046A69"/>
    <w:rsid w:val="000471E4"/>
    <w:rsid w:val="000512BB"/>
    <w:rsid w:val="00051E9B"/>
    <w:rsid w:val="0005236D"/>
    <w:rsid w:val="00052502"/>
    <w:rsid w:val="0005250F"/>
    <w:rsid w:val="00052554"/>
    <w:rsid w:val="00052E4F"/>
    <w:rsid w:val="00054358"/>
    <w:rsid w:val="00054CDA"/>
    <w:rsid w:val="00055632"/>
    <w:rsid w:val="00057145"/>
    <w:rsid w:val="00057916"/>
    <w:rsid w:val="000611EC"/>
    <w:rsid w:val="000617B7"/>
    <w:rsid w:val="00064521"/>
    <w:rsid w:val="000647BF"/>
    <w:rsid w:val="0006496D"/>
    <w:rsid w:val="00064D6A"/>
    <w:rsid w:val="00064E2A"/>
    <w:rsid w:val="00065E19"/>
    <w:rsid w:val="00067A57"/>
    <w:rsid w:val="00070EAC"/>
    <w:rsid w:val="00071FA3"/>
    <w:rsid w:val="00072A58"/>
    <w:rsid w:val="0007336F"/>
    <w:rsid w:val="0007525D"/>
    <w:rsid w:val="000770F3"/>
    <w:rsid w:val="00077440"/>
    <w:rsid w:val="0008062F"/>
    <w:rsid w:val="000809B3"/>
    <w:rsid w:val="00081A0C"/>
    <w:rsid w:val="00081A16"/>
    <w:rsid w:val="00081FF0"/>
    <w:rsid w:val="00082ADE"/>
    <w:rsid w:val="000846A7"/>
    <w:rsid w:val="00085B09"/>
    <w:rsid w:val="00085C37"/>
    <w:rsid w:val="00085DCC"/>
    <w:rsid w:val="000867D1"/>
    <w:rsid w:val="000874F4"/>
    <w:rsid w:val="00087C75"/>
    <w:rsid w:val="00090829"/>
    <w:rsid w:val="00090E70"/>
    <w:rsid w:val="00091B18"/>
    <w:rsid w:val="00091F16"/>
    <w:rsid w:val="00093C26"/>
    <w:rsid w:val="0009484D"/>
    <w:rsid w:val="00095983"/>
    <w:rsid w:val="00095C95"/>
    <w:rsid w:val="00096300"/>
    <w:rsid w:val="000A0A88"/>
    <w:rsid w:val="000A0C4E"/>
    <w:rsid w:val="000A18F9"/>
    <w:rsid w:val="000A19F4"/>
    <w:rsid w:val="000A1F24"/>
    <w:rsid w:val="000A2818"/>
    <w:rsid w:val="000A296F"/>
    <w:rsid w:val="000A2EAB"/>
    <w:rsid w:val="000A3AC0"/>
    <w:rsid w:val="000A4669"/>
    <w:rsid w:val="000A4732"/>
    <w:rsid w:val="000A4839"/>
    <w:rsid w:val="000A531B"/>
    <w:rsid w:val="000A7964"/>
    <w:rsid w:val="000A7B53"/>
    <w:rsid w:val="000B1235"/>
    <w:rsid w:val="000B1B99"/>
    <w:rsid w:val="000B2569"/>
    <w:rsid w:val="000B49AE"/>
    <w:rsid w:val="000B58F0"/>
    <w:rsid w:val="000B6723"/>
    <w:rsid w:val="000B6BE0"/>
    <w:rsid w:val="000B7018"/>
    <w:rsid w:val="000C1105"/>
    <w:rsid w:val="000C13F2"/>
    <w:rsid w:val="000C1781"/>
    <w:rsid w:val="000C1B6F"/>
    <w:rsid w:val="000C20F7"/>
    <w:rsid w:val="000C2BFE"/>
    <w:rsid w:val="000C31E5"/>
    <w:rsid w:val="000C3D4C"/>
    <w:rsid w:val="000C46F3"/>
    <w:rsid w:val="000C6AA1"/>
    <w:rsid w:val="000C7CC7"/>
    <w:rsid w:val="000D074C"/>
    <w:rsid w:val="000D1BA8"/>
    <w:rsid w:val="000D39EE"/>
    <w:rsid w:val="000D4A41"/>
    <w:rsid w:val="000D4E21"/>
    <w:rsid w:val="000D59E2"/>
    <w:rsid w:val="000D5A5C"/>
    <w:rsid w:val="000D6C88"/>
    <w:rsid w:val="000D76F4"/>
    <w:rsid w:val="000D7836"/>
    <w:rsid w:val="000D7C83"/>
    <w:rsid w:val="000D7EFD"/>
    <w:rsid w:val="000E08FE"/>
    <w:rsid w:val="000E3639"/>
    <w:rsid w:val="000E4202"/>
    <w:rsid w:val="000E4745"/>
    <w:rsid w:val="000E488F"/>
    <w:rsid w:val="000E4A68"/>
    <w:rsid w:val="000E4B01"/>
    <w:rsid w:val="000E4BA6"/>
    <w:rsid w:val="000E4F73"/>
    <w:rsid w:val="000E5868"/>
    <w:rsid w:val="000E5AA8"/>
    <w:rsid w:val="000E690A"/>
    <w:rsid w:val="000E78FE"/>
    <w:rsid w:val="000F046E"/>
    <w:rsid w:val="000F13BA"/>
    <w:rsid w:val="000F1F89"/>
    <w:rsid w:val="000F63B6"/>
    <w:rsid w:val="000F6EA5"/>
    <w:rsid w:val="000F765C"/>
    <w:rsid w:val="000F76C4"/>
    <w:rsid w:val="0010108E"/>
    <w:rsid w:val="00101618"/>
    <w:rsid w:val="00101A04"/>
    <w:rsid w:val="001023AC"/>
    <w:rsid w:val="001035F9"/>
    <w:rsid w:val="00103723"/>
    <w:rsid w:val="00103FE9"/>
    <w:rsid w:val="00104A6A"/>
    <w:rsid w:val="001074A1"/>
    <w:rsid w:val="0010753C"/>
    <w:rsid w:val="00110C6D"/>
    <w:rsid w:val="00113105"/>
    <w:rsid w:val="001135FA"/>
    <w:rsid w:val="001138B8"/>
    <w:rsid w:val="0011423A"/>
    <w:rsid w:val="00115834"/>
    <w:rsid w:val="00115AF5"/>
    <w:rsid w:val="00115B71"/>
    <w:rsid w:val="001163A7"/>
    <w:rsid w:val="00117E64"/>
    <w:rsid w:val="001209E7"/>
    <w:rsid w:val="00120B53"/>
    <w:rsid w:val="001215DC"/>
    <w:rsid w:val="001229C6"/>
    <w:rsid w:val="0012490F"/>
    <w:rsid w:val="00125040"/>
    <w:rsid w:val="0012611D"/>
    <w:rsid w:val="001266D5"/>
    <w:rsid w:val="00126926"/>
    <w:rsid w:val="00126D53"/>
    <w:rsid w:val="00127579"/>
    <w:rsid w:val="00130472"/>
    <w:rsid w:val="00131103"/>
    <w:rsid w:val="00133EE6"/>
    <w:rsid w:val="0013421A"/>
    <w:rsid w:val="0013434A"/>
    <w:rsid w:val="00134BE6"/>
    <w:rsid w:val="00134EEA"/>
    <w:rsid w:val="001357E1"/>
    <w:rsid w:val="0013596C"/>
    <w:rsid w:val="00135EA3"/>
    <w:rsid w:val="00136087"/>
    <w:rsid w:val="001366F9"/>
    <w:rsid w:val="001378AC"/>
    <w:rsid w:val="00142F01"/>
    <w:rsid w:val="001436B9"/>
    <w:rsid w:val="00146517"/>
    <w:rsid w:val="00147C0E"/>
    <w:rsid w:val="00150CCD"/>
    <w:rsid w:val="0015200F"/>
    <w:rsid w:val="0015256A"/>
    <w:rsid w:val="00153722"/>
    <w:rsid w:val="0015385C"/>
    <w:rsid w:val="00153C19"/>
    <w:rsid w:val="00155283"/>
    <w:rsid w:val="001552F0"/>
    <w:rsid w:val="00155301"/>
    <w:rsid w:val="00155BD4"/>
    <w:rsid w:val="00156079"/>
    <w:rsid w:val="001601BA"/>
    <w:rsid w:val="001615DE"/>
    <w:rsid w:val="00161C4F"/>
    <w:rsid w:val="00162178"/>
    <w:rsid w:val="00163233"/>
    <w:rsid w:val="00167874"/>
    <w:rsid w:val="00170E23"/>
    <w:rsid w:val="001722D8"/>
    <w:rsid w:val="00174460"/>
    <w:rsid w:val="00174A9A"/>
    <w:rsid w:val="001765F3"/>
    <w:rsid w:val="00180316"/>
    <w:rsid w:val="00180337"/>
    <w:rsid w:val="00180C20"/>
    <w:rsid w:val="00182D6E"/>
    <w:rsid w:val="00182EA1"/>
    <w:rsid w:val="00183D4C"/>
    <w:rsid w:val="001849A2"/>
    <w:rsid w:val="00184AA7"/>
    <w:rsid w:val="00185268"/>
    <w:rsid w:val="001855C0"/>
    <w:rsid w:val="0018560D"/>
    <w:rsid w:val="00186B09"/>
    <w:rsid w:val="001873A3"/>
    <w:rsid w:val="0019060B"/>
    <w:rsid w:val="00190E21"/>
    <w:rsid w:val="0019257A"/>
    <w:rsid w:val="00193514"/>
    <w:rsid w:val="001936BE"/>
    <w:rsid w:val="00193DF7"/>
    <w:rsid w:val="00194065"/>
    <w:rsid w:val="001941D1"/>
    <w:rsid w:val="00194CD1"/>
    <w:rsid w:val="00194E8F"/>
    <w:rsid w:val="00194EEE"/>
    <w:rsid w:val="001962B3"/>
    <w:rsid w:val="001967FC"/>
    <w:rsid w:val="001970FB"/>
    <w:rsid w:val="001971C1"/>
    <w:rsid w:val="00197516"/>
    <w:rsid w:val="001A025E"/>
    <w:rsid w:val="001A0C94"/>
    <w:rsid w:val="001A2835"/>
    <w:rsid w:val="001A36F0"/>
    <w:rsid w:val="001A4175"/>
    <w:rsid w:val="001A4E5E"/>
    <w:rsid w:val="001A57FD"/>
    <w:rsid w:val="001A5B43"/>
    <w:rsid w:val="001A5BE2"/>
    <w:rsid w:val="001A6222"/>
    <w:rsid w:val="001A7684"/>
    <w:rsid w:val="001A7E0B"/>
    <w:rsid w:val="001B0DB1"/>
    <w:rsid w:val="001B1B58"/>
    <w:rsid w:val="001B307C"/>
    <w:rsid w:val="001B389C"/>
    <w:rsid w:val="001B3F56"/>
    <w:rsid w:val="001B4158"/>
    <w:rsid w:val="001B416B"/>
    <w:rsid w:val="001B4DF1"/>
    <w:rsid w:val="001B50D2"/>
    <w:rsid w:val="001B6F61"/>
    <w:rsid w:val="001C0209"/>
    <w:rsid w:val="001C0E26"/>
    <w:rsid w:val="001C1935"/>
    <w:rsid w:val="001C21CA"/>
    <w:rsid w:val="001C28BA"/>
    <w:rsid w:val="001C456C"/>
    <w:rsid w:val="001C4D5A"/>
    <w:rsid w:val="001C6079"/>
    <w:rsid w:val="001C73A3"/>
    <w:rsid w:val="001C7BF2"/>
    <w:rsid w:val="001D04A8"/>
    <w:rsid w:val="001D04FF"/>
    <w:rsid w:val="001D17F4"/>
    <w:rsid w:val="001D1FEA"/>
    <w:rsid w:val="001D22D6"/>
    <w:rsid w:val="001D2DD6"/>
    <w:rsid w:val="001D42E6"/>
    <w:rsid w:val="001D4975"/>
    <w:rsid w:val="001D49AD"/>
    <w:rsid w:val="001D6BA0"/>
    <w:rsid w:val="001D701F"/>
    <w:rsid w:val="001D709B"/>
    <w:rsid w:val="001D7FB5"/>
    <w:rsid w:val="001E0CF6"/>
    <w:rsid w:val="001E2D1E"/>
    <w:rsid w:val="001E3BA9"/>
    <w:rsid w:val="001E4B4D"/>
    <w:rsid w:val="001E4C57"/>
    <w:rsid w:val="001E6717"/>
    <w:rsid w:val="001E6750"/>
    <w:rsid w:val="001E689B"/>
    <w:rsid w:val="001E7243"/>
    <w:rsid w:val="001E7C1C"/>
    <w:rsid w:val="001F0233"/>
    <w:rsid w:val="001F10C2"/>
    <w:rsid w:val="001F14EB"/>
    <w:rsid w:val="001F4D95"/>
    <w:rsid w:val="001F7400"/>
    <w:rsid w:val="001F7BB0"/>
    <w:rsid w:val="001F7CA7"/>
    <w:rsid w:val="00201050"/>
    <w:rsid w:val="00201886"/>
    <w:rsid w:val="00201D91"/>
    <w:rsid w:val="00202A40"/>
    <w:rsid w:val="00203266"/>
    <w:rsid w:val="0020367E"/>
    <w:rsid w:val="0020471C"/>
    <w:rsid w:val="00204D0A"/>
    <w:rsid w:val="00204EA6"/>
    <w:rsid w:val="0020759E"/>
    <w:rsid w:val="00210593"/>
    <w:rsid w:val="002107FF"/>
    <w:rsid w:val="00210B1E"/>
    <w:rsid w:val="00212111"/>
    <w:rsid w:val="00213E49"/>
    <w:rsid w:val="002147CD"/>
    <w:rsid w:val="00214CA5"/>
    <w:rsid w:val="00215359"/>
    <w:rsid w:val="00215B35"/>
    <w:rsid w:val="00215F73"/>
    <w:rsid w:val="00216DC3"/>
    <w:rsid w:val="00217D8B"/>
    <w:rsid w:val="002209A3"/>
    <w:rsid w:val="0022104D"/>
    <w:rsid w:val="00221916"/>
    <w:rsid w:val="0022196A"/>
    <w:rsid w:val="00221A06"/>
    <w:rsid w:val="002223AF"/>
    <w:rsid w:val="00224466"/>
    <w:rsid w:val="0022447A"/>
    <w:rsid w:val="00224692"/>
    <w:rsid w:val="00224714"/>
    <w:rsid w:val="002247AD"/>
    <w:rsid w:val="00224E67"/>
    <w:rsid w:val="002260BF"/>
    <w:rsid w:val="002267D0"/>
    <w:rsid w:val="00226A85"/>
    <w:rsid w:val="002276A7"/>
    <w:rsid w:val="0022DF0C"/>
    <w:rsid w:val="00230666"/>
    <w:rsid w:val="002310C9"/>
    <w:rsid w:val="00232288"/>
    <w:rsid w:val="00232FCD"/>
    <w:rsid w:val="0023586E"/>
    <w:rsid w:val="00235F55"/>
    <w:rsid w:val="0023693F"/>
    <w:rsid w:val="00236BF8"/>
    <w:rsid w:val="0023795F"/>
    <w:rsid w:val="0024009D"/>
    <w:rsid w:val="002400E5"/>
    <w:rsid w:val="0024065B"/>
    <w:rsid w:val="002409BB"/>
    <w:rsid w:val="00240D0F"/>
    <w:rsid w:val="00241A82"/>
    <w:rsid w:val="00241E69"/>
    <w:rsid w:val="0024232D"/>
    <w:rsid w:val="0024454E"/>
    <w:rsid w:val="00244786"/>
    <w:rsid w:val="0024586E"/>
    <w:rsid w:val="0025038B"/>
    <w:rsid w:val="00250E1F"/>
    <w:rsid w:val="0025229C"/>
    <w:rsid w:val="00252EE5"/>
    <w:rsid w:val="00254BE7"/>
    <w:rsid w:val="00255506"/>
    <w:rsid w:val="002564C4"/>
    <w:rsid w:val="00256C78"/>
    <w:rsid w:val="00257190"/>
    <w:rsid w:val="00261087"/>
    <w:rsid w:val="00261221"/>
    <w:rsid w:val="00261256"/>
    <w:rsid w:val="0026130A"/>
    <w:rsid w:val="00261F15"/>
    <w:rsid w:val="00262041"/>
    <w:rsid w:val="0026208D"/>
    <w:rsid w:val="002655BB"/>
    <w:rsid w:val="00265E51"/>
    <w:rsid w:val="00266768"/>
    <w:rsid w:val="002678FB"/>
    <w:rsid w:val="00271066"/>
    <w:rsid w:val="002725E9"/>
    <w:rsid w:val="00272765"/>
    <w:rsid w:val="00272CF0"/>
    <w:rsid w:val="002734B7"/>
    <w:rsid w:val="002736E9"/>
    <w:rsid w:val="0027381C"/>
    <w:rsid w:val="00274E1F"/>
    <w:rsid w:val="002756E3"/>
    <w:rsid w:val="00275CF5"/>
    <w:rsid w:val="002763AE"/>
    <w:rsid w:val="00280225"/>
    <w:rsid w:val="00280C09"/>
    <w:rsid w:val="00280E99"/>
    <w:rsid w:val="00281CE8"/>
    <w:rsid w:val="0028274C"/>
    <w:rsid w:val="002827DF"/>
    <w:rsid w:val="00282A85"/>
    <w:rsid w:val="00284631"/>
    <w:rsid w:val="00285866"/>
    <w:rsid w:val="00286170"/>
    <w:rsid w:val="0028671F"/>
    <w:rsid w:val="00290289"/>
    <w:rsid w:val="002910F0"/>
    <w:rsid w:val="0029176A"/>
    <w:rsid w:val="002921A1"/>
    <w:rsid w:val="0029251A"/>
    <w:rsid w:val="0029365F"/>
    <w:rsid w:val="00293965"/>
    <w:rsid w:val="00293BB0"/>
    <w:rsid w:val="00295391"/>
    <w:rsid w:val="002954AA"/>
    <w:rsid w:val="00295EBB"/>
    <w:rsid w:val="002975B9"/>
    <w:rsid w:val="002A11AD"/>
    <w:rsid w:val="002A1BCD"/>
    <w:rsid w:val="002A34E6"/>
    <w:rsid w:val="002A39E3"/>
    <w:rsid w:val="002A41A8"/>
    <w:rsid w:val="002A49BC"/>
    <w:rsid w:val="002A4B97"/>
    <w:rsid w:val="002A4F7A"/>
    <w:rsid w:val="002A6144"/>
    <w:rsid w:val="002B0545"/>
    <w:rsid w:val="002B09F4"/>
    <w:rsid w:val="002B1FE2"/>
    <w:rsid w:val="002B2235"/>
    <w:rsid w:val="002B2B83"/>
    <w:rsid w:val="002B39F8"/>
    <w:rsid w:val="002B3F6F"/>
    <w:rsid w:val="002B492B"/>
    <w:rsid w:val="002B4E58"/>
    <w:rsid w:val="002B5961"/>
    <w:rsid w:val="002B6AEE"/>
    <w:rsid w:val="002B7BB9"/>
    <w:rsid w:val="002B7C36"/>
    <w:rsid w:val="002C11E9"/>
    <w:rsid w:val="002C1531"/>
    <w:rsid w:val="002C25D3"/>
    <w:rsid w:val="002C32FF"/>
    <w:rsid w:val="002C34B8"/>
    <w:rsid w:val="002C4EE9"/>
    <w:rsid w:val="002C5F14"/>
    <w:rsid w:val="002C6300"/>
    <w:rsid w:val="002C688F"/>
    <w:rsid w:val="002C6917"/>
    <w:rsid w:val="002C6B74"/>
    <w:rsid w:val="002C6F14"/>
    <w:rsid w:val="002D04D3"/>
    <w:rsid w:val="002D0677"/>
    <w:rsid w:val="002D1B11"/>
    <w:rsid w:val="002D20E7"/>
    <w:rsid w:val="002D387C"/>
    <w:rsid w:val="002D4984"/>
    <w:rsid w:val="002D4BD2"/>
    <w:rsid w:val="002D56EC"/>
    <w:rsid w:val="002D6497"/>
    <w:rsid w:val="002D6802"/>
    <w:rsid w:val="002D7478"/>
    <w:rsid w:val="002D7CCE"/>
    <w:rsid w:val="002D7D55"/>
    <w:rsid w:val="002E08A7"/>
    <w:rsid w:val="002E1C57"/>
    <w:rsid w:val="002E2022"/>
    <w:rsid w:val="002E23EC"/>
    <w:rsid w:val="002E2D79"/>
    <w:rsid w:val="002E31EF"/>
    <w:rsid w:val="002E401D"/>
    <w:rsid w:val="002E4CE9"/>
    <w:rsid w:val="002E4E83"/>
    <w:rsid w:val="002E502E"/>
    <w:rsid w:val="002E589F"/>
    <w:rsid w:val="002E5FBF"/>
    <w:rsid w:val="002E70D5"/>
    <w:rsid w:val="002E75A7"/>
    <w:rsid w:val="002E7744"/>
    <w:rsid w:val="002E7EAD"/>
    <w:rsid w:val="002F0795"/>
    <w:rsid w:val="002F0E70"/>
    <w:rsid w:val="002F150D"/>
    <w:rsid w:val="002F2521"/>
    <w:rsid w:val="002F25C3"/>
    <w:rsid w:val="002F3D61"/>
    <w:rsid w:val="002F4854"/>
    <w:rsid w:val="002F4E3B"/>
    <w:rsid w:val="002F5E69"/>
    <w:rsid w:val="002F6126"/>
    <w:rsid w:val="002F6DDD"/>
    <w:rsid w:val="002F7F1A"/>
    <w:rsid w:val="00300C27"/>
    <w:rsid w:val="0030136A"/>
    <w:rsid w:val="003016AA"/>
    <w:rsid w:val="003018B0"/>
    <w:rsid w:val="00303306"/>
    <w:rsid w:val="003050ED"/>
    <w:rsid w:val="00306C97"/>
    <w:rsid w:val="00306EFA"/>
    <w:rsid w:val="00307C4F"/>
    <w:rsid w:val="003100A2"/>
    <w:rsid w:val="003112A9"/>
    <w:rsid w:val="0031139E"/>
    <w:rsid w:val="00311E85"/>
    <w:rsid w:val="003138FC"/>
    <w:rsid w:val="00313E8A"/>
    <w:rsid w:val="00314245"/>
    <w:rsid w:val="0031468F"/>
    <w:rsid w:val="0031479F"/>
    <w:rsid w:val="00315AA2"/>
    <w:rsid w:val="00315E40"/>
    <w:rsid w:val="00316788"/>
    <w:rsid w:val="00316DCC"/>
    <w:rsid w:val="003208C8"/>
    <w:rsid w:val="00322101"/>
    <w:rsid w:val="0032261D"/>
    <w:rsid w:val="00323B30"/>
    <w:rsid w:val="00324B1E"/>
    <w:rsid w:val="0032514C"/>
    <w:rsid w:val="00326644"/>
    <w:rsid w:val="00327378"/>
    <w:rsid w:val="00327D30"/>
    <w:rsid w:val="003310E3"/>
    <w:rsid w:val="00331938"/>
    <w:rsid w:val="00331B23"/>
    <w:rsid w:val="00331DCD"/>
    <w:rsid w:val="00333A2D"/>
    <w:rsid w:val="00334321"/>
    <w:rsid w:val="0033462C"/>
    <w:rsid w:val="00334D9F"/>
    <w:rsid w:val="00334DE1"/>
    <w:rsid w:val="00336470"/>
    <w:rsid w:val="00336B23"/>
    <w:rsid w:val="00336E30"/>
    <w:rsid w:val="003379A9"/>
    <w:rsid w:val="00340008"/>
    <w:rsid w:val="0034134A"/>
    <w:rsid w:val="00341459"/>
    <w:rsid w:val="003415FE"/>
    <w:rsid w:val="0034232F"/>
    <w:rsid w:val="003434B6"/>
    <w:rsid w:val="00343A3D"/>
    <w:rsid w:val="00343F69"/>
    <w:rsid w:val="00345686"/>
    <w:rsid w:val="003458A2"/>
    <w:rsid w:val="00346073"/>
    <w:rsid w:val="00346908"/>
    <w:rsid w:val="0034721A"/>
    <w:rsid w:val="00347F4F"/>
    <w:rsid w:val="00350210"/>
    <w:rsid w:val="00350F76"/>
    <w:rsid w:val="00351743"/>
    <w:rsid w:val="003517A3"/>
    <w:rsid w:val="00351831"/>
    <w:rsid w:val="00351B39"/>
    <w:rsid w:val="00351D59"/>
    <w:rsid w:val="003524B0"/>
    <w:rsid w:val="003526BB"/>
    <w:rsid w:val="003550F2"/>
    <w:rsid w:val="003558B8"/>
    <w:rsid w:val="003559D3"/>
    <w:rsid w:val="00356959"/>
    <w:rsid w:val="0035701C"/>
    <w:rsid w:val="00360024"/>
    <w:rsid w:val="00362276"/>
    <w:rsid w:val="003632EE"/>
    <w:rsid w:val="00364745"/>
    <w:rsid w:val="0036497A"/>
    <w:rsid w:val="00366359"/>
    <w:rsid w:val="00366838"/>
    <w:rsid w:val="003676D3"/>
    <w:rsid w:val="00370B57"/>
    <w:rsid w:val="00370CD6"/>
    <w:rsid w:val="0037176D"/>
    <w:rsid w:val="00371825"/>
    <w:rsid w:val="0037227B"/>
    <w:rsid w:val="00373612"/>
    <w:rsid w:val="0037378C"/>
    <w:rsid w:val="00374970"/>
    <w:rsid w:val="00374988"/>
    <w:rsid w:val="003754BF"/>
    <w:rsid w:val="00375C19"/>
    <w:rsid w:val="0037705D"/>
    <w:rsid w:val="003772C6"/>
    <w:rsid w:val="00377D59"/>
    <w:rsid w:val="003804A3"/>
    <w:rsid w:val="00380D8A"/>
    <w:rsid w:val="00381A54"/>
    <w:rsid w:val="003824FA"/>
    <w:rsid w:val="00382EE1"/>
    <w:rsid w:val="003847D8"/>
    <w:rsid w:val="00384AA3"/>
    <w:rsid w:val="00385EC8"/>
    <w:rsid w:val="003865FB"/>
    <w:rsid w:val="00387FF8"/>
    <w:rsid w:val="00390A19"/>
    <w:rsid w:val="00390D71"/>
    <w:rsid w:val="0039133A"/>
    <w:rsid w:val="00391ACC"/>
    <w:rsid w:val="003942C9"/>
    <w:rsid w:val="003943D5"/>
    <w:rsid w:val="003953C4"/>
    <w:rsid w:val="00395832"/>
    <w:rsid w:val="003979AE"/>
    <w:rsid w:val="00397C7F"/>
    <w:rsid w:val="003A0943"/>
    <w:rsid w:val="003A0BA1"/>
    <w:rsid w:val="003A1CDF"/>
    <w:rsid w:val="003A2419"/>
    <w:rsid w:val="003A4B83"/>
    <w:rsid w:val="003A4D97"/>
    <w:rsid w:val="003A5C78"/>
    <w:rsid w:val="003A6B84"/>
    <w:rsid w:val="003A7E2F"/>
    <w:rsid w:val="003A7F3F"/>
    <w:rsid w:val="003B04CA"/>
    <w:rsid w:val="003B2E1F"/>
    <w:rsid w:val="003B356C"/>
    <w:rsid w:val="003B53B6"/>
    <w:rsid w:val="003B55AB"/>
    <w:rsid w:val="003B56F5"/>
    <w:rsid w:val="003B5A9A"/>
    <w:rsid w:val="003C09EA"/>
    <w:rsid w:val="003C1306"/>
    <w:rsid w:val="003C13C6"/>
    <w:rsid w:val="003C1F7C"/>
    <w:rsid w:val="003C20B2"/>
    <w:rsid w:val="003C2D6B"/>
    <w:rsid w:val="003C391B"/>
    <w:rsid w:val="003C501E"/>
    <w:rsid w:val="003C52F6"/>
    <w:rsid w:val="003C5470"/>
    <w:rsid w:val="003C57BB"/>
    <w:rsid w:val="003C6F64"/>
    <w:rsid w:val="003C7E5D"/>
    <w:rsid w:val="003D0602"/>
    <w:rsid w:val="003D0886"/>
    <w:rsid w:val="003D16B4"/>
    <w:rsid w:val="003D21B5"/>
    <w:rsid w:val="003D27F6"/>
    <w:rsid w:val="003D4300"/>
    <w:rsid w:val="003D5132"/>
    <w:rsid w:val="003D61A8"/>
    <w:rsid w:val="003D6AD3"/>
    <w:rsid w:val="003E05FC"/>
    <w:rsid w:val="003E2A67"/>
    <w:rsid w:val="003E3693"/>
    <w:rsid w:val="003E46ED"/>
    <w:rsid w:val="003E4A11"/>
    <w:rsid w:val="003E4A41"/>
    <w:rsid w:val="003E508C"/>
    <w:rsid w:val="003E5FD0"/>
    <w:rsid w:val="003E622C"/>
    <w:rsid w:val="003E634A"/>
    <w:rsid w:val="003E7547"/>
    <w:rsid w:val="003F0619"/>
    <w:rsid w:val="003F1571"/>
    <w:rsid w:val="003F15D4"/>
    <w:rsid w:val="003F18A4"/>
    <w:rsid w:val="003F267F"/>
    <w:rsid w:val="003F3149"/>
    <w:rsid w:val="003F3151"/>
    <w:rsid w:val="003F354B"/>
    <w:rsid w:val="003F417E"/>
    <w:rsid w:val="003F4F73"/>
    <w:rsid w:val="003F65BF"/>
    <w:rsid w:val="00400149"/>
    <w:rsid w:val="004003D1"/>
    <w:rsid w:val="00401009"/>
    <w:rsid w:val="00401229"/>
    <w:rsid w:val="004012A0"/>
    <w:rsid w:val="00401B4D"/>
    <w:rsid w:val="00402B47"/>
    <w:rsid w:val="00403D7E"/>
    <w:rsid w:val="00404793"/>
    <w:rsid w:val="0040704D"/>
    <w:rsid w:val="00411AC0"/>
    <w:rsid w:val="00411BDD"/>
    <w:rsid w:val="00414CDD"/>
    <w:rsid w:val="004163D7"/>
    <w:rsid w:val="004206D8"/>
    <w:rsid w:val="00421775"/>
    <w:rsid w:val="004220DE"/>
    <w:rsid w:val="00422213"/>
    <w:rsid w:val="004224E2"/>
    <w:rsid w:val="00422A0B"/>
    <w:rsid w:val="0042380D"/>
    <w:rsid w:val="004269CF"/>
    <w:rsid w:val="00427EF9"/>
    <w:rsid w:val="00427F34"/>
    <w:rsid w:val="00427FBF"/>
    <w:rsid w:val="0043012E"/>
    <w:rsid w:val="00430812"/>
    <w:rsid w:val="00430D26"/>
    <w:rsid w:val="00432BDD"/>
    <w:rsid w:val="00433316"/>
    <w:rsid w:val="00433577"/>
    <w:rsid w:val="0043393D"/>
    <w:rsid w:val="00435A09"/>
    <w:rsid w:val="00436C3A"/>
    <w:rsid w:val="00437948"/>
    <w:rsid w:val="004412D5"/>
    <w:rsid w:val="0044233D"/>
    <w:rsid w:val="004427EF"/>
    <w:rsid w:val="00442993"/>
    <w:rsid w:val="0044396F"/>
    <w:rsid w:val="00444303"/>
    <w:rsid w:val="00444554"/>
    <w:rsid w:val="00444BD9"/>
    <w:rsid w:val="0044587B"/>
    <w:rsid w:val="00446026"/>
    <w:rsid w:val="004478CA"/>
    <w:rsid w:val="004502E9"/>
    <w:rsid w:val="00451306"/>
    <w:rsid w:val="004523FE"/>
    <w:rsid w:val="00452639"/>
    <w:rsid w:val="00453783"/>
    <w:rsid w:val="00453786"/>
    <w:rsid w:val="00455A9C"/>
    <w:rsid w:val="004561EE"/>
    <w:rsid w:val="0045694E"/>
    <w:rsid w:val="00456EAE"/>
    <w:rsid w:val="00457124"/>
    <w:rsid w:val="00457711"/>
    <w:rsid w:val="00457918"/>
    <w:rsid w:val="00457950"/>
    <w:rsid w:val="004603AD"/>
    <w:rsid w:val="004605F2"/>
    <w:rsid w:val="00461216"/>
    <w:rsid w:val="00462EDD"/>
    <w:rsid w:val="00463BF1"/>
    <w:rsid w:val="00464ADF"/>
    <w:rsid w:val="00464B6D"/>
    <w:rsid w:val="00464D42"/>
    <w:rsid w:val="00465074"/>
    <w:rsid w:val="00465E07"/>
    <w:rsid w:val="00466164"/>
    <w:rsid w:val="00466390"/>
    <w:rsid w:val="00466A47"/>
    <w:rsid w:val="00466C80"/>
    <w:rsid w:val="00467A58"/>
    <w:rsid w:val="00467BD6"/>
    <w:rsid w:val="00470868"/>
    <w:rsid w:val="004726B3"/>
    <w:rsid w:val="004727C2"/>
    <w:rsid w:val="004730BE"/>
    <w:rsid w:val="00473AC1"/>
    <w:rsid w:val="00474AC8"/>
    <w:rsid w:val="00477B37"/>
    <w:rsid w:val="004816C1"/>
    <w:rsid w:val="00482908"/>
    <w:rsid w:val="00482CC1"/>
    <w:rsid w:val="0048361E"/>
    <w:rsid w:val="004837DC"/>
    <w:rsid w:val="00484365"/>
    <w:rsid w:val="0048484D"/>
    <w:rsid w:val="00485019"/>
    <w:rsid w:val="004854D3"/>
    <w:rsid w:val="00485E1E"/>
    <w:rsid w:val="004879B8"/>
    <w:rsid w:val="00490330"/>
    <w:rsid w:val="0049287F"/>
    <w:rsid w:val="00492CAB"/>
    <w:rsid w:val="00494B89"/>
    <w:rsid w:val="00494D4B"/>
    <w:rsid w:val="004951E8"/>
    <w:rsid w:val="004966FE"/>
    <w:rsid w:val="00496C75"/>
    <w:rsid w:val="00496D0A"/>
    <w:rsid w:val="00496EAA"/>
    <w:rsid w:val="004971F1"/>
    <w:rsid w:val="004A0A15"/>
    <w:rsid w:val="004A2974"/>
    <w:rsid w:val="004A3001"/>
    <w:rsid w:val="004A3258"/>
    <w:rsid w:val="004A6A8F"/>
    <w:rsid w:val="004A6DD1"/>
    <w:rsid w:val="004A6F31"/>
    <w:rsid w:val="004B03C5"/>
    <w:rsid w:val="004B0F31"/>
    <w:rsid w:val="004B1132"/>
    <w:rsid w:val="004B1AF1"/>
    <w:rsid w:val="004B2192"/>
    <w:rsid w:val="004B2CAC"/>
    <w:rsid w:val="004B2DC3"/>
    <w:rsid w:val="004B30A3"/>
    <w:rsid w:val="004B3295"/>
    <w:rsid w:val="004B33EA"/>
    <w:rsid w:val="004B3704"/>
    <w:rsid w:val="004B391E"/>
    <w:rsid w:val="004B60A5"/>
    <w:rsid w:val="004B7931"/>
    <w:rsid w:val="004B7DC9"/>
    <w:rsid w:val="004C0575"/>
    <w:rsid w:val="004C0F47"/>
    <w:rsid w:val="004C1AE7"/>
    <w:rsid w:val="004C1B57"/>
    <w:rsid w:val="004C2BB5"/>
    <w:rsid w:val="004C31EB"/>
    <w:rsid w:val="004C3A05"/>
    <w:rsid w:val="004C3E54"/>
    <w:rsid w:val="004C5206"/>
    <w:rsid w:val="004C5E84"/>
    <w:rsid w:val="004C64E7"/>
    <w:rsid w:val="004C6BF5"/>
    <w:rsid w:val="004C73AF"/>
    <w:rsid w:val="004C74F8"/>
    <w:rsid w:val="004D06BA"/>
    <w:rsid w:val="004D0EEC"/>
    <w:rsid w:val="004D1711"/>
    <w:rsid w:val="004D2990"/>
    <w:rsid w:val="004D32C3"/>
    <w:rsid w:val="004D3C6E"/>
    <w:rsid w:val="004D50F6"/>
    <w:rsid w:val="004D5146"/>
    <w:rsid w:val="004D549E"/>
    <w:rsid w:val="004D72BB"/>
    <w:rsid w:val="004D7623"/>
    <w:rsid w:val="004E069E"/>
    <w:rsid w:val="004E12D4"/>
    <w:rsid w:val="004E13F6"/>
    <w:rsid w:val="004E141D"/>
    <w:rsid w:val="004E1DC8"/>
    <w:rsid w:val="004E1FF6"/>
    <w:rsid w:val="004E23DD"/>
    <w:rsid w:val="004E259E"/>
    <w:rsid w:val="004E504E"/>
    <w:rsid w:val="004E5F60"/>
    <w:rsid w:val="004E6B81"/>
    <w:rsid w:val="004E6FA2"/>
    <w:rsid w:val="004E7487"/>
    <w:rsid w:val="004F2496"/>
    <w:rsid w:val="004F25F4"/>
    <w:rsid w:val="004F277F"/>
    <w:rsid w:val="004F32A3"/>
    <w:rsid w:val="004F3641"/>
    <w:rsid w:val="004F3AFD"/>
    <w:rsid w:val="004F3B57"/>
    <w:rsid w:val="004F3F73"/>
    <w:rsid w:val="004F41FE"/>
    <w:rsid w:val="004F4571"/>
    <w:rsid w:val="004F6040"/>
    <w:rsid w:val="004F63CD"/>
    <w:rsid w:val="00501730"/>
    <w:rsid w:val="005019C9"/>
    <w:rsid w:val="00502998"/>
    <w:rsid w:val="00503BE6"/>
    <w:rsid w:val="00504A64"/>
    <w:rsid w:val="00504F0B"/>
    <w:rsid w:val="00505767"/>
    <w:rsid w:val="0050611B"/>
    <w:rsid w:val="0050640B"/>
    <w:rsid w:val="00507BC3"/>
    <w:rsid w:val="0051029C"/>
    <w:rsid w:val="00510390"/>
    <w:rsid w:val="00510655"/>
    <w:rsid w:val="005106CA"/>
    <w:rsid w:val="00512E06"/>
    <w:rsid w:val="00512F67"/>
    <w:rsid w:val="00515112"/>
    <w:rsid w:val="005171E0"/>
    <w:rsid w:val="005173AB"/>
    <w:rsid w:val="00520DE7"/>
    <w:rsid w:val="00521BEE"/>
    <w:rsid w:val="00522350"/>
    <w:rsid w:val="00523670"/>
    <w:rsid w:val="00523772"/>
    <w:rsid w:val="00523C26"/>
    <w:rsid w:val="005246B0"/>
    <w:rsid w:val="00525D74"/>
    <w:rsid w:val="00526D67"/>
    <w:rsid w:val="00527154"/>
    <w:rsid w:val="005271DC"/>
    <w:rsid w:val="005278BA"/>
    <w:rsid w:val="00527BF5"/>
    <w:rsid w:val="0053032B"/>
    <w:rsid w:val="00530561"/>
    <w:rsid w:val="00530DB0"/>
    <w:rsid w:val="0053190B"/>
    <w:rsid w:val="00531A41"/>
    <w:rsid w:val="00531E11"/>
    <w:rsid w:val="00533CAF"/>
    <w:rsid w:val="005349A5"/>
    <w:rsid w:val="00540FF8"/>
    <w:rsid w:val="00541866"/>
    <w:rsid w:val="00541988"/>
    <w:rsid w:val="00541D66"/>
    <w:rsid w:val="00543F6A"/>
    <w:rsid w:val="00545562"/>
    <w:rsid w:val="00545BAB"/>
    <w:rsid w:val="0054669C"/>
    <w:rsid w:val="00546DC0"/>
    <w:rsid w:val="00547A9D"/>
    <w:rsid w:val="00547E18"/>
    <w:rsid w:val="0055132B"/>
    <w:rsid w:val="005518E4"/>
    <w:rsid w:val="005521BE"/>
    <w:rsid w:val="00553319"/>
    <w:rsid w:val="005535B5"/>
    <w:rsid w:val="00556984"/>
    <w:rsid w:val="00556EC4"/>
    <w:rsid w:val="0055711F"/>
    <w:rsid w:val="00557FA3"/>
    <w:rsid w:val="0056020F"/>
    <w:rsid w:val="00560E0A"/>
    <w:rsid w:val="0056202F"/>
    <w:rsid w:val="005635A9"/>
    <w:rsid w:val="00564C50"/>
    <w:rsid w:val="005652EE"/>
    <w:rsid w:val="00565662"/>
    <w:rsid w:val="00567CCD"/>
    <w:rsid w:val="00570628"/>
    <w:rsid w:val="005710F5"/>
    <w:rsid w:val="00572182"/>
    <w:rsid w:val="00572BB6"/>
    <w:rsid w:val="00577309"/>
    <w:rsid w:val="0057753A"/>
    <w:rsid w:val="00577BC5"/>
    <w:rsid w:val="00581259"/>
    <w:rsid w:val="005824F1"/>
    <w:rsid w:val="00584382"/>
    <w:rsid w:val="00584DFC"/>
    <w:rsid w:val="005854D3"/>
    <w:rsid w:val="00585F22"/>
    <w:rsid w:val="005861AE"/>
    <w:rsid w:val="005865EE"/>
    <w:rsid w:val="00587EF6"/>
    <w:rsid w:val="00590630"/>
    <w:rsid w:val="00590E73"/>
    <w:rsid w:val="005916AF"/>
    <w:rsid w:val="00591A65"/>
    <w:rsid w:val="00591D8B"/>
    <w:rsid w:val="00591E27"/>
    <w:rsid w:val="005920CB"/>
    <w:rsid w:val="0059272E"/>
    <w:rsid w:val="00592E0B"/>
    <w:rsid w:val="005933D0"/>
    <w:rsid w:val="00595277"/>
    <w:rsid w:val="005961B9"/>
    <w:rsid w:val="00597117"/>
    <w:rsid w:val="005971AF"/>
    <w:rsid w:val="00597EA7"/>
    <w:rsid w:val="005A0706"/>
    <w:rsid w:val="005A0AFC"/>
    <w:rsid w:val="005A1631"/>
    <w:rsid w:val="005A1E0F"/>
    <w:rsid w:val="005A246F"/>
    <w:rsid w:val="005A29CC"/>
    <w:rsid w:val="005A2C54"/>
    <w:rsid w:val="005A2FAA"/>
    <w:rsid w:val="005A34A7"/>
    <w:rsid w:val="005A405E"/>
    <w:rsid w:val="005A684D"/>
    <w:rsid w:val="005A74CC"/>
    <w:rsid w:val="005A799B"/>
    <w:rsid w:val="005B053D"/>
    <w:rsid w:val="005B0833"/>
    <w:rsid w:val="005B0D1F"/>
    <w:rsid w:val="005B1180"/>
    <w:rsid w:val="005B2320"/>
    <w:rsid w:val="005B2606"/>
    <w:rsid w:val="005B269A"/>
    <w:rsid w:val="005B326D"/>
    <w:rsid w:val="005B3CDC"/>
    <w:rsid w:val="005B3D58"/>
    <w:rsid w:val="005B4611"/>
    <w:rsid w:val="005B4CA8"/>
    <w:rsid w:val="005B5A7D"/>
    <w:rsid w:val="005C0096"/>
    <w:rsid w:val="005C08A1"/>
    <w:rsid w:val="005C15F7"/>
    <w:rsid w:val="005C1AC5"/>
    <w:rsid w:val="005C32F3"/>
    <w:rsid w:val="005C34CA"/>
    <w:rsid w:val="005C3CF0"/>
    <w:rsid w:val="005C3E1F"/>
    <w:rsid w:val="005C3ECD"/>
    <w:rsid w:val="005C4E5A"/>
    <w:rsid w:val="005C78B3"/>
    <w:rsid w:val="005D02FC"/>
    <w:rsid w:val="005D119B"/>
    <w:rsid w:val="005D1228"/>
    <w:rsid w:val="005D2900"/>
    <w:rsid w:val="005D3512"/>
    <w:rsid w:val="005D3B78"/>
    <w:rsid w:val="005D3E59"/>
    <w:rsid w:val="005D42A9"/>
    <w:rsid w:val="005D4EFF"/>
    <w:rsid w:val="005D513C"/>
    <w:rsid w:val="005D5304"/>
    <w:rsid w:val="005D666F"/>
    <w:rsid w:val="005D6FA1"/>
    <w:rsid w:val="005E0C48"/>
    <w:rsid w:val="005E1651"/>
    <w:rsid w:val="005E1A83"/>
    <w:rsid w:val="005E31AC"/>
    <w:rsid w:val="005E34FD"/>
    <w:rsid w:val="005E45B0"/>
    <w:rsid w:val="005E5043"/>
    <w:rsid w:val="005E58C2"/>
    <w:rsid w:val="005E6443"/>
    <w:rsid w:val="005E6647"/>
    <w:rsid w:val="005F0581"/>
    <w:rsid w:val="005F0848"/>
    <w:rsid w:val="005F1EEB"/>
    <w:rsid w:val="005F252F"/>
    <w:rsid w:val="005F5EDA"/>
    <w:rsid w:val="005F608E"/>
    <w:rsid w:val="005F7B25"/>
    <w:rsid w:val="005F7D0D"/>
    <w:rsid w:val="006013D2"/>
    <w:rsid w:val="00601C5A"/>
    <w:rsid w:val="00602E3C"/>
    <w:rsid w:val="00602EE4"/>
    <w:rsid w:val="00603461"/>
    <w:rsid w:val="00604706"/>
    <w:rsid w:val="006068B4"/>
    <w:rsid w:val="006079B4"/>
    <w:rsid w:val="00607B0F"/>
    <w:rsid w:val="00607C87"/>
    <w:rsid w:val="006106CD"/>
    <w:rsid w:val="006116FE"/>
    <w:rsid w:val="00611B90"/>
    <w:rsid w:val="00612AB2"/>
    <w:rsid w:val="00614293"/>
    <w:rsid w:val="00614FDF"/>
    <w:rsid w:val="00614FF0"/>
    <w:rsid w:val="00616AB4"/>
    <w:rsid w:val="00617877"/>
    <w:rsid w:val="00617ED1"/>
    <w:rsid w:val="006200F6"/>
    <w:rsid w:val="00620CC0"/>
    <w:rsid w:val="00621840"/>
    <w:rsid w:val="006222FA"/>
    <w:rsid w:val="006224FC"/>
    <w:rsid w:val="006244D6"/>
    <w:rsid w:val="006246EB"/>
    <w:rsid w:val="006254A4"/>
    <w:rsid w:val="00625A7C"/>
    <w:rsid w:val="006260BC"/>
    <w:rsid w:val="00626339"/>
    <w:rsid w:val="00626577"/>
    <w:rsid w:val="0063002E"/>
    <w:rsid w:val="006314BC"/>
    <w:rsid w:val="00631F76"/>
    <w:rsid w:val="006320E9"/>
    <w:rsid w:val="00632B6F"/>
    <w:rsid w:val="006330AD"/>
    <w:rsid w:val="00635CE2"/>
    <w:rsid w:val="00637245"/>
    <w:rsid w:val="0063782C"/>
    <w:rsid w:val="00637F9C"/>
    <w:rsid w:val="00640595"/>
    <w:rsid w:val="00641968"/>
    <w:rsid w:val="006436D0"/>
    <w:rsid w:val="00644395"/>
    <w:rsid w:val="006449C9"/>
    <w:rsid w:val="006461FB"/>
    <w:rsid w:val="00646A42"/>
    <w:rsid w:val="006507F3"/>
    <w:rsid w:val="00650D65"/>
    <w:rsid w:val="00650D9E"/>
    <w:rsid w:val="00656077"/>
    <w:rsid w:val="006569D7"/>
    <w:rsid w:val="00656DFE"/>
    <w:rsid w:val="00656E38"/>
    <w:rsid w:val="00657D8D"/>
    <w:rsid w:val="00660576"/>
    <w:rsid w:val="0066185B"/>
    <w:rsid w:val="0066786F"/>
    <w:rsid w:val="00667FF1"/>
    <w:rsid w:val="00670A50"/>
    <w:rsid w:val="0067190E"/>
    <w:rsid w:val="00671F24"/>
    <w:rsid w:val="006737F6"/>
    <w:rsid w:val="00673E4A"/>
    <w:rsid w:val="006750CB"/>
    <w:rsid w:val="00675784"/>
    <w:rsid w:val="006757CD"/>
    <w:rsid w:val="00675EDE"/>
    <w:rsid w:val="00676F5C"/>
    <w:rsid w:val="0067747F"/>
    <w:rsid w:val="00677483"/>
    <w:rsid w:val="006777EF"/>
    <w:rsid w:val="006817A6"/>
    <w:rsid w:val="006818BE"/>
    <w:rsid w:val="0068195E"/>
    <w:rsid w:val="00681D20"/>
    <w:rsid w:val="00681D46"/>
    <w:rsid w:val="00681D62"/>
    <w:rsid w:val="00681ED2"/>
    <w:rsid w:val="006821C2"/>
    <w:rsid w:val="006829CF"/>
    <w:rsid w:val="00684395"/>
    <w:rsid w:val="006843D1"/>
    <w:rsid w:val="00684D06"/>
    <w:rsid w:val="0068535B"/>
    <w:rsid w:val="00685DCD"/>
    <w:rsid w:val="00686075"/>
    <w:rsid w:val="00686E44"/>
    <w:rsid w:val="0068706A"/>
    <w:rsid w:val="00687159"/>
    <w:rsid w:val="006879C8"/>
    <w:rsid w:val="0068D30D"/>
    <w:rsid w:val="006909E9"/>
    <w:rsid w:val="0069214F"/>
    <w:rsid w:val="006921DD"/>
    <w:rsid w:val="00692C42"/>
    <w:rsid w:val="00693114"/>
    <w:rsid w:val="00693693"/>
    <w:rsid w:val="0069385B"/>
    <w:rsid w:val="006949BB"/>
    <w:rsid w:val="00695394"/>
    <w:rsid w:val="00695B1B"/>
    <w:rsid w:val="0069615E"/>
    <w:rsid w:val="00696F46"/>
    <w:rsid w:val="006A0D78"/>
    <w:rsid w:val="006A18B3"/>
    <w:rsid w:val="006A36E4"/>
    <w:rsid w:val="006A38AE"/>
    <w:rsid w:val="006A486D"/>
    <w:rsid w:val="006A4AFD"/>
    <w:rsid w:val="006A624D"/>
    <w:rsid w:val="006A6F7F"/>
    <w:rsid w:val="006A75DC"/>
    <w:rsid w:val="006B0D06"/>
    <w:rsid w:val="006B0E36"/>
    <w:rsid w:val="006B0F2B"/>
    <w:rsid w:val="006B1170"/>
    <w:rsid w:val="006B2682"/>
    <w:rsid w:val="006B3F67"/>
    <w:rsid w:val="006B5076"/>
    <w:rsid w:val="006B50D4"/>
    <w:rsid w:val="006B6725"/>
    <w:rsid w:val="006B6C1C"/>
    <w:rsid w:val="006B710C"/>
    <w:rsid w:val="006B74F5"/>
    <w:rsid w:val="006B7816"/>
    <w:rsid w:val="006B782C"/>
    <w:rsid w:val="006C0EAE"/>
    <w:rsid w:val="006C1AFA"/>
    <w:rsid w:val="006C240C"/>
    <w:rsid w:val="006C2769"/>
    <w:rsid w:val="006C2DF5"/>
    <w:rsid w:val="006C3879"/>
    <w:rsid w:val="006C5291"/>
    <w:rsid w:val="006C5426"/>
    <w:rsid w:val="006C7878"/>
    <w:rsid w:val="006C7960"/>
    <w:rsid w:val="006C7B4D"/>
    <w:rsid w:val="006D0DB6"/>
    <w:rsid w:val="006D25BB"/>
    <w:rsid w:val="006D304F"/>
    <w:rsid w:val="006D363A"/>
    <w:rsid w:val="006D3BF5"/>
    <w:rsid w:val="006D524E"/>
    <w:rsid w:val="006D5492"/>
    <w:rsid w:val="006D57FF"/>
    <w:rsid w:val="006D626D"/>
    <w:rsid w:val="006D67B9"/>
    <w:rsid w:val="006D7100"/>
    <w:rsid w:val="006D7645"/>
    <w:rsid w:val="006D7D00"/>
    <w:rsid w:val="006E045D"/>
    <w:rsid w:val="006E12D4"/>
    <w:rsid w:val="006E1380"/>
    <w:rsid w:val="006E1E70"/>
    <w:rsid w:val="006E311E"/>
    <w:rsid w:val="006E3762"/>
    <w:rsid w:val="006E3821"/>
    <w:rsid w:val="006E4416"/>
    <w:rsid w:val="006E5181"/>
    <w:rsid w:val="006E5790"/>
    <w:rsid w:val="006E5D17"/>
    <w:rsid w:val="006E690D"/>
    <w:rsid w:val="006E789B"/>
    <w:rsid w:val="006E7C4E"/>
    <w:rsid w:val="006F0156"/>
    <w:rsid w:val="006F0DD1"/>
    <w:rsid w:val="006F1C22"/>
    <w:rsid w:val="006F1CEC"/>
    <w:rsid w:val="006F2528"/>
    <w:rsid w:val="006F263E"/>
    <w:rsid w:val="006F2787"/>
    <w:rsid w:val="006F2D56"/>
    <w:rsid w:val="006F326F"/>
    <w:rsid w:val="006F4A04"/>
    <w:rsid w:val="006F6237"/>
    <w:rsid w:val="006F6524"/>
    <w:rsid w:val="006F7D2B"/>
    <w:rsid w:val="0070016B"/>
    <w:rsid w:val="007007A3"/>
    <w:rsid w:val="00700FD8"/>
    <w:rsid w:val="007031B7"/>
    <w:rsid w:val="007046C5"/>
    <w:rsid w:val="00705D41"/>
    <w:rsid w:val="0070715D"/>
    <w:rsid w:val="00710A26"/>
    <w:rsid w:val="00711674"/>
    <w:rsid w:val="00711792"/>
    <w:rsid w:val="00712607"/>
    <w:rsid w:val="00712EB6"/>
    <w:rsid w:val="00713E95"/>
    <w:rsid w:val="00714613"/>
    <w:rsid w:val="00714BC4"/>
    <w:rsid w:val="00714F07"/>
    <w:rsid w:val="00715220"/>
    <w:rsid w:val="00715222"/>
    <w:rsid w:val="0071549A"/>
    <w:rsid w:val="00716A54"/>
    <w:rsid w:val="007173BC"/>
    <w:rsid w:val="007176FE"/>
    <w:rsid w:val="0072076F"/>
    <w:rsid w:val="007211BE"/>
    <w:rsid w:val="00721D27"/>
    <w:rsid w:val="007224D4"/>
    <w:rsid w:val="007225C9"/>
    <w:rsid w:val="007229B6"/>
    <w:rsid w:val="00723659"/>
    <w:rsid w:val="007247B7"/>
    <w:rsid w:val="00725531"/>
    <w:rsid w:val="00726F02"/>
    <w:rsid w:val="0072720E"/>
    <w:rsid w:val="00727AFB"/>
    <w:rsid w:val="00727F10"/>
    <w:rsid w:val="00727FE7"/>
    <w:rsid w:val="007308FE"/>
    <w:rsid w:val="007310D9"/>
    <w:rsid w:val="007316D3"/>
    <w:rsid w:val="00731A13"/>
    <w:rsid w:val="00731DD6"/>
    <w:rsid w:val="00733246"/>
    <w:rsid w:val="007342E3"/>
    <w:rsid w:val="0073467C"/>
    <w:rsid w:val="00734D72"/>
    <w:rsid w:val="00735480"/>
    <w:rsid w:val="007359C7"/>
    <w:rsid w:val="0073668C"/>
    <w:rsid w:val="00736977"/>
    <w:rsid w:val="0073772C"/>
    <w:rsid w:val="007411B8"/>
    <w:rsid w:val="00741A5C"/>
    <w:rsid w:val="00742B4A"/>
    <w:rsid w:val="007449BF"/>
    <w:rsid w:val="00745FE6"/>
    <w:rsid w:val="0074788C"/>
    <w:rsid w:val="00751A9D"/>
    <w:rsid w:val="00752242"/>
    <w:rsid w:val="007535E7"/>
    <w:rsid w:val="00753677"/>
    <w:rsid w:val="00753A39"/>
    <w:rsid w:val="00755595"/>
    <w:rsid w:val="007557AF"/>
    <w:rsid w:val="00756037"/>
    <w:rsid w:val="00757FD8"/>
    <w:rsid w:val="007600C9"/>
    <w:rsid w:val="00760670"/>
    <w:rsid w:val="00761C71"/>
    <w:rsid w:val="007627B9"/>
    <w:rsid w:val="00762DDE"/>
    <w:rsid w:val="0076315E"/>
    <w:rsid w:val="00763ED2"/>
    <w:rsid w:val="00763F5B"/>
    <w:rsid w:val="00766F20"/>
    <w:rsid w:val="00767112"/>
    <w:rsid w:val="00767472"/>
    <w:rsid w:val="00767A63"/>
    <w:rsid w:val="00767D38"/>
    <w:rsid w:val="00770976"/>
    <w:rsid w:val="00772B2E"/>
    <w:rsid w:val="007741C9"/>
    <w:rsid w:val="00775995"/>
    <w:rsid w:val="00776277"/>
    <w:rsid w:val="0077698F"/>
    <w:rsid w:val="007770BD"/>
    <w:rsid w:val="007804BF"/>
    <w:rsid w:val="00780E0D"/>
    <w:rsid w:val="0078168D"/>
    <w:rsid w:val="00781776"/>
    <w:rsid w:val="00782813"/>
    <w:rsid w:val="00783764"/>
    <w:rsid w:val="00783E66"/>
    <w:rsid w:val="007847A7"/>
    <w:rsid w:val="00785089"/>
    <w:rsid w:val="0078542D"/>
    <w:rsid w:val="00785DD9"/>
    <w:rsid w:val="007870CF"/>
    <w:rsid w:val="0078755A"/>
    <w:rsid w:val="00787E89"/>
    <w:rsid w:val="00791AF3"/>
    <w:rsid w:val="00793C75"/>
    <w:rsid w:val="007946EA"/>
    <w:rsid w:val="00794A5E"/>
    <w:rsid w:val="0079570B"/>
    <w:rsid w:val="00796589"/>
    <w:rsid w:val="00796D93"/>
    <w:rsid w:val="00797CE0"/>
    <w:rsid w:val="007A3FE5"/>
    <w:rsid w:val="007A45B7"/>
    <w:rsid w:val="007A4DC5"/>
    <w:rsid w:val="007A5167"/>
    <w:rsid w:val="007A649A"/>
    <w:rsid w:val="007A6AE5"/>
    <w:rsid w:val="007A6D89"/>
    <w:rsid w:val="007B0346"/>
    <w:rsid w:val="007B0B76"/>
    <w:rsid w:val="007B18F1"/>
    <w:rsid w:val="007B2A80"/>
    <w:rsid w:val="007B2B9E"/>
    <w:rsid w:val="007B2E0D"/>
    <w:rsid w:val="007B3143"/>
    <w:rsid w:val="007B3563"/>
    <w:rsid w:val="007B6DF2"/>
    <w:rsid w:val="007B6E5B"/>
    <w:rsid w:val="007C0A57"/>
    <w:rsid w:val="007C2B68"/>
    <w:rsid w:val="007C3544"/>
    <w:rsid w:val="007C4EF2"/>
    <w:rsid w:val="007C57DF"/>
    <w:rsid w:val="007C6787"/>
    <w:rsid w:val="007C7FEB"/>
    <w:rsid w:val="007D0565"/>
    <w:rsid w:val="007D310A"/>
    <w:rsid w:val="007D3F8F"/>
    <w:rsid w:val="007D418C"/>
    <w:rsid w:val="007D43AE"/>
    <w:rsid w:val="007D6F7D"/>
    <w:rsid w:val="007D7E03"/>
    <w:rsid w:val="007E1135"/>
    <w:rsid w:val="007E123A"/>
    <w:rsid w:val="007E13DB"/>
    <w:rsid w:val="007E22F7"/>
    <w:rsid w:val="007E2E82"/>
    <w:rsid w:val="007E4009"/>
    <w:rsid w:val="007E43EC"/>
    <w:rsid w:val="007E6FFE"/>
    <w:rsid w:val="007F0495"/>
    <w:rsid w:val="007F08CB"/>
    <w:rsid w:val="007F0DE2"/>
    <w:rsid w:val="007F11EA"/>
    <w:rsid w:val="007F131A"/>
    <w:rsid w:val="007F13C6"/>
    <w:rsid w:val="007F13D1"/>
    <w:rsid w:val="007F1E17"/>
    <w:rsid w:val="007F2661"/>
    <w:rsid w:val="007F3642"/>
    <w:rsid w:val="007F3648"/>
    <w:rsid w:val="007F3717"/>
    <w:rsid w:val="007F3D0C"/>
    <w:rsid w:val="007F418D"/>
    <w:rsid w:val="007F45B4"/>
    <w:rsid w:val="007F5DD2"/>
    <w:rsid w:val="007F6469"/>
    <w:rsid w:val="007F76C4"/>
    <w:rsid w:val="007F778F"/>
    <w:rsid w:val="00800328"/>
    <w:rsid w:val="0080136A"/>
    <w:rsid w:val="00801AAF"/>
    <w:rsid w:val="00801B64"/>
    <w:rsid w:val="0080295F"/>
    <w:rsid w:val="00802964"/>
    <w:rsid w:val="00802AA9"/>
    <w:rsid w:val="00803666"/>
    <w:rsid w:val="0080387B"/>
    <w:rsid w:val="00803A01"/>
    <w:rsid w:val="00804029"/>
    <w:rsid w:val="0080426C"/>
    <w:rsid w:val="008042C5"/>
    <w:rsid w:val="0080528F"/>
    <w:rsid w:val="00805D52"/>
    <w:rsid w:val="0080607A"/>
    <w:rsid w:val="0080731D"/>
    <w:rsid w:val="00807A87"/>
    <w:rsid w:val="00812402"/>
    <w:rsid w:val="00812D11"/>
    <w:rsid w:val="00815AAA"/>
    <w:rsid w:val="00815E8F"/>
    <w:rsid w:val="00817284"/>
    <w:rsid w:val="008206F1"/>
    <w:rsid w:val="0082381D"/>
    <w:rsid w:val="008275C6"/>
    <w:rsid w:val="00827C39"/>
    <w:rsid w:val="00827CAD"/>
    <w:rsid w:val="00827E74"/>
    <w:rsid w:val="008303AC"/>
    <w:rsid w:val="008307B1"/>
    <w:rsid w:val="00830B07"/>
    <w:rsid w:val="008317C5"/>
    <w:rsid w:val="00831975"/>
    <w:rsid w:val="00832955"/>
    <w:rsid w:val="0083379E"/>
    <w:rsid w:val="008343F0"/>
    <w:rsid w:val="00834482"/>
    <w:rsid w:val="008353B6"/>
    <w:rsid w:val="00835E74"/>
    <w:rsid w:val="00836208"/>
    <w:rsid w:val="0083681E"/>
    <w:rsid w:val="00837F7C"/>
    <w:rsid w:val="008408B4"/>
    <w:rsid w:val="00841ABD"/>
    <w:rsid w:val="0084253B"/>
    <w:rsid w:val="0084330A"/>
    <w:rsid w:val="00843640"/>
    <w:rsid w:val="00844026"/>
    <w:rsid w:val="00844879"/>
    <w:rsid w:val="008467BD"/>
    <w:rsid w:val="00847DD0"/>
    <w:rsid w:val="008512FD"/>
    <w:rsid w:val="00852731"/>
    <w:rsid w:val="00852DAB"/>
    <w:rsid w:val="00856A6C"/>
    <w:rsid w:val="00856A91"/>
    <w:rsid w:val="00856DEE"/>
    <w:rsid w:val="0086123B"/>
    <w:rsid w:val="00861563"/>
    <w:rsid w:val="008618F5"/>
    <w:rsid w:val="00863CDD"/>
    <w:rsid w:val="008642C6"/>
    <w:rsid w:val="008647C5"/>
    <w:rsid w:val="00865224"/>
    <w:rsid w:val="008655FB"/>
    <w:rsid w:val="00865CA2"/>
    <w:rsid w:val="00867A22"/>
    <w:rsid w:val="00870A92"/>
    <w:rsid w:val="00872377"/>
    <w:rsid w:val="008728FD"/>
    <w:rsid w:val="008735A6"/>
    <w:rsid w:val="00873644"/>
    <w:rsid w:val="00873BD8"/>
    <w:rsid w:val="00873F9F"/>
    <w:rsid w:val="00875487"/>
    <w:rsid w:val="008754B2"/>
    <w:rsid w:val="00877E09"/>
    <w:rsid w:val="00880C11"/>
    <w:rsid w:val="00880D1C"/>
    <w:rsid w:val="008835D7"/>
    <w:rsid w:val="00884EDC"/>
    <w:rsid w:val="00885FCD"/>
    <w:rsid w:val="008877C7"/>
    <w:rsid w:val="00890030"/>
    <w:rsid w:val="00890B2A"/>
    <w:rsid w:val="00890C69"/>
    <w:rsid w:val="008916DB"/>
    <w:rsid w:val="00892166"/>
    <w:rsid w:val="008928E9"/>
    <w:rsid w:val="0089371E"/>
    <w:rsid w:val="00893728"/>
    <w:rsid w:val="008961C9"/>
    <w:rsid w:val="00896406"/>
    <w:rsid w:val="00897130"/>
    <w:rsid w:val="00897EAF"/>
    <w:rsid w:val="008A20E7"/>
    <w:rsid w:val="008A223C"/>
    <w:rsid w:val="008A2877"/>
    <w:rsid w:val="008A3B0D"/>
    <w:rsid w:val="008A3B2A"/>
    <w:rsid w:val="008A3C12"/>
    <w:rsid w:val="008A4DB8"/>
    <w:rsid w:val="008A524B"/>
    <w:rsid w:val="008A5892"/>
    <w:rsid w:val="008A66DB"/>
    <w:rsid w:val="008A6C91"/>
    <w:rsid w:val="008A7027"/>
    <w:rsid w:val="008A7D1D"/>
    <w:rsid w:val="008A7E51"/>
    <w:rsid w:val="008B047F"/>
    <w:rsid w:val="008B0614"/>
    <w:rsid w:val="008B0BBD"/>
    <w:rsid w:val="008B14E9"/>
    <w:rsid w:val="008B2A36"/>
    <w:rsid w:val="008B2C27"/>
    <w:rsid w:val="008B2CFE"/>
    <w:rsid w:val="008B2D49"/>
    <w:rsid w:val="008B4734"/>
    <w:rsid w:val="008B5D03"/>
    <w:rsid w:val="008B6304"/>
    <w:rsid w:val="008B685D"/>
    <w:rsid w:val="008B75B5"/>
    <w:rsid w:val="008C06B6"/>
    <w:rsid w:val="008C1B69"/>
    <w:rsid w:val="008C22A1"/>
    <w:rsid w:val="008C2C03"/>
    <w:rsid w:val="008C2CFF"/>
    <w:rsid w:val="008C3359"/>
    <w:rsid w:val="008C355E"/>
    <w:rsid w:val="008C384A"/>
    <w:rsid w:val="008C3E79"/>
    <w:rsid w:val="008C6211"/>
    <w:rsid w:val="008C74F0"/>
    <w:rsid w:val="008D01C3"/>
    <w:rsid w:val="008D0B8A"/>
    <w:rsid w:val="008D1089"/>
    <w:rsid w:val="008D17C3"/>
    <w:rsid w:val="008D1D54"/>
    <w:rsid w:val="008D1FFF"/>
    <w:rsid w:val="008D26E2"/>
    <w:rsid w:val="008D26F8"/>
    <w:rsid w:val="008D2842"/>
    <w:rsid w:val="008D2C21"/>
    <w:rsid w:val="008D33AF"/>
    <w:rsid w:val="008D3E76"/>
    <w:rsid w:val="008D41C5"/>
    <w:rsid w:val="008D6609"/>
    <w:rsid w:val="008D7836"/>
    <w:rsid w:val="008E0260"/>
    <w:rsid w:val="008E0435"/>
    <w:rsid w:val="008E1174"/>
    <w:rsid w:val="008E1BBA"/>
    <w:rsid w:val="008E1D59"/>
    <w:rsid w:val="008E232B"/>
    <w:rsid w:val="008E2BC7"/>
    <w:rsid w:val="008E322E"/>
    <w:rsid w:val="008E34AF"/>
    <w:rsid w:val="008E5197"/>
    <w:rsid w:val="008E5513"/>
    <w:rsid w:val="008E5FE2"/>
    <w:rsid w:val="008E647E"/>
    <w:rsid w:val="008E6833"/>
    <w:rsid w:val="008E6A94"/>
    <w:rsid w:val="008E6DF0"/>
    <w:rsid w:val="008E727C"/>
    <w:rsid w:val="008F0603"/>
    <w:rsid w:val="008F124B"/>
    <w:rsid w:val="008F1384"/>
    <w:rsid w:val="008F18AC"/>
    <w:rsid w:val="008F2C57"/>
    <w:rsid w:val="008F3016"/>
    <w:rsid w:val="008F4B41"/>
    <w:rsid w:val="008F506C"/>
    <w:rsid w:val="008F511B"/>
    <w:rsid w:val="008F7D2C"/>
    <w:rsid w:val="009009EC"/>
    <w:rsid w:val="00901531"/>
    <w:rsid w:val="00901E7D"/>
    <w:rsid w:val="00902461"/>
    <w:rsid w:val="00902688"/>
    <w:rsid w:val="00902C34"/>
    <w:rsid w:val="009033C0"/>
    <w:rsid w:val="00903806"/>
    <w:rsid w:val="00904BD8"/>
    <w:rsid w:val="00904CE2"/>
    <w:rsid w:val="00905E82"/>
    <w:rsid w:val="00906285"/>
    <w:rsid w:val="0090692A"/>
    <w:rsid w:val="0090700E"/>
    <w:rsid w:val="00907735"/>
    <w:rsid w:val="00907C31"/>
    <w:rsid w:val="00911ADC"/>
    <w:rsid w:val="00911D45"/>
    <w:rsid w:val="009120C5"/>
    <w:rsid w:val="00916791"/>
    <w:rsid w:val="0091736C"/>
    <w:rsid w:val="00917632"/>
    <w:rsid w:val="00920A43"/>
    <w:rsid w:val="00920B37"/>
    <w:rsid w:val="00920F4D"/>
    <w:rsid w:val="009221A4"/>
    <w:rsid w:val="00922213"/>
    <w:rsid w:val="00924572"/>
    <w:rsid w:val="0092636F"/>
    <w:rsid w:val="009267C3"/>
    <w:rsid w:val="009278F9"/>
    <w:rsid w:val="00927CAB"/>
    <w:rsid w:val="00930092"/>
    <w:rsid w:val="0093390F"/>
    <w:rsid w:val="00933DA0"/>
    <w:rsid w:val="0093422D"/>
    <w:rsid w:val="00935118"/>
    <w:rsid w:val="009353CC"/>
    <w:rsid w:val="00935683"/>
    <w:rsid w:val="00936F84"/>
    <w:rsid w:val="009371F3"/>
    <w:rsid w:val="00937499"/>
    <w:rsid w:val="009422F9"/>
    <w:rsid w:val="00942E3A"/>
    <w:rsid w:val="009430F8"/>
    <w:rsid w:val="00943165"/>
    <w:rsid w:val="009440B1"/>
    <w:rsid w:val="00944940"/>
    <w:rsid w:val="00944F06"/>
    <w:rsid w:val="00945147"/>
    <w:rsid w:val="009454E1"/>
    <w:rsid w:val="00945CE5"/>
    <w:rsid w:val="00945E04"/>
    <w:rsid w:val="00946E3A"/>
    <w:rsid w:val="00947C58"/>
    <w:rsid w:val="00947C6B"/>
    <w:rsid w:val="00947DAB"/>
    <w:rsid w:val="0095149A"/>
    <w:rsid w:val="009521B4"/>
    <w:rsid w:val="0095373F"/>
    <w:rsid w:val="0095423E"/>
    <w:rsid w:val="00955BAE"/>
    <w:rsid w:val="00956B15"/>
    <w:rsid w:val="00960E81"/>
    <w:rsid w:val="009621AE"/>
    <w:rsid w:val="00964981"/>
    <w:rsid w:val="00964AB3"/>
    <w:rsid w:val="00964C0D"/>
    <w:rsid w:val="00964F0D"/>
    <w:rsid w:val="009657EE"/>
    <w:rsid w:val="00966B20"/>
    <w:rsid w:val="00970181"/>
    <w:rsid w:val="009704FA"/>
    <w:rsid w:val="00970EE4"/>
    <w:rsid w:val="00971B20"/>
    <w:rsid w:val="0097271E"/>
    <w:rsid w:val="0097327C"/>
    <w:rsid w:val="0097329F"/>
    <w:rsid w:val="0097449A"/>
    <w:rsid w:val="00974B63"/>
    <w:rsid w:val="009756D7"/>
    <w:rsid w:val="00975C2C"/>
    <w:rsid w:val="00976E1E"/>
    <w:rsid w:val="009778E0"/>
    <w:rsid w:val="00980084"/>
    <w:rsid w:val="00980E46"/>
    <w:rsid w:val="00980E56"/>
    <w:rsid w:val="0098157F"/>
    <w:rsid w:val="00984C17"/>
    <w:rsid w:val="009866E5"/>
    <w:rsid w:val="0098678C"/>
    <w:rsid w:val="00987B39"/>
    <w:rsid w:val="00990B2B"/>
    <w:rsid w:val="00990DE5"/>
    <w:rsid w:val="00990E48"/>
    <w:rsid w:val="00990E75"/>
    <w:rsid w:val="00991169"/>
    <w:rsid w:val="00991946"/>
    <w:rsid w:val="009926FC"/>
    <w:rsid w:val="00993321"/>
    <w:rsid w:val="00993967"/>
    <w:rsid w:val="009946F7"/>
    <w:rsid w:val="00994856"/>
    <w:rsid w:val="00995845"/>
    <w:rsid w:val="00996332"/>
    <w:rsid w:val="009969A9"/>
    <w:rsid w:val="00996A51"/>
    <w:rsid w:val="00996BA2"/>
    <w:rsid w:val="0099734D"/>
    <w:rsid w:val="009A0101"/>
    <w:rsid w:val="009A069E"/>
    <w:rsid w:val="009A0B96"/>
    <w:rsid w:val="009A1018"/>
    <w:rsid w:val="009A1DD5"/>
    <w:rsid w:val="009A20F3"/>
    <w:rsid w:val="009A3D4A"/>
    <w:rsid w:val="009A65D0"/>
    <w:rsid w:val="009A7DCA"/>
    <w:rsid w:val="009A7F54"/>
    <w:rsid w:val="009B1108"/>
    <w:rsid w:val="009B1114"/>
    <w:rsid w:val="009B115A"/>
    <w:rsid w:val="009B15B4"/>
    <w:rsid w:val="009B2CCB"/>
    <w:rsid w:val="009B5E5D"/>
    <w:rsid w:val="009B5E74"/>
    <w:rsid w:val="009B7BB9"/>
    <w:rsid w:val="009C33A4"/>
    <w:rsid w:val="009C40EA"/>
    <w:rsid w:val="009C49CC"/>
    <w:rsid w:val="009C4C6C"/>
    <w:rsid w:val="009C5D08"/>
    <w:rsid w:val="009C73F5"/>
    <w:rsid w:val="009C7BDF"/>
    <w:rsid w:val="009D0583"/>
    <w:rsid w:val="009D0606"/>
    <w:rsid w:val="009D0F61"/>
    <w:rsid w:val="009D353C"/>
    <w:rsid w:val="009D533D"/>
    <w:rsid w:val="009D55B4"/>
    <w:rsid w:val="009D64CC"/>
    <w:rsid w:val="009D6E6F"/>
    <w:rsid w:val="009D7D92"/>
    <w:rsid w:val="009E34AE"/>
    <w:rsid w:val="009E3E8D"/>
    <w:rsid w:val="009E4399"/>
    <w:rsid w:val="009E48A8"/>
    <w:rsid w:val="009E49CA"/>
    <w:rsid w:val="009E4A66"/>
    <w:rsid w:val="009E60E7"/>
    <w:rsid w:val="009E65F5"/>
    <w:rsid w:val="009E6FFE"/>
    <w:rsid w:val="009F019D"/>
    <w:rsid w:val="009F0426"/>
    <w:rsid w:val="009F2815"/>
    <w:rsid w:val="009F2A60"/>
    <w:rsid w:val="009F4052"/>
    <w:rsid w:val="009F47DF"/>
    <w:rsid w:val="009F534A"/>
    <w:rsid w:val="009F5DC5"/>
    <w:rsid w:val="009F5EE4"/>
    <w:rsid w:val="009F665B"/>
    <w:rsid w:val="009F66DB"/>
    <w:rsid w:val="009F7C5E"/>
    <w:rsid w:val="00A00583"/>
    <w:rsid w:val="00A01580"/>
    <w:rsid w:val="00A015E9"/>
    <w:rsid w:val="00A01BFF"/>
    <w:rsid w:val="00A01D51"/>
    <w:rsid w:val="00A023F8"/>
    <w:rsid w:val="00A0268E"/>
    <w:rsid w:val="00A02DDD"/>
    <w:rsid w:val="00A035BA"/>
    <w:rsid w:val="00A0423B"/>
    <w:rsid w:val="00A0698F"/>
    <w:rsid w:val="00A069FE"/>
    <w:rsid w:val="00A07653"/>
    <w:rsid w:val="00A10571"/>
    <w:rsid w:val="00A1161C"/>
    <w:rsid w:val="00A12022"/>
    <w:rsid w:val="00A13316"/>
    <w:rsid w:val="00A136DD"/>
    <w:rsid w:val="00A14C8C"/>
    <w:rsid w:val="00A161A8"/>
    <w:rsid w:val="00A20692"/>
    <w:rsid w:val="00A23458"/>
    <w:rsid w:val="00A24316"/>
    <w:rsid w:val="00A24B83"/>
    <w:rsid w:val="00A25365"/>
    <w:rsid w:val="00A254CF"/>
    <w:rsid w:val="00A26A0D"/>
    <w:rsid w:val="00A26E31"/>
    <w:rsid w:val="00A3167F"/>
    <w:rsid w:val="00A31F84"/>
    <w:rsid w:val="00A3350E"/>
    <w:rsid w:val="00A34948"/>
    <w:rsid w:val="00A349BC"/>
    <w:rsid w:val="00A34FE1"/>
    <w:rsid w:val="00A3501B"/>
    <w:rsid w:val="00A3507E"/>
    <w:rsid w:val="00A358EC"/>
    <w:rsid w:val="00A36579"/>
    <w:rsid w:val="00A36AD4"/>
    <w:rsid w:val="00A36ED5"/>
    <w:rsid w:val="00A37B00"/>
    <w:rsid w:val="00A37FE5"/>
    <w:rsid w:val="00A40C03"/>
    <w:rsid w:val="00A40F40"/>
    <w:rsid w:val="00A41272"/>
    <w:rsid w:val="00A41745"/>
    <w:rsid w:val="00A42B5B"/>
    <w:rsid w:val="00A43A0F"/>
    <w:rsid w:val="00A47DF6"/>
    <w:rsid w:val="00A5012D"/>
    <w:rsid w:val="00A50271"/>
    <w:rsid w:val="00A5085A"/>
    <w:rsid w:val="00A50F8A"/>
    <w:rsid w:val="00A521C7"/>
    <w:rsid w:val="00A54466"/>
    <w:rsid w:val="00A54ACF"/>
    <w:rsid w:val="00A55AA0"/>
    <w:rsid w:val="00A601F9"/>
    <w:rsid w:val="00A60BB8"/>
    <w:rsid w:val="00A60C9D"/>
    <w:rsid w:val="00A61551"/>
    <w:rsid w:val="00A61775"/>
    <w:rsid w:val="00A61DE1"/>
    <w:rsid w:val="00A62128"/>
    <w:rsid w:val="00A623E0"/>
    <w:rsid w:val="00A62991"/>
    <w:rsid w:val="00A62B93"/>
    <w:rsid w:val="00A6446F"/>
    <w:rsid w:val="00A64CED"/>
    <w:rsid w:val="00A650E2"/>
    <w:rsid w:val="00A658A3"/>
    <w:rsid w:val="00A66196"/>
    <w:rsid w:val="00A66651"/>
    <w:rsid w:val="00A673CC"/>
    <w:rsid w:val="00A6794D"/>
    <w:rsid w:val="00A67AF0"/>
    <w:rsid w:val="00A67F78"/>
    <w:rsid w:val="00A70976"/>
    <w:rsid w:val="00A71CD2"/>
    <w:rsid w:val="00A7235E"/>
    <w:rsid w:val="00A724B2"/>
    <w:rsid w:val="00A734E7"/>
    <w:rsid w:val="00A76FE3"/>
    <w:rsid w:val="00A77FE7"/>
    <w:rsid w:val="00A80FCF"/>
    <w:rsid w:val="00A813D3"/>
    <w:rsid w:val="00A82B69"/>
    <w:rsid w:val="00A82F6B"/>
    <w:rsid w:val="00A8682B"/>
    <w:rsid w:val="00A8723E"/>
    <w:rsid w:val="00A8797E"/>
    <w:rsid w:val="00A90161"/>
    <w:rsid w:val="00A90970"/>
    <w:rsid w:val="00A90B1E"/>
    <w:rsid w:val="00A928FF"/>
    <w:rsid w:val="00A94005"/>
    <w:rsid w:val="00A9433D"/>
    <w:rsid w:val="00A948A8"/>
    <w:rsid w:val="00A94EFE"/>
    <w:rsid w:val="00A95CB6"/>
    <w:rsid w:val="00A95D1D"/>
    <w:rsid w:val="00A966B1"/>
    <w:rsid w:val="00A96796"/>
    <w:rsid w:val="00A9789C"/>
    <w:rsid w:val="00A97CB6"/>
    <w:rsid w:val="00AA038F"/>
    <w:rsid w:val="00AA0E13"/>
    <w:rsid w:val="00AA137D"/>
    <w:rsid w:val="00AA1864"/>
    <w:rsid w:val="00AA21D3"/>
    <w:rsid w:val="00AA21F5"/>
    <w:rsid w:val="00AA22CB"/>
    <w:rsid w:val="00AA2D82"/>
    <w:rsid w:val="00AA3374"/>
    <w:rsid w:val="00AA3A5B"/>
    <w:rsid w:val="00AA5008"/>
    <w:rsid w:val="00AA5A9A"/>
    <w:rsid w:val="00AA7C1B"/>
    <w:rsid w:val="00AB083F"/>
    <w:rsid w:val="00AB0B81"/>
    <w:rsid w:val="00AB129C"/>
    <w:rsid w:val="00AB17FF"/>
    <w:rsid w:val="00AB3613"/>
    <w:rsid w:val="00AB3A4C"/>
    <w:rsid w:val="00AB56DC"/>
    <w:rsid w:val="00AB7A63"/>
    <w:rsid w:val="00AC0CBB"/>
    <w:rsid w:val="00AC2A80"/>
    <w:rsid w:val="00AC30D0"/>
    <w:rsid w:val="00AC34DA"/>
    <w:rsid w:val="00AC5231"/>
    <w:rsid w:val="00AC5A5F"/>
    <w:rsid w:val="00AC5AA4"/>
    <w:rsid w:val="00AC5E67"/>
    <w:rsid w:val="00AC64A0"/>
    <w:rsid w:val="00AD034A"/>
    <w:rsid w:val="00AD1243"/>
    <w:rsid w:val="00AD14B4"/>
    <w:rsid w:val="00AD169C"/>
    <w:rsid w:val="00AD2450"/>
    <w:rsid w:val="00AD2E40"/>
    <w:rsid w:val="00AD5904"/>
    <w:rsid w:val="00AD65BE"/>
    <w:rsid w:val="00AD6A38"/>
    <w:rsid w:val="00AD72B4"/>
    <w:rsid w:val="00AD7AA1"/>
    <w:rsid w:val="00AE11E0"/>
    <w:rsid w:val="00AE3104"/>
    <w:rsid w:val="00AE43AD"/>
    <w:rsid w:val="00AE43BB"/>
    <w:rsid w:val="00AE4815"/>
    <w:rsid w:val="00AE53A6"/>
    <w:rsid w:val="00AE6B64"/>
    <w:rsid w:val="00AE6BB5"/>
    <w:rsid w:val="00AE73DC"/>
    <w:rsid w:val="00AE7710"/>
    <w:rsid w:val="00AF189B"/>
    <w:rsid w:val="00AF1F5C"/>
    <w:rsid w:val="00AF2CE8"/>
    <w:rsid w:val="00AF2F5F"/>
    <w:rsid w:val="00AF5B4E"/>
    <w:rsid w:val="00AF704D"/>
    <w:rsid w:val="00AF70F9"/>
    <w:rsid w:val="00AF7CEE"/>
    <w:rsid w:val="00AF7E69"/>
    <w:rsid w:val="00AF7F6F"/>
    <w:rsid w:val="00B00CC3"/>
    <w:rsid w:val="00B0265A"/>
    <w:rsid w:val="00B03727"/>
    <w:rsid w:val="00B04A14"/>
    <w:rsid w:val="00B05053"/>
    <w:rsid w:val="00B0544D"/>
    <w:rsid w:val="00B056CC"/>
    <w:rsid w:val="00B058B6"/>
    <w:rsid w:val="00B075D7"/>
    <w:rsid w:val="00B13AB1"/>
    <w:rsid w:val="00B14AB5"/>
    <w:rsid w:val="00B14D9C"/>
    <w:rsid w:val="00B155FE"/>
    <w:rsid w:val="00B15A4C"/>
    <w:rsid w:val="00B15CA6"/>
    <w:rsid w:val="00B15F8D"/>
    <w:rsid w:val="00B17819"/>
    <w:rsid w:val="00B206C1"/>
    <w:rsid w:val="00B2202B"/>
    <w:rsid w:val="00B221B5"/>
    <w:rsid w:val="00B22BD9"/>
    <w:rsid w:val="00B2454C"/>
    <w:rsid w:val="00B247F2"/>
    <w:rsid w:val="00B2521A"/>
    <w:rsid w:val="00B2544B"/>
    <w:rsid w:val="00B26FCB"/>
    <w:rsid w:val="00B2734A"/>
    <w:rsid w:val="00B3244C"/>
    <w:rsid w:val="00B325C4"/>
    <w:rsid w:val="00B32682"/>
    <w:rsid w:val="00B33638"/>
    <w:rsid w:val="00B33C05"/>
    <w:rsid w:val="00B3469B"/>
    <w:rsid w:val="00B34A94"/>
    <w:rsid w:val="00B35B95"/>
    <w:rsid w:val="00B36150"/>
    <w:rsid w:val="00B37A83"/>
    <w:rsid w:val="00B37B57"/>
    <w:rsid w:val="00B40D0E"/>
    <w:rsid w:val="00B41B58"/>
    <w:rsid w:val="00B43A9F"/>
    <w:rsid w:val="00B44127"/>
    <w:rsid w:val="00B44CBF"/>
    <w:rsid w:val="00B44EBE"/>
    <w:rsid w:val="00B461A6"/>
    <w:rsid w:val="00B46352"/>
    <w:rsid w:val="00B46811"/>
    <w:rsid w:val="00B50B25"/>
    <w:rsid w:val="00B51261"/>
    <w:rsid w:val="00B54171"/>
    <w:rsid w:val="00B5600F"/>
    <w:rsid w:val="00B56CB1"/>
    <w:rsid w:val="00B60534"/>
    <w:rsid w:val="00B60C2E"/>
    <w:rsid w:val="00B6124E"/>
    <w:rsid w:val="00B622E5"/>
    <w:rsid w:val="00B624F6"/>
    <w:rsid w:val="00B62D08"/>
    <w:rsid w:val="00B63DA3"/>
    <w:rsid w:val="00B63EBC"/>
    <w:rsid w:val="00B64063"/>
    <w:rsid w:val="00B6763B"/>
    <w:rsid w:val="00B705F2"/>
    <w:rsid w:val="00B70AB8"/>
    <w:rsid w:val="00B70FE4"/>
    <w:rsid w:val="00B72569"/>
    <w:rsid w:val="00B728C5"/>
    <w:rsid w:val="00B72FDD"/>
    <w:rsid w:val="00B7456C"/>
    <w:rsid w:val="00B7458D"/>
    <w:rsid w:val="00B745F4"/>
    <w:rsid w:val="00B74F8E"/>
    <w:rsid w:val="00B75545"/>
    <w:rsid w:val="00B762E2"/>
    <w:rsid w:val="00B76645"/>
    <w:rsid w:val="00B771CD"/>
    <w:rsid w:val="00B81AB0"/>
    <w:rsid w:val="00B81C0A"/>
    <w:rsid w:val="00B8241D"/>
    <w:rsid w:val="00B83F74"/>
    <w:rsid w:val="00B843B9"/>
    <w:rsid w:val="00B8447F"/>
    <w:rsid w:val="00B844B7"/>
    <w:rsid w:val="00B84AD1"/>
    <w:rsid w:val="00B850B8"/>
    <w:rsid w:val="00B85AD1"/>
    <w:rsid w:val="00B91104"/>
    <w:rsid w:val="00B91ABD"/>
    <w:rsid w:val="00B92DCF"/>
    <w:rsid w:val="00B94CCA"/>
    <w:rsid w:val="00B95AD8"/>
    <w:rsid w:val="00B9640C"/>
    <w:rsid w:val="00B965D7"/>
    <w:rsid w:val="00B9670A"/>
    <w:rsid w:val="00B97040"/>
    <w:rsid w:val="00B9709B"/>
    <w:rsid w:val="00B9738E"/>
    <w:rsid w:val="00B97A62"/>
    <w:rsid w:val="00BA016E"/>
    <w:rsid w:val="00BA04EA"/>
    <w:rsid w:val="00BA246F"/>
    <w:rsid w:val="00BA35CC"/>
    <w:rsid w:val="00BA38F7"/>
    <w:rsid w:val="00BA3B98"/>
    <w:rsid w:val="00BA415E"/>
    <w:rsid w:val="00BA5D1C"/>
    <w:rsid w:val="00BA6020"/>
    <w:rsid w:val="00BA60BB"/>
    <w:rsid w:val="00BA6169"/>
    <w:rsid w:val="00BA62C3"/>
    <w:rsid w:val="00BA6D82"/>
    <w:rsid w:val="00BB0472"/>
    <w:rsid w:val="00BB10E1"/>
    <w:rsid w:val="00BB12FE"/>
    <w:rsid w:val="00BB1BA6"/>
    <w:rsid w:val="00BB259D"/>
    <w:rsid w:val="00BB2A34"/>
    <w:rsid w:val="00BB3002"/>
    <w:rsid w:val="00BB4D90"/>
    <w:rsid w:val="00BB5D94"/>
    <w:rsid w:val="00BB5DF6"/>
    <w:rsid w:val="00BB75BE"/>
    <w:rsid w:val="00BB79F6"/>
    <w:rsid w:val="00BC03B1"/>
    <w:rsid w:val="00BC19CC"/>
    <w:rsid w:val="00BC2001"/>
    <w:rsid w:val="00BC24BF"/>
    <w:rsid w:val="00BC33ED"/>
    <w:rsid w:val="00BC4B9F"/>
    <w:rsid w:val="00BC6D2B"/>
    <w:rsid w:val="00BC74C4"/>
    <w:rsid w:val="00BD0DD5"/>
    <w:rsid w:val="00BD1758"/>
    <w:rsid w:val="00BD2A9C"/>
    <w:rsid w:val="00BD2D3C"/>
    <w:rsid w:val="00BD2E25"/>
    <w:rsid w:val="00BD37C8"/>
    <w:rsid w:val="00BD3CEA"/>
    <w:rsid w:val="00BD4776"/>
    <w:rsid w:val="00BD63FF"/>
    <w:rsid w:val="00BD6602"/>
    <w:rsid w:val="00BD6AF3"/>
    <w:rsid w:val="00BD70ED"/>
    <w:rsid w:val="00BD7229"/>
    <w:rsid w:val="00BD7C49"/>
    <w:rsid w:val="00BD7F31"/>
    <w:rsid w:val="00BE00CC"/>
    <w:rsid w:val="00BE055D"/>
    <w:rsid w:val="00BE0A4E"/>
    <w:rsid w:val="00BE0DA4"/>
    <w:rsid w:val="00BE0F9D"/>
    <w:rsid w:val="00BE1A54"/>
    <w:rsid w:val="00BE2602"/>
    <w:rsid w:val="00BE3243"/>
    <w:rsid w:val="00BE354F"/>
    <w:rsid w:val="00BE3FC6"/>
    <w:rsid w:val="00BE4BAC"/>
    <w:rsid w:val="00BE530F"/>
    <w:rsid w:val="00BE5712"/>
    <w:rsid w:val="00BE7750"/>
    <w:rsid w:val="00BE7819"/>
    <w:rsid w:val="00BE7A65"/>
    <w:rsid w:val="00BF007B"/>
    <w:rsid w:val="00BF051F"/>
    <w:rsid w:val="00BF099A"/>
    <w:rsid w:val="00BF0B23"/>
    <w:rsid w:val="00BF4035"/>
    <w:rsid w:val="00BF4150"/>
    <w:rsid w:val="00BF48C3"/>
    <w:rsid w:val="00BF54DD"/>
    <w:rsid w:val="00BF550F"/>
    <w:rsid w:val="00BF5E09"/>
    <w:rsid w:val="00BF6A95"/>
    <w:rsid w:val="00BF7707"/>
    <w:rsid w:val="00C00710"/>
    <w:rsid w:val="00C012D1"/>
    <w:rsid w:val="00C01545"/>
    <w:rsid w:val="00C0256F"/>
    <w:rsid w:val="00C02661"/>
    <w:rsid w:val="00C02772"/>
    <w:rsid w:val="00C02F55"/>
    <w:rsid w:val="00C03376"/>
    <w:rsid w:val="00C03BE7"/>
    <w:rsid w:val="00C05249"/>
    <w:rsid w:val="00C063C3"/>
    <w:rsid w:val="00C07E8E"/>
    <w:rsid w:val="00C10ED3"/>
    <w:rsid w:val="00C1122D"/>
    <w:rsid w:val="00C1143E"/>
    <w:rsid w:val="00C11612"/>
    <w:rsid w:val="00C11940"/>
    <w:rsid w:val="00C11A53"/>
    <w:rsid w:val="00C127DE"/>
    <w:rsid w:val="00C12BFF"/>
    <w:rsid w:val="00C13291"/>
    <w:rsid w:val="00C13FAE"/>
    <w:rsid w:val="00C157A7"/>
    <w:rsid w:val="00C1582A"/>
    <w:rsid w:val="00C16149"/>
    <w:rsid w:val="00C178E3"/>
    <w:rsid w:val="00C21016"/>
    <w:rsid w:val="00C21761"/>
    <w:rsid w:val="00C218D1"/>
    <w:rsid w:val="00C2238F"/>
    <w:rsid w:val="00C224F5"/>
    <w:rsid w:val="00C24948"/>
    <w:rsid w:val="00C26184"/>
    <w:rsid w:val="00C261DC"/>
    <w:rsid w:val="00C268BB"/>
    <w:rsid w:val="00C268F4"/>
    <w:rsid w:val="00C27041"/>
    <w:rsid w:val="00C27BFB"/>
    <w:rsid w:val="00C27DF5"/>
    <w:rsid w:val="00C30049"/>
    <w:rsid w:val="00C302BC"/>
    <w:rsid w:val="00C326EB"/>
    <w:rsid w:val="00C32924"/>
    <w:rsid w:val="00C32D53"/>
    <w:rsid w:val="00C33B5D"/>
    <w:rsid w:val="00C33C0A"/>
    <w:rsid w:val="00C35CE2"/>
    <w:rsid w:val="00C35E13"/>
    <w:rsid w:val="00C36894"/>
    <w:rsid w:val="00C36A62"/>
    <w:rsid w:val="00C4012A"/>
    <w:rsid w:val="00C435AC"/>
    <w:rsid w:val="00C4395C"/>
    <w:rsid w:val="00C45E7A"/>
    <w:rsid w:val="00C46F63"/>
    <w:rsid w:val="00C4762E"/>
    <w:rsid w:val="00C50404"/>
    <w:rsid w:val="00C5054A"/>
    <w:rsid w:val="00C50EDF"/>
    <w:rsid w:val="00C52FED"/>
    <w:rsid w:val="00C5351F"/>
    <w:rsid w:val="00C53734"/>
    <w:rsid w:val="00C539FB"/>
    <w:rsid w:val="00C53C2A"/>
    <w:rsid w:val="00C54B21"/>
    <w:rsid w:val="00C561BC"/>
    <w:rsid w:val="00C566FB"/>
    <w:rsid w:val="00C56FEF"/>
    <w:rsid w:val="00C56FF4"/>
    <w:rsid w:val="00C600EF"/>
    <w:rsid w:val="00C61227"/>
    <w:rsid w:val="00C6157D"/>
    <w:rsid w:val="00C61D07"/>
    <w:rsid w:val="00C62668"/>
    <w:rsid w:val="00C63C88"/>
    <w:rsid w:val="00C63F26"/>
    <w:rsid w:val="00C64C54"/>
    <w:rsid w:val="00C65238"/>
    <w:rsid w:val="00C65DBB"/>
    <w:rsid w:val="00C70F04"/>
    <w:rsid w:val="00C72068"/>
    <w:rsid w:val="00C739F3"/>
    <w:rsid w:val="00C74131"/>
    <w:rsid w:val="00C74E0F"/>
    <w:rsid w:val="00C75D5A"/>
    <w:rsid w:val="00C75E27"/>
    <w:rsid w:val="00C75EE6"/>
    <w:rsid w:val="00C75F9B"/>
    <w:rsid w:val="00C7666C"/>
    <w:rsid w:val="00C768D3"/>
    <w:rsid w:val="00C770F2"/>
    <w:rsid w:val="00C7762C"/>
    <w:rsid w:val="00C776A0"/>
    <w:rsid w:val="00C81C27"/>
    <w:rsid w:val="00C8266F"/>
    <w:rsid w:val="00C83323"/>
    <w:rsid w:val="00C83548"/>
    <w:rsid w:val="00C859BE"/>
    <w:rsid w:val="00C86437"/>
    <w:rsid w:val="00C86618"/>
    <w:rsid w:val="00C86EA4"/>
    <w:rsid w:val="00C87225"/>
    <w:rsid w:val="00C872F4"/>
    <w:rsid w:val="00C87909"/>
    <w:rsid w:val="00C91648"/>
    <w:rsid w:val="00C9408B"/>
    <w:rsid w:val="00C9447C"/>
    <w:rsid w:val="00C948F5"/>
    <w:rsid w:val="00C94EDE"/>
    <w:rsid w:val="00C950DD"/>
    <w:rsid w:val="00C95900"/>
    <w:rsid w:val="00C9659F"/>
    <w:rsid w:val="00C97255"/>
    <w:rsid w:val="00C97321"/>
    <w:rsid w:val="00CA0692"/>
    <w:rsid w:val="00CA0CD3"/>
    <w:rsid w:val="00CA0CEB"/>
    <w:rsid w:val="00CA1438"/>
    <w:rsid w:val="00CA1C2C"/>
    <w:rsid w:val="00CA3468"/>
    <w:rsid w:val="00CA5425"/>
    <w:rsid w:val="00CA629D"/>
    <w:rsid w:val="00CA6D70"/>
    <w:rsid w:val="00CA7B88"/>
    <w:rsid w:val="00CB01DA"/>
    <w:rsid w:val="00CB07DE"/>
    <w:rsid w:val="00CB09E7"/>
    <w:rsid w:val="00CB0DD8"/>
    <w:rsid w:val="00CB1A82"/>
    <w:rsid w:val="00CB1AB8"/>
    <w:rsid w:val="00CB3696"/>
    <w:rsid w:val="00CB4082"/>
    <w:rsid w:val="00CB459B"/>
    <w:rsid w:val="00CB571B"/>
    <w:rsid w:val="00CB5AB3"/>
    <w:rsid w:val="00CB6C6E"/>
    <w:rsid w:val="00CB6F27"/>
    <w:rsid w:val="00CB7E48"/>
    <w:rsid w:val="00CB7FE1"/>
    <w:rsid w:val="00CC075B"/>
    <w:rsid w:val="00CC0866"/>
    <w:rsid w:val="00CC0CAD"/>
    <w:rsid w:val="00CC0F4E"/>
    <w:rsid w:val="00CC11BD"/>
    <w:rsid w:val="00CC18D6"/>
    <w:rsid w:val="00CC1F21"/>
    <w:rsid w:val="00CC24D0"/>
    <w:rsid w:val="00CC4689"/>
    <w:rsid w:val="00CC5289"/>
    <w:rsid w:val="00CC54EB"/>
    <w:rsid w:val="00CC703F"/>
    <w:rsid w:val="00CC706B"/>
    <w:rsid w:val="00CC73DD"/>
    <w:rsid w:val="00CC7777"/>
    <w:rsid w:val="00CC7EB9"/>
    <w:rsid w:val="00CD0671"/>
    <w:rsid w:val="00CD06BE"/>
    <w:rsid w:val="00CD0F03"/>
    <w:rsid w:val="00CD1AC2"/>
    <w:rsid w:val="00CD1AD4"/>
    <w:rsid w:val="00CD1BD7"/>
    <w:rsid w:val="00CD1DE1"/>
    <w:rsid w:val="00CD2095"/>
    <w:rsid w:val="00CD426F"/>
    <w:rsid w:val="00CD45B0"/>
    <w:rsid w:val="00CE01FC"/>
    <w:rsid w:val="00CE0C34"/>
    <w:rsid w:val="00CE0CA4"/>
    <w:rsid w:val="00CE0F40"/>
    <w:rsid w:val="00CE12F5"/>
    <w:rsid w:val="00CE1608"/>
    <w:rsid w:val="00CE17C9"/>
    <w:rsid w:val="00CE1DF7"/>
    <w:rsid w:val="00CE28E8"/>
    <w:rsid w:val="00CE4482"/>
    <w:rsid w:val="00CE4893"/>
    <w:rsid w:val="00CE4C8C"/>
    <w:rsid w:val="00CE5744"/>
    <w:rsid w:val="00CE7F07"/>
    <w:rsid w:val="00CF07A5"/>
    <w:rsid w:val="00CF0DB6"/>
    <w:rsid w:val="00CF15E7"/>
    <w:rsid w:val="00CF171E"/>
    <w:rsid w:val="00CF1732"/>
    <w:rsid w:val="00CF533D"/>
    <w:rsid w:val="00CF551C"/>
    <w:rsid w:val="00CF5F2A"/>
    <w:rsid w:val="00CF667E"/>
    <w:rsid w:val="00CF75FB"/>
    <w:rsid w:val="00CF7986"/>
    <w:rsid w:val="00D008E3"/>
    <w:rsid w:val="00D00FFE"/>
    <w:rsid w:val="00D05101"/>
    <w:rsid w:val="00D0533C"/>
    <w:rsid w:val="00D06976"/>
    <w:rsid w:val="00D07BD8"/>
    <w:rsid w:val="00D07EA5"/>
    <w:rsid w:val="00D10EA2"/>
    <w:rsid w:val="00D11009"/>
    <w:rsid w:val="00D119C2"/>
    <w:rsid w:val="00D12DA6"/>
    <w:rsid w:val="00D14F38"/>
    <w:rsid w:val="00D1616F"/>
    <w:rsid w:val="00D161C0"/>
    <w:rsid w:val="00D16D89"/>
    <w:rsid w:val="00D21BAC"/>
    <w:rsid w:val="00D21C70"/>
    <w:rsid w:val="00D226F1"/>
    <w:rsid w:val="00D22ED2"/>
    <w:rsid w:val="00D23D8F"/>
    <w:rsid w:val="00D23FEB"/>
    <w:rsid w:val="00D23FED"/>
    <w:rsid w:val="00D252B3"/>
    <w:rsid w:val="00D258D9"/>
    <w:rsid w:val="00D25B6E"/>
    <w:rsid w:val="00D3076A"/>
    <w:rsid w:val="00D30DEE"/>
    <w:rsid w:val="00D31737"/>
    <w:rsid w:val="00D32B0C"/>
    <w:rsid w:val="00D3313E"/>
    <w:rsid w:val="00D33211"/>
    <w:rsid w:val="00D33705"/>
    <w:rsid w:val="00D33920"/>
    <w:rsid w:val="00D33A8A"/>
    <w:rsid w:val="00D33B8F"/>
    <w:rsid w:val="00D34CD7"/>
    <w:rsid w:val="00D34EE1"/>
    <w:rsid w:val="00D35813"/>
    <w:rsid w:val="00D36123"/>
    <w:rsid w:val="00D3672D"/>
    <w:rsid w:val="00D36A8C"/>
    <w:rsid w:val="00D371DA"/>
    <w:rsid w:val="00D37955"/>
    <w:rsid w:val="00D40214"/>
    <w:rsid w:val="00D40DD1"/>
    <w:rsid w:val="00D4148C"/>
    <w:rsid w:val="00D41A00"/>
    <w:rsid w:val="00D424B8"/>
    <w:rsid w:val="00D436B8"/>
    <w:rsid w:val="00D4434A"/>
    <w:rsid w:val="00D44A68"/>
    <w:rsid w:val="00D45ADC"/>
    <w:rsid w:val="00D479D4"/>
    <w:rsid w:val="00D503EA"/>
    <w:rsid w:val="00D5055E"/>
    <w:rsid w:val="00D50A39"/>
    <w:rsid w:val="00D50A45"/>
    <w:rsid w:val="00D5109E"/>
    <w:rsid w:val="00D511E9"/>
    <w:rsid w:val="00D51456"/>
    <w:rsid w:val="00D515C5"/>
    <w:rsid w:val="00D545F7"/>
    <w:rsid w:val="00D557C7"/>
    <w:rsid w:val="00D5594E"/>
    <w:rsid w:val="00D55A78"/>
    <w:rsid w:val="00D5677F"/>
    <w:rsid w:val="00D569CA"/>
    <w:rsid w:val="00D57B63"/>
    <w:rsid w:val="00D6008D"/>
    <w:rsid w:val="00D60C8D"/>
    <w:rsid w:val="00D615EC"/>
    <w:rsid w:val="00D6274C"/>
    <w:rsid w:val="00D62835"/>
    <w:rsid w:val="00D63897"/>
    <w:rsid w:val="00D63A8A"/>
    <w:rsid w:val="00D642A9"/>
    <w:rsid w:val="00D6549E"/>
    <w:rsid w:val="00D65C55"/>
    <w:rsid w:val="00D661F0"/>
    <w:rsid w:val="00D6691A"/>
    <w:rsid w:val="00D67277"/>
    <w:rsid w:val="00D67AF4"/>
    <w:rsid w:val="00D7202A"/>
    <w:rsid w:val="00D72506"/>
    <w:rsid w:val="00D72777"/>
    <w:rsid w:val="00D7299C"/>
    <w:rsid w:val="00D73002"/>
    <w:rsid w:val="00D7302C"/>
    <w:rsid w:val="00D754E0"/>
    <w:rsid w:val="00D76BD4"/>
    <w:rsid w:val="00D77DDB"/>
    <w:rsid w:val="00D80FC9"/>
    <w:rsid w:val="00D81D3D"/>
    <w:rsid w:val="00D81D97"/>
    <w:rsid w:val="00D8222A"/>
    <w:rsid w:val="00D843D9"/>
    <w:rsid w:val="00D84846"/>
    <w:rsid w:val="00D86367"/>
    <w:rsid w:val="00D86A94"/>
    <w:rsid w:val="00D870CF"/>
    <w:rsid w:val="00D877E7"/>
    <w:rsid w:val="00D87F61"/>
    <w:rsid w:val="00D90B5A"/>
    <w:rsid w:val="00D914AC"/>
    <w:rsid w:val="00D916FA"/>
    <w:rsid w:val="00D91A99"/>
    <w:rsid w:val="00D92214"/>
    <w:rsid w:val="00D92384"/>
    <w:rsid w:val="00D925F7"/>
    <w:rsid w:val="00D9414C"/>
    <w:rsid w:val="00D95E94"/>
    <w:rsid w:val="00D96195"/>
    <w:rsid w:val="00D968BE"/>
    <w:rsid w:val="00DA143F"/>
    <w:rsid w:val="00DA15B5"/>
    <w:rsid w:val="00DA1682"/>
    <w:rsid w:val="00DA1797"/>
    <w:rsid w:val="00DA1C11"/>
    <w:rsid w:val="00DA2C78"/>
    <w:rsid w:val="00DA30F4"/>
    <w:rsid w:val="00DA363F"/>
    <w:rsid w:val="00DA3D76"/>
    <w:rsid w:val="00DA4434"/>
    <w:rsid w:val="00DA472D"/>
    <w:rsid w:val="00DA488F"/>
    <w:rsid w:val="00DA4FBC"/>
    <w:rsid w:val="00DA541C"/>
    <w:rsid w:val="00DA547D"/>
    <w:rsid w:val="00DA6CEE"/>
    <w:rsid w:val="00DA72D2"/>
    <w:rsid w:val="00DA7965"/>
    <w:rsid w:val="00DB02A9"/>
    <w:rsid w:val="00DB07FB"/>
    <w:rsid w:val="00DB12ED"/>
    <w:rsid w:val="00DB1326"/>
    <w:rsid w:val="00DB2547"/>
    <w:rsid w:val="00DB3DD8"/>
    <w:rsid w:val="00DB465D"/>
    <w:rsid w:val="00DB4F77"/>
    <w:rsid w:val="00DB65CE"/>
    <w:rsid w:val="00DB6953"/>
    <w:rsid w:val="00DB7DE0"/>
    <w:rsid w:val="00DC0B89"/>
    <w:rsid w:val="00DC15E6"/>
    <w:rsid w:val="00DC1F02"/>
    <w:rsid w:val="00DC22D9"/>
    <w:rsid w:val="00DC31DE"/>
    <w:rsid w:val="00DC3C03"/>
    <w:rsid w:val="00DC46C9"/>
    <w:rsid w:val="00DC4E7F"/>
    <w:rsid w:val="00DC5639"/>
    <w:rsid w:val="00DC6061"/>
    <w:rsid w:val="00DC67AB"/>
    <w:rsid w:val="00DD0EAE"/>
    <w:rsid w:val="00DD1BB1"/>
    <w:rsid w:val="00DD1EE7"/>
    <w:rsid w:val="00DD25C1"/>
    <w:rsid w:val="00DD30E6"/>
    <w:rsid w:val="00DD3916"/>
    <w:rsid w:val="00DD6B24"/>
    <w:rsid w:val="00DD7C34"/>
    <w:rsid w:val="00DD7FD1"/>
    <w:rsid w:val="00DE00DA"/>
    <w:rsid w:val="00DE084E"/>
    <w:rsid w:val="00DE1B2C"/>
    <w:rsid w:val="00DE4C96"/>
    <w:rsid w:val="00DE7A5C"/>
    <w:rsid w:val="00DE7C03"/>
    <w:rsid w:val="00DF0A34"/>
    <w:rsid w:val="00DF1268"/>
    <w:rsid w:val="00DF1E55"/>
    <w:rsid w:val="00DF3265"/>
    <w:rsid w:val="00DF5152"/>
    <w:rsid w:val="00DF5E25"/>
    <w:rsid w:val="00DF63FB"/>
    <w:rsid w:val="00DF745B"/>
    <w:rsid w:val="00DF7F4C"/>
    <w:rsid w:val="00E012DF"/>
    <w:rsid w:val="00E022A9"/>
    <w:rsid w:val="00E02497"/>
    <w:rsid w:val="00E02619"/>
    <w:rsid w:val="00E02EEE"/>
    <w:rsid w:val="00E0335A"/>
    <w:rsid w:val="00E03905"/>
    <w:rsid w:val="00E039B7"/>
    <w:rsid w:val="00E03AA3"/>
    <w:rsid w:val="00E03D9E"/>
    <w:rsid w:val="00E049D4"/>
    <w:rsid w:val="00E04BAA"/>
    <w:rsid w:val="00E055C2"/>
    <w:rsid w:val="00E07128"/>
    <w:rsid w:val="00E12802"/>
    <w:rsid w:val="00E12F87"/>
    <w:rsid w:val="00E13207"/>
    <w:rsid w:val="00E14070"/>
    <w:rsid w:val="00E14619"/>
    <w:rsid w:val="00E1511E"/>
    <w:rsid w:val="00E1527D"/>
    <w:rsid w:val="00E16566"/>
    <w:rsid w:val="00E166FB"/>
    <w:rsid w:val="00E167FF"/>
    <w:rsid w:val="00E17156"/>
    <w:rsid w:val="00E17A94"/>
    <w:rsid w:val="00E20C14"/>
    <w:rsid w:val="00E2147C"/>
    <w:rsid w:val="00E21AA5"/>
    <w:rsid w:val="00E23904"/>
    <w:rsid w:val="00E23C29"/>
    <w:rsid w:val="00E23EA4"/>
    <w:rsid w:val="00E23FFC"/>
    <w:rsid w:val="00E26F1E"/>
    <w:rsid w:val="00E27C2A"/>
    <w:rsid w:val="00E27C42"/>
    <w:rsid w:val="00E301CF"/>
    <w:rsid w:val="00E31F7A"/>
    <w:rsid w:val="00E3367D"/>
    <w:rsid w:val="00E36151"/>
    <w:rsid w:val="00E36865"/>
    <w:rsid w:val="00E36984"/>
    <w:rsid w:val="00E373AC"/>
    <w:rsid w:val="00E37BB5"/>
    <w:rsid w:val="00E37F8C"/>
    <w:rsid w:val="00E4062F"/>
    <w:rsid w:val="00E4131E"/>
    <w:rsid w:val="00E41BFB"/>
    <w:rsid w:val="00E42061"/>
    <w:rsid w:val="00E424F3"/>
    <w:rsid w:val="00E42F4F"/>
    <w:rsid w:val="00E4406D"/>
    <w:rsid w:val="00E440AB"/>
    <w:rsid w:val="00E449FD"/>
    <w:rsid w:val="00E45B6C"/>
    <w:rsid w:val="00E46055"/>
    <w:rsid w:val="00E46CB1"/>
    <w:rsid w:val="00E501C9"/>
    <w:rsid w:val="00E519BA"/>
    <w:rsid w:val="00E53B23"/>
    <w:rsid w:val="00E5484A"/>
    <w:rsid w:val="00E55CD7"/>
    <w:rsid w:val="00E561AD"/>
    <w:rsid w:val="00E56767"/>
    <w:rsid w:val="00E56F21"/>
    <w:rsid w:val="00E5741E"/>
    <w:rsid w:val="00E601EF"/>
    <w:rsid w:val="00E60670"/>
    <w:rsid w:val="00E60EB9"/>
    <w:rsid w:val="00E61389"/>
    <w:rsid w:val="00E62D7E"/>
    <w:rsid w:val="00E632CB"/>
    <w:rsid w:val="00E63B72"/>
    <w:rsid w:val="00E63B79"/>
    <w:rsid w:val="00E668D9"/>
    <w:rsid w:val="00E66F43"/>
    <w:rsid w:val="00E67620"/>
    <w:rsid w:val="00E702C2"/>
    <w:rsid w:val="00E71996"/>
    <w:rsid w:val="00E71F61"/>
    <w:rsid w:val="00E72811"/>
    <w:rsid w:val="00E72CB2"/>
    <w:rsid w:val="00E73578"/>
    <w:rsid w:val="00E73AD4"/>
    <w:rsid w:val="00E80093"/>
    <w:rsid w:val="00E81967"/>
    <w:rsid w:val="00E82306"/>
    <w:rsid w:val="00E82327"/>
    <w:rsid w:val="00E823A7"/>
    <w:rsid w:val="00E83065"/>
    <w:rsid w:val="00E832D7"/>
    <w:rsid w:val="00E838BF"/>
    <w:rsid w:val="00E83D72"/>
    <w:rsid w:val="00E84516"/>
    <w:rsid w:val="00E8589D"/>
    <w:rsid w:val="00E86C99"/>
    <w:rsid w:val="00E86D49"/>
    <w:rsid w:val="00E8721F"/>
    <w:rsid w:val="00E87537"/>
    <w:rsid w:val="00E9154C"/>
    <w:rsid w:val="00E92BE7"/>
    <w:rsid w:val="00E942CF"/>
    <w:rsid w:val="00E943EC"/>
    <w:rsid w:val="00E94BCD"/>
    <w:rsid w:val="00E94D1D"/>
    <w:rsid w:val="00E95EB8"/>
    <w:rsid w:val="00E96D02"/>
    <w:rsid w:val="00E97147"/>
    <w:rsid w:val="00E97430"/>
    <w:rsid w:val="00E978B6"/>
    <w:rsid w:val="00E97B76"/>
    <w:rsid w:val="00EA0D4A"/>
    <w:rsid w:val="00EA0EF7"/>
    <w:rsid w:val="00EA1037"/>
    <w:rsid w:val="00EA1F58"/>
    <w:rsid w:val="00EA29C4"/>
    <w:rsid w:val="00EA2D3A"/>
    <w:rsid w:val="00EA2DF8"/>
    <w:rsid w:val="00EA3422"/>
    <w:rsid w:val="00EA375F"/>
    <w:rsid w:val="00EA3C09"/>
    <w:rsid w:val="00EA3C9E"/>
    <w:rsid w:val="00EA435E"/>
    <w:rsid w:val="00EA5289"/>
    <w:rsid w:val="00EA52A9"/>
    <w:rsid w:val="00EA5848"/>
    <w:rsid w:val="00EA5C30"/>
    <w:rsid w:val="00EA626E"/>
    <w:rsid w:val="00EA7832"/>
    <w:rsid w:val="00EB1269"/>
    <w:rsid w:val="00EB1850"/>
    <w:rsid w:val="00EB26A0"/>
    <w:rsid w:val="00EB382B"/>
    <w:rsid w:val="00EB5F9F"/>
    <w:rsid w:val="00EB62E4"/>
    <w:rsid w:val="00EB6A17"/>
    <w:rsid w:val="00EB6F43"/>
    <w:rsid w:val="00EB7ACF"/>
    <w:rsid w:val="00EC00A2"/>
    <w:rsid w:val="00EC0376"/>
    <w:rsid w:val="00EC0C4A"/>
    <w:rsid w:val="00EC2203"/>
    <w:rsid w:val="00EC3394"/>
    <w:rsid w:val="00EC3951"/>
    <w:rsid w:val="00EC3CCC"/>
    <w:rsid w:val="00EC421A"/>
    <w:rsid w:val="00EC589B"/>
    <w:rsid w:val="00EC69BA"/>
    <w:rsid w:val="00ED0EA7"/>
    <w:rsid w:val="00ED1137"/>
    <w:rsid w:val="00ED17C4"/>
    <w:rsid w:val="00ED1AEF"/>
    <w:rsid w:val="00ED219E"/>
    <w:rsid w:val="00ED2D97"/>
    <w:rsid w:val="00ED40C7"/>
    <w:rsid w:val="00ED4A6F"/>
    <w:rsid w:val="00ED57BA"/>
    <w:rsid w:val="00ED6136"/>
    <w:rsid w:val="00ED79CF"/>
    <w:rsid w:val="00EE0057"/>
    <w:rsid w:val="00EE1DAE"/>
    <w:rsid w:val="00EE1E12"/>
    <w:rsid w:val="00EE2213"/>
    <w:rsid w:val="00EE2890"/>
    <w:rsid w:val="00EE3119"/>
    <w:rsid w:val="00EE34BB"/>
    <w:rsid w:val="00EE3EB9"/>
    <w:rsid w:val="00EE444B"/>
    <w:rsid w:val="00EE5EA4"/>
    <w:rsid w:val="00EE691F"/>
    <w:rsid w:val="00EF002E"/>
    <w:rsid w:val="00EF11DF"/>
    <w:rsid w:val="00EF14BD"/>
    <w:rsid w:val="00EF1F5B"/>
    <w:rsid w:val="00EF22AA"/>
    <w:rsid w:val="00EF31E7"/>
    <w:rsid w:val="00EF42A2"/>
    <w:rsid w:val="00EF497F"/>
    <w:rsid w:val="00EF4EF8"/>
    <w:rsid w:val="00EF5F48"/>
    <w:rsid w:val="00EF6267"/>
    <w:rsid w:val="00EF6820"/>
    <w:rsid w:val="00EF717B"/>
    <w:rsid w:val="00F01437"/>
    <w:rsid w:val="00F01A63"/>
    <w:rsid w:val="00F01C3C"/>
    <w:rsid w:val="00F030E1"/>
    <w:rsid w:val="00F03965"/>
    <w:rsid w:val="00F04474"/>
    <w:rsid w:val="00F05220"/>
    <w:rsid w:val="00F05815"/>
    <w:rsid w:val="00F05A64"/>
    <w:rsid w:val="00F06549"/>
    <w:rsid w:val="00F07044"/>
    <w:rsid w:val="00F07986"/>
    <w:rsid w:val="00F1118B"/>
    <w:rsid w:val="00F11762"/>
    <w:rsid w:val="00F1519E"/>
    <w:rsid w:val="00F153EF"/>
    <w:rsid w:val="00F15E03"/>
    <w:rsid w:val="00F178C7"/>
    <w:rsid w:val="00F17FAE"/>
    <w:rsid w:val="00F208E4"/>
    <w:rsid w:val="00F22077"/>
    <w:rsid w:val="00F224A0"/>
    <w:rsid w:val="00F22614"/>
    <w:rsid w:val="00F23B75"/>
    <w:rsid w:val="00F249DA"/>
    <w:rsid w:val="00F251BE"/>
    <w:rsid w:val="00F26244"/>
    <w:rsid w:val="00F26645"/>
    <w:rsid w:val="00F26A14"/>
    <w:rsid w:val="00F27EFB"/>
    <w:rsid w:val="00F30362"/>
    <w:rsid w:val="00F314E1"/>
    <w:rsid w:val="00F31615"/>
    <w:rsid w:val="00F33AE7"/>
    <w:rsid w:val="00F34521"/>
    <w:rsid w:val="00F3505B"/>
    <w:rsid w:val="00F35767"/>
    <w:rsid w:val="00F357B2"/>
    <w:rsid w:val="00F3632E"/>
    <w:rsid w:val="00F36C3F"/>
    <w:rsid w:val="00F36DA2"/>
    <w:rsid w:val="00F37865"/>
    <w:rsid w:val="00F37E95"/>
    <w:rsid w:val="00F40920"/>
    <w:rsid w:val="00F40BBC"/>
    <w:rsid w:val="00F410C0"/>
    <w:rsid w:val="00F41577"/>
    <w:rsid w:val="00F4169D"/>
    <w:rsid w:val="00F43D33"/>
    <w:rsid w:val="00F46F72"/>
    <w:rsid w:val="00F46F83"/>
    <w:rsid w:val="00F47184"/>
    <w:rsid w:val="00F47B17"/>
    <w:rsid w:val="00F50CFA"/>
    <w:rsid w:val="00F514AA"/>
    <w:rsid w:val="00F51BBF"/>
    <w:rsid w:val="00F53DB5"/>
    <w:rsid w:val="00F5521A"/>
    <w:rsid w:val="00F56068"/>
    <w:rsid w:val="00F56392"/>
    <w:rsid w:val="00F57CC6"/>
    <w:rsid w:val="00F6044E"/>
    <w:rsid w:val="00F6258B"/>
    <w:rsid w:val="00F62EC5"/>
    <w:rsid w:val="00F6310D"/>
    <w:rsid w:val="00F632DF"/>
    <w:rsid w:val="00F63F2A"/>
    <w:rsid w:val="00F6478D"/>
    <w:rsid w:val="00F67290"/>
    <w:rsid w:val="00F67501"/>
    <w:rsid w:val="00F67ECA"/>
    <w:rsid w:val="00F708B2"/>
    <w:rsid w:val="00F71CAC"/>
    <w:rsid w:val="00F71FDE"/>
    <w:rsid w:val="00F72867"/>
    <w:rsid w:val="00F73CB9"/>
    <w:rsid w:val="00F748ED"/>
    <w:rsid w:val="00F75069"/>
    <w:rsid w:val="00F7556A"/>
    <w:rsid w:val="00F75868"/>
    <w:rsid w:val="00F76EE9"/>
    <w:rsid w:val="00F805AE"/>
    <w:rsid w:val="00F80AB9"/>
    <w:rsid w:val="00F8132B"/>
    <w:rsid w:val="00F826D6"/>
    <w:rsid w:val="00F840EB"/>
    <w:rsid w:val="00F8490D"/>
    <w:rsid w:val="00F859E0"/>
    <w:rsid w:val="00F90893"/>
    <w:rsid w:val="00F920BD"/>
    <w:rsid w:val="00F92C4C"/>
    <w:rsid w:val="00F93A93"/>
    <w:rsid w:val="00F9424C"/>
    <w:rsid w:val="00F946AB"/>
    <w:rsid w:val="00F95FB2"/>
    <w:rsid w:val="00F97756"/>
    <w:rsid w:val="00F97910"/>
    <w:rsid w:val="00F97A64"/>
    <w:rsid w:val="00FA054E"/>
    <w:rsid w:val="00FA0C97"/>
    <w:rsid w:val="00FA16EC"/>
    <w:rsid w:val="00FA31A9"/>
    <w:rsid w:val="00FA3493"/>
    <w:rsid w:val="00FA3603"/>
    <w:rsid w:val="00FA3BFF"/>
    <w:rsid w:val="00FA4634"/>
    <w:rsid w:val="00FA4EE4"/>
    <w:rsid w:val="00FA52E5"/>
    <w:rsid w:val="00FA5AA9"/>
    <w:rsid w:val="00FA5E77"/>
    <w:rsid w:val="00FA6A81"/>
    <w:rsid w:val="00FA7FDB"/>
    <w:rsid w:val="00FB114C"/>
    <w:rsid w:val="00FB1921"/>
    <w:rsid w:val="00FB23DF"/>
    <w:rsid w:val="00FB287A"/>
    <w:rsid w:val="00FB28BD"/>
    <w:rsid w:val="00FB35A4"/>
    <w:rsid w:val="00FB4A1D"/>
    <w:rsid w:val="00FB59DC"/>
    <w:rsid w:val="00FB6861"/>
    <w:rsid w:val="00FB7355"/>
    <w:rsid w:val="00FC0D58"/>
    <w:rsid w:val="00FC114E"/>
    <w:rsid w:val="00FC2081"/>
    <w:rsid w:val="00FC4076"/>
    <w:rsid w:val="00FC49F4"/>
    <w:rsid w:val="00FC4ADF"/>
    <w:rsid w:val="00FC4CD2"/>
    <w:rsid w:val="00FC4CF0"/>
    <w:rsid w:val="00FC4EDF"/>
    <w:rsid w:val="00FC4F7E"/>
    <w:rsid w:val="00FC6530"/>
    <w:rsid w:val="00FC73A6"/>
    <w:rsid w:val="00FC7D15"/>
    <w:rsid w:val="00FC7DF0"/>
    <w:rsid w:val="00FD0226"/>
    <w:rsid w:val="00FD0BA2"/>
    <w:rsid w:val="00FD1735"/>
    <w:rsid w:val="00FD2910"/>
    <w:rsid w:val="00FD3C21"/>
    <w:rsid w:val="00FD3F05"/>
    <w:rsid w:val="00FD426A"/>
    <w:rsid w:val="00FD465B"/>
    <w:rsid w:val="00FD46EE"/>
    <w:rsid w:val="00FD65B4"/>
    <w:rsid w:val="00FD7247"/>
    <w:rsid w:val="00FD77E6"/>
    <w:rsid w:val="00FE090D"/>
    <w:rsid w:val="00FE0ACB"/>
    <w:rsid w:val="00FE0CFB"/>
    <w:rsid w:val="00FE12D5"/>
    <w:rsid w:val="00FE2CD2"/>
    <w:rsid w:val="00FE30F2"/>
    <w:rsid w:val="00FE32C3"/>
    <w:rsid w:val="00FE3E03"/>
    <w:rsid w:val="00FE5F63"/>
    <w:rsid w:val="00FE6B69"/>
    <w:rsid w:val="00FE6C0F"/>
    <w:rsid w:val="00FE7686"/>
    <w:rsid w:val="00FE7FA2"/>
    <w:rsid w:val="00FF0720"/>
    <w:rsid w:val="00FF11CB"/>
    <w:rsid w:val="00FF13AD"/>
    <w:rsid w:val="00FF17E5"/>
    <w:rsid w:val="00FF1C7F"/>
    <w:rsid w:val="00FF1D39"/>
    <w:rsid w:val="00FF26B9"/>
    <w:rsid w:val="00FF30FF"/>
    <w:rsid w:val="00FF3A69"/>
    <w:rsid w:val="00FF50AB"/>
    <w:rsid w:val="00FF5AD9"/>
    <w:rsid w:val="00FF603C"/>
    <w:rsid w:val="00FF6CB2"/>
    <w:rsid w:val="00FF7D48"/>
    <w:rsid w:val="010C1112"/>
    <w:rsid w:val="021DF365"/>
    <w:rsid w:val="029C2633"/>
    <w:rsid w:val="03532116"/>
    <w:rsid w:val="03B1F703"/>
    <w:rsid w:val="03E3A3E9"/>
    <w:rsid w:val="03F51677"/>
    <w:rsid w:val="03F69F1A"/>
    <w:rsid w:val="0510334F"/>
    <w:rsid w:val="051ACFCD"/>
    <w:rsid w:val="05919A2D"/>
    <w:rsid w:val="05E9152B"/>
    <w:rsid w:val="06379433"/>
    <w:rsid w:val="063D6843"/>
    <w:rsid w:val="066432AC"/>
    <w:rsid w:val="069B7ADC"/>
    <w:rsid w:val="069D33D9"/>
    <w:rsid w:val="06BE6BE2"/>
    <w:rsid w:val="06FE8B66"/>
    <w:rsid w:val="070AFB42"/>
    <w:rsid w:val="0739E6C6"/>
    <w:rsid w:val="0763136A"/>
    <w:rsid w:val="07A6191C"/>
    <w:rsid w:val="07ABBEBB"/>
    <w:rsid w:val="07BA705A"/>
    <w:rsid w:val="081F19BD"/>
    <w:rsid w:val="084EBC2A"/>
    <w:rsid w:val="088CFB6E"/>
    <w:rsid w:val="0907052C"/>
    <w:rsid w:val="098051AA"/>
    <w:rsid w:val="0A24B9C4"/>
    <w:rsid w:val="0A613950"/>
    <w:rsid w:val="0A700B55"/>
    <w:rsid w:val="0ABA56C6"/>
    <w:rsid w:val="0B0022D9"/>
    <w:rsid w:val="0B48D58A"/>
    <w:rsid w:val="0B7151BD"/>
    <w:rsid w:val="0C5E71B7"/>
    <w:rsid w:val="0C689E27"/>
    <w:rsid w:val="0C6C4946"/>
    <w:rsid w:val="0C85BE5D"/>
    <w:rsid w:val="0C9FAC85"/>
    <w:rsid w:val="0CB1253A"/>
    <w:rsid w:val="0CCC0FD8"/>
    <w:rsid w:val="0D694BD0"/>
    <w:rsid w:val="0DCFF88F"/>
    <w:rsid w:val="0DE04A9F"/>
    <w:rsid w:val="0DF5FC9A"/>
    <w:rsid w:val="0E02F5B1"/>
    <w:rsid w:val="0E3D3F74"/>
    <w:rsid w:val="0E6BB81D"/>
    <w:rsid w:val="0E967858"/>
    <w:rsid w:val="0F03D9E1"/>
    <w:rsid w:val="0F3B75E8"/>
    <w:rsid w:val="0F95990C"/>
    <w:rsid w:val="0FD4C9D7"/>
    <w:rsid w:val="102F500D"/>
    <w:rsid w:val="10A4A11E"/>
    <w:rsid w:val="10FB2C97"/>
    <w:rsid w:val="1112F309"/>
    <w:rsid w:val="1114BA4E"/>
    <w:rsid w:val="112C6B7A"/>
    <w:rsid w:val="1198BEFD"/>
    <w:rsid w:val="11AD58C4"/>
    <w:rsid w:val="11DD2B83"/>
    <w:rsid w:val="12008149"/>
    <w:rsid w:val="123EFD2F"/>
    <w:rsid w:val="12F4B78A"/>
    <w:rsid w:val="1323E382"/>
    <w:rsid w:val="136379A9"/>
    <w:rsid w:val="13A3A09E"/>
    <w:rsid w:val="13A79940"/>
    <w:rsid w:val="13E847AC"/>
    <w:rsid w:val="13F426FA"/>
    <w:rsid w:val="142D8494"/>
    <w:rsid w:val="1486A01F"/>
    <w:rsid w:val="15270E72"/>
    <w:rsid w:val="154090C5"/>
    <w:rsid w:val="1561100D"/>
    <w:rsid w:val="15A58401"/>
    <w:rsid w:val="15BE4434"/>
    <w:rsid w:val="16287004"/>
    <w:rsid w:val="166F4922"/>
    <w:rsid w:val="17131A31"/>
    <w:rsid w:val="17C27382"/>
    <w:rsid w:val="17DC55AF"/>
    <w:rsid w:val="17FEF9E5"/>
    <w:rsid w:val="185526A6"/>
    <w:rsid w:val="18B57E3D"/>
    <w:rsid w:val="18CE3240"/>
    <w:rsid w:val="19667954"/>
    <w:rsid w:val="198A79AC"/>
    <w:rsid w:val="19DEEE96"/>
    <w:rsid w:val="19E6C14B"/>
    <w:rsid w:val="1A4348F7"/>
    <w:rsid w:val="1A7FDCA6"/>
    <w:rsid w:val="1A8B3D1C"/>
    <w:rsid w:val="1A9A6D24"/>
    <w:rsid w:val="1AC17C3A"/>
    <w:rsid w:val="1ADA31FC"/>
    <w:rsid w:val="1B284C5D"/>
    <w:rsid w:val="1B597A7E"/>
    <w:rsid w:val="1B95ADFA"/>
    <w:rsid w:val="1BB71A66"/>
    <w:rsid w:val="1BD611AD"/>
    <w:rsid w:val="1CAE500B"/>
    <w:rsid w:val="1CE469A7"/>
    <w:rsid w:val="1D3ABBAA"/>
    <w:rsid w:val="1D4776B9"/>
    <w:rsid w:val="1D481232"/>
    <w:rsid w:val="1DD9EF3C"/>
    <w:rsid w:val="1DF69EC9"/>
    <w:rsid w:val="1E25FE9E"/>
    <w:rsid w:val="1E4917F1"/>
    <w:rsid w:val="1EAC8E60"/>
    <w:rsid w:val="1EBF714E"/>
    <w:rsid w:val="1EE22F19"/>
    <w:rsid w:val="1F152BF5"/>
    <w:rsid w:val="1F1DF5C2"/>
    <w:rsid w:val="1F6DAFD8"/>
    <w:rsid w:val="1F84CC11"/>
    <w:rsid w:val="1F9F929D"/>
    <w:rsid w:val="1FABBDF6"/>
    <w:rsid w:val="1FFBA893"/>
    <w:rsid w:val="20BD1B28"/>
    <w:rsid w:val="20D1F198"/>
    <w:rsid w:val="2170C7F6"/>
    <w:rsid w:val="218F7423"/>
    <w:rsid w:val="21A055E4"/>
    <w:rsid w:val="21CD325D"/>
    <w:rsid w:val="21E1F21E"/>
    <w:rsid w:val="21F176C3"/>
    <w:rsid w:val="2252F5EA"/>
    <w:rsid w:val="22B2E273"/>
    <w:rsid w:val="22E775E3"/>
    <w:rsid w:val="235944A0"/>
    <w:rsid w:val="239528D4"/>
    <w:rsid w:val="241BF6F5"/>
    <w:rsid w:val="242A3B97"/>
    <w:rsid w:val="244B8BA3"/>
    <w:rsid w:val="247593E9"/>
    <w:rsid w:val="2482AB30"/>
    <w:rsid w:val="24866881"/>
    <w:rsid w:val="248FB11B"/>
    <w:rsid w:val="24CA6B4B"/>
    <w:rsid w:val="25167A99"/>
    <w:rsid w:val="251DAD54"/>
    <w:rsid w:val="256E7D1F"/>
    <w:rsid w:val="263C3F53"/>
    <w:rsid w:val="265D5CEA"/>
    <w:rsid w:val="266D0E36"/>
    <w:rsid w:val="267B3E42"/>
    <w:rsid w:val="2705F438"/>
    <w:rsid w:val="2803C688"/>
    <w:rsid w:val="286F61AF"/>
    <w:rsid w:val="28F9800E"/>
    <w:rsid w:val="29066B8D"/>
    <w:rsid w:val="29171280"/>
    <w:rsid w:val="291EB04C"/>
    <w:rsid w:val="29AF17E1"/>
    <w:rsid w:val="29E24B52"/>
    <w:rsid w:val="2AB2F450"/>
    <w:rsid w:val="2AB70C23"/>
    <w:rsid w:val="2AEB4A54"/>
    <w:rsid w:val="2B04FDB1"/>
    <w:rsid w:val="2B1AC7DC"/>
    <w:rsid w:val="2BEF2B23"/>
    <w:rsid w:val="2BF1899A"/>
    <w:rsid w:val="2C3D54C4"/>
    <w:rsid w:val="2C938F77"/>
    <w:rsid w:val="2CC507A0"/>
    <w:rsid w:val="2CE0FEC2"/>
    <w:rsid w:val="2CF1AE67"/>
    <w:rsid w:val="2D12A1D9"/>
    <w:rsid w:val="2D9251E6"/>
    <w:rsid w:val="2D99E544"/>
    <w:rsid w:val="2DEB2C8A"/>
    <w:rsid w:val="2E2AB90F"/>
    <w:rsid w:val="2E3CCF42"/>
    <w:rsid w:val="2E8E4643"/>
    <w:rsid w:val="2E8E7D31"/>
    <w:rsid w:val="2EE8C294"/>
    <w:rsid w:val="2F7661F3"/>
    <w:rsid w:val="2FA6F2C0"/>
    <w:rsid w:val="2FA7CC6E"/>
    <w:rsid w:val="30317774"/>
    <w:rsid w:val="30B89212"/>
    <w:rsid w:val="30EDBFC2"/>
    <w:rsid w:val="30F97C62"/>
    <w:rsid w:val="30FC3356"/>
    <w:rsid w:val="3192DD79"/>
    <w:rsid w:val="3205A40E"/>
    <w:rsid w:val="320BC70F"/>
    <w:rsid w:val="32158470"/>
    <w:rsid w:val="3268830B"/>
    <w:rsid w:val="32C1C859"/>
    <w:rsid w:val="32F6F98A"/>
    <w:rsid w:val="33059570"/>
    <w:rsid w:val="33394F97"/>
    <w:rsid w:val="333BE5E1"/>
    <w:rsid w:val="3385A405"/>
    <w:rsid w:val="33985B12"/>
    <w:rsid w:val="33E5B4FB"/>
    <w:rsid w:val="34DFCB06"/>
    <w:rsid w:val="34E998B1"/>
    <w:rsid w:val="34F06E92"/>
    <w:rsid w:val="3518770D"/>
    <w:rsid w:val="351F2960"/>
    <w:rsid w:val="3569ECBC"/>
    <w:rsid w:val="35821FBB"/>
    <w:rsid w:val="358BCD3F"/>
    <w:rsid w:val="35A59737"/>
    <w:rsid w:val="3630E3D9"/>
    <w:rsid w:val="36C1AD60"/>
    <w:rsid w:val="36E718BD"/>
    <w:rsid w:val="372DFBD6"/>
    <w:rsid w:val="374972E4"/>
    <w:rsid w:val="375E6B6B"/>
    <w:rsid w:val="3782F5BA"/>
    <w:rsid w:val="381054FE"/>
    <w:rsid w:val="382BB0E4"/>
    <w:rsid w:val="38303276"/>
    <w:rsid w:val="38D94B9A"/>
    <w:rsid w:val="39728167"/>
    <w:rsid w:val="397FF86C"/>
    <w:rsid w:val="399D4214"/>
    <w:rsid w:val="39F787EA"/>
    <w:rsid w:val="3A1863B5"/>
    <w:rsid w:val="3A252E23"/>
    <w:rsid w:val="3A5CA141"/>
    <w:rsid w:val="3AA45E3D"/>
    <w:rsid w:val="3AC975C0"/>
    <w:rsid w:val="3AE1C658"/>
    <w:rsid w:val="3AE87F4D"/>
    <w:rsid w:val="3B3759A5"/>
    <w:rsid w:val="3B799BCC"/>
    <w:rsid w:val="3B983095"/>
    <w:rsid w:val="3BBDEFDF"/>
    <w:rsid w:val="3C09902F"/>
    <w:rsid w:val="3C205190"/>
    <w:rsid w:val="3C415B41"/>
    <w:rsid w:val="3C637521"/>
    <w:rsid w:val="3C87A00B"/>
    <w:rsid w:val="3D1B7E88"/>
    <w:rsid w:val="3D23032C"/>
    <w:rsid w:val="3D6ED029"/>
    <w:rsid w:val="3DF4D5B1"/>
    <w:rsid w:val="3E0BD2A6"/>
    <w:rsid w:val="3E587F8E"/>
    <w:rsid w:val="3E75DAF6"/>
    <w:rsid w:val="3EEBE81C"/>
    <w:rsid w:val="3F7A82CE"/>
    <w:rsid w:val="3F8285E0"/>
    <w:rsid w:val="3FC738EB"/>
    <w:rsid w:val="3FF7CE88"/>
    <w:rsid w:val="40310710"/>
    <w:rsid w:val="404A42F7"/>
    <w:rsid w:val="405C61C0"/>
    <w:rsid w:val="40C7E78A"/>
    <w:rsid w:val="40CDF8D1"/>
    <w:rsid w:val="4131F494"/>
    <w:rsid w:val="41423995"/>
    <w:rsid w:val="41531929"/>
    <w:rsid w:val="41B4A28C"/>
    <w:rsid w:val="4254DCC1"/>
    <w:rsid w:val="42EDEF6D"/>
    <w:rsid w:val="43768F17"/>
    <w:rsid w:val="451C38B0"/>
    <w:rsid w:val="457E80E2"/>
    <w:rsid w:val="45866D16"/>
    <w:rsid w:val="4600C643"/>
    <w:rsid w:val="46186346"/>
    <w:rsid w:val="464F45A7"/>
    <w:rsid w:val="4660B91A"/>
    <w:rsid w:val="46D68B46"/>
    <w:rsid w:val="4734A752"/>
    <w:rsid w:val="475F3A1A"/>
    <w:rsid w:val="47626FE1"/>
    <w:rsid w:val="47C26FF6"/>
    <w:rsid w:val="47CA3E1F"/>
    <w:rsid w:val="4816A654"/>
    <w:rsid w:val="481A0B18"/>
    <w:rsid w:val="48375772"/>
    <w:rsid w:val="487623C5"/>
    <w:rsid w:val="4909FF02"/>
    <w:rsid w:val="4936E5BF"/>
    <w:rsid w:val="4959E051"/>
    <w:rsid w:val="4A1DDAEB"/>
    <w:rsid w:val="4A4DD050"/>
    <w:rsid w:val="4AA1AE5E"/>
    <w:rsid w:val="4AA7076A"/>
    <w:rsid w:val="4B71E956"/>
    <w:rsid w:val="4C05280B"/>
    <w:rsid w:val="4C2A1218"/>
    <w:rsid w:val="4C8918ED"/>
    <w:rsid w:val="4D05D725"/>
    <w:rsid w:val="4D0967CF"/>
    <w:rsid w:val="4D65BC3A"/>
    <w:rsid w:val="4D8EC441"/>
    <w:rsid w:val="4DBA415A"/>
    <w:rsid w:val="4DDA30CA"/>
    <w:rsid w:val="4DE0175B"/>
    <w:rsid w:val="4E12A658"/>
    <w:rsid w:val="4E2B0E51"/>
    <w:rsid w:val="4EDF1A41"/>
    <w:rsid w:val="4EF92727"/>
    <w:rsid w:val="4EFA7888"/>
    <w:rsid w:val="4F35BA93"/>
    <w:rsid w:val="4F76BD83"/>
    <w:rsid w:val="4F9EA472"/>
    <w:rsid w:val="4FCC0AD1"/>
    <w:rsid w:val="5018C294"/>
    <w:rsid w:val="510D766F"/>
    <w:rsid w:val="51115786"/>
    <w:rsid w:val="5170D769"/>
    <w:rsid w:val="526362D6"/>
    <w:rsid w:val="527DC273"/>
    <w:rsid w:val="52CC3B59"/>
    <w:rsid w:val="5369F3F4"/>
    <w:rsid w:val="537A5530"/>
    <w:rsid w:val="537B7A8F"/>
    <w:rsid w:val="547A2D94"/>
    <w:rsid w:val="547CDDA0"/>
    <w:rsid w:val="54ACA371"/>
    <w:rsid w:val="550BC2F9"/>
    <w:rsid w:val="558BDF90"/>
    <w:rsid w:val="559D80A3"/>
    <w:rsid w:val="55D58669"/>
    <w:rsid w:val="560FAF85"/>
    <w:rsid w:val="565C7792"/>
    <w:rsid w:val="56F1BA1B"/>
    <w:rsid w:val="57821025"/>
    <w:rsid w:val="57CD894D"/>
    <w:rsid w:val="582B729C"/>
    <w:rsid w:val="58532BE8"/>
    <w:rsid w:val="587E035A"/>
    <w:rsid w:val="588CC089"/>
    <w:rsid w:val="58A84EEA"/>
    <w:rsid w:val="58E96E3A"/>
    <w:rsid w:val="593AC637"/>
    <w:rsid w:val="593E5738"/>
    <w:rsid w:val="594C7A0B"/>
    <w:rsid w:val="59C112C8"/>
    <w:rsid w:val="5A4CF6CC"/>
    <w:rsid w:val="5AF03726"/>
    <w:rsid w:val="5B545F6C"/>
    <w:rsid w:val="5B67C7D7"/>
    <w:rsid w:val="5C24D288"/>
    <w:rsid w:val="5C6F8BC2"/>
    <w:rsid w:val="5CE41D62"/>
    <w:rsid w:val="5CEFEC53"/>
    <w:rsid w:val="5DC4A04A"/>
    <w:rsid w:val="5DD4D7CF"/>
    <w:rsid w:val="5E04AD7D"/>
    <w:rsid w:val="5E4023AB"/>
    <w:rsid w:val="5E7D70E4"/>
    <w:rsid w:val="5E97B0CB"/>
    <w:rsid w:val="5F62B1B6"/>
    <w:rsid w:val="5FAE97D8"/>
    <w:rsid w:val="5FB23B27"/>
    <w:rsid w:val="5FD35E9D"/>
    <w:rsid w:val="600DB829"/>
    <w:rsid w:val="6079877E"/>
    <w:rsid w:val="60A7EB4B"/>
    <w:rsid w:val="612F3305"/>
    <w:rsid w:val="61EE564A"/>
    <w:rsid w:val="61FAE98A"/>
    <w:rsid w:val="62456E77"/>
    <w:rsid w:val="62BE2085"/>
    <w:rsid w:val="62C9B2EA"/>
    <w:rsid w:val="631FEBCA"/>
    <w:rsid w:val="639E9B9B"/>
    <w:rsid w:val="63BDFF0D"/>
    <w:rsid w:val="63BEA325"/>
    <w:rsid w:val="64200735"/>
    <w:rsid w:val="6462B5A6"/>
    <w:rsid w:val="649087DC"/>
    <w:rsid w:val="649395FB"/>
    <w:rsid w:val="64A4B944"/>
    <w:rsid w:val="64D5FF92"/>
    <w:rsid w:val="64F692D4"/>
    <w:rsid w:val="655031AE"/>
    <w:rsid w:val="656A1E2D"/>
    <w:rsid w:val="65772A6C"/>
    <w:rsid w:val="65A72BA2"/>
    <w:rsid w:val="6654291A"/>
    <w:rsid w:val="66BD4B63"/>
    <w:rsid w:val="66BFA22C"/>
    <w:rsid w:val="671C4404"/>
    <w:rsid w:val="67205E4B"/>
    <w:rsid w:val="67630FE3"/>
    <w:rsid w:val="678818CA"/>
    <w:rsid w:val="67929FA3"/>
    <w:rsid w:val="67997BEE"/>
    <w:rsid w:val="67E5EF71"/>
    <w:rsid w:val="688EC8D6"/>
    <w:rsid w:val="68A23DD0"/>
    <w:rsid w:val="68C2C5D5"/>
    <w:rsid w:val="68DB40FC"/>
    <w:rsid w:val="691A06BB"/>
    <w:rsid w:val="691A7037"/>
    <w:rsid w:val="6924D4D1"/>
    <w:rsid w:val="6987D822"/>
    <w:rsid w:val="6A0510BF"/>
    <w:rsid w:val="6A5BA9CD"/>
    <w:rsid w:val="6A66705C"/>
    <w:rsid w:val="6AB03904"/>
    <w:rsid w:val="6ABC4D12"/>
    <w:rsid w:val="6AC31E23"/>
    <w:rsid w:val="6B3C2582"/>
    <w:rsid w:val="6B5B80CE"/>
    <w:rsid w:val="6BF9886D"/>
    <w:rsid w:val="6C7E551B"/>
    <w:rsid w:val="6D17EF1F"/>
    <w:rsid w:val="6D488CFE"/>
    <w:rsid w:val="6D5E2B53"/>
    <w:rsid w:val="6D92290A"/>
    <w:rsid w:val="6DC8581C"/>
    <w:rsid w:val="6DE954D4"/>
    <w:rsid w:val="6DEE8A84"/>
    <w:rsid w:val="6E235B12"/>
    <w:rsid w:val="6FEFD563"/>
    <w:rsid w:val="702EE3C2"/>
    <w:rsid w:val="70481CF2"/>
    <w:rsid w:val="70631177"/>
    <w:rsid w:val="70A625F7"/>
    <w:rsid w:val="70C006E6"/>
    <w:rsid w:val="713AB4F6"/>
    <w:rsid w:val="716D41F4"/>
    <w:rsid w:val="7193A06A"/>
    <w:rsid w:val="71C31FE3"/>
    <w:rsid w:val="71E6426E"/>
    <w:rsid w:val="71F51864"/>
    <w:rsid w:val="720D7029"/>
    <w:rsid w:val="724E9FAD"/>
    <w:rsid w:val="727A167A"/>
    <w:rsid w:val="72AFD5C4"/>
    <w:rsid w:val="72D168A5"/>
    <w:rsid w:val="72F6ECCE"/>
    <w:rsid w:val="730FCCFB"/>
    <w:rsid w:val="73BF3F6F"/>
    <w:rsid w:val="73C5D9BC"/>
    <w:rsid w:val="73F401F8"/>
    <w:rsid w:val="74B9DF17"/>
    <w:rsid w:val="74CD2655"/>
    <w:rsid w:val="75207B8F"/>
    <w:rsid w:val="753F003B"/>
    <w:rsid w:val="755D8C82"/>
    <w:rsid w:val="75809766"/>
    <w:rsid w:val="75BE7B32"/>
    <w:rsid w:val="75E00F09"/>
    <w:rsid w:val="75E7E8C2"/>
    <w:rsid w:val="7669ACD6"/>
    <w:rsid w:val="766E7AF6"/>
    <w:rsid w:val="76825172"/>
    <w:rsid w:val="76B67B90"/>
    <w:rsid w:val="76DBA6E0"/>
    <w:rsid w:val="76F14E57"/>
    <w:rsid w:val="77316144"/>
    <w:rsid w:val="77359BF2"/>
    <w:rsid w:val="77446A4A"/>
    <w:rsid w:val="777ECC86"/>
    <w:rsid w:val="77D2CA7A"/>
    <w:rsid w:val="7802414C"/>
    <w:rsid w:val="78206F1E"/>
    <w:rsid w:val="784B72B7"/>
    <w:rsid w:val="785BA168"/>
    <w:rsid w:val="7929D98B"/>
    <w:rsid w:val="795B3368"/>
    <w:rsid w:val="79B17F01"/>
    <w:rsid w:val="79BEC7F1"/>
    <w:rsid w:val="79CB34D5"/>
    <w:rsid w:val="7A1FFE35"/>
    <w:rsid w:val="7A6AF975"/>
    <w:rsid w:val="7A75D9C9"/>
    <w:rsid w:val="7A91341A"/>
    <w:rsid w:val="7B254AC1"/>
    <w:rsid w:val="7B51F349"/>
    <w:rsid w:val="7BAD7C19"/>
    <w:rsid w:val="7BEE4526"/>
    <w:rsid w:val="7BF38582"/>
    <w:rsid w:val="7BF9C335"/>
    <w:rsid w:val="7C285CBA"/>
    <w:rsid w:val="7C297149"/>
    <w:rsid w:val="7C97CD75"/>
    <w:rsid w:val="7CA17E0A"/>
    <w:rsid w:val="7D073C85"/>
    <w:rsid w:val="7D0CF5E0"/>
    <w:rsid w:val="7DA9163B"/>
    <w:rsid w:val="7DEED1A8"/>
    <w:rsid w:val="7E030E9E"/>
    <w:rsid w:val="7E05C475"/>
    <w:rsid w:val="7E1955CF"/>
    <w:rsid w:val="7E8CEE34"/>
    <w:rsid w:val="7EA21126"/>
    <w:rsid w:val="7F17C408"/>
    <w:rsid w:val="7FA29CDC"/>
    <w:rsid w:val="7FD37914"/>
    <w:rsid w:val="7FE44D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89E2"/>
  <w15:docId w15:val="{38D6A328-5785-4CB2-BD85-E77B7552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55A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155FE"/>
    <w:pPr>
      <w:tabs>
        <w:tab w:val="center" w:pos="4536"/>
        <w:tab w:val="right" w:pos="9072"/>
      </w:tabs>
      <w:spacing w:after="0" w:line="240" w:lineRule="auto"/>
    </w:pPr>
  </w:style>
  <w:style w:type="character" w:customStyle="1" w:styleId="lfejChar">
    <w:name w:val="Élőfej Char"/>
    <w:basedOn w:val="Bekezdsalapbettpusa"/>
    <w:link w:val="lfej"/>
    <w:uiPriority w:val="99"/>
    <w:rsid w:val="00B155FE"/>
  </w:style>
  <w:style w:type="paragraph" w:styleId="llb">
    <w:name w:val="footer"/>
    <w:basedOn w:val="Norml"/>
    <w:link w:val="llbChar"/>
    <w:uiPriority w:val="99"/>
    <w:unhideWhenUsed/>
    <w:rsid w:val="00B155FE"/>
    <w:pPr>
      <w:tabs>
        <w:tab w:val="center" w:pos="4536"/>
        <w:tab w:val="right" w:pos="9072"/>
      </w:tabs>
      <w:spacing w:after="0" w:line="240" w:lineRule="auto"/>
    </w:pPr>
  </w:style>
  <w:style w:type="character" w:customStyle="1" w:styleId="llbChar">
    <w:name w:val="Élőláb Char"/>
    <w:basedOn w:val="Bekezdsalapbettpusa"/>
    <w:link w:val="llb"/>
    <w:uiPriority w:val="99"/>
    <w:rsid w:val="00B155FE"/>
  </w:style>
  <w:style w:type="paragraph" w:styleId="Lbjegyzetszveg">
    <w:name w:val="footnote text"/>
    <w:basedOn w:val="Norml"/>
    <w:link w:val="LbjegyzetszvegChar"/>
    <w:uiPriority w:val="99"/>
    <w:semiHidden/>
    <w:unhideWhenUsed/>
    <w:rsid w:val="00B155F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155FE"/>
    <w:rPr>
      <w:sz w:val="20"/>
      <w:szCs w:val="20"/>
    </w:rPr>
  </w:style>
  <w:style w:type="character" w:styleId="Lbjegyzet-hivatkozs">
    <w:name w:val="footnote reference"/>
    <w:semiHidden/>
    <w:rsid w:val="00B155FE"/>
    <w:rPr>
      <w:vertAlign w:val="superscript"/>
    </w:rPr>
  </w:style>
  <w:style w:type="character" w:styleId="Oldalszm">
    <w:name w:val="page number"/>
    <w:basedOn w:val="Bekezdsalapbettpusa"/>
    <w:rsid w:val="00B155FE"/>
  </w:style>
  <w:style w:type="paragraph" w:styleId="Buborkszveg">
    <w:name w:val="Balloon Text"/>
    <w:basedOn w:val="Norml"/>
    <w:link w:val="BuborkszvegChar"/>
    <w:uiPriority w:val="99"/>
    <w:semiHidden/>
    <w:unhideWhenUsed/>
    <w:rsid w:val="009732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7327C"/>
    <w:rPr>
      <w:rFonts w:ascii="Tahoma" w:hAnsi="Tahoma" w:cs="Tahoma"/>
      <w:sz w:val="16"/>
      <w:szCs w:val="16"/>
    </w:rPr>
  </w:style>
  <w:style w:type="paragraph" w:styleId="Listaszerbekezds">
    <w:name w:val="List Paragraph"/>
    <w:basedOn w:val="Norml"/>
    <w:uiPriority w:val="34"/>
    <w:qFormat/>
    <w:rsid w:val="00F71CAC"/>
    <w:pPr>
      <w:ind w:left="720"/>
      <w:contextualSpacing/>
    </w:pPr>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 w:type="table" w:styleId="Rcsostblzat">
    <w:name w:val="Table Grid"/>
    <w:basedOn w:val="Normltblzat"/>
    <w:uiPriority w:val="39"/>
    <w:rsid w:val="00D4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1656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Pr>
      <w:color w:val="0563C1" w:themeColor="hyperlink"/>
      <w:u w:val="single"/>
    </w:rPr>
  </w:style>
  <w:style w:type="table" w:styleId="Tblzatrcsos1vilgos1jellszn">
    <w:name w:val="Grid Table 1 Light Accent 1"/>
    <w:basedOn w:val="Normltblzat"/>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Megjegyzstrgya">
    <w:name w:val="annotation subject"/>
    <w:basedOn w:val="Jegyzetszveg"/>
    <w:next w:val="Jegyzetszveg"/>
    <w:link w:val="MegjegyzstrgyaChar"/>
    <w:uiPriority w:val="99"/>
    <w:semiHidden/>
    <w:unhideWhenUsed/>
    <w:rsid w:val="00C75D5A"/>
    <w:rPr>
      <w:b/>
      <w:bCs/>
    </w:rPr>
  </w:style>
  <w:style w:type="character" w:customStyle="1" w:styleId="MegjegyzstrgyaChar">
    <w:name w:val="Megjegyzés tárgya Char"/>
    <w:basedOn w:val="JegyzetszvegChar"/>
    <w:link w:val="Megjegyzstrgya"/>
    <w:uiPriority w:val="99"/>
    <w:semiHidden/>
    <w:rsid w:val="00C75D5A"/>
    <w:rPr>
      <w:b/>
      <w:bCs/>
      <w:sz w:val="20"/>
      <w:szCs w:val="20"/>
    </w:rPr>
  </w:style>
  <w:style w:type="paragraph" w:styleId="Vltozat">
    <w:name w:val="Revision"/>
    <w:hidden/>
    <w:uiPriority w:val="99"/>
    <w:semiHidden/>
    <w:rsid w:val="00162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1892">
      <w:bodyDiv w:val="1"/>
      <w:marLeft w:val="0"/>
      <w:marRight w:val="0"/>
      <w:marTop w:val="0"/>
      <w:marBottom w:val="0"/>
      <w:divBdr>
        <w:top w:val="none" w:sz="0" w:space="0" w:color="auto"/>
        <w:left w:val="none" w:sz="0" w:space="0" w:color="auto"/>
        <w:bottom w:val="none" w:sz="0" w:space="0" w:color="auto"/>
        <w:right w:val="none" w:sz="0" w:space="0" w:color="auto"/>
      </w:divBdr>
    </w:div>
    <w:div w:id="74324804">
      <w:bodyDiv w:val="1"/>
      <w:marLeft w:val="0"/>
      <w:marRight w:val="0"/>
      <w:marTop w:val="0"/>
      <w:marBottom w:val="0"/>
      <w:divBdr>
        <w:top w:val="none" w:sz="0" w:space="0" w:color="auto"/>
        <w:left w:val="none" w:sz="0" w:space="0" w:color="auto"/>
        <w:bottom w:val="none" w:sz="0" w:space="0" w:color="auto"/>
        <w:right w:val="none" w:sz="0" w:space="0" w:color="auto"/>
      </w:divBdr>
    </w:div>
    <w:div w:id="240256079">
      <w:bodyDiv w:val="1"/>
      <w:marLeft w:val="0"/>
      <w:marRight w:val="0"/>
      <w:marTop w:val="0"/>
      <w:marBottom w:val="0"/>
      <w:divBdr>
        <w:top w:val="none" w:sz="0" w:space="0" w:color="auto"/>
        <w:left w:val="none" w:sz="0" w:space="0" w:color="auto"/>
        <w:bottom w:val="none" w:sz="0" w:space="0" w:color="auto"/>
        <w:right w:val="none" w:sz="0" w:space="0" w:color="auto"/>
      </w:divBdr>
    </w:div>
    <w:div w:id="248008608">
      <w:bodyDiv w:val="1"/>
      <w:marLeft w:val="0"/>
      <w:marRight w:val="0"/>
      <w:marTop w:val="0"/>
      <w:marBottom w:val="0"/>
      <w:divBdr>
        <w:top w:val="none" w:sz="0" w:space="0" w:color="auto"/>
        <w:left w:val="none" w:sz="0" w:space="0" w:color="auto"/>
        <w:bottom w:val="none" w:sz="0" w:space="0" w:color="auto"/>
        <w:right w:val="none" w:sz="0" w:space="0" w:color="auto"/>
      </w:divBdr>
    </w:div>
    <w:div w:id="251550484">
      <w:bodyDiv w:val="1"/>
      <w:marLeft w:val="0"/>
      <w:marRight w:val="0"/>
      <w:marTop w:val="0"/>
      <w:marBottom w:val="0"/>
      <w:divBdr>
        <w:top w:val="none" w:sz="0" w:space="0" w:color="auto"/>
        <w:left w:val="none" w:sz="0" w:space="0" w:color="auto"/>
        <w:bottom w:val="none" w:sz="0" w:space="0" w:color="auto"/>
        <w:right w:val="none" w:sz="0" w:space="0" w:color="auto"/>
      </w:divBdr>
    </w:div>
    <w:div w:id="263924984">
      <w:bodyDiv w:val="1"/>
      <w:marLeft w:val="0"/>
      <w:marRight w:val="0"/>
      <w:marTop w:val="0"/>
      <w:marBottom w:val="0"/>
      <w:divBdr>
        <w:top w:val="none" w:sz="0" w:space="0" w:color="auto"/>
        <w:left w:val="none" w:sz="0" w:space="0" w:color="auto"/>
        <w:bottom w:val="none" w:sz="0" w:space="0" w:color="auto"/>
        <w:right w:val="none" w:sz="0" w:space="0" w:color="auto"/>
      </w:divBdr>
    </w:div>
    <w:div w:id="372846868">
      <w:bodyDiv w:val="1"/>
      <w:marLeft w:val="0"/>
      <w:marRight w:val="0"/>
      <w:marTop w:val="0"/>
      <w:marBottom w:val="0"/>
      <w:divBdr>
        <w:top w:val="none" w:sz="0" w:space="0" w:color="auto"/>
        <w:left w:val="none" w:sz="0" w:space="0" w:color="auto"/>
        <w:bottom w:val="none" w:sz="0" w:space="0" w:color="auto"/>
        <w:right w:val="none" w:sz="0" w:space="0" w:color="auto"/>
      </w:divBdr>
    </w:div>
    <w:div w:id="414713825">
      <w:bodyDiv w:val="1"/>
      <w:marLeft w:val="0"/>
      <w:marRight w:val="0"/>
      <w:marTop w:val="0"/>
      <w:marBottom w:val="0"/>
      <w:divBdr>
        <w:top w:val="none" w:sz="0" w:space="0" w:color="auto"/>
        <w:left w:val="none" w:sz="0" w:space="0" w:color="auto"/>
        <w:bottom w:val="none" w:sz="0" w:space="0" w:color="auto"/>
        <w:right w:val="none" w:sz="0" w:space="0" w:color="auto"/>
      </w:divBdr>
    </w:div>
    <w:div w:id="419377097">
      <w:bodyDiv w:val="1"/>
      <w:marLeft w:val="0"/>
      <w:marRight w:val="0"/>
      <w:marTop w:val="0"/>
      <w:marBottom w:val="0"/>
      <w:divBdr>
        <w:top w:val="none" w:sz="0" w:space="0" w:color="auto"/>
        <w:left w:val="none" w:sz="0" w:space="0" w:color="auto"/>
        <w:bottom w:val="none" w:sz="0" w:space="0" w:color="auto"/>
        <w:right w:val="none" w:sz="0" w:space="0" w:color="auto"/>
      </w:divBdr>
    </w:div>
    <w:div w:id="422839085">
      <w:bodyDiv w:val="1"/>
      <w:marLeft w:val="0"/>
      <w:marRight w:val="0"/>
      <w:marTop w:val="0"/>
      <w:marBottom w:val="0"/>
      <w:divBdr>
        <w:top w:val="none" w:sz="0" w:space="0" w:color="auto"/>
        <w:left w:val="none" w:sz="0" w:space="0" w:color="auto"/>
        <w:bottom w:val="none" w:sz="0" w:space="0" w:color="auto"/>
        <w:right w:val="none" w:sz="0" w:space="0" w:color="auto"/>
      </w:divBdr>
    </w:div>
    <w:div w:id="425614567">
      <w:bodyDiv w:val="1"/>
      <w:marLeft w:val="0"/>
      <w:marRight w:val="0"/>
      <w:marTop w:val="0"/>
      <w:marBottom w:val="0"/>
      <w:divBdr>
        <w:top w:val="none" w:sz="0" w:space="0" w:color="auto"/>
        <w:left w:val="none" w:sz="0" w:space="0" w:color="auto"/>
        <w:bottom w:val="none" w:sz="0" w:space="0" w:color="auto"/>
        <w:right w:val="none" w:sz="0" w:space="0" w:color="auto"/>
      </w:divBdr>
    </w:div>
    <w:div w:id="457265896">
      <w:bodyDiv w:val="1"/>
      <w:marLeft w:val="0"/>
      <w:marRight w:val="0"/>
      <w:marTop w:val="0"/>
      <w:marBottom w:val="0"/>
      <w:divBdr>
        <w:top w:val="none" w:sz="0" w:space="0" w:color="auto"/>
        <w:left w:val="none" w:sz="0" w:space="0" w:color="auto"/>
        <w:bottom w:val="none" w:sz="0" w:space="0" w:color="auto"/>
        <w:right w:val="none" w:sz="0" w:space="0" w:color="auto"/>
      </w:divBdr>
    </w:div>
    <w:div w:id="750005642">
      <w:bodyDiv w:val="1"/>
      <w:marLeft w:val="0"/>
      <w:marRight w:val="0"/>
      <w:marTop w:val="0"/>
      <w:marBottom w:val="0"/>
      <w:divBdr>
        <w:top w:val="none" w:sz="0" w:space="0" w:color="auto"/>
        <w:left w:val="none" w:sz="0" w:space="0" w:color="auto"/>
        <w:bottom w:val="none" w:sz="0" w:space="0" w:color="auto"/>
        <w:right w:val="none" w:sz="0" w:space="0" w:color="auto"/>
      </w:divBdr>
    </w:div>
    <w:div w:id="825049051">
      <w:bodyDiv w:val="1"/>
      <w:marLeft w:val="0"/>
      <w:marRight w:val="0"/>
      <w:marTop w:val="0"/>
      <w:marBottom w:val="0"/>
      <w:divBdr>
        <w:top w:val="none" w:sz="0" w:space="0" w:color="auto"/>
        <w:left w:val="none" w:sz="0" w:space="0" w:color="auto"/>
        <w:bottom w:val="none" w:sz="0" w:space="0" w:color="auto"/>
        <w:right w:val="none" w:sz="0" w:space="0" w:color="auto"/>
      </w:divBdr>
    </w:div>
    <w:div w:id="831945513">
      <w:bodyDiv w:val="1"/>
      <w:marLeft w:val="0"/>
      <w:marRight w:val="0"/>
      <w:marTop w:val="0"/>
      <w:marBottom w:val="0"/>
      <w:divBdr>
        <w:top w:val="none" w:sz="0" w:space="0" w:color="auto"/>
        <w:left w:val="none" w:sz="0" w:space="0" w:color="auto"/>
        <w:bottom w:val="none" w:sz="0" w:space="0" w:color="auto"/>
        <w:right w:val="none" w:sz="0" w:space="0" w:color="auto"/>
      </w:divBdr>
    </w:div>
    <w:div w:id="955060427">
      <w:bodyDiv w:val="1"/>
      <w:marLeft w:val="0"/>
      <w:marRight w:val="0"/>
      <w:marTop w:val="0"/>
      <w:marBottom w:val="0"/>
      <w:divBdr>
        <w:top w:val="none" w:sz="0" w:space="0" w:color="auto"/>
        <w:left w:val="none" w:sz="0" w:space="0" w:color="auto"/>
        <w:bottom w:val="none" w:sz="0" w:space="0" w:color="auto"/>
        <w:right w:val="none" w:sz="0" w:space="0" w:color="auto"/>
      </w:divBdr>
    </w:div>
    <w:div w:id="1020281846">
      <w:bodyDiv w:val="1"/>
      <w:marLeft w:val="0"/>
      <w:marRight w:val="0"/>
      <w:marTop w:val="0"/>
      <w:marBottom w:val="0"/>
      <w:divBdr>
        <w:top w:val="none" w:sz="0" w:space="0" w:color="auto"/>
        <w:left w:val="none" w:sz="0" w:space="0" w:color="auto"/>
        <w:bottom w:val="none" w:sz="0" w:space="0" w:color="auto"/>
        <w:right w:val="none" w:sz="0" w:space="0" w:color="auto"/>
      </w:divBdr>
    </w:div>
    <w:div w:id="1137841753">
      <w:bodyDiv w:val="1"/>
      <w:marLeft w:val="0"/>
      <w:marRight w:val="0"/>
      <w:marTop w:val="0"/>
      <w:marBottom w:val="0"/>
      <w:divBdr>
        <w:top w:val="none" w:sz="0" w:space="0" w:color="auto"/>
        <w:left w:val="none" w:sz="0" w:space="0" w:color="auto"/>
        <w:bottom w:val="none" w:sz="0" w:space="0" w:color="auto"/>
        <w:right w:val="none" w:sz="0" w:space="0" w:color="auto"/>
      </w:divBdr>
    </w:div>
    <w:div w:id="1145925425">
      <w:bodyDiv w:val="1"/>
      <w:marLeft w:val="0"/>
      <w:marRight w:val="0"/>
      <w:marTop w:val="0"/>
      <w:marBottom w:val="0"/>
      <w:divBdr>
        <w:top w:val="none" w:sz="0" w:space="0" w:color="auto"/>
        <w:left w:val="none" w:sz="0" w:space="0" w:color="auto"/>
        <w:bottom w:val="none" w:sz="0" w:space="0" w:color="auto"/>
        <w:right w:val="none" w:sz="0" w:space="0" w:color="auto"/>
      </w:divBdr>
    </w:div>
    <w:div w:id="1154029676">
      <w:bodyDiv w:val="1"/>
      <w:marLeft w:val="0"/>
      <w:marRight w:val="0"/>
      <w:marTop w:val="0"/>
      <w:marBottom w:val="0"/>
      <w:divBdr>
        <w:top w:val="none" w:sz="0" w:space="0" w:color="auto"/>
        <w:left w:val="none" w:sz="0" w:space="0" w:color="auto"/>
        <w:bottom w:val="none" w:sz="0" w:space="0" w:color="auto"/>
        <w:right w:val="none" w:sz="0" w:space="0" w:color="auto"/>
      </w:divBdr>
    </w:div>
    <w:div w:id="1194074906">
      <w:bodyDiv w:val="1"/>
      <w:marLeft w:val="0"/>
      <w:marRight w:val="0"/>
      <w:marTop w:val="0"/>
      <w:marBottom w:val="0"/>
      <w:divBdr>
        <w:top w:val="none" w:sz="0" w:space="0" w:color="auto"/>
        <w:left w:val="none" w:sz="0" w:space="0" w:color="auto"/>
        <w:bottom w:val="none" w:sz="0" w:space="0" w:color="auto"/>
        <w:right w:val="none" w:sz="0" w:space="0" w:color="auto"/>
      </w:divBdr>
    </w:div>
    <w:div w:id="1262031817">
      <w:bodyDiv w:val="1"/>
      <w:marLeft w:val="0"/>
      <w:marRight w:val="0"/>
      <w:marTop w:val="0"/>
      <w:marBottom w:val="0"/>
      <w:divBdr>
        <w:top w:val="none" w:sz="0" w:space="0" w:color="auto"/>
        <w:left w:val="none" w:sz="0" w:space="0" w:color="auto"/>
        <w:bottom w:val="none" w:sz="0" w:space="0" w:color="auto"/>
        <w:right w:val="none" w:sz="0" w:space="0" w:color="auto"/>
      </w:divBdr>
    </w:div>
    <w:div w:id="1299650999">
      <w:bodyDiv w:val="1"/>
      <w:marLeft w:val="0"/>
      <w:marRight w:val="0"/>
      <w:marTop w:val="0"/>
      <w:marBottom w:val="0"/>
      <w:divBdr>
        <w:top w:val="none" w:sz="0" w:space="0" w:color="auto"/>
        <w:left w:val="none" w:sz="0" w:space="0" w:color="auto"/>
        <w:bottom w:val="none" w:sz="0" w:space="0" w:color="auto"/>
        <w:right w:val="none" w:sz="0" w:space="0" w:color="auto"/>
      </w:divBdr>
    </w:div>
    <w:div w:id="1332442699">
      <w:bodyDiv w:val="1"/>
      <w:marLeft w:val="0"/>
      <w:marRight w:val="0"/>
      <w:marTop w:val="0"/>
      <w:marBottom w:val="0"/>
      <w:divBdr>
        <w:top w:val="none" w:sz="0" w:space="0" w:color="auto"/>
        <w:left w:val="none" w:sz="0" w:space="0" w:color="auto"/>
        <w:bottom w:val="none" w:sz="0" w:space="0" w:color="auto"/>
        <w:right w:val="none" w:sz="0" w:space="0" w:color="auto"/>
      </w:divBdr>
    </w:div>
    <w:div w:id="1362433673">
      <w:bodyDiv w:val="1"/>
      <w:marLeft w:val="0"/>
      <w:marRight w:val="0"/>
      <w:marTop w:val="0"/>
      <w:marBottom w:val="0"/>
      <w:divBdr>
        <w:top w:val="none" w:sz="0" w:space="0" w:color="auto"/>
        <w:left w:val="none" w:sz="0" w:space="0" w:color="auto"/>
        <w:bottom w:val="none" w:sz="0" w:space="0" w:color="auto"/>
        <w:right w:val="none" w:sz="0" w:space="0" w:color="auto"/>
      </w:divBdr>
    </w:div>
    <w:div w:id="1369573113">
      <w:bodyDiv w:val="1"/>
      <w:marLeft w:val="0"/>
      <w:marRight w:val="0"/>
      <w:marTop w:val="0"/>
      <w:marBottom w:val="0"/>
      <w:divBdr>
        <w:top w:val="none" w:sz="0" w:space="0" w:color="auto"/>
        <w:left w:val="none" w:sz="0" w:space="0" w:color="auto"/>
        <w:bottom w:val="none" w:sz="0" w:space="0" w:color="auto"/>
        <w:right w:val="none" w:sz="0" w:space="0" w:color="auto"/>
      </w:divBdr>
    </w:div>
    <w:div w:id="1514765667">
      <w:bodyDiv w:val="1"/>
      <w:marLeft w:val="0"/>
      <w:marRight w:val="0"/>
      <w:marTop w:val="0"/>
      <w:marBottom w:val="0"/>
      <w:divBdr>
        <w:top w:val="none" w:sz="0" w:space="0" w:color="auto"/>
        <w:left w:val="none" w:sz="0" w:space="0" w:color="auto"/>
        <w:bottom w:val="none" w:sz="0" w:space="0" w:color="auto"/>
        <w:right w:val="none" w:sz="0" w:space="0" w:color="auto"/>
      </w:divBdr>
    </w:div>
    <w:div w:id="1527596982">
      <w:bodyDiv w:val="1"/>
      <w:marLeft w:val="0"/>
      <w:marRight w:val="0"/>
      <w:marTop w:val="0"/>
      <w:marBottom w:val="0"/>
      <w:divBdr>
        <w:top w:val="none" w:sz="0" w:space="0" w:color="auto"/>
        <w:left w:val="none" w:sz="0" w:space="0" w:color="auto"/>
        <w:bottom w:val="none" w:sz="0" w:space="0" w:color="auto"/>
        <w:right w:val="none" w:sz="0" w:space="0" w:color="auto"/>
      </w:divBdr>
    </w:div>
    <w:div w:id="1538201461">
      <w:bodyDiv w:val="1"/>
      <w:marLeft w:val="0"/>
      <w:marRight w:val="0"/>
      <w:marTop w:val="0"/>
      <w:marBottom w:val="0"/>
      <w:divBdr>
        <w:top w:val="none" w:sz="0" w:space="0" w:color="auto"/>
        <w:left w:val="none" w:sz="0" w:space="0" w:color="auto"/>
        <w:bottom w:val="none" w:sz="0" w:space="0" w:color="auto"/>
        <w:right w:val="none" w:sz="0" w:space="0" w:color="auto"/>
      </w:divBdr>
    </w:div>
    <w:div w:id="1587760903">
      <w:bodyDiv w:val="1"/>
      <w:marLeft w:val="0"/>
      <w:marRight w:val="0"/>
      <w:marTop w:val="0"/>
      <w:marBottom w:val="0"/>
      <w:divBdr>
        <w:top w:val="none" w:sz="0" w:space="0" w:color="auto"/>
        <w:left w:val="none" w:sz="0" w:space="0" w:color="auto"/>
        <w:bottom w:val="none" w:sz="0" w:space="0" w:color="auto"/>
        <w:right w:val="none" w:sz="0" w:space="0" w:color="auto"/>
      </w:divBdr>
    </w:div>
    <w:div w:id="1611275865">
      <w:bodyDiv w:val="1"/>
      <w:marLeft w:val="0"/>
      <w:marRight w:val="0"/>
      <w:marTop w:val="0"/>
      <w:marBottom w:val="0"/>
      <w:divBdr>
        <w:top w:val="none" w:sz="0" w:space="0" w:color="auto"/>
        <w:left w:val="none" w:sz="0" w:space="0" w:color="auto"/>
        <w:bottom w:val="none" w:sz="0" w:space="0" w:color="auto"/>
        <w:right w:val="none" w:sz="0" w:space="0" w:color="auto"/>
      </w:divBdr>
    </w:div>
    <w:div w:id="1633056647">
      <w:bodyDiv w:val="1"/>
      <w:marLeft w:val="0"/>
      <w:marRight w:val="0"/>
      <w:marTop w:val="0"/>
      <w:marBottom w:val="0"/>
      <w:divBdr>
        <w:top w:val="none" w:sz="0" w:space="0" w:color="auto"/>
        <w:left w:val="none" w:sz="0" w:space="0" w:color="auto"/>
        <w:bottom w:val="none" w:sz="0" w:space="0" w:color="auto"/>
        <w:right w:val="none" w:sz="0" w:space="0" w:color="auto"/>
      </w:divBdr>
    </w:div>
    <w:div w:id="1774401931">
      <w:bodyDiv w:val="1"/>
      <w:marLeft w:val="0"/>
      <w:marRight w:val="0"/>
      <w:marTop w:val="0"/>
      <w:marBottom w:val="0"/>
      <w:divBdr>
        <w:top w:val="none" w:sz="0" w:space="0" w:color="auto"/>
        <w:left w:val="none" w:sz="0" w:space="0" w:color="auto"/>
        <w:bottom w:val="none" w:sz="0" w:space="0" w:color="auto"/>
        <w:right w:val="none" w:sz="0" w:space="0" w:color="auto"/>
      </w:divBdr>
    </w:div>
    <w:div w:id="1891844003">
      <w:bodyDiv w:val="1"/>
      <w:marLeft w:val="0"/>
      <w:marRight w:val="0"/>
      <w:marTop w:val="0"/>
      <w:marBottom w:val="0"/>
      <w:divBdr>
        <w:top w:val="none" w:sz="0" w:space="0" w:color="auto"/>
        <w:left w:val="none" w:sz="0" w:space="0" w:color="auto"/>
        <w:bottom w:val="none" w:sz="0" w:space="0" w:color="auto"/>
        <w:right w:val="none" w:sz="0" w:space="0" w:color="auto"/>
      </w:divBdr>
    </w:div>
    <w:div w:id="2032297061">
      <w:bodyDiv w:val="1"/>
      <w:marLeft w:val="0"/>
      <w:marRight w:val="0"/>
      <w:marTop w:val="0"/>
      <w:marBottom w:val="0"/>
      <w:divBdr>
        <w:top w:val="none" w:sz="0" w:space="0" w:color="auto"/>
        <w:left w:val="none" w:sz="0" w:space="0" w:color="auto"/>
        <w:bottom w:val="none" w:sz="0" w:space="0" w:color="auto"/>
        <w:right w:val="none" w:sz="0" w:space="0" w:color="auto"/>
      </w:divBdr>
    </w:div>
    <w:div w:id="2069765688">
      <w:bodyDiv w:val="1"/>
      <w:marLeft w:val="0"/>
      <w:marRight w:val="0"/>
      <w:marTop w:val="0"/>
      <w:marBottom w:val="0"/>
      <w:divBdr>
        <w:top w:val="none" w:sz="0" w:space="0" w:color="auto"/>
        <w:left w:val="none" w:sz="0" w:space="0" w:color="auto"/>
        <w:bottom w:val="none" w:sz="0" w:space="0" w:color="auto"/>
        <w:right w:val="none" w:sz="0" w:space="0" w:color="auto"/>
      </w:divBdr>
    </w:div>
    <w:div w:id="20827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c9_v xmlns="cb7eed14-1ed6-4f4f-9464-e9d73fc2f8e9">2026</_x00c9_v>
    <T_x00e9_ma xmlns="cb7eed14-1ed6-4f4f-9464-e9d73fc2f8e9">Monitoring</T_x00e9_ma>
    <L_x00e1_that_x00f3_s_x00e1_g xmlns="cb7eed14-1ed6-4f4f-9464-e9d73fc2f8e9">Publikus</L_x00e1_that_x00f3_s_x00e1_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CDF1BD466E83E842902559549E0F08F2" ma:contentTypeVersion="5" ma:contentTypeDescription="Új dokumentum létrehozása." ma:contentTypeScope="" ma:versionID="4b44a68e156a5b79248640aeafc70798">
  <xsd:schema xmlns:xsd="http://www.w3.org/2001/XMLSchema" xmlns:xs="http://www.w3.org/2001/XMLSchema" xmlns:p="http://schemas.microsoft.com/office/2006/metadata/properties" xmlns:ns2="cb7eed14-1ed6-4f4f-9464-e9d73fc2f8e9" xmlns:ns3="9669010e-b829-4d86-87dd-cdce11b02043" targetNamespace="http://schemas.microsoft.com/office/2006/metadata/properties" ma:root="true" ma:fieldsID="bd0071a6f26b893e5271513f12c665f5" ns2:_="" ns3:_="">
    <xsd:import namespace="cb7eed14-1ed6-4f4f-9464-e9d73fc2f8e9"/>
    <xsd:import namespace="9669010e-b829-4d86-87dd-cdce11b02043"/>
    <xsd:element name="properties">
      <xsd:complexType>
        <xsd:sequence>
          <xsd:element name="documentManagement">
            <xsd:complexType>
              <xsd:all>
                <xsd:element ref="ns2:T_x00e9_ma" minOccurs="0"/>
                <xsd:element ref="ns2:_x00c9_v"/>
                <xsd:element ref="ns2:L_x00e1_that_x00f3_s_x00e1_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eed14-1ed6-4f4f-9464-e9d73fc2f8e9" elementFormDefault="qualified">
    <xsd:import namespace="http://schemas.microsoft.com/office/2006/documentManagement/types"/>
    <xsd:import namespace="http://schemas.microsoft.com/office/infopath/2007/PartnerControls"/>
    <xsd:element name="T_x00e9_ma" ma:index="2" nillable="true" ma:displayName="Téma" ma:format="Dropdown" ma:internalName="T_x00e9_ma">
      <xsd:simpleType>
        <xsd:restriction base="dms:Choice">
          <xsd:enumeration value="Tervezés"/>
          <xsd:enumeration value="Zárszámadás"/>
          <xsd:enumeration value="Törvénymódosítás"/>
          <xsd:enumeration value="ÁSZ ellenőrzés"/>
          <xsd:enumeration value="Gyorsjelentés"/>
          <xsd:enumeration value="Monitoring"/>
          <xsd:enumeration value="Tervezési tájékoztató"/>
          <xsd:enumeration value="Útmutató"/>
          <xsd:enumeration value="Munkaprogram"/>
          <xsd:enumeration value="Ütemterv"/>
          <xsd:enumeration value="Módosító"/>
          <xsd:enumeration value="Kormányülés"/>
          <xsd:enumeration value="Gazdasági kabinet"/>
          <xsd:enumeration value="Stratégiai kabinet"/>
          <xsd:enumeration value="IFMIS"/>
          <xsd:enumeration value="Fejezeten belüli átcsoportosítás"/>
          <xsd:enumeration value="Címlista"/>
          <xsd:enumeration value="BEÜ"/>
          <xsd:enumeration value="Koronavírus"/>
          <xsd:enumeration value="Tudásbázis"/>
          <xsd:enumeration value="Kiemelt fejlesztési igények"/>
          <xsd:enumeration value="Iktatás"/>
        </xsd:restriction>
      </xsd:simpleType>
    </xsd:element>
    <xsd:element name="_x00c9_v" ma:index="3" ma:displayName="Év" ma:default="2018" ma:format="Dropdown" ma:internalName="_x00c9_v">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L_x00e1_that_x00f3_s_x00e1_g" ma:index="4" nillable="true" ma:displayName="Láthatóság" ma:default="Publikus" ma:format="Dropdown" ma:internalName="L_x00e1_that_x00f3_s_x00e1_g">
      <xsd:simpleType>
        <xsd:restriction base="dms:Choice">
          <xsd:enumeration value="Publikus"/>
          <xsd:enumeration value="Csak admin látja (verziókat tartalmaz)"/>
        </xsd:restriction>
      </xsd:simpleType>
    </xsd:element>
  </xsd:schema>
  <xsd:schema xmlns:xsd="http://www.w3.org/2001/XMLSchema" xmlns:xs="http://www.w3.org/2001/XMLSchema" xmlns:dms="http://schemas.microsoft.com/office/2006/documentManagement/types" xmlns:pc="http://schemas.microsoft.com/office/infopath/2007/PartnerControls" targetNamespace="9669010e-b829-4d86-87dd-cdce11b02043" elementFormDefault="qualified">
    <xsd:import namespace="http://schemas.microsoft.com/office/2006/documentManagement/types"/>
    <xsd:import namespace="http://schemas.microsoft.com/office/infopath/2007/PartnerControls"/>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C958D-48DC-4564-B24D-56E63215790F}">
  <ds:schemaRefs>
    <ds:schemaRef ds:uri="http://schemas.microsoft.com/office/2006/metadata/properties"/>
    <ds:schemaRef ds:uri="http://schemas.microsoft.com/office/infopath/2007/PartnerControls"/>
    <ds:schemaRef ds:uri="cb7eed14-1ed6-4f4f-9464-e9d73fc2f8e9"/>
  </ds:schemaRefs>
</ds:datastoreItem>
</file>

<file path=customXml/itemProps2.xml><?xml version="1.0" encoding="utf-8"?>
<ds:datastoreItem xmlns:ds="http://schemas.openxmlformats.org/officeDocument/2006/customXml" ds:itemID="{BDD0F6AD-19C0-4D6B-ABDF-2564A2CC5C1F}">
  <ds:schemaRefs>
    <ds:schemaRef ds:uri="http://schemas.microsoft.com/sharepoint/v3/contenttype/forms"/>
  </ds:schemaRefs>
</ds:datastoreItem>
</file>

<file path=customXml/itemProps3.xml><?xml version="1.0" encoding="utf-8"?>
<ds:datastoreItem xmlns:ds="http://schemas.openxmlformats.org/officeDocument/2006/customXml" ds:itemID="{5CA586D6-34E9-4F44-BFA2-68B7223E3D8A}">
  <ds:schemaRefs>
    <ds:schemaRef ds:uri="http://schemas.openxmlformats.org/officeDocument/2006/bibliography"/>
  </ds:schemaRefs>
</ds:datastoreItem>
</file>

<file path=customXml/itemProps4.xml><?xml version="1.0" encoding="utf-8"?>
<ds:datastoreItem xmlns:ds="http://schemas.openxmlformats.org/officeDocument/2006/customXml" ds:itemID="{1AAFD48C-7926-4BF1-87F7-A322FB81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eed14-1ed6-4f4f-9464-e9d73fc2f8e9"/>
    <ds:schemaRef ds:uri="9669010e-b829-4d86-87dd-cdce11b02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21</Pages>
  <Words>4915</Words>
  <Characters>33916</Characters>
  <Application>Microsoft Office Word</Application>
  <DocSecurity>0</DocSecurity>
  <Lines>282</Lines>
  <Paragraphs>77</Paragraphs>
  <ScaleCrop>false</ScaleCrop>
  <HeadingPairs>
    <vt:vector size="2" baseType="variant">
      <vt:variant>
        <vt:lpstr>Cím</vt:lpstr>
      </vt:variant>
      <vt:variant>
        <vt:i4>1</vt:i4>
      </vt:variant>
    </vt:vector>
  </HeadingPairs>
  <TitlesOfParts>
    <vt:vector size="1" baseType="lpstr">
      <vt:lpstr/>
    </vt:vector>
  </TitlesOfParts>
  <Company>NISZ Zrt.</Company>
  <LinksUpToDate>false</LinksUpToDate>
  <CharactersWithSpaces>38754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cp:revision>
  <cp:lastPrinted>2026-05-15T07:24:00Z</cp:lastPrinted>
  <dcterms:created xsi:type="dcterms:W3CDTF">2026-06-13T13:02:00Z</dcterms:created>
  <dcterms:modified xsi:type="dcterms:W3CDTF">2026-06-17T08:17:00Z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0x010100CDF1BD466E83E842902559549E0F08F2</vt:lpwstr>
  </property>
</Properties>
</file>