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F0192" w14:textId="7BEF3357" w:rsidR="005E3DB1" w:rsidRPr="00CC0016" w:rsidRDefault="0FCC8A84" w:rsidP="0FCC8A84">
      <w:pPr>
        <w:tabs>
          <w:tab w:val="left" w:pos="6379"/>
        </w:tabs>
        <w:ind w:left="-142" w:right="-1" w:firstLine="142"/>
        <w:jc w:val="left"/>
        <w:rPr>
          <w:b/>
          <w:bCs/>
          <w:smallCaps/>
          <w:sz w:val="32"/>
          <w:szCs w:val="32"/>
        </w:rPr>
      </w:pPr>
      <w:r w:rsidRPr="0FCC8A84">
        <w:rPr>
          <w:b/>
          <w:bCs/>
          <w:smallCaps/>
          <w:sz w:val="32"/>
          <w:szCs w:val="32"/>
        </w:rPr>
        <w:t>Pénzügyminisztérium</w:t>
      </w:r>
    </w:p>
    <w:p w14:paraId="5D4F0193" w14:textId="77777777" w:rsidR="005E3DB1" w:rsidRPr="00CC0016" w:rsidRDefault="005E3DB1" w:rsidP="00BD2597">
      <w:pPr>
        <w:ind w:left="-142" w:firstLine="142"/>
      </w:pPr>
    </w:p>
    <w:p w14:paraId="5D4F0194" w14:textId="77777777" w:rsidR="005E3DB1" w:rsidRPr="00CC0016" w:rsidRDefault="005E3DB1" w:rsidP="000556FC">
      <w:pPr>
        <w:pStyle w:val="Cm"/>
        <w:ind w:right="0"/>
      </w:pPr>
    </w:p>
    <w:p w14:paraId="5D4F0195" w14:textId="77777777" w:rsidR="005E3DB1" w:rsidRPr="00CC0016" w:rsidRDefault="005E3DB1" w:rsidP="000556FC">
      <w:pPr>
        <w:pStyle w:val="Cm"/>
        <w:ind w:right="0"/>
      </w:pPr>
    </w:p>
    <w:p w14:paraId="5D4F0197" w14:textId="77777777" w:rsidR="005E3DB1" w:rsidRDefault="005E3DB1" w:rsidP="000556FC">
      <w:pPr>
        <w:pStyle w:val="Cm"/>
        <w:ind w:right="0"/>
      </w:pPr>
    </w:p>
    <w:p w14:paraId="79075E45" w14:textId="77777777" w:rsidR="00171DAF" w:rsidRPr="00CC0016" w:rsidRDefault="00171DAF" w:rsidP="000556FC">
      <w:pPr>
        <w:pStyle w:val="Cm"/>
        <w:ind w:right="0"/>
      </w:pPr>
    </w:p>
    <w:p w14:paraId="5D4F0198" w14:textId="77777777" w:rsidR="005E3DB1" w:rsidRPr="00CC0016" w:rsidRDefault="005E3DB1" w:rsidP="000556FC">
      <w:pPr>
        <w:pStyle w:val="Cm"/>
        <w:ind w:right="0"/>
      </w:pPr>
    </w:p>
    <w:p w14:paraId="5D4F0199" w14:textId="77777777" w:rsidR="008D430E" w:rsidRPr="00BE0A0E" w:rsidRDefault="008D430E" w:rsidP="000556FC">
      <w:pPr>
        <w:pStyle w:val="Cm"/>
        <w:ind w:right="0"/>
        <w:rPr>
          <w:sz w:val="26"/>
          <w:szCs w:val="26"/>
        </w:rPr>
      </w:pPr>
    </w:p>
    <w:p w14:paraId="5D4F019A" w14:textId="77777777" w:rsidR="005E3DB1" w:rsidRPr="00CC0016" w:rsidRDefault="005E3DB1" w:rsidP="000556FC">
      <w:pPr>
        <w:pStyle w:val="Cm"/>
        <w:ind w:right="0"/>
      </w:pPr>
    </w:p>
    <w:p w14:paraId="5D4F019B" w14:textId="77777777" w:rsidR="005E3DB1" w:rsidRPr="00CC0016" w:rsidRDefault="005E3DB1" w:rsidP="000556FC">
      <w:pPr>
        <w:pStyle w:val="Cm"/>
        <w:ind w:right="0"/>
      </w:pPr>
    </w:p>
    <w:p w14:paraId="5D4F019C" w14:textId="77777777" w:rsidR="005E3DB1" w:rsidRPr="00CC0016" w:rsidRDefault="005E3DB1" w:rsidP="000556FC">
      <w:pPr>
        <w:pStyle w:val="Cm"/>
        <w:ind w:right="0"/>
      </w:pPr>
    </w:p>
    <w:p w14:paraId="5D4F019D" w14:textId="77777777" w:rsidR="00F630A3" w:rsidRPr="00CC0016" w:rsidRDefault="00F630A3" w:rsidP="000556FC">
      <w:pPr>
        <w:pStyle w:val="Cm"/>
        <w:ind w:right="0"/>
      </w:pPr>
    </w:p>
    <w:p w14:paraId="5D4F019E" w14:textId="77777777" w:rsidR="000C5968" w:rsidRPr="00CC0016" w:rsidRDefault="000C5968" w:rsidP="000556FC">
      <w:pPr>
        <w:pStyle w:val="Cm"/>
        <w:ind w:right="0"/>
      </w:pPr>
    </w:p>
    <w:p w14:paraId="5D4F019F" w14:textId="77777777" w:rsidR="005E3DB1" w:rsidRPr="00CC0016" w:rsidRDefault="005E3DB1" w:rsidP="000556FC">
      <w:pPr>
        <w:pStyle w:val="Cm"/>
        <w:ind w:right="0"/>
      </w:pPr>
      <w:r w:rsidRPr="00CC0016">
        <w:t>Tájékoztató</w:t>
      </w:r>
      <w:r w:rsidRPr="00164FAC">
        <w:footnoteReference w:customMarkFollows="1" w:id="2"/>
        <w:t>*</w:t>
      </w:r>
    </w:p>
    <w:p w14:paraId="5D4F01A0" w14:textId="78378584" w:rsidR="00B93477" w:rsidRPr="0014703F" w:rsidRDefault="0FCC8A84" w:rsidP="0FCC8A84">
      <w:pPr>
        <w:pStyle w:val="Cmsor2"/>
        <w:tabs>
          <w:tab w:val="left" w:pos="2694"/>
        </w:tabs>
        <w:spacing w:before="0" w:after="120"/>
        <w:ind w:right="-1"/>
        <w:rPr>
          <w:i/>
          <w:caps w:val="0"/>
          <w:szCs w:val="26"/>
        </w:rPr>
      </w:pPr>
      <w:r w:rsidRPr="0014703F">
        <w:rPr>
          <w:i/>
          <w:caps w:val="0"/>
          <w:szCs w:val="26"/>
        </w:rPr>
        <w:t>az államháztartás központi alrendszerének</w:t>
      </w:r>
      <w:r w:rsidR="6B0A3B39" w:rsidRPr="0014703F">
        <w:rPr>
          <w:i/>
          <w:caps w:val="0"/>
          <w:szCs w:val="26"/>
        </w:rPr>
        <w:br/>
      </w:r>
      <w:r w:rsidRPr="0014703F">
        <w:rPr>
          <w:i/>
          <w:caps w:val="0"/>
          <w:szCs w:val="26"/>
        </w:rPr>
        <w:t>2021. május végi helyzetéről</w:t>
      </w:r>
    </w:p>
    <w:p w14:paraId="5D4F01A1" w14:textId="77777777" w:rsidR="005E3DB1" w:rsidRPr="00275D19" w:rsidRDefault="005E3DB1" w:rsidP="00275D19">
      <w:pPr>
        <w:pStyle w:val="Cmsor2"/>
        <w:tabs>
          <w:tab w:val="left" w:pos="2694"/>
        </w:tabs>
        <w:spacing w:before="0" w:after="120"/>
        <w:ind w:right="-1"/>
        <w:rPr>
          <w:i/>
          <w:caps w:val="0"/>
          <w:szCs w:val="26"/>
        </w:rPr>
      </w:pPr>
    </w:p>
    <w:p w14:paraId="5D4F01A2" w14:textId="77777777" w:rsidR="005E3DB1" w:rsidRPr="00CC0016" w:rsidRDefault="005E3DB1" w:rsidP="000556FC">
      <w:pPr>
        <w:tabs>
          <w:tab w:val="left" w:pos="2694"/>
        </w:tabs>
      </w:pPr>
    </w:p>
    <w:p w14:paraId="5D4F01A3" w14:textId="77777777" w:rsidR="005E3DB1" w:rsidRPr="00CC0016" w:rsidRDefault="005E3DB1" w:rsidP="000556FC">
      <w:pPr>
        <w:pStyle w:val="lfej"/>
        <w:tabs>
          <w:tab w:val="clear" w:pos="4153"/>
          <w:tab w:val="clear" w:pos="8306"/>
          <w:tab w:val="left" w:pos="2694"/>
        </w:tabs>
      </w:pPr>
    </w:p>
    <w:p w14:paraId="5D4F01A4" w14:textId="77777777" w:rsidR="005E3DB1" w:rsidRPr="00CC0016" w:rsidRDefault="005E3DB1" w:rsidP="000556FC">
      <w:pPr>
        <w:tabs>
          <w:tab w:val="left" w:pos="2694"/>
        </w:tabs>
      </w:pPr>
    </w:p>
    <w:p w14:paraId="5D4F01A5" w14:textId="77777777" w:rsidR="005E3DB1" w:rsidRPr="00CC0016" w:rsidRDefault="005E3DB1" w:rsidP="000556FC">
      <w:pPr>
        <w:tabs>
          <w:tab w:val="left" w:pos="2694"/>
        </w:tabs>
      </w:pPr>
    </w:p>
    <w:p w14:paraId="5D4F01A6" w14:textId="77777777" w:rsidR="005E3DB1" w:rsidRPr="00CC0016" w:rsidRDefault="005E3DB1" w:rsidP="000556FC">
      <w:pPr>
        <w:tabs>
          <w:tab w:val="left" w:pos="2694"/>
        </w:tabs>
      </w:pPr>
    </w:p>
    <w:p w14:paraId="5D4F01A7" w14:textId="77777777" w:rsidR="005E3DB1" w:rsidRPr="00CC0016" w:rsidRDefault="005E3DB1" w:rsidP="000556FC"/>
    <w:p w14:paraId="5D4F01A8" w14:textId="77777777" w:rsidR="00771455" w:rsidRPr="00CC0016" w:rsidRDefault="00771455" w:rsidP="000556FC"/>
    <w:p w14:paraId="5D4F01A9" w14:textId="77777777" w:rsidR="00C37774" w:rsidRPr="00CC0016" w:rsidRDefault="00C37774" w:rsidP="000556FC"/>
    <w:p w14:paraId="5D4F01AA" w14:textId="77777777" w:rsidR="00C37774" w:rsidRPr="00CC0016" w:rsidRDefault="00C37774" w:rsidP="000556FC"/>
    <w:p w14:paraId="5D4F01AB" w14:textId="77777777" w:rsidR="00C37774" w:rsidRPr="00CC0016" w:rsidRDefault="00C37774" w:rsidP="000556FC"/>
    <w:p w14:paraId="5D4F01AC" w14:textId="68914FC2" w:rsidR="007E4053" w:rsidRPr="00994A5F" w:rsidRDefault="00FA7AFF" w:rsidP="0FCC8A84">
      <w:pPr>
        <w:tabs>
          <w:tab w:val="left" w:pos="2694"/>
        </w:tabs>
        <w:jc w:val="center"/>
        <w:rPr>
          <w:b/>
          <w:bCs/>
          <w:sz w:val="22"/>
          <w:szCs w:val="22"/>
        </w:rPr>
      </w:pPr>
      <w:r w:rsidRPr="00994A5F">
        <w:rPr>
          <w:b/>
          <w:bCs/>
          <w:noProof/>
          <w:sz w:val="22"/>
          <w:szCs w:val="22"/>
        </w:rPr>
        <mc:AlternateContent>
          <mc:Choice Requires="wps">
            <w:drawing>
              <wp:anchor distT="0" distB="0" distL="114300" distR="114300" simplePos="0" relativeHeight="251658240" behindDoc="0" locked="0" layoutInCell="1" allowOverlap="1" wp14:anchorId="5D4F0455" wp14:editId="6DDE0D92">
                <wp:simplePos x="0" y="0"/>
                <wp:positionH relativeFrom="column">
                  <wp:posOffset>2336732</wp:posOffset>
                </wp:positionH>
                <wp:positionV relativeFrom="paragraph">
                  <wp:posOffset>980217</wp:posOffset>
                </wp:positionV>
                <wp:extent cx="971550" cy="393065"/>
                <wp:effectExtent l="0" t="0" r="0" b="698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9543F" id="Rectangle 2" o:spid="_x0000_s1026" style="position:absolute;margin-left:184pt;margin-top:77.2pt;width:76.5pt;height: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zDewIAAPo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" stroked="f"/>
            </w:pict>
          </mc:Fallback>
        </mc:AlternateContent>
      </w:r>
      <w:r w:rsidR="00A67C37" w:rsidRPr="00994A5F">
        <w:rPr>
          <w:b/>
          <w:bCs/>
          <w:sz w:val="22"/>
          <w:szCs w:val="22"/>
        </w:rPr>
        <w:t>20</w:t>
      </w:r>
      <w:r w:rsidR="00C90993">
        <w:rPr>
          <w:b/>
          <w:bCs/>
          <w:sz w:val="22"/>
          <w:szCs w:val="22"/>
        </w:rPr>
        <w:t>2</w:t>
      </w:r>
      <w:r w:rsidR="00AD66A7">
        <w:rPr>
          <w:b/>
          <w:bCs/>
          <w:sz w:val="22"/>
          <w:szCs w:val="22"/>
        </w:rPr>
        <w:t>1</w:t>
      </w:r>
      <w:r w:rsidR="007E4053" w:rsidRPr="00994A5F">
        <w:rPr>
          <w:b/>
          <w:bCs/>
          <w:sz w:val="22"/>
          <w:szCs w:val="22"/>
        </w:rPr>
        <w:t>.</w:t>
      </w:r>
      <w:r w:rsidR="00F30C75">
        <w:rPr>
          <w:b/>
          <w:bCs/>
          <w:sz w:val="22"/>
          <w:szCs w:val="22"/>
        </w:rPr>
        <w:t xml:space="preserve"> </w:t>
      </w:r>
      <w:r w:rsidR="001C3B09">
        <w:rPr>
          <w:b/>
          <w:bCs/>
          <w:sz w:val="22"/>
          <w:szCs w:val="22"/>
        </w:rPr>
        <w:t>június</w:t>
      </w:r>
    </w:p>
    <w:p w14:paraId="5D4F01AD" w14:textId="77777777" w:rsidR="007E4053" w:rsidRPr="00CC0016" w:rsidRDefault="007E4053" w:rsidP="000556FC">
      <w:pPr>
        <w:tabs>
          <w:tab w:val="left" w:pos="2694"/>
        </w:tabs>
        <w:jc w:val="center"/>
        <w:rPr>
          <w:b/>
          <w:bCs/>
          <w:szCs w:val="28"/>
        </w:rPr>
        <w:sectPr w:rsidR="007E4053" w:rsidRPr="00CC0016" w:rsidSect="00D46179">
          <w:footerReference w:type="default" r:id="rId11"/>
          <w:footerReference w:type="first" r:id="rId12"/>
          <w:footnotePr>
            <w:numRestart w:val="eachPage"/>
          </w:footnotePr>
          <w:pgSz w:w="11907" w:h="16840" w:code="9"/>
          <w:pgMar w:top="1418" w:right="1418" w:bottom="1418" w:left="1418" w:header="709" w:footer="709" w:gutter="0"/>
          <w:pgNumType w:fmt="numberInDash" w:start="0"/>
          <w:cols w:space="708"/>
          <w:titlePg/>
          <w:docGrid w:linePitch="354"/>
        </w:sectPr>
      </w:pPr>
    </w:p>
    <w:p w14:paraId="5D4F01AE" w14:textId="77777777" w:rsidR="00B93477" w:rsidRDefault="0FCC8A84" w:rsidP="0FCC8A84">
      <w:pPr>
        <w:pStyle w:val="Cmsor4"/>
        <w:jc w:val="center"/>
        <w:rPr>
          <w:caps/>
        </w:rPr>
      </w:pPr>
      <w:r w:rsidRPr="0FCC8A84">
        <w:rPr>
          <w:caps/>
        </w:rPr>
        <w:lastRenderedPageBreak/>
        <w:t>Összefoglalás</w:t>
      </w:r>
    </w:p>
    <w:p w14:paraId="263853DE" w14:textId="77777777" w:rsidR="009E2AEE" w:rsidRDefault="009E2AEE" w:rsidP="00A76795">
      <w:pPr>
        <w:spacing w:before="100" w:beforeAutospacing="1" w:after="100" w:afterAutospacing="1"/>
        <w:rPr>
          <w:rFonts w:cs="Tahoma"/>
          <w:color w:val="000000" w:themeColor="text1"/>
        </w:rPr>
      </w:pPr>
    </w:p>
    <w:p w14:paraId="6FEF2448" w14:textId="77777777" w:rsidR="008C231C" w:rsidRPr="008C231C" w:rsidRDefault="008C231C" w:rsidP="008C231C">
      <w:pPr>
        <w:rPr>
          <w:rFonts w:cs="Tahoma"/>
          <w:color w:val="000000" w:themeColor="text1"/>
        </w:rPr>
      </w:pPr>
      <w:r w:rsidRPr="008C231C">
        <w:rPr>
          <w:rFonts w:cs="Tahoma"/>
          <w:color w:val="000000" w:themeColor="text1"/>
        </w:rPr>
        <w:t xml:space="preserve">A 2021-es költségvetés </w:t>
      </w:r>
      <w:proofErr w:type="gramStart"/>
      <w:r w:rsidRPr="008C231C">
        <w:rPr>
          <w:rFonts w:cs="Tahoma"/>
          <w:color w:val="000000" w:themeColor="text1"/>
        </w:rPr>
        <w:t>fókuszában</w:t>
      </w:r>
      <w:proofErr w:type="gramEnd"/>
      <w:r w:rsidRPr="008C231C">
        <w:rPr>
          <w:rFonts w:cs="Tahoma"/>
          <w:color w:val="000000" w:themeColor="text1"/>
        </w:rPr>
        <w:t xml:space="preserve"> a gazdaság mielőbbi újraindítása áll. A kormány célja, hogy mindenki, akit a járvány nehéz helyzetbe hozott talpra állhasson. Ennek eredménye többek között az is, hogy 2021 első negyedévében az előző negyedévhez képest Magyarország bruttó hazai terméke 2%-kal nőtt.</w:t>
      </w:r>
    </w:p>
    <w:p w14:paraId="444FDFC8" w14:textId="77777777" w:rsidR="008C231C" w:rsidRPr="008C231C" w:rsidRDefault="008C231C" w:rsidP="008C231C">
      <w:pPr>
        <w:rPr>
          <w:rFonts w:cs="Tahoma"/>
          <w:color w:val="000000" w:themeColor="text1"/>
        </w:rPr>
      </w:pPr>
      <w:r w:rsidRPr="008C231C">
        <w:rPr>
          <w:rFonts w:cs="Tahoma"/>
          <w:color w:val="000000" w:themeColor="text1"/>
        </w:rPr>
        <w:t>Mindez már jelzi, hogy az eddigi gazdaságvédelmi és gazdaság-újraindítási intézkedések eredményesek voltak. A meghozott intézkedések következtében a költségvetés május végére 1312,6 milliárd forintos hiánnyal zárt. A növekvő kiadások alakulását dominánsan azon tételek befolyásolták, melyek a gazdaság újraindításához biztosítottak fedezetet.</w:t>
      </w:r>
    </w:p>
    <w:p w14:paraId="4748DEC9" w14:textId="77777777" w:rsidR="008C231C" w:rsidRPr="008C231C" w:rsidRDefault="008C231C" w:rsidP="008C231C">
      <w:pPr>
        <w:rPr>
          <w:rFonts w:cs="Tahoma"/>
          <w:color w:val="000000" w:themeColor="text1"/>
        </w:rPr>
      </w:pPr>
      <w:r w:rsidRPr="008C231C">
        <w:rPr>
          <w:rFonts w:cs="Tahoma"/>
          <w:color w:val="000000" w:themeColor="text1"/>
        </w:rPr>
        <w:t xml:space="preserve">A központi alrendszer első </w:t>
      </w:r>
      <w:proofErr w:type="spellStart"/>
      <w:r w:rsidRPr="008C231C">
        <w:rPr>
          <w:rFonts w:cs="Tahoma"/>
          <w:color w:val="000000" w:themeColor="text1"/>
        </w:rPr>
        <w:t>öthavi</w:t>
      </w:r>
      <w:proofErr w:type="spellEnd"/>
      <w:r w:rsidRPr="008C231C">
        <w:rPr>
          <w:rFonts w:cs="Tahoma"/>
          <w:color w:val="000000" w:themeColor="text1"/>
        </w:rPr>
        <w:t xml:space="preserve"> 1312,6 milliárd forintos hiányán belül a központi költségvetés 1171,0 milliárd forintos, a társadalombiztosítás pénzügyi alapjai 155,0 milliárd forintos hiányt, az elkülönített állami pénzalapok pedig 13,4 milliárd forintos többletet értek el.</w:t>
      </w:r>
    </w:p>
    <w:p w14:paraId="5197AAC5" w14:textId="77777777" w:rsidR="008C231C" w:rsidRPr="008C231C" w:rsidRDefault="008C231C" w:rsidP="008C231C">
      <w:pPr>
        <w:rPr>
          <w:rFonts w:cs="Tahoma"/>
          <w:color w:val="000000" w:themeColor="text1"/>
        </w:rPr>
      </w:pPr>
      <w:r w:rsidRPr="008C231C">
        <w:rPr>
          <w:rFonts w:cs="Tahoma"/>
          <w:color w:val="000000" w:themeColor="text1"/>
        </w:rPr>
        <w:t>2021 májusában a központi alrendszer 269,0 milliárd forintos hiánnyal zárt, mely 55,1 milliárd forinttal alacsonyabb az előző évi azonos havi hiánynál (324,1 milliárd forint).</w:t>
      </w:r>
    </w:p>
    <w:p w14:paraId="427F3B08" w14:textId="74F5EB8F" w:rsidR="008C231C" w:rsidRPr="008C231C" w:rsidRDefault="008C231C" w:rsidP="008C231C">
      <w:pPr>
        <w:rPr>
          <w:rFonts w:cs="Tahoma"/>
          <w:color w:val="000000" w:themeColor="text1"/>
        </w:rPr>
      </w:pPr>
      <w:r w:rsidRPr="008C231C">
        <w:rPr>
          <w:rFonts w:cs="Tahoma"/>
          <w:color w:val="000000" w:themeColor="text1"/>
        </w:rPr>
        <w:t>A központi alrendszer adó- és járulékbevételei vonatkozásában kiemelhető, hogy 2021 első öt hónapjában az előző év azonos időszakához képest magasabban teljesültek a társasági adóból, az általános forgalmi adóból, a személyi jövedelemadóból és a társadalombiztosítási járulékból származó bevételek. Elmaradtak viszont az előző évi május végi összegtől a szociális hozzájárulási adóból származó bevételek. A bevételek alakulását jelentősen befolyásolja a koronavírus-járvány gazdasági hatása és az ezzel kapcsolatosan bevezetett munkaadói kedvezmények, a szociális hozzájárulási adó 17,5%</w:t>
      </w:r>
      <w:r>
        <w:rPr>
          <w:rFonts w:cs="Tahoma"/>
          <w:color w:val="000000" w:themeColor="text1"/>
        </w:rPr>
        <w:noBreakHyphen/>
      </w:r>
      <w:r w:rsidRPr="008C231C">
        <w:rPr>
          <w:rFonts w:cs="Tahoma"/>
          <w:color w:val="000000" w:themeColor="text1"/>
        </w:rPr>
        <w:t>ról 15,5%-ra történő csökkentése, valamint a magasabb bérkiáramlás, az átlagkereset növekedése.</w:t>
      </w:r>
    </w:p>
    <w:p w14:paraId="2608783A" w14:textId="5FB22B2F" w:rsidR="008C231C" w:rsidRPr="008C231C" w:rsidRDefault="008C231C" w:rsidP="008C231C">
      <w:pPr>
        <w:rPr>
          <w:rFonts w:cs="Tahoma"/>
          <w:color w:val="000000" w:themeColor="text1"/>
        </w:rPr>
      </w:pPr>
      <w:r w:rsidRPr="008C231C">
        <w:rPr>
          <w:rFonts w:cs="Tahoma"/>
          <w:color w:val="000000" w:themeColor="text1"/>
        </w:rPr>
        <w:t>A 2021. évi költségvetési törvény módosítását az Országgyűlés május 26-án fogadta el. A módosítás fő eleme a gazdaság újraindításához szükséges források biztosítása, úgy hogy közben az adósságráta is csökkenjen. Így a módosított költségvetési törvény szerint a GDP</w:t>
      </w:r>
      <w:r w:rsidR="006C45C3">
        <w:rPr>
          <w:rFonts w:cs="Tahoma"/>
          <w:color w:val="000000" w:themeColor="text1"/>
        </w:rPr>
        <w:noBreakHyphen/>
      </w:r>
      <w:r w:rsidRPr="008C231C">
        <w:rPr>
          <w:rFonts w:cs="Tahoma"/>
          <w:color w:val="000000" w:themeColor="text1"/>
        </w:rPr>
        <w:t>arányos államadósság a 2020. év végi 80,4%-os szintről az idei év végére várhatóan 79,9%-ra csökken, valamint az új, uniós módszertan szerinti államháztartási hiánycél a GDP 7,5%-ára módosult.</w:t>
      </w:r>
    </w:p>
    <w:p w14:paraId="2DC32CAE" w14:textId="0001213C" w:rsidR="007C43B3" w:rsidRDefault="30891728" w:rsidP="7A495620">
      <w:pPr>
        <w:rPr>
          <w:rFonts w:cs="Tahoma"/>
          <w:color w:val="000000" w:themeColor="text1"/>
        </w:rPr>
      </w:pPr>
      <w:r w:rsidRPr="7A495620">
        <w:rPr>
          <w:rFonts w:cs="Tahoma"/>
          <w:color w:val="000000" w:themeColor="text1"/>
        </w:rPr>
        <w:br w:type="page"/>
      </w:r>
    </w:p>
    <w:p w14:paraId="73FFC378" w14:textId="7430E61F" w:rsidR="00CF2C49" w:rsidRDefault="0FCC8A84" w:rsidP="00CF2C49">
      <w:pPr>
        <w:keepNext/>
      </w:pPr>
      <w:r>
        <w:lastRenderedPageBreak/>
        <w:t xml:space="preserve">Az államháztartás központi alrendszerének 2021. </w:t>
      </w:r>
      <w:r w:rsidR="00B95DA2">
        <w:t xml:space="preserve">május </w:t>
      </w:r>
      <w:r>
        <w:t>végi főbb pénzforgalmi adatai a következők:</w:t>
      </w:r>
    </w:p>
    <w:p w14:paraId="3AFAF183" w14:textId="77777777" w:rsidR="00016501" w:rsidRDefault="00016501" w:rsidP="00CF2C49">
      <w:pPr>
        <w:keepNext/>
      </w:pPr>
    </w:p>
    <w:tbl>
      <w:tblPr>
        <w:tblW w:w="9820" w:type="dxa"/>
        <w:tblInd w:w="-72" w:type="dxa"/>
        <w:tblCellMar>
          <w:left w:w="70" w:type="dxa"/>
          <w:right w:w="70" w:type="dxa"/>
        </w:tblCellMar>
        <w:tblLook w:val="04A0" w:firstRow="1" w:lastRow="0" w:firstColumn="1" w:lastColumn="0" w:noHBand="0" w:noVBand="1"/>
      </w:tblPr>
      <w:tblGrid>
        <w:gridCol w:w="1660"/>
        <w:gridCol w:w="916"/>
        <w:gridCol w:w="916"/>
        <w:gridCol w:w="879"/>
        <w:gridCol w:w="918"/>
        <w:gridCol w:w="918"/>
        <w:gridCol w:w="916"/>
        <w:gridCol w:w="941"/>
        <w:gridCol w:w="941"/>
        <w:gridCol w:w="815"/>
      </w:tblGrid>
      <w:tr w:rsidR="00F51A36" w:rsidRPr="00F51A36" w14:paraId="288AAD5A" w14:textId="77777777" w:rsidTr="00F51A36">
        <w:trPr>
          <w:trHeight w:val="151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1B1BB" w14:textId="77777777" w:rsidR="00F51A36" w:rsidRPr="00F51A36" w:rsidRDefault="00F51A36" w:rsidP="00F51A36">
            <w:pPr>
              <w:spacing w:after="0"/>
              <w:jc w:val="left"/>
              <w:rPr>
                <w:sz w:val="16"/>
                <w:szCs w:val="16"/>
              </w:rPr>
            </w:pPr>
            <w:bookmarkStart w:id="0" w:name="RANGE!A1:J13"/>
            <w:r w:rsidRPr="00F51A36">
              <w:rPr>
                <w:sz w:val="16"/>
                <w:szCs w:val="16"/>
              </w:rPr>
              <w:t> </w:t>
            </w:r>
            <w:bookmarkEnd w:id="0"/>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5A2C291A" w14:textId="77777777" w:rsidR="00F51A36" w:rsidRPr="00F51A36" w:rsidRDefault="00F51A36" w:rsidP="00F51A36">
            <w:pPr>
              <w:spacing w:after="0"/>
              <w:jc w:val="center"/>
              <w:rPr>
                <w:sz w:val="16"/>
                <w:szCs w:val="16"/>
              </w:rPr>
            </w:pPr>
            <w:r w:rsidRPr="00F51A36">
              <w:rPr>
                <w:sz w:val="16"/>
                <w:szCs w:val="16"/>
              </w:rPr>
              <w:t xml:space="preserve">2020. évi előzetes </w:t>
            </w:r>
            <w:r w:rsidRPr="00F51A36">
              <w:rPr>
                <w:sz w:val="16"/>
                <w:szCs w:val="16"/>
              </w:rPr>
              <w:br/>
              <w:t>tény</w:t>
            </w:r>
            <w:r w:rsidRPr="00F51A36">
              <w:rPr>
                <w:sz w:val="16"/>
                <w:szCs w:val="16"/>
              </w:rPr>
              <w:br/>
              <w:t>milliárd forintban</w:t>
            </w:r>
            <w:r w:rsidRPr="00F51A36">
              <w:rPr>
                <w:sz w:val="16"/>
                <w:szCs w:val="16"/>
              </w:rPr>
              <w:br/>
              <w:t>(1)</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6B31B6F0" w14:textId="77777777" w:rsidR="00F51A36" w:rsidRPr="00F51A36" w:rsidRDefault="00F51A36" w:rsidP="00F51A36">
            <w:pPr>
              <w:spacing w:after="0"/>
              <w:jc w:val="center"/>
              <w:rPr>
                <w:sz w:val="16"/>
                <w:szCs w:val="16"/>
              </w:rPr>
            </w:pPr>
            <w:r w:rsidRPr="00F51A36">
              <w:rPr>
                <w:sz w:val="16"/>
                <w:szCs w:val="16"/>
              </w:rPr>
              <w:t>2020. I-V. hó tény</w:t>
            </w:r>
            <w:r w:rsidRPr="00F51A36">
              <w:rPr>
                <w:sz w:val="16"/>
                <w:szCs w:val="16"/>
              </w:rPr>
              <w:br/>
              <w:t>milliárd forintban</w:t>
            </w:r>
            <w:r w:rsidRPr="00F51A36">
              <w:rPr>
                <w:sz w:val="16"/>
                <w:szCs w:val="16"/>
              </w:rPr>
              <w:br/>
              <w:t>(2)</w:t>
            </w:r>
          </w:p>
        </w:tc>
        <w:tc>
          <w:tcPr>
            <w:tcW w:w="879" w:type="dxa"/>
            <w:tcBorders>
              <w:top w:val="single" w:sz="4" w:space="0" w:color="auto"/>
              <w:left w:val="nil"/>
              <w:bottom w:val="single" w:sz="4" w:space="0" w:color="auto"/>
              <w:right w:val="single" w:sz="4" w:space="0" w:color="auto"/>
            </w:tcBorders>
            <w:shd w:val="clear" w:color="auto" w:fill="auto"/>
            <w:vAlign w:val="center"/>
            <w:hideMark/>
          </w:tcPr>
          <w:p w14:paraId="6D4415FD" w14:textId="77777777" w:rsidR="00F51A36" w:rsidRPr="00F51A36" w:rsidRDefault="00F51A36" w:rsidP="00F51A36">
            <w:pPr>
              <w:spacing w:after="0"/>
              <w:jc w:val="center"/>
              <w:rPr>
                <w:sz w:val="16"/>
                <w:szCs w:val="16"/>
              </w:rPr>
            </w:pPr>
            <w:r w:rsidRPr="00F51A36">
              <w:rPr>
                <w:sz w:val="16"/>
                <w:szCs w:val="16"/>
              </w:rPr>
              <w:t>éves előzetes tény=100%</w:t>
            </w:r>
            <w:r w:rsidRPr="00F51A36">
              <w:rPr>
                <w:sz w:val="16"/>
                <w:szCs w:val="16"/>
              </w:rPr>
              <w:br/>
              <w:t>Index (%)</w:t>
            </w:r>
            <w:r w:rsidRPr="00F51A36">
              <w:rPr>
                <w:sz w:val="16"/>
                <w:szCs w:val="16"/>
              </w:rPr>
              <w:br/>
              <w:t>(2/1)</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680C6E0A" w14:textId="77777777" w:rsidR="00F51A36" w:rsidRPr="00F51A36" w:rsidRDefault="00F51A36" w:rsidP="00F51A36">
            <w:pPr>
              <w:spacing w:after="0"/>
              <w:jc w:val="center"/>
              <w:rPr>
                <w:sz w:val="16"/>
                <w:szCs w:val="16"/>
              </w:rPr>
            </w:pPr>
            <w:r w:rsidRPr="00F51A36">
              <w:rPr>
                <w:sz w:val="16"/>
                <w:szCs w:val="16"/>
              </w:rPr>
              <w:t>2021. évi eredeti törvényi előirányzat</w:t>
            </w:r>
            <w:r w:rsidRPr="00F51A36">
              <w:rPr>
                <w:sz w:val="16"/>
                <w:szCs w:val="16"/>
              </w:rPr>
              <w:br/>
              <w:t>milliárd forintban</w:t>
            </w:r>
            <w:r w:rsidRPr="00F51A36">
              <w:rPr>
                <w:sz w:val="16"/>
                <w:szCs w:val="16"/>
              </w:rPr>
              <w:br/>
              <w:t>(3)</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3FE65B76" w14:textId="77777777" w:rsidR="00F51A36" w:rsidRPr="00F51A36" w:rsidRDefault="00F51A36" w:rsidP="00F51A36">
            <w:pPr>
              <w:spacing w:after="0"/>
              <w:jc w:val="center"/>
              <w:rPr>
                <w:sz w:val="16"/>
                <w:szCs w:val="16"/>
              </w:rPr>
            </w:pPr>
            <w:r w:rsidRPr="00F51A36">
              <w:rPr>
                <w:sz w:val="16"/>
                <w:szCs w:val="16"/>
              </w:rPr>
              <w:t>2021. évi törvényi módosított előirányzat</w:t>
            </w:r>
            <w:r w:rsidRPr="00F51A36">
              <w:rPr>
                <w:sz w:val="16"/>
                <w:szCs w:val="16"/>
              </w:rPr>
              <w:br/>
              <w:t>milliárd forintban</w:t>
            </w:r>
            <w:r w:rsidRPr="00F51A36">
              <w:rPr>
                <w:sz w:val="16"/>
                <w:szCs w:val="16"/>
              </w:rPr>
              <w:br/>
              <w:t>(4)</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034F91F1" w14:textId="77777777" w:rsidR="00F51A36" w:rsidRPr="00F51A36" w:rsidRDefault="00F51A36" w:rsidP="00F51A36">
            <w:pPr>
              <w:spacing w:after="0"/>
              <w:jc w:val="center"/>
              <w:rPr>
                <w:sz w:val="16"/>
                <w:szCs w:val="16"/>
              </w:rPr>
            </w:pPr>
            <w:r w:rsidRPr="00F51A36">
              <w:rPr>
                <w:sz w:val="16"/>
                <w:szCs w:val="16"/>
              </w:rPr>
              <w:t>2021. I-V. hó tény</w:t>
            </w:r>
            <w:r w:rsidRPr="00F51A36">
              <w:rPr>
                <w:sz w:val="16"/>
                <w:szCs w:val="16"/>
              </w:rPr>
              <w:br/>
              <w:t>milliárd forintban</w:t>
            </w:r>
            <w:r w:rsidRPr="00F51A36">
              <w:rPr>
                <w:sz w:val="16"/>
                <w:szCs w:val="16"/>
              </w:rPr>
              <w:br/>
              <w:t>(5)</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1E9E7663" w14:textId="77777777" w:rsidR="00F51A36" w:rsidRPr="00F51A36" w:rsidRDefault="00F51A36" w:rsidP="00F51A36">
            <w:pPr>
              <w:spacing w:after="0"/>
              <w:jc w:val="center"/>
              <w:rPr>
                <w:sz w:val="16"/>
                <w:szCs w:val="16"/>
              </w:rPr>
            </w:pPr>
            <w:r w:rsidRPr="00F51A36">
              <w:rPr>
                <w:sz w:val="16"/>
                <w:szCs w:val="16"/>
              </w:rPr>
              <w:t>eredeti előirányzat=</w:t>
            </w:r>
            <w:r w:rsidRPr="00F51A36">
              <w:rPr>
                <w:sz w:val="16"/>
                <w:szCs w:val="16"/>
              </w:rPr>
              <w:br/>
              <w:t>100%</w:t>
            </w:r>
            <w:r w:rsidRPr="00F51A36">
              <w:rPr>
                <w:sz w:val="16"/>
                <w:szCs w:val="16"/>
              </w:rPr>
              <w:br/>
              <w:t>Index (%)</w:t>
            </w:r>
            <w:r w:rsidRPr="00F51A36">
              <w:rPr>
                <w:sz w:val="16"/>
                <w:szCs w:val="16"/>
              </w:rPr>
              <w:br/>
              <w:t>(5/3)</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40307169" w14:textId="77777777" w:rsidR="00F51A36" w:rsidRPr="00F51A36" w:rsidRDefault="00F51A36" w:rsidP="00F51A36">
            <w:pPr>
              <w:spacing w:after="0"/>
              <w:jc w:val="center"/>
              <w:rPr>
                <w:sz w:val="16"/>
                <w:szCs w:val="16"/>
              </w:rPr>
            </w:pPr>
            <w:r w:rsidRPr="00F51A36">
              <w:rPr>
                <w:sz w:val="16"/>
                <w:szCs w:val="16"/>
              </w:rPr>
              <w:t>módosított előirányzat=</w:t>
            </w:r>
            <w:r w:rsidRPr="00F51A36">
              <w:rPr>
                <w:sz w:val="16"/>
                <w:szCs w:val="16"/>
              </w:rPr>
              <w:br/>
              <w:t>100%</w:t>
            </w:r>
            <w:r w:rsidRPr="00F51A36">
              <w:rPr>
                <w:sz w:val="16"/>
                <w:szCs w:val="16"/>
              </w:rPr>
              <w:br/>
              <w:t>Index (%)</w:t>
            </w:r>
            <w:r w:rsidRPr="00F51A36">
              <w:rPr>
                <w:sz w:val="16"/>
                <w:szCs w:val="16"/>
              </w:rPr>
              <w:br/>
              <w:t>(5/4)</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1D7B9187" w14:textId="77777777" w:rsidR="00F51A36" w:rsidRPr="00F51A36" w:rsidRDefault="00F51A36" w:rsidP="00F51A36">
            <w:pPr>
              <w:spacing w:after="0"/>
              <w:jc w:val="center"/>
              <w:rPr>
                <w:sz w:val="16"/>
                <w:szCs w:val="16"/>
              </w:rPr>
            </w:pPr>
            <w:r w:rsidRPr="00F51A36">
              <w:rPr>
                <w:sz w:val="16"/>
                <w:szCs w:val="16"/>
              </w:rPr>
              <w:t>előző év=</w:t>
            </w:r>
            <w:r w:rsidRPr="00F51A36">
              <w:rPr>
                <w:sz w:val="16"/>
                <w:szCs w:val="16"/>
              </w:rPr>
              <w:br/>
              <w:t>100%</w:t>
            </w:r>
            <w:r w:rsidRPr="00F51A36">
              <w:rPr>
                <w:sz w:val="16"/>
                <w:szCs w:val="16"/>
              </w:rPr>
              <w:br/>
              <w:t>Index (%)</w:t>
            </w:r>
            <w:r w:rsidRPr="00F51A36">
              <w:rPr>
                <w:sz w:val="16"/>
                <w:szCs w:val="16"/>
              </w:rPr>
              <w:br/>
              <w:t>(5/2)</w:t>
            </w:r>
          </w:p>
        </w:tc>
      </w:tr>
      <w:tr w:rsidR="00F51A36" w:rsidRPr="00F51A36" w14:paraId="0D7BEBD4" w14:textId="77777777" w:rsidTr="00F51A36">
        <w:trPr>
          <w:trHeight w:val="57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6B293035" w14:textId="77777777" w:rsidR="00F51A36" w:rsidRPr="00F51A36" w:rsidRDefault="00F51A36" w:rsidP="00F51A36">
            <w:pPr>
              <w:spacing w:after="0"/>
              <w:jc w:val="left"/>
              <w:rPr>
                <w:b/>
                <w:bCs/>
                <w:sz w:val="16"/>
                <w:szCs w:val="16"/>
              </w:rPr>
            </w:pPr>
            <w:r w:rsidRPr="00F51A36">
              <w:rPr>
                <w:b/>
                <w:bCs/>
                <w:sz w:val="16"/>
                <w:szCs w:val="16"/>
              </w:rPr>
              <w:t>Központi költségvetés egyenlege</w:t>
            </w:r>
          </w:p>
        </w:tc>
        <w:tc>
          <w:tcPr>
            <w:tcW w:w="916" w:type="dxa"/>
            <w:tcBorders>
              <w:top w:val="nil"/>
              <w:left w:val="nil"/>
              <w:bottom w:val="single" w:sz="4" w:space="0" w:color="auto"/>
              <w:right w:val="single" w:sz="4" w:space="0" w:color="auto"/>
            </w:tcBorders>
            <w:shd w:val="clear" w:color="auto" w:fill="auto"/>
            <w:noWrap/>
            <w:vAlign w:val="bottom"/>
            <w:hideMark/>
          </w:tcPr>
          <w:p w14:paraId="262B4B48" w14:textId="77777777" w:rsidR="00F51A36" w:rsidRPr="00F51A36" w:rsidRDefault="00F51A36" w:rsidP="00F51A36">
            <w:pPr>
              <w:spacing w:after="0"/>
              <w:jc w:val="right"/>
              <w:rPr>
                <w:b/>
                <w:bCs/>
                <w:sz w:val="16"/>
                <w:szCs w:val="16"/>
              </w:rPr>
            </w:pPr>
            <w:r w:rsidRPr="00F51A36">
              <w:rPr>
                <w:b/>
                <w:bCs/>
                <w:sz w:val="16"/>
                <w:szCs w:val="16"/>
              </w:rPr>
              <w:t xml:space="preserve">-4 953,5 </w:t>
            </w:r>
          </w:p>
        </w:tc>
        <w:tc>
          <w:tcPr>
            <w:tcW w:w="916" w:type="dxa"/>
            <w:tcBorders>
              <w:top w:val="nil"/>
              <w:left w:val="nil"/>
              <w:bottom w:val="single" w:sz="4" w:space="0" w:color="auto"/>
              <w:right w:val="single" w:sz="4" w:space="0" w:color="auto"/>
            </w:tcBorders>
            <w:shd w:val="clear" w:color="auto" w:fill="auto"/>
            <w:noWrap/>
            <w:vAlign w:val="bottom"/>
            <w:hideMark/>
          </w:tcPr>
          <w:p w14:paraId="65F3BD87" w14:textId="77777777" w:rsidR="00F51A36" w:rsidRPr="00F51A36" w:rsidRDefault="00F51A36" w:rsidP="00F51A36">
            <w:pPr>
              <w:spacing w:after="0"/>
              <w:jc w:val="right"/>
              <w:rPr>
                <w:b/>
                <w:bCs/>
                <w:sz w:val="16"/>
                <w:szCs w:val="16"/>
              </w:rPr>
            </w:pPr>
            <w:r w:rsidRPr="00F51A36">
              <w:rPr>
                <w:b/>
                <w:bCs/>
                <w:sz w:val="16"/>
                <w:szCs w:val="16"/>
              </w:rPr>
              <w:t xml:space="preserve">-910,0 </w:t>
            </w:r>
          </w:p>
        </w:tc>
        <w:tc>
          <w:tcPr>
            <w:tcW w:w="879" w:type="dxa"/>
            <w:tcBorders>
              <w:top w:val="nil"/>
              <w:left w:val="nil"/>
              <w:bottom w:val="single" w:sz="4" w:space="0" w:color="auto"/>
              <w:right w:val="single" w:sz="4" w:space="0" w:color="auto"/>
            </w:tcBorders>
            <w:shd w:val="clear" w:color="auto" w:fill="auto"/>
            <w:noWrap/>
            <w:vAlign w:val="bottom"/>
            <w:hideMark/>
          </w:tcPr>
          <w:p w14:paraId="52BAE2F8" w14:textId="77777777" w:rsidR="00F51A36" w:rsidRPr="00F51A36" w:rsidRDefault="00F51A36" w:rsidP="00F51A36">
            <w:pPr>
              <w:spacing w:after="0"/>
              <w:jc w:val="right"/>
              <w:rPr>
                <w:sz w:val="16"/>
                <w:szCs w:val="16"/>
              </w:rPr>
            </w:pPr>
            <w:r w:rsidRPr="00F51A36">
              <w:rPr>
                <w:sz w:val="16"/>
                <w:szCs w:val="16"/>
              </w:rPr>
              <w:t xml:space="preserve">18,4 </w:t>
            </w:r>
          </w:p>
        </w:tc>
        <w:tc>
          <w:tcPr>
            <w:tcW w:w="918" w:type="dxa"/>
            <w:tcBorders>
              <w:top w:val="nil"/>
              <w:left w:val="nil"/>
              <w:bottom w:val="single" w:sz="4" w:space="0" w:color="auto"/>
              <w:right w:val="single" w:sz="4" w:space="0" w:color="auto"/>
            </w:tcBorders>
            <w:shd w:val="clear" w:color="auto" w:fill="auto"/>
            <w:noWrap/>
            <w:vAlign w:val="bottom"/>
            <w:hideMark/>
          </w:tcPr>
          <w:p w14:paraId="66A238C1" w14:textId="77777777" w:rsidR="00F51A36" w:rsidRPr="00F51A36" w:rsidRDefault="00F51A36" w:rsidP="00F51A36">
            <w:pPr>
              <w:spacing w:after="0"/>
              <w:jc w:val="right"/>
              <w:rPr>
                <w:b/>
                <w:bCs/>
                <w:sz w:val="16"/>
                <w:szCs w:val="16"/>
              </w:rPr>
            </w:pPr>
            <w:r w:rsidRPr="00F51A36">
              <w:rPr>
                <w:b/>
                <w:bCs/>
                <w:sz w:val="16"/>
                <w:szCs w:val="16"/>
              </w:rPr>
              <w:t xml:space="preserve">-1 388,7 </w:t>
            </w:r>
          </w:p>
        </w:tc>
        <w:tc>
          <w:tcPr>
            <w:tcW w:w="918" w:type="dxa"/>
            <w:tcBorders>
              <w:top w:val="nil"/>
              <w:left w:val="nil"/>
              <w:bottom w:val="single" w:sz="4" w:space="0" w:color="auto"/>
              <w:right w:val="single" w:sz="4" w:space="0" w:color="auto"/>
            </w:tcBorders>
            <w:shd w:val="clear" w:color="auto" w:fill="auto"/>
            <w:noWrap/>
            <w:vAlign w:val="bottom"/>
            <w:hideMark/>
          </w:tcPr>
          <w:p w14:paraId="78683D32" w14:textId="77777777" w:rsidR="00F51A36" w:rsidRPr="00F51A36" w:rsidRDefault="00F51A36" w:rsidP="00F51A36">
            <w:pPr>
              <w:spacing w:after="0"/>
              <w:jc w:val="right"/>
              <w:rPr>
                <w:b/>
                <w:bCs/>
                <w:sz w:val="16"/>
                <w:szCs w:val="16"/>
              </w:rPr>
            </w:pPr>
            <w:r w:rsidRPr="00F51A36">
              <w:rPr>
                <w:b/>
                <w:bCs/>
                <w:sz w:val="16"/>
                <w:szCs w:val="16"/>
              </w:rPr>
              <w:t xml:space="preserve">-2 174,4 </w:t>
            </w:r>
          </w:p>
        </w:tc>
        <w:tc>
          <w:tcPr>
            <w:tcW w:w="916" w:type="dxa"/>
            <w:tcBorders>
              <w:top w:val="nil"/>
              <w:left w:val="nil"/>
              <w:bottom w:val="single" w:sz="4" w:space="0" w:color="auto"/>
              <w:right w:val="single" w:sz="4" w:space="0" w:color="auto"/>
            </w:tcBorders>
            <w:shd w:val="clear" w:color="auto" w:fill="auto"/>
            <w:noWrap/>
            <w:vAlign w:val="bottom"/>
            <w:hideMark/>
          </w:tcPr>
          <w:p w14:paraId="52009562" w14:textId="77777777" w:rsidR="00F51A36" w:rsidRPr="00F51A36" w:rsidRDefault="00F51A36" w:rsidP="00F51A36">
            <w:pPr>
              <w:spacing w:after="0"/>
              <w:jc w:val="right"/>
              <w:rPr>
                <w:b/>
                <w:bCs/>
                <w:sz w:val="16"/>
                <w:szCs w:val="16"/>
              </w:rPr>
            </w:pPr>
            <w:r w:rsidRPr="00F51A36">
              <w:rPr>
                <w:b/>
                <w:bCs/>
                <w:sz w:val="16"/>
                <w:szCs w:val="16"/>
              </w:rPr>
              <w:t xml:space="preserve">-1 171,0 </w:t>
            </w:r>
          </w:p>
        </w:tc>
        <w:tc>
          <w:tcPr>
            <w:tcW w:w="941" w:type="dxa"/>
            <w:tcBorders>
              <w:top w:val="nil"/>
              <w:left w:val="nil"/>
              <w:bottom w:val="single" w:sz="4" w:space="0" w:color="auto"/>
              <w:right w:val="single" w:sz="4" w:space="0" w:color="auto"/>
            </w:tcBorders>
            <w:shd w:val="clear" w:color="auto" w:fill="auto"/>
            <w:noWrap/>
            <w:vAlign w:val="bottom"/>
            <w:hideMark/>
          </w:tcPr>
          <w:p w14:paraId="7B6FB1EE" w14:textId="77777777" w:rsidR="00F51A36" w:rsidRPr="00F51A36" w:rsidRDefault="00F51A36" w:rsidP="00F51A36">
            <w:pPr>
              <w:spacing w:after="0"/>
              <w:jc w:val="right"/>
              <w:rPr>
                <w:sz w:val="16"/>
                <w:szCs w:val="16"/>
              </w:rPr>
            </w:pPr>
            <w:r w:rsidRPr="00F51A36">
              <w:rPr>
                <w:sz w:val="16"/>
                <w:szCs w:val="16"/>
              </w:rPr>
              <w:t xml:space="preserve">84,3 </w:t>
            </w:r>
          </w:p>
        </w:tc>
        <w:tc>
          <w:tcPr>
            <w:tcW w:w="941" w:type="dxa"/>
            <w:tcBorders>
              <w:top w:val="nil"/>
              <w:left w:val="nil"/>
              <w:bottom w:val="single" w:sz="4" w:space="0" w:color="auto"/>
              <w:right w:val="single" w:sz="4" w:space="0" w:color="auto"/>
            </w:tcBorders>
            <w:shd w:val="clear" w:color="auto" w:fill="auto"/>
            <w:noWrap/>
            <w:vAlign w:val="bottom"/>
            <w:hideMark/>
          </w:tcPr>
          <w:p w14:paraId="0709F5CB" w14:textId="77777777" w:rsidR="00F51A36" w:rsidRPr="00F51A36" w:rsidRDefault="00F51A36" w:rsidP="00F51A36">
            <w:pPr>
              <w:spacing w:after="0"/>
              <w:jc w:val="right"/>
              <w:rPr>
                <w:sz w:val="16"/>
                <w:szCs w:val="16"/>
              </w:rPr>
            </w:pPr>
            <w:r w:rsidRPr="00F51A36">
              <w:rPr>
                <w:sz w:val="16"/>
                <w:szCs w:val="16"/>
              </w:rPr>
              <w:t xml:space="preserve">53,9 </w:t>
            </w:r>
          </w:p>
        </w:tc>
        <w:tc>
          <w:tcPr>
            <w:tcW w:w="815" w:type="dxa"/>
            <w:tcBorders>
              <w:top w:val="nil"/>
              <w:left w:val="nil"/>
              <w:bottom w:val="single" w:sz="4" w:space="0" w:color="auto"/>
              <w:right w:val="single" w:sz="4" w:space="0" w:color="auto"/>
            </w:tcBorders>
            <w:shd w:val="clear" w:color="auto" w:fill="auto"/>
            <w:noWrap/>
            <w:vAlign w:val="bottom"/>
            <w:hideMark/>
          </w:tcPr>
          <w:p w14:paraId="242729D1" w14:textId="77777777" w:rsidR="00F51A36" w:rsidRPr="00F51A36" w:rsidRDefault="00F51A36" w:rsidP="00F51A36">
            <w:pPr>
              <w:spacing w:after="0"/>
              <w:jc w:val="right"/>
              <w:rPr>
                <w:sz w:val="16"/>
                <w:szCs w:val="16"/>
              </w:rPr>
            </w:pPr>
            <w:r w:rsidRPr="00F51A36">
              <w:rPr>
                <w:sz w:val="16"/>
                <w:szCs w:val="16"/>
              </w:rPr>
              <w:t xml:space="preserve">128,7 </w:t>
            </w:r>
          </w:p>
        </w:tc>
      </w:tr>
      <w:tr w:rsidR="00F51A36" w:rsidRPr="00F51A36" w14:paraId="0988C915" w14:textId="77777777" w:rsidTr="00F51A36">
        <w:trPr>
          <w:trHeight w:val="300"/>
        </w:trPr>
        <w:tc>
          <w:tcPr>
            <w:tcW w:w="1660" w:type="dxa"/>
            <w:tcBorders>
              <w:top w:val="nil"/>
              <w:left w:val="single" w:sz="4" w:space="0" w:color="auto"/>
              <w:bottom w:val="single" w:sz="4" w:space="0" w:color="auto"/>
              <w:right w:val="single" w:sz="4" w:space="0" w:color="auto"/>
            </w:tcBorders>
            <w:shd w:val="clear" w:color="auto" w:fill="auto"/>
            <w:vAlign w:val="bottom"/>
            <w:hideMark/>
          </w:tcPr>
          <w:p w14:paraId="6612E0A1" w14:textId="77777777" w:rsidR="00F51A36" w:rsidRPr="00F51A36" w:rsidRDefault="00F51A36" w:rsidP="00F51A36">
            <w:pPr>
              <w:spacing w:after="0"/>
              <w:jc w:val="right"/>
              <w:rPr>
                <w:sz w:val="16"/>
                <w:szCs w:val="16"/>
              </w:rPr>
            </w:pPr>
            <w:r w:rsidRPr="00F51A36">
              <w:rPr>
                <w:sz w:val="16"/>
                <w:szCs w:val="16"/>
              </w:rPr>
              <w:t>bevétel:</w:t>
            </w:r>
          </w:p>
        </w:tc>
        <w:tc>
          <w:tcPr>
            <w:tcW w:w="916" w:type="dxa"/>
            <w:tcBorders>
              <w:top w:val="nil"/>
              <w:left w:val="nil"/>
              <w:bottom w:val="single" w:sz="4" w:space="0" w:color="auto"/>
              <w:right w:val="single" w:sz="4" w:space="0" w:color="auto"/>
            </w:tcBorders>
            <w:shd w:val="clear" w:color="auto" w:fill="auto"/>
            <w:noWrap/>
            <w:vAlign w:val="bottom"/>
            <w:hideMark/>
          </w:tcPr>
          <w:p w14:paraId="7D407EAA" w14:textId="77777777" w:rsidR="00F51A36" w:rsidRPr="00F51A36" w:rsidRDefault="00F51A36" w:rsidP="00F51A36">
            <w:pPr>
              <w:spacing w:after="0"/>
              <w:jc w:val="right"/>
              <w:rPr>
                <w:sz w:val="16"/>
                <w:szCs w:val="16"/>
              </w:rPr>
            </w:pPr>
            <w:r w:rsidRPr="00F51A36">
              <w:rPr>
                <w:sz w:val="16"/>
                <w:szCs w:val="16"/>
              </w:rPr>
              <w:t xml:space="preserve">16 116,2 </w:t>
            </w:r>
          </w:p>
        </w:tc>
        <w:tc>
          <w:tcPr>
            <w:tcW w:w="916" w:type="dxa"/>
            <w:tcBorders>
              <w:top w:val="nil"/>
              <w:left w:val="nil"/>
              <w:bottom w:val="single" w:sz="4" w:space="0" w:color="auto"/>
              <w:right w:val="single" w:sz="4" w:space="0" w:color="auto"/>
            </w:tcBorders>
            <w:shd w:val="clear" w:color="auto" w:fill="auto"/>
            <w:noWrap/>
            <w:vAlign w:val="bottom"/>
            <w:hideMark/>
          </w:tcPr>
          <w:p w14:paraId="2E483B77" w14:textId="77777777" w:rsidR="00F51A36" w:rsidRPr="00F51A36" w:rsidRDefault="00F51A36" w:rsidP="00F51A36">
            <w:pPr>
              <w:spacing w:after="0"/>
              <w:jc w:val="right"/>
              <w:rPr>
                <w:sz w:val="16"/>
                <w:szCs w:val="16"/>
              </w:rPr>
            </w:pPr>
            <w:r w:rsidRPr="00F51A36">
              <w:rPr>
                <w:sz w:val="16"/>
                <w:szCs w:val="16"/>
              </w:rPr>
              <w:t xml:space="preserve">6 286,0 </w:t>
            </w:r>
          </w:p>
        </w:tc>
        <w:tc>
          <w:tcPr>
            <w:tcW w:w="879" w:type="dxa"/>
            <w:tcBorders>
              <w:top w:val="nil"/>
              <w:left w:val="nil"/>
              <w:bottom w:val="single" w:sz="4" w:space="0" w:color="auto"/>
              <w:right w:val="single" w:sz="4" w:space="0" w:color="auto"/>
            </w:tcBorders>
            <w:shd w:val="clear" w:color="auto" w:fill="auto"/>
            <w:noWrap/>
            <w:vAlign w:val="bottom"/>
            <w:hideMark/>
          </w:tcPr>
          <w:p w14:paraId="241E19E0" w14:textId="77777777" w:rsidR="00F51A36" w:rsidRPr="00F51A36" w:rsidRDefault="00F51A36" w:rsidP="00F51A36">
            <w:pPr>
              <w:spacing w:after="0"/>
              <w:jc w:val="right"/>
              <w:rPr>
                <w:sz w:val="16"/>
                <w:szCs w:val="16"/>
              </w:rPr>
            </w:pPr>
            <w:r w:rsidRPr="00F51A36">
              <w:rPr>
                <w:sz w:val="16"/>
                <w:szCs w:val="16"/>
              </w:rPr>
              <w:t xml:space="preserve">39,0 </w:t>
            </w:r>
          </w:p>
        </w:tc>
        <w:tc>
          <w:tcPr>
            <w:tcW w:w="918" w:type="dxa"/>
            <w:tcBorders>
              <w:top w:val="nil"/>
              <w:left w:val="nil"/>
              <w:bottom w:val="single" w:sz="4" w:space="0" w:color="auto"/>
              <w:right w:val="single" w:sz="4" w:space="0" w:color="auto"/>
            </w:tcBorders>
            <w:shd w:val="clear" w:color="auto" w:fill="auto"/>
            <w:noWrap/>
            <w:vAlign w:val="bottom"/>
            <w:hideMark/>
          </w:tcPr>
          <w:p w14:paraId="31D37174" w14:textId="77777777" w:rsidR="00F51A36" w:rsidRPr="00F51A36" w:rsidRDefault="00F51A36" w:rsidP="00F51A36">
            <w:pPr>
              <w:spacing w:after="0"/>
              <w:jc w:val="right"/>
              <w:rPr>
                <w:sz w:val="16"/>
                <w:szCs w:val="16"/>
              </w:rPr>
            </w:pPr>
            <w:r w:rsidRPr="00F51A36">
              <w:rPr>
                <w:sz w:val="16"/>
                <w:szCs w:val="16"/>
              </w:rPr>
              <w:t xml:space="preserve">14 629,4 </w:t>
            </w:r>
          </w:p>
        </w:tc>
        <w:tc>
          <w:tcPr>
            <w:tcW w:w="918" w:type="dxa"/>
            <w:tcBorders>
              <w:top w:val="nil"/>
              <w:left w:val="nil"/>
              <w:bottom w:val="single" w:sz="4" w:space="0" w:color="auto"/>
              <w:right w:val="single" w:sz="4" w:space="0" w:color="auto"/>
            </w:tcBorders>
            <w:shd w:val="clear" w:color="auto" w:fill="auto"/>
            <w:noWrap/>
            <w:vAlign w:val="bottom"/>
            <w:hideMark/>
          </w:tcPr>
          <w:p w14:paraId="17B44922" w14:textId="77777777" w:rsidR="00F51A36" w:rsidRPr="00F51A36" w:rsidRDefault="00F51A36" w:rsidP="00F51A36">
            <w:pPr>
              <w:spacing w:after="0"/>
              <w:jc w:val="right"/>
              <w:rPr>
                <w:sz w:val="16"/>
                <w:szCs w:val="16"/>
              </w:rPr>
            </w:pPr>
            <w:r w:rsidRPr="00F51A36">
              <w:rPr>
                <w:sz w:val="16"/>
                <w:szCs w:val="16"/>
              </w:rPr>
              <w:t xml:space="preserve">15 430,5 </w:t>
            </w:r>
          </w:p>
        </w:tc>
        <w:tc>
          <w:tcPr>
            <w:tcW w:w="916" w:type="dxa"/>
            <w:tcBorders>
              <w:top w:val="nil"/>
              <w:left w:val="nil"/>
              <w:bottom w:val="single" w:sz="4" w:space="0" w:color="auto"/>
              <w:right w:val="single" w:sz="4" w:space="0" w:color="auto"/>
            </w:tcBorders>
            <w:shd w:val="clear" w:color="auto" w:fill="auto"/>
            <w:noWrap/>
            <w:vAlign w:val="bottom"/>
            <w:hideMark/>
          </w:tcPr>
          <w:p w14:paraId="7A665698" w14:textId="77777777" w:rsidR="00F51A36" w:rsidRPr="00F51A36" w:rsidRDefault="00F51A36" w:rsidP="00F51A36">
            <w:pPr>
              <w:spacing w:after="0"/>
              <w:jc w:val="right"/>
              <w:rPr>
                <w:sz w:val="16"/>
                <w:szCs w:val="16"/>
              </w:rPr>
            </w:pPr>
            <w:r w:rsidRPr="00F51A36">
              <w:rPr>
                <w:sz w:val="16"/>
                <w:szCs w:val="16"/>
              </w:rPr>
              <w:t xml:space="preserve">6 658,6 </w:t>
            </w:r>
          </w:p>
        </w:tc>
        <w:tc>
          <w:tcPr>
            <w:tcW w:w="941" w:type="dxa"/>
            <w:tcBorders>
              <w:top w:val="nil"/>
              <w:left w:val="nil"/>
              <w:bottom w:val="single" w:sz="4" w:space="0" w:color="auto"/>
              <w:right w:val="single" w:sz="4" w:space="0" w:color="auto"/>
            </w:tcBorders>
            <w:shd w:val="clear" w:color="auto" w:fill="auto"/>
            <w:noWrap/>
            <w:vAlign w:val="bottom"/>
            <w:hideMark/>
          </w:tcPr>
          <w:p w14:paraId="4314FCBB" w14:textId="77777777" w:rsidR="00F51A36" w:rsidRPr="00F51A36" w:rsidRDefault="00F51A36" w:rsidP="00F51A36">
            <w:pPr>
              <w:spacing w:after="0"/>
              <w:jc w:val="right"/>
              <w:rPr>
                <w:sz w:val="16"/>
                <w:szCs w:val="16"/>
              </w:rPr>
            </w:pPr>
            <w:r w:rsidRPr="00F51A36">
              <w:rPr>
                <w:sz w:val="16"/>
                <w:szCs w:val="16"/>
              </w:rPr>
              <w:t xml:space="preserve">45,5 </w:t>
            </w:r>
          </w:p>
        </w:tc>
        <w:tc>
          <w:tcPr>
            <w:tcW w:w="941" w:type="dxa"/>
            <w:tcBorders>
              <w:top w:val="nil"/>
              <w:left w:val="nil"/>
              <w:bottom w:val="single" w:sz="4" w:space="0" w:color="auto"/>
              <w:right w:val="single" w:sz="4" w:space="0" w:color="auto"/>
            </w:tcBorders>
            <w:shd w:val="clear" w:color="auto" w:fill="auto"/>
            <w:noWrap/>
            <w:vAlign w:val="bottom"/>
            <w:hideMark/>
          </w:tcPr>
          <w:p w14:paraId="173060FC" w14:textId="77777777" w:rsidR="00F51A36" w:rsidRPr="00F51A36" w:rsidRDefault="00F51A36" w:rsidP="00F51A36">
            <w:pPr>
              <w:spacing w:after="0"/>
              <w:jc w:val="right"/>
              <w:rPr>
                <w:sz w:val="16"/>
                <w:szCs w:val="16"/>
              </w:rPr>
            </w:pPr>
            <w:r w:rsidRPr="00F51A36">
              <w:rPr>
                <w:sz w:val="16"/>
                <w:szCs w:val="16"/>
              </w:rPr>
              <w:t xml:space="preserve">43,2 </w:t>
            </w:r>
          </w:p>
        </w:tc>
        <w:tc>
          <w:tcPr>
            <w:tcW w:w="815" w:type="dxa"/>
            <w:tcBorders>
              <w:top w:val="nil"/>
              <w:left w:val="nil"/>
              <w:bottom w:val="single" w:sz="4" w:space="0" w:color="auto"/>
              <w:right w:val="single" w:sz="4" w:space="0" w:color="auto"/>
            </w:tcBorders>
            <w:shd w:val="clear" w:color="auto" w:fill="auto"/>
            <w:noWrap/>
            <w:vAlign w:val="bottom"/>
            <w:hideMark/>
          </w:tcPr>
          <w:p w14:paraId="36056F3A" w14:textId="77777777" w:rsidR="00F51A36" w:rsidRPr="00F51A36" w:rsidRDefault="00F51A36" w:rsidP="00F51A36">
            <w:pPr>
              <w:spacing w:after="0"/>
              <w:jc w:val="right"/>
              <w:rPr>
                <w:sz w:val="16"/>
                <w:szCs w:val="16"/>
              </w:rPr>
            </w:pPr>
            <w:r w:rsidRPr="00F51A36">
              <w:rPr>
                <w:sz w:val="16"/>
                <w:szCs w:val="16"/>
              </w:rPr>
              <w:t xml:space="preserve">105,9 </w:t>
            </w:r>
          </w:p>
        </w:tc>
      </w:tr>
      <w:tr w:rsidR="00F51A36" w:rsidRPr="00F51A36" w14:paraId="4442D2D4" w14:textId="77777777" w:rsidTr="00F51A36">
        <w:trPr>
          <w:trHeight w:val="300"/>
        </w:trPr>
        <w:tc>
          <w:tcPr>
            <w:tcW w:w="1660" w:type="dxa"/>
            <w:tcBorders>
              <w:top w:val="nil"/>
              <w:left w:val="single" w:sz="4" w:space="0" w:color="auto"/>
              <w:bottom w:val="single" w:sz="4" w:space="0" w:color="auto"/>
              <w:right w:val="single" w:sz="4" w:space="0" w:color="auto"/>
            </w:tcBorders>
            <w:shd w:val="clear" w:color="auto" w:fill="auto"/>
            <w:vAlign w:val="bottom"/>
            <w:hideMark/>
          </w:tcPr>
          <w:p w14:paraId="5F96E944" w14:textId="77777777" w:rsidR="00F51A36" w:rsidRPr="00F51A36" w:rsidRDefault="00F51A36" w:rsidP="00F51A36">
            <w:pPr>
              <w:spacing w:after="0"/>
              <w:jc w:val="right"/>
              <w:rPr>
                <w:sz w:val="16"/>
                <w:szCs w:val="16"/>
              </w:rPr>
            </w:pPr>
            <w:r w:rsidRPr="00F51A36">
              <w:rPr>
                <w:sz w:val="16"/>
                <w:szCs w:val="16"/>
              </w:rPr>
              <w:t>kiadás:</w:t>
            </w:r>
          </w:p>
        </w:tc>
        <w:tc>
          <w:tcPr>
            <w:tcW w:w="916" w:type="dxa"/>
            <w:tcBorders>
              <w:top w:val="nil"/>
              <w:left w:val="nil"/>
              <w:bottom w:val="single" w:sz="4" w:space="0" w:color="auto"/>
              <w:right w:val="single" w:sz="4" w:space="0" w:color="auto"/>
            </w:tcBorders>
            <w:shd w:val="clear" w:color="auto" w:fill="auto"/>
            <w:noWrap/>
            <w:vAlign w:val="bottom"/>
            <w:hideMark/>
          </w:tcPr>
          <w:p w14:paraId="3B7FD036" w14:textId="77777777" w:rsidR="00F51A36" w:rsidRPr="00F51A36" w:rsidRDefault="00F51A36" w:rsidP="00F51A36">
            <w:pPr>
              <w:spacing w:after="0"/>
              <w:jc w:val="right"/>
              <w:rPr>
                <w:sz w:val="16"/>
                <w:szCs w:val="16"/>
              </w:rPr>
            </w:pPr>
            <w:r w:rsidRPr="00F51A36">
              <w:rPr>
                <w:sz w:val="16"/>
                <w:szCs w:val="16"/>
              </w:rPr>
              <w:t xml:space="preserve">21 069,7 </w:t>
            </w:r>
          </w:p>
        </w:tc>
        <w:tc>
          <w:tcPr>
            <w:tcW w:w="916" w:type="dxa"/>
            <w:tcBorders>
              <w:top w:val="nil"/>
              <w:left w:val="nil"/>
              <w:bottom w:val="single" w:sz="4" w:space="0" w:color="auto"/>
              <w:right w:val="single" w:sz="4" w:space="0" w:color="auto"/>
            </w:tcBorders>
            <w:shd w:val="clear" w:color="auto" w:fill="auto"/>
            <w:noWrap/>
            <w:vAlign w:val="bottom"/>
            <w:hideMark/>
          </w:tcPr>
          <w:p w14:paraId="316380C8" w14:textId="77777777" w:rsidR="00F51A36" w:rsidRPr="00F51A36" w:rsidRDefault="00F51A36" w:rsidP="00F51A36">
            <w:pPr>
              <w:spacing w:after="0"/>
              <w:jc w:val="right"/>
              <w:rPr>
                <w:sz w:val="16"/>
                <w:szCs w:val="16"/>
              </w:rPr>
            </w:pPr>
            <w:r w:rsidRPr="00F51A36">
              <w:rPr>
                <w:sz w:val="16"/>
                <w:szCs w:val="16"/>
              </w:rPr>
              <w:t xml:space="preserve">7 196,0 </w:t>
            </w:r>
          </w:p>
        </w:tc>
        <w:tc>
          <w:tcPr>
            <w:tcW w:w="879" w:type="dxa"/>
            <w:tcBorders>
              <w:top w:val="nil"/>
              <w:left w:val="nil"/>
              <w:bottom w:val="single" w:sz="4" w:space="0" w:color="auto"/>
              <w:right w:val="single" w:sz="4" w:space="0" w:color="auto"/>
            </w:tcBorders>
            <w:shd w:val="clear" w:color="auto" w:fill="auto"/>
            <w:noWrap/>
            <w:vAlign w:val="bottom"/>
            <w:hideMark/>
          </w:tcPr>
          <w:p w14:paraId="51505857" w14:textId="77777777" w:rsidR="00F51A36" w:rsidRPr="00F51A36" w:rsidRDefault="00F51A36" w:rsidP="00F51A36">
            <w:pPr>
              <w:spacing w:after="0"/>
              <w:jc w:val="right"/>
              <w:rPr>
                <w:sz w:val="16"/>
                <w:szCs w:val="16"/>
              </w:rPr>
            </w:pPr>
            <w:r w:rsidRPr="00F51A36">
              <w:rPr>
                <w:sz w:val="16"/>
                <w:szCs w:val="16"/>
              </w:rPr>
              <w:t xml:space="preserve">34,2 </w:t>
            </w:r>
          </w:p>
        </w:tc>
        <w:tc>
          <w:tcPr>
            <w:tcW w:w="918" w:type="dxa"/>
            <w:tcBorders>
              <w:top w:val="nil"/>
              <w:left w:val="nil"/>
              <w:bottom w:val="single" w:sz="4" w:space="0" w:color="auto"/>
              <w:right w:val="single" w:sz="4" w:space="0" w:color="auto"/>
            </w:tcBorders>
            <w:shd w:val="clear" w:color="auto" w:fill="auto"/>
            <w:noWrap/>
            <w:vAlign w:val="bottom"/>
            <w:hideMark/>
          </w:tcPr>
          <w:p w14:paraId="1259D9B9" w14:textId="77777777" w:rsidR="00F51A36" w:rsidRPr="00F51A36" w:rsidRDefault="00F51A36" w:rsidP="00F51A36">
            <w:pPr>
              <w:spacing w:after="0"/>
              <w:jc w:val="right"/>
              <w:rPr>
                <w:sz w:val="16"/>
                <w:szCs w:val="16"/>
              </w:rPr>
            </w:pPr>
            <w:r w:rsidRPr="00F51A36">
              <w:rPr>
                <w:sz w:val="16"/>
                <w:szCs w:val="16"/>
              </w:rPr>
              <w:t xml:space="preserve">16 018,1 </w:t>
            </w:r>
          </w:p>
        </w:tc>
        <w:tc>
          <w:tcPr>
            <w:tcW w:w="918" w:type="dxa"/>
            <w:tcBorders>
              <w:top w:val="nil"/>
              <w:left w:val="nil"/>
              <w:bottom w:val="single" w:sz="4" w:space="0" w:color="auto"/>
              <w:right w:val="single" w:sz="4" w:space="0" w:color="auto"/>
            </w:tcBorders>
            <w:shd w:val="clear" w:color="auto" w:fill="auto"/>
            <w:noWrap/>
            <w:vAlign w:val="bottom"/>
            <w:hideMark/>
          </w:tcPr>
          <w:p w14:paraId="1C025910" w14:textId="77777777" w:rsidR="00F51A36" w:rsidRPr="00F51A36" w:rsidRDefault="00F51A36" w:rsidP="00F51A36">
            <w:pPr>
              <w:spacing w:after="0"/>
              <w:jc w:val="right"/>
              <w:rPr>
                <w:sz w:val="16"/>
                <w:szCs w:val="16"/>
              </w:rPr>
            </w:pPr>
            <w:r w:rsidRPr="00F51A36">
              <w:rPr>
                <w:sz w:val="16"/>
                <w:szCs w:val="16"/>
              </w:rPr>
              <w:t xml:space="preserve">17 604,9 </w:t>
            </w:r>
          </w:p>
        </w:tc>
        <w:tc>
          <w:tcPr>
            <w:tcW w:w="916" w:type="dxa"/>
            <w:tcBorders>
              <w:top w:val="nil"/>
              <w:left w:val="nil"/>
              <w:bottom w:val="single" w:sz="4" w:space="0" w:color="auto"/>
              <w:right w:val="single" w:sz="4" w:space="0" w:color="auto"/>
            </w:tcBorders>
            <w:shd w:val="clear" w:color="auto" w:fill="auto"/>
            <w:noWrap/>
            <w:vAlign w:val="bottom"/>
            <w:hideMark/>
          </w:tcPr>
          <w:p w14:paraId="211F7FE6" w14:textId="77777777" w:rsidR="00F51A36" w:rsidRPr="00F51A36" w:rsidRDefault="00F51A36" w:rsidP="00F51A36">
            <w:pPr>
              <w:spacing w:after="0"/>
              <w:jc w:val="right"/>
              <w:rPr>
                <w:sz w:val="16"/>
                <w:szCs w:val="16"/>
              </w:rPr>
            </w:pPr>
            <w:r w:rsidRPr="00F51A36">
              <w:rPr>
                <w:sz w:val="16"/>
                <w:szCs w:val="16"/>
              </w:rPr>
              <w:t xml:space="preserve">7 829,6 </w:t>
            </w:r>
          </w:p>
        </w:tc>
        <w:tc>
          <w:tcPr>
            <w:tcW w:w="941" w:type="dxa"/>
            <w:tcBorders>
              <w:top w:val="nil"/>
              <w:left w:val="nil"/>
              <w:bottom w:val="single" w:sz="4" w:space="0" w:color="auto"/>
              <w:right w:val="single" w:sz="4" w:space="0" w:color="auto"/>
            </w:tcBorders>
            <w:shd w:val="clear" w:color="auto" w:fill="auto"/>
            <w:noWrap/>
            <w:vAlign w:val="bottom"/>
            <w:hideMark/>
          </w:tcPr>
          <w:p w14:paraId="507A602A" w14:textId="77777777" w:rsidR="00F51A36" w:rsidRPr="00F51A36" w:rsidRDefault="00F51A36" w:rsidP="00F51A36">
            <w:pPr>
              <w:spacing w:after="0"/>
              <w:jc w:val="right"/>
              <w:rPr>
                <w:sz w:val="16"/>
                <w:szCs w:val="16"/>
              </w:rPr>
            </w:pPr>
            <w:r w:rsidRPr="00F51A36">
              <w:rPr>
                <w:sz w:val="16"/>
                <w:szCs w:val="16"/>
              </w:rPr>
              <w:t xml:space="preserve">48,9 </w:t>
            </w:r>
          </w:p>
        </w:tc>
        <w:tc>
          <w:tcPr>
            <w:tcW w:w="941" w:type="dxa"/>
            <w:tcBorders>
              <w:top w:val="nil"/>
              <w:left w:val="nil"/>
              <w:bottom w:val="single" w:sz="4" w:space="0" w:color="auto"/>
              <w:right w:val="single" w:sz="4" w:space="0" w:color="auto"/>
            </w:tcBorders>
            <w:shd w:val="clear" w:color="auto" w:fill="auto"/>
            <w:noWrap/>
            <w:vAlign w:val="bottom"/>
            <w:hideMark/>
          </w:tcPr>
          <w:p w14:paraId="01C7FB49" w14:textId="77777777" w:rsidR="00F51A36" w:rsidRPr="00F51A36" w:rsidRDefault="00F51A36" w:rsidP="00F51A36">
            <w:pPr>
              <w:spacing w:after="0"/>
              <w:jc w:val="right"/>
              <w:rPr>
                <w:sz w:val="16"/>
                <w:szCs w:val="16"/>
              </w:rPr>
            </w:pPr>
            <w:r w:rsidRPr="00F51A36">
              <w:rPr>
                <w:sz w:val="16"/>
                <w:szCs w:val="16"/>
              </w:rPr>
              <w:t xml:space="preserve">44,5 </w:t>
            </w:r>
          </w:p>
        </w:tc>
        <w:tc>
          <w:tcPr>
            <w:tcW w:w="815" w:type="dxa"/>
            <w:tcBorders>
              <w:top w:val="nil"/>
              <w:left w:val="nil"/>
              <w:bottom w:val="single" w:sz="4" w:space="0" w:color="auto"/>
              <w:right w:val="single" w:sz="4" w:space="0" w:color="auto"/>
            </w:tcBorders>
            <w:shd w:val="clear" w:color="auto" w:fill="auto"/>
            <w:noWrap/>
            <w:vAlign w:val="bottom"/>
            <w:hideMark/>
          </w:tcPr>
          <w:p w14:paraId="6FFFD2B1" w14:textId="77777777" w:rsidR="00F51A36" w:rsidRPr="00F51A36" w:rsidRDefault="00F51A36" w:rsidP="00F51A36">
            <w:pPr>
              <w:spacing w:after="0"/>
              <w:jc w:val="right"/>
              <w:rPr>
                <w:sz w:val="16"/>
                <w:szCs w:val="16"/>
              </w:rPr>
            </w:pPr>
            <w:r w:rsidRPr="00F51A36">
              <w:rPr>
                <w:sz w:val="16"/>
                <w:szCs w:val="16"/>
              </w:rPr>
              <w:t xml:space="preserve">108,8 </w:t>
            </w:r>
          </w:p>
        </w:tc>
      </w:tr>
      <w:tr w:rsidR="00F51A36" w:rsidRPr="00F51A36" w14:paraId="6DE227B8" w14:textId="77777777" w:rsidTr="00F51A36">
        <w:trPr>
          <w:trHeight w:val="585"/>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529EE99A" w14:textId="77777777" w:rsidR="00F51A36" w:rsidRPr="00F51A36" w:rsidRDefault="00F51A36" w:rsidP="00F51A36">
            <w:pPr>
              <w:spacing w:after="0"/>
              <w:jc w:val="left"/>
              <w:rPr>
                <w:b/>
                <w:bCs/>
                <w:sz w:val="16"/>
                <w:szCs w:val="16"/>
              </w:rPr>
            </w:pPr>
            <w:r w:rsidRPr="00F51A36">
              <w:rPr>
                <w:b/>
                <w:bCs/>
                <w:sz w:val="16"/>
                <w:szCs w:val="16"/>
              </w:rPr>
              <w:t>Elkülönített állami pénzalapok egyenlege</w:t>
            </w:r>
          </w:p>
        </w:tc>
        <w:tc>
          <w:tcPr>
            <w:tcW w:w="916" w:type="dxa"/>
            <w:tcBorders>
              <w:top w:val="nil"/>
              <w:left w:val="nil"/>
              <w:bottom w:val="single" w:sz="4" w:space="0" w:color="auto"/>
              <w:right w:val="single" w:sz="4" w:space="0" w:color="auto"/>
            </w:tcBorders>
            <w:shd w:val="clear" w:color="auto" w:fill="auto"/>
            <w:noWrap/>
            <w:vAlign w:val="bottom"/>
            <w:hideMark/>
          </w:tcPr>
          <w:p w14:paraId="3574A9F0" w14:textId="77777777" w:rsidR="00F51A36" w:rsidRPr="00F51A36" w:rsidRDefault="00F51A36" w:rsidP="00F51A36">
            <w:pPr>
              <w:spacing w:after="0"/>
              <w:jc w:val="right"/>
              <w:rPr>
                <w:b/>
                <w:bCs/>
                <w:sz w:val="16"/>
                <w:szCs w:val="16"/>
              </w:rPr>
            </w:pPr>
            <w:r w:rsidRPr="00F51A36">
              <w:rPr>
                <w:b/>
                <w:bCs/>
                <w:sz w:val="16"/>
                <w:szCs w:val="16"/>
              </w:rPr>
              <w:t xml:space="preserve">46,7 </w:t>
            </w:r>
          </w:p>
        </w:tc>
        <w:tc>
          <w:tcPr>
            <w:tcW w:w="916" w:type="dxa"/>
            <w:tcBorders>
              <w:top w:val="nil"/>
              <w:left w:val="nil"/>
              <w:bottom w:val="single" w:sz="4" w:space="0" w:color="auto"/>
              <w:right w:val="single" w:sz="4" w:space="0" w:color="auto"/>
            </w:tcBorders>
            <w:shd w:val="clear" w:color="auto" w:fill="auto"/>
            <w:noWrap/>
            <w:vAlign w:val="bottom"/>
            <w:hideMark/>
          </w:tcPr>
          <w:p w14:paraId="57A832BB" w14:textId="77777777" w:rsidR="00F51A36" w:rsidRPr="00F51A36" w:rsidRDefault="00F51A36" w:rsidP="00F51A36">
            <w:pPr>
              <w:spacing w:after="0"/>
              <w:jc w:val="right"/>
              <w:rPr>
                <w:b/>
                <w:bCs/>
                <w:sz w:val="16"/>
                <w:szCs w:val="16"/>
              </w:rPr>
            </w:pPr>
            <w:r w:rsidRPr="00F51A36">
              <w:rPr>
                <w:b/>
                <w:bCs/>
                <w:sz w:val="16"/>
                <w:szCs w:val="16"/>
              </w:rPr>
              <w:t xml:space="preserve">12,8 </w:t>
            </w:r>
          </w:p>
        </w:tc>
        <w:tc>
          <w:tcPr>
            <w:tcW w:w="879" w:type="dxa"/>
            <w:tcBorders>
              <w:top w:val="nil"/>
              <w:left w:val="nil"/>
              <w:bottom w:val="single" w:sz="4" w:space="0" w:color="auto"/>
              <w:right w:val="single" w:sz="4" w:space="0" w:color="auto"/>
            </w:tcBorders>
            <w:shd w:val="clear" w:color="auto" w:fill="auto"/>
            <w:noWrap/>
            <w:vAlign w:val="bottom"/>
            <w:hideMark/>
          </w:tcPr>
          <w:p w14:paraId="6AAF01E7" w14:textId="77777777" w:rsidR="00F51A36" w:rsidRPr="00F51A36" w:rsidRDefault="00F51A36" w:rsidP="00F51A36">
            <w:pPr>
              <w:spacing w:after="0"/>
              <w:jc w:val="right"/>
              <w:rPr>
                <w:sz w:val="16"/>
                <w:szCs w:val="16"/>
              </w:rPr>
            </w:pPr>
            <w:r w:rsidRPr="00F51A36">
              <w:rPr>
                <w:sz w:val="16"/>
                <w:szCs w:val="16"/>
              </w:rPr>
              <w:t xml:space="preserve">27,4 </w:t>
            </w:r>
          </w:p>
        </w:tc>
        <w:tc>
          <w:tcPr>
            <w:tcW w:w="918" w:type="dxa"/>
            <w:tcBorders>
              <w:top w:val="nil"/>
              <w:left w:val="nil"/>
              <w:bottom w:val="single" w:sz="4" w:space="0" w:color="auto"/>
              <w:right w:val="single" w:sz="4" w:space="0" w:color="auto"/>
            </w:tcBorders>
            <w:shd w:val="clear" w:color="auto" w:fill="auto"/>
            <w:noWrap/>
            <w:vAlign w:val="bottom"/>
            <w:hideMark/>
          </w:tcPr>
          <w:p w14:paraId="56E8F02E" w14:textId="77777777" w:rsidR="00F51A36" w:rsidRPr="00F51A36" w:rsidRDefault="00F51A36" w:rsidP="00F51A36">
            <w:pPr>
              <w:spacing w:after="0"/>
              <w:jc w:val="right"/>
              <w:rPr>
                <w:b/>
                <w:bCs/>
                <w:sz w:val="16"/>
                <w:szCs w:val="16"/>
              </w:rPr>
            </w:pPr>
            <w:r w:rsidRPr="00F51A36">
              <w:rPr>
                <w:b/>
                <w:bCs/>
                <w:sz w:val="16"/>
                <w:szCs w:val="16"/>
              </w:rPr>
              <w:t xml:space="preserve">13,5 </w:t>
            </w:r>
          </w:p>
        </w:tc>
        <w:tc>
          <w:tcPr>
            <w:tcW w:w="918" w:type="dxa"/>
            <w:tcBorders>
              <w:top w:val="nil"/>
              <w:left w:val="nil"/>
              <w:bottom w:val="single" w:sz="4" w:space="0" w:color="auto"/>
              <w:right w:val="single" w:sz="4" w:space="0" w:color="auto"/>
            </w:tcBorders>
            <w:shd w:val="clear" w:color="auto" w:fill="auto"/>
            <w:noWrap/>
            <w:vAlign w:val="bottom"/>
            <w:hideMark/>
          </w:tcPr>
          <w:p w14:paraId="4152F8D1" w14:textId="77777777" w:rsidR="00F51A36" w:rsidRPr="00F51A36" w:rsidRDefault="00F51A36" w:rsidP="00F51A36">
            <w:pPr>
              <w:spacing w:after="0"/>
              <w:jc w:val="right"/>
              <w:rPr>
                <w:b/>
                <w:bCs/>
                <w:sz w:val="16"/>
                <w:szCs w:val="16"/>
              </w:rPr>
            </w:pPr>
            <w:r w:rsidRPr="00F51A36">
              <w:rPr>
                <w:b/>
                <w:bCs/>
                <w:sz w:val="16"/>
                <w:szCs w:val="16"/>
              </w:rPr>
              <w:t xml:space="preserve">13,5 </w:t>
            </w:r>
          </w:p>
        </w:tc>
        <w:tc>
          <w:tcPr>
            <w:tcW w:w="916" w:type="dxa"/>
            <w:tcBorders>
              <w:top w:val="nil"/>
              <w:left w:val="nil"/>
              <w:bottom w:val="single" w:sz="4" w:space="0" w:color="auto"/>
              <w:right w:val="single" w:sz="4" w:space="0" w:color="auto"/>
            </w:tcBorders>
            <w:shd w:val="clear" w:color="auto" w:fill="auto"/>
            <w:noWrap/>
            <w:vAlign w:val="bottom"/>
            <w:hideMark/>
          </w:tcPr>
          <w:p w14:paraId="2720372E" w14:textId="77777777" w:rsidR="00F51A36" w:rsidRPr="00F51A36" w:rsidRDefault="00F51A36" w:rsidP="00F51A36">
            <w:pPr>
              <w:spacing w:after="0"/>
              <w:jc w:val="right"/>
              <w:rPr>
                <w:b/>
                <w:bCs/>
                <w:sz w:val="16"/>
                <w:szCs w:val="16"/>
              </w:rPr>
            </w:pPr>
            <w:r w:rsidRPr="00F51A36">
              <w:rPr>
                <w:b/>
                <w:bCs/>
                <w:sz w:val="16"/>
                <w:szCs w:val="16"/>
              </w:rPr>
              <w:t xml:space="preserve">13,4 </w:t>
            </w:r>
          </w:p>
        </w:tc>
        <w:tc>
          <w:tcPr>
            <w:tcW w:w="941" w:type="dxa"/>
            <w:tcBorders>
              <w:top w:val="nil"/>
              <w:left w:val="nil"/>
              <w:bottom w:val="single" w:sz="4" w:space="0" w:color="auto"/>
              <w:right w:val="single" w:sz="4" w:space="0" w:color="auto"/>
            </w:tcBorders>
            <w:shd w:val="clear" w:color="auto" w:fill="auto"/>
            <w:noWrap/>
            <w:vAlign w:val="bottom"/>
            <w:hideMark/>
          </w:tcPr>
          <w:p w14:paraId="19F19D9B" w14:textId="77777777" w:rsidR="00F51A36" w:rsidRPr="00F51A36" w:rsidRDefault="00F51A36" w:rsidP="00F51A36">
            <w:pPr>
              <w:spacing w:after="0"/>
              <w:jc w:val="right"/>
              <w:rPr>
                <w:sz w:val="16"/>
                <w:szCs w:val="16"/>
              </w:rPr>
            </w:pPr>
            <w:r w:rsidRPr="00F51A36">
              <w:rPr>
                <w:sz w:val="16"/>
                <w:szCs w:val="16"/>
              </w:rPr>
              <w:t xml:space="preserve">99,3 </w:t>
            </w:r>
          </w:p>
        </w:tc>
        <w:tc>
          <w:tcPr>
            <w:tcW w:w="941" w:type="dxa"/>
            <w:tcBorders>
              <w:top w:val="nil"/>
              <w:left w:val="nil"/>
              <w:bottom w:val="single" w:sz="4" w:space="0" w:color="auto"/>
              <w:right w:val="single" w:sz="4" w:space="0" w:color="auto"/>
            </w:tcBorders>
            <w:shd w:val="clear" w:color="auto" w:fill="auto"/>
            <w:noWrap/>
            <w:vAlign w:val="bottom"/>
            <w:hideMark/>
          </w:tcPr>
          <w:p w14:paraId="6537F822" w14:textId="77777777" w:rsidR="00F51A36" w:rsidRPr="00F51A36" w:rsidRDefault="00F51A36" w:rsidP="00F51A36">
            <w:pPr>
              <w:spacing w:after="0"/>
              <w:jc w:val="right"/>
              <w:rPr>
                <w:sz w:val="16"/>
                <w:szCs w:val="16"/>
              </w:rPr>
            </w:pPr>
            <w:r w:rsidRPr="00F51A36">
              <w:rPr>
                <w:sz w:val="16"/>
                <w:szCs w:val="16"/>
              </w:rPr>
              <w:t xml:space="preserve">99,3 </w:t>
            </w:r>
          </w:p>
        </w:tc>
        <w:tc>
          <w:tcPr>
            <w:tcW w:w="815" w:type="dxa"/>
            <w:tcBorders>
              <w:top w:val="nil"/>
              <w:left w:val="nil"/>
              <w:bottom w:val="single" w:sz="4" w:space="0" w:color="auto"/>
              <w:right w:val="single" w:sz="4" w:space="0" w:color="auto"/>
            </w:tcBorders>
            <w:shd w:val="clear" w:color="auto" w:fill="auto"/>
            <w:noWrap/>
            <w:vAlign w:val="bottom"/>
            <w:hideMark/>
          </w:tcPr>
          <w:p w14:paraId="2F370C5D" w14:textId="77777777" w:rsidR="00F51A36" w:rsidRPr="00F51A36" w:rsidRDefault="00F51A36" w:rsidP="00F51A36">
            <w:pPr>
              <w:spacing w:after="0"/>
              <w:jc w:val="right"/>
              <w:rPr>
                <w:sz w:val="16"/>
                <w:szCs w:val="16"/>
              </w:rPr>
            </w:pPr>
            <w:r w:rsidRPr="00F51A36">
              <w:rPr>
                <w:sz w:val="16"/>
                <w:szCs w:val="16"/>
              </w:rPr>
              <w:t xml:space="preserve">104,7 </w:t>
            </w:r>
          </w:p>
        </w:tc>
      </w:tr>
      <w:tr w:rsidR="00F51A36" w:rsidRPr="00F51A36" w14:paraId="60CEA14F" w14:textId="77777777" w:rsidTr="00F51A36">
        <w:trPr>
          <w:trHeight w:val="300"/>
        </w:trPr>
        <w:tc>
          <w:tcPr>
            <w:tcW w:w="1660" w:type="dxa"/>
            <w:tcBorders>
              <w:top w:val="nil"/>
              <w:left w:val="single" w:sz="4" w:space="0" w:color="auto"/>
              <w:bottom w:val="single" w:sz="4" w:space="0" w:color="auto"/>
              <w:right w:val="single" w:sz="4" w:space="0" w:color="auto"/>
            </w:tcBorders>
            <w:shd w:val="clear" w:color="auto" w:fill="auto"/>
            <w:vAlign w:val="bottom"/>
            <w:hideMark/>
          </w:tcPr>
          <w:p w14:paraId="181AB92E" w14:textId="77777777" w:rsidR="00F51A36" w:rsidRPr="00F51A36" w:rsidRDefault="00F51A36" w:rsidP="00F51A36">
            <w:pPr>
              <w:spacing w:after="0"/>
              <w:jc w:val="right"/>
              <w:rPr>
                <w:sz w:val="16"/>
                <w:szCs w:val="16"/>
              </w:rPr>
            </w:pPr>
            <w:r w:rsidRPr="00F51A36">
              <w:rPr>
                <w:sz w:val="16"/>
                <w:szCs w:val="16"/>
              </w:rPr>
              <w:t>bevétel:</w:t>
            </w:r>
          </w:p>
        </w:tc>
        <w:tc>
          <w:tcPr>
            <w:tcW w:w="916" w:type="dxa"/>
            <w:tcBorders>
              <w:top w:val="nil"/>
              <w:left w:val="nil"/>
              <w:bottom w:val="single" w:sz="4" w:space="0" w:color="auto"/>
              <w:right w:val="single" w:sz="4" w:space="0" w:color="auto"/>
            </w:tcBorders>
            <w:shd w:val="clear" w:color="auto" w:fill="auto"/>
            <w:noWrap/>
            <w:vAlign w:val="bottom"/>
            <w:hideMark/>
          </w:tcPr>
          <w:p w14:paraId="543ECC96" w14:textId="77777777" w:rsidR="00F51A36" w:rsidRPr="00F51A36" w:rsidRDefault="00F51A36" w:rsidP="00F51A36">
            <w:pPr>
              <w:spacing w:after="0"/>
              <w:jc w:val="right"/>
              <w:rPr>
                <w:sz w:val="16"/>
                <w:szCs w:val="16"/>
              </w:rPr>
            </w:pPr>
            <w:r w:rsidRPr="00F51A36">
              <w:rPr>
                <w:sz w:val="16"/>
                <w:szCs w:val="16"/>
              </w:rPr>
              <w:t xml:space="preserve">848,4 </w:t>
            </w:r>
          </w:p>
        </w:tc>
        <w:tc>
          <w:tcPr>
            <w:tcW w:w="916" w:type="dxa"/>
            <w:tcBorders>
              <w:top w:val="nil"/>
              <w:left w:val="nil"/>
              <w:bottom w:val="single" w:sz="4" w:space="0" w:color="auto"/>
              <w:right w:val="single" w:sz="4" w:space="0" w:color="auto"/>
            </w:tcBorders>
            <w:shd w:val="clear" w:color="auto" w:fill="auto"/>
            <w:noWrap/>
            <w:vAlign w:val="bottom"/>
            <w:hideMark/>
          </w:tcPr>
          <w:p w14:paraId="083B7D26" w14:textId="77777777" w:rsidR="00F51A36" w:rsidRPr="00F51A36" w:rsidRDefault="00F51A36" w:rsidP="00F51A36">
            <w:pPr>
              <w:spacing w:after="0"/>
              <w:jc w:val="right"/>
              <w:rPr>
                <w:sz w:val="16"/>
                <w:szCs w:val="16"/>
              </w:rPr>
            </w:pPr>
            <w:r w:rsidRPr="00F51A36">
              <w:rPr>
                <w:sz w:val="16"/>
                <w:szCs w:val="16"/>
              </w:rPr>
              <w:t xml:space="preserve">243,7 </w:t>
            </w:r>
          </w:p>
        </w:tc>
        <w:tc>
          <w:tcPr>
            <w:tcW w:w="879" w:type="dxa"/>
            <w:tcBorders>
              <w:top w:val="nil"/>
              <w:left w:val="nil"/>
              <w:bottom w:val="single" w:sz="4" w:space="0" w:color="auto"/>
              <w:right w:val="single" w:sz="4" w:space="0" w:color="auto"/>
            </w:tcBorders>
            <w:shd w:val="clear" w:color="auto" w:fill="auto"/>
            <w:noWrap/>
            <w:vAlign w:val="bottom"/>
            <w:hideMark/>
          </w:tcPr>
          <w:p w14:paraId="6D3CC86F" w14:textId="77777777" w:rsidR="00F51A36" w:rsidRPr="00F51A36" w:rsidRDefault="00F51A36" w:rsidP="00F51A36">
            <w:pPr>
              <w:spacing w:after="0"/>
              <w:jc w:val="right"/>
              <w:rPr>
                <w:sz w:val="16"/>
                <w:szCs w:val="16"/>
              </w:rPr>
            </w:pPr>
            <w:r w:rsidRPr="00F51A36">
              <w:rPr>
                <w:sz w:val="16"/>
                <w:szCs w:val="16"/>
              </w:rPr>
              <w:t xml:space="preserve">28,7 </w:t>
            </w:r>
          </w:p>
        </w:tc>
        <w:tc>
          <w:tcPr>
            <w:tcW w:w="918" w:type="dxa"/>
            <w:tcBorders>
              <w:top w:val="nil"/>
              <w:left w:val="nil"/>
              <w:bottom w:val="single" w:sz="4" w:space="0" w:color="auto"/>
              <w:right w:val="single" w:sz="4" w:space="0" w:color="auto"/>
            </w:tcBorders>
            <w:shd w:val="clear" w:color="auto" w:fill="auto"/>
            <w:noWrap/>
            <w:vAlign w:val="bottom"/>
            <w:hideMark/>
          </w:tcPr>
          <w:p w14:paraId="4FE23BEA" w14:textId="77777777" w:rsidR="00F51A36" w:rsidRPr="00F51A36" w:rsidRDefault="00F51A36" w:rsidP="00F51A36">
            <w:pPr>
              <w:spacing w:after="0"/>
              <w:jc w:val="right"/>
              <w:rPr>
                <w:sz w:val="16"/>
                <w:szCs w:val="16"/>
              </w:rPr>
            </w:pPr>
            <w:r w:rsidRPr="00F51A36">
              <w:rPr>
                <w:sz w:val="16"/>
                <w:szCs w:val="16"/>
              </w:rPr>
              <w:t xml:space="preserve">626,2 </w:t>
            </w:r>
          </w:p>
        </w:tc>
        <w:tc>
          <w:tcPr>
            <w:tcW w:w="918" w:type="dxa"/>
            <w:tcBorders>
              <w:top w:val="nil"/>
              <w:left w:val="nil"/>
              <w:bottom w:val="single" w:sz="4" w:space="0" w:color="auto"/>
              <w:right w:val="single" w:sz="4" w:space="0" w:color="auto"/>
            </w:tcBorders>
            <w:shd w:val="clear" w:color="auto" w:fill="auto"/>
            <w:noWrap/>
            <w:vAlign w:val="bottom"/>
            <w:hideMark/>
          </w:tcPr>
          <w:p w14:paraId="352167EF" w14:textId="77777777" w:rsidR="00F51A36" w:rsidRPr="00F51A36" w:rsidRDefault="00F51A36" w:rsidP="00F51A36">
            <w:pPr>
              <w:spacing w:after="0"/>
              <w:jc w:val="right"/>
              <w:rPr>
                <w:sz w:val="16"/>
                <w:szCs w:val="16"/>
              </w:rPr>
            </w:pPr>
            <w:r w:rsidRPr="00F51A36">
              <w:rPr>
                <w:sz w:val="16"/>
                <w:szCs w:val="16"/>
              </w:rPr>
              <w:t xml:space="preserve">626,2 </w:t>
            </w:r>
          </w:p>
        </w:tc>
        <w:tc>
          <w:tcPr>
            <w:tcW w:w="916" w:type="dxa"/>
            <w:tcBorders>
              <w:top w:val="nil"/>
              <w:left w:val="nil"/>
              <w:bottom w:val="single" w:sz="4" w:space="0" w:color="auto"/>
              <w:right w:val="single" w:sz="4" w:space="0" w:color="auto"/>
            </w:tcBorders>
            <w:shd w:val="clear" w:color="auto" w:fill="auto"/>
            <w:noWrap/>
            <w:vAlign w:val="bottom"/>
            <w:hideMark/>
          </w:tcPr>
          <w:p w14:paraId="5D9D1330" w14:textId="77777777" w:rsidR="00F51A36" w:rsidRPr="00F51A36" w:rsidRDefault="00F51A36" w:rsidP="00F51A36">
            <w:pPr>
              <w:spacing w:after="0"/>
              <w:jc w:val="right"/>
              <w:rPr>
                <w:sz w:val="16"/>
                <w:szCs w:val="16"/>
              </w:rPr>
            </w:pPr>
            <w:r w:rsidRPr="00F51A36">
              <w:rPr>
                <w:sz w:val="16"/>
                <w:szCs w:val="16"/>
              </w:rPr>
              <w:t xml:space="preserve">304,6 </w:t>
            </w:r>
          </w:p>
        </w:tc>
        <w:tc>
          <w:tcPr>
            <w:tcW w:w="941" w:type="dxa"/>
            <w:tcBorders>
              <w:top w:val="nil"/>
              <w:left w:val="nil"/>
              <w:bottom w:val="single" w:sz="4" w:space="0" w:color="auto"/>
              <w:right w:val="single" w:sz="4" w:space="0" w:color="auto"/>
            </w:tcBorders>
            <w:shd w:val="clear" w:color="auto" w:fill="auto"/>
            <w:noWrap/>
            <w:vAlign w:val="bottom"/>
            <w:hideMark/>
          </w:tcPr>
          <w:p w14:paraId="6DF610B2" w14:textId="77777777" w:rsidR="00F51A36" w:rsidRPr="00F51A36" w:rsidRDefault="00F51A36" w:rsidP="00F51A36">
            <w:pPr>
              <w:spacing w:after="0"/>
              <w:jc w:val="right"/>
              <w:rPr>
                <w:sz w:val="16"/>
                <w:szCs w:val="16"/>
              </w:rPr>
            </w:pPr>
            <w:r w:rsidRPr="00F51A36">
              <w:rPr>
                <w:sz w:val="16"/>
                <w:szCs w:val="16"/>
              </w:rPr>
              <w:t xml:space="preserve">48,6 </w:t>
            </w:r>
          </w:p>
        </w:tc>
        <w:tc>
          <w:tcPr>
            <w:tcW w:w="941" w:type="dxa"/>
            <w:tcBorders>
              <w:top w:val="nil"/>
              <w:left w:val="nil"/>
              <w:bottom w:val="single" w:sz="4" w:space="0" w:color="auto"/>
              <w:right w:val="single" w:sz="4" w:space="0" w:color="auto"/>
            </w:tcBorders>
            <w:shd w:val="clear" w:color="auto" w:fill="auto"/>
            <w:noWrap/>
            <w:vAlign w:val="bottom"/>
            <w:hideMark/>
          </w:tcPr>
          <w:p w14:paraId="13EB6AF6" w14:textId="77777777" w:rsidR="00F51A36" w:rsidRPr="00F51A36" w:rsidRDefault="00F51A36" w:rsidP="00F51A36">
            <w:pPr>
              <w:spacing w:after="0"/>
              <w:jc w:val="right"/>
              <w:rPr>
                <w:sz w:val="16"/>
                <w:szCs w:val="16"/>
              </w:rPr>
            </w:pPr>
            <w:r w:rsidRPr="00F51A36">
              <w:rPr>
                <w:sz w:val="16"/>
                <w:szCs w:val="16"/>
              </w:rPr>
              <w:t xml:space="preserve">48,6 </w:t>
            </w:r>
          </w:p>
        </w:tc>
        <w:tc>
          <w:tcPr>
            <w:tcW w:w="815" w:type="dxa"/>
            <w:tcBorders>
              <w:top w:val="nil"/>
              <w:left w:val="nil"/>
              <w:bottom w:val="single" w:sz="4" w:space="0" w:color="auto"/>
              <w:right w:val="single" w:sz="4" w:space="0" w:color="auto"/>
            </w:tcBorders>
            <w:shd w:val="clear" w:color="auto" w:fill="auto"/>
            <w:noWrap/>
            <w:vAlign w:val="bottom"/>
            <w:hideMark/>
          </w:tcPr>
          <w:p w14:paraId="4973213B" w14:textId="77777777" w:rsidR="00F51A36" w:rsidRPr="00F51A36" w:rsidRDefault="00F51A36" w:rsidP="00F51A36">
            <w:pPr>
              <w:spacing w:after="0"/>
              <w:jc w:val="right"/>
              <w:rPr>
                <w:sz w:val="16"/>
                <w:szCs w:val="16"/>
              </w:rPr>
            </w:pPr>
            <w:r w:rsidRPr="00F51A36">
              <w:rPr>
                <w:sz w:val="16"/>
                <w:szCs w:val="16"/>
              </w:rPr>
              <w:t xml:space="preserve">125,0 </w:t>
            </w:r>
          </w:p>
        </w:tc>
      </w:tr>
      <w:tr w:rsidR="00F51A36" w:rsidRPr="00F51A36" w14:paraId="3855A195" w14:textId="77777777" w:rsidTr="00F51A36">
        <w:trPr>
          <w:trHeight w:val="300"/>
        </w:trPr>
        <w:tc>
          <w:tcPr>
            <w:tcW w:w="1660" w:type="dxa"/>
            <w:tcBorders>
              <w:top w:val="nil"/>
              <w:left w:val="single" w:sz="4" w:space="0" w:color="auto"/>
              <w:bottom w:val="single" w:sz="4" w:space="0" w:color="auto"/>
              <w:right w:val="single" w:sz="4" w:space="0" w:color="auto"/>
            </w:tcBorders>
            <w:shd w:val="clear" w:color="auto" w:fill="auto"/>
            <w:vAlign w:val="bottom"/>
            <w:hideMark/>
          </w:tcPr>
          <w:p w14:paraId="720F3B79" w14:textId="77777777" w:rsidR="00F51A36" w:rsidRPr="00F51A36" w:rsidRDefault="00F51A36" w:rsidP="00F51A36">
            <w:pPr>
              <w:spacing w:after="0"/>
              <w:jc w:val="right"/>
              <w:rPr>
                <w:sz w:val="16"/>
                <w:szCs w:val="16"/>
              </w:rPr>
            </w:pPr>
            <w:r w:rsidRPr="00F51A36">
              <w:rPr>
                <w:sz w:val="16"/>
                <w:szCs w:val="16"/>
              </w:rPr>
              <w:t>kiadás:</w:t>
            </w:r>
          </w:p>
        </w:tc>
        <w:tc>
          <w:tcPr>
            <w:tcW w:w="916" w:type="dxa"/>
            <w:tcBorders>
              <w:top w:val="nil"/>
              <w:left w:val="nil"/>
              <w:bottom w:val="single" w:sz="4" w:space="0" w:color="auto"/>
              <w:right w:val="single" w:sz="4" w:space="0" w:color="auto"/>
            </w:tcBorders>
            <w:shd w:val="clear" w:color="auto" w:fill="auto"/>
            <w:noWrap/>
            <w:vAlign w:val="bottom"/>
            <w:hideMark/>
          </w:tcPr>
          <w:p w14:paraId="4D6980C0" w14:textId="77777777" w:rsidR="00F51A36" w:rsidRPr="00F51A36" w:rsidRDefault="00F51A36" w:rsidP="00F51A36">
            <w:pPr>
              <w:spacing w:after="0"/>
              <w:jc w:val="right"/>
              <w:rPr>
                <w:sz w:val="16"/>
                <w:szCs w:val="16"/>
              </w:rPr>
            </w:pPr>
            <w:r w:rsidRPr="00F51A36">
              <w:rPr>
                <w:sz w:val="16"/>
                <w:szCs w:val="16"/>
              </w:rPr>
              <w:t xml:space="preserve">801,7 </w:t>
            </w:r>
          </w:p>
        </w:tc>
        <w:tc>
          <w:tcPr>
            <w:tcW w:w="916" w:type="dxa"/>
            <w:tcBorders>
              <w:top w:val="nil"/>
              <w:left w:val="nil"/>
              <w:bottom w:val="single" w:sz="4" w:space="0" w:color="auto"/>
              <w:right w:val="single" w:sz="4" w:space="0" w:color="auto"/>
            </w:tcBorders>
            <w:shd w:val="clear" w:color="auto" w:fill="auto"/>
            <w:noWrap/>
            <w:vAlign w:val="bottom"/>
            <w:hideMark/>
          </w:tcPr>
          <w:p w14:paraId="637D1FE3" w14:textId="77777777" w:rsidR="00F51A36" w:rsidRPr="00F51A36" w:rsidRDefault="00F51A36" w:rsidP="00F51A36">
            <w:pPr>
              <w:spacing w:after="0"/>
              <w:jc w:val="right"/>
              <w:rPr>
                <w:sz w:val="16"/>
                <w:szCs w:val="16"/>
              </w:rPr>
            </w:pPr>
            <w:r w:rsidRPr="00F51A36">
              <w:rPr>
                <w:sz w:val="16"/>
                <w:szCs w:val="16"/>
              </w:rPr>
              <w:t xml:space="preserve">230,9 </w:t>
            </w:r>
          </w:p>
        </w:tc>
        <w:tc>
          <w:tcPr>
            <w:tcW w:w="879" w:type="dxa"/>
            <w:tcBorders>
              <w:top w:val="nil"/>
              <w:left w:val="nil"/>
              <w:bottom w:val="single" w:sz="4" w:space="0" w:color="auto"/>
              <w:right w:val="single" w:sz="4" w:space="0" w:color="auto"/>
            </w:tcBorders>
            <w:shd w:val="clear" w:color="auto" w:fill="auto"/>
            <w:noWrap/>
            <w:vAlign w:val="bottom"/>
            <w:hideMark/>
          </w:tcPr>
          <w:p w14:paraId="523D3502" w14:textId="77777777" w:rsidR="00F51A36" w:rsidRPr="00F51A36" w:rsidRDefault="00F51A36" w:rsidP="00F51A36">
            <w:pPr>
              <w:spacing w:after="0"/>
              <w:jc w:val="right"/>
              <w:rPr>
                <w:sz w:val="16"/>
                <w:szCs w:val="16"/>
              </w:rPr>
            </w:pPr>
            <w:r w:rsidRPr="00F51A36">
              <w:rPr>
                <w:sz w:val="16"/>
                <w:szCs w:val="16"/>
              </w:rPr>
              <w:t xml:space="preserve">28,8 </w:t>
            </w:r>
          </w:p>
        </w:tc>
        <w:tc>
          <w:tcPr>
            <w:tcW w:w="918" w:type="dxa"/>
            <w:tcBorders>
              <w:top w:val="nil"/>
              <w:left w:val="nil"/>
              <w:bottom w:val="single" w:sz="4" w:space="0" w:color="auto"/>
              <w:right w:val="single" w:sz="4" w:space="0" w:color="auto"/>
            </w:tcBorders>
            <w:shd w:val="clear" w:color="auto" w:fill="auto"/>
            <w:noWrap/>
            <w:vAlign w:val="bottom"/>
            <w:hideMark/>
          </w:tcPr>
          <w:p w14:paraId="11277D00" w14:textId="77777777" w:rsidR="00F51A36" w:rsidRPr="00F51A36" w:rsidRDefault="00F51A36" w:rsidP="00F51A36">
            <w:pPr>
              <w:spacing w:after="0"/>
              <w:jc w:val="right"/>
              <w:rPr>
                <w:sz w:val="16"/>
                <w:szCs w:val="16"/>
              </w:rPr>
            </w:pPr>
            <w:r w:rsidRPr="00F51A36">
              <w:rPr>
                <w:sz w:val="16"/>
                <w:szCs w:val="16"/>
              </w:rPr>
              <w:t xml:space="preserve">612,7 </w:t>
            </w:r>
          </w:p>
        </w:tc>
        <w:tc>
          <w:tcPr>
            <w:tcW w:w="918" w:type="dxa"/>
            <w:tcBorders>
              <w:top w:val="nil"/>
              <w:left w:val="nil"/>
              <w:bottom w:val="single" w:sz="4" w:space="0" w:color="auto"/>
              <w:right w:val="single" w:sz="4" w:space="0" w:color="auto"/>
            </w:tcBorders>
            <w:shd w:val="clear" w:color="auto" w:fill="auto"/>
            <w:noWrap/>
            <w:vAlign w:val="bottom"/>
            <w:hideMark/>
          </w:tcPr>
          <w:p w14:paraId="32F3125D" w14:textId="77777777" w:rsidR="00F51A36" w:rsidRPr="00F51A36" w:rsidRDefault="00F51A36" w:rsidP="00F51A36">
            <w:pPr>
              <w:spacing w:after="0"/>
              <w:jc w:val="right"/>
              <w:rPr>
                <w:sz w:val="16"/>
                <w:szCs w:val="16"/>
              </w:rPr>
            </w:pPr>
            <w:r w:rsidRPr="00F51A36">
              <w:rPr>
                <w:sz w:val="16"/>
                <w:szCs w:val="16"/>
              </w:rPr>
              <w:t xml:space="preserve">612,7 </w:t>
            </w:r>
          </w:p>
        </w:tc>
        <w:tc>
          <w:tcPr>
            <w:tcW w:w="916" w:type="dxa"/>
            <w:tcBorders>
              <w:top w:val="nil"/>
              <w:left w:val="nil"/>
              <w:bottom w:val="single" w:sz="4" w:space="0" w:color="auto"/>
              <w:right w:val="single" w:sz="4" w:space="0" w:color="auto"/>
            </w:tcBorders>
            <w:shd w:val="clear" w:color="auto" w:fill="auto"/>
            <w:noWrap/>
            <w:vAlign w:val="bottom"/>
            <w:hideMark/>
          </w:tcPr>
          <w:p w14:paraId="32143774" w14:textId="77777777" w:rsidR="00F51A36" w:rsidRPr="00F51A36" w:rsidRDefault="00F51A36" w:rsidP="00F51A36">
            <w:pPr>
              <w:spacing w:after="0"/>
              <w:jc w:val="right"/>
              <w:rPr>
                <w:sz w:val="16"/>
                <w:szCs w:val="16"/>
              </w:rPr>
            </w:pPr>
            <w:r w:rsidRPr="00F51A36">
              <w:rPr>
                <w:sz w:val="16"/>
                <w:szCs w:val="16"/>
              </w:rPr>
              <w:t xml:space="preserve">291,2 </w:t>
            </w:r>
          </w:p>
        </w:tc>
        <w:tc>
          <w:tcPr>
            <w:tcW w:w="941" w:type="dxa"/>
            <w:tcBorders>
              <w:top w:val="nil"/>
              <w:left w:val="nil"/>
              <w:bottom w:val="single" w:sz="4" w:space="0" w:color="auto"/>
              <w:right w:val="single" w:sz="4" w:space="0" w:color="auto"/>
            </w:tcBorders>
            <w:shd w:val="clear" w:color="auto" w:fill="auto"/>
            <w:noWrap/>
            <w:vAlign w:val="bottom"/>
            <w:hideMark/>
          </w:tcPr>
          <w:p w14:paraId="4CA0236C" w14:textId="77777777" w:rsidR="00F51A36" w:rsidRPr="00F51A36" w:rsidRDefault="00F51A36" w:rsidP="00F51A36">
            <w:pPr>
              <w:spacing w:after="0"/>
              <w:jc w:val="right"/>
              <w:rPr>
                <w:sz w:val="16"/>
                <w:szCs w:val="16"/>
              </w:rPr>
            </w:pPr>
            <w:r w:rsidRPr="00F51A36">
              <w:rPr>
                <w:sz w:val="16"/>
                <w:szCs w:val="16"/>
              </w:rPr>
              <w:t xml:space="preserve">47,5 </w:t>
            </w:r>
          </w:p>
        </w:tc>
        <w:tc>
          <w:tcPr>
            <w:tcW w:w="941" w:type="dxa"/>
            <w:tcBorders>
              <w:top w:val="nil"/>
              <w:left w:val="nil"/>
              <w:bottom w:val="single" w:sz="4" w:space="0" w:color="auto"/>
              <w:right w:val="single" w:sz="4" w:space="0" w:color="auto"/>
            </w:tcBorders>
            <w:shd w:val="clear" w:color="auto" w:fill="auto"/>
            <w:noWrap/>
            <w:vAlign w:val="bottom"/>
            <w:hideMark/>
          </w:tcPr>
          <w:p w14:paraId="367BCE9C" w14:textId="77777777" w:rsidR="00F51A36" w:rsidRPr="00F51A36" w:rsidRDefault="00F51A36" w:rsidP="00F51A36">
            <w:pPr>
              <w:spacing w:after="0"/>
              <w:jc w:val="right"/>
              <w:rPr>
                <w:sz w:val="16"/>
                <w:szCs w:val="16"/>
              </w:rPr>
            </w:pPr>
            <w:r w:rsidRPr="00F51A36">
              <w:rPr>
                <w:sz w:val="16"/>
                <w:szCs w:val="16"/>
              </w:rPr>
              <w:t xml:space="preserve">47,5 </w:t>
            </w:r>
          </w:p>
        </w:tc>
        <w:tc>
          <w:tcPr>
            <w:tcW w:w="815" w:type="dxa"/>
            <w:tcBorders>
              <w:top w:val="nil"/>
              <w:left w:val="nil"/>
              <w:bottom w:val="single" w:sz="4" w:space="0" w:color="auto"/>
              <w:right w:val="single" w:sz="4" w:space="0" w:color="auto"/>
            </w:tcBorders>
            <w:shd w:val="clear" w:color="auto" w:fill="auto"/>
            <w:noWrap/>
            <w:vAlign w:val="bottom"/>
            <w:hideMark/>
          </w:tcPr>
          <w:p w14:paraId="46B2117C" w14:textId="77777777" w:rsidR="00F51A36" w:rsidRPr="00F51A36" w:rsidRDefault="00F51A36" w:rsidP="00F51A36">
            <w:pPr>
              <w:spacing w:after="0"/>
              <w:jc w:val="right"/>
              <w:rPr>
                <w:sz w:val="16"/>
                <w:szCs w:val="16"/>
              </w:rPr>
            </w:pPr>
            <w:r w:rsidRPr="00F51A36">
              <w:rPr>
                <w:sz w:val="16"/>
                <w:szCs w:val="16"/>
              </w:rPr>
              <w:t xml:space="preserve">126,1 </w:t>
            </w:r>
          </w:p>
        </w:tc>
      </w:tr>
      <w:tr w:rsidR="00F51A36" w:rsidRPr="00F51A36" w14:paraId="14A1972B" w14:textId="77777777" w:rsidTr="00F51A36">
        <w:trPr>
          <w:trHeight w:val="60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48249B4F" w14:textId="77777777" w:rsidR="00F51A36" w:rsidRPr="00F51A36" w:rsidRDefault="00F51A36" w:rsidP="00F51A36">
            <w:pPr>
              <w:spacing w:after="0"/>
              <w:jc w:val="left"/>
              <w:rPr>
                <w:b/>
                <w:bCs/>
                <w:sz w:val="16"/>
                <w:szCs w:val="16"/>
              </w:rPr>
            </w:pPr>
            <w:r w:rsidRPr="00F51A36">
              <w:rPr>
                <w:b/>
                <w:bCs/>
                <w:sz w:val="16"/>
                <w:szCs w:val="16"/>
              </w:rPr>
              <w:t>Társadalombiztosítási alapok egyenlege</w:t>
            </w:r>
          </w:p>
        </w:tc>
        <w:tc>
          <w:tcPr>
            <w:tcW w:w="916" w:type="dxa"/>
            <w:tcBorders>
              <w:top w:val="nil"/>
              <w:left w:val="nil"/>
              <w:bottom w:val="single" w:sz="4" w:space="0" w:color="auto"/>
              <w:right w:val="single" w:sz="4" w:space="0" w:color="auto"/>
            </w:tcBorders>
            <w:shd w:val="clear" w:color="auto" w:fill="auto"/>
            <w:noWrap/>
            <w:vAlign w:val="bottom"/>
            <w:hideMark/>
          </w:tcPr>
          <w:p w14:paraId="3F66F8CC" w14:textId="77777777" w:rsidR="00F51A36" w:rsidRPr="00F51A36" w:rsidRDefault="00F51A36" w:rsidP="00F51A36">
            <w:pPr>
              <w:spacing w:after="0"/>
              <w:jc w:val="right"/>
              <w:rPr>
                <w:b/>
                <w:bCs/>
                <w:sz w:val="16"/>
                <w:szCs w:val="16"/>
              </w:rPr>
            </w:pPr>
            <w:r w:rsidRPr="00F51A36">
              <w:rPr>
                <w:b/>
                <w:bCs/>
                <w:sz w:val="16"/>
                <w:szCs w:val="16"/>
              </w:rPr>
              <w:t xml:space="preserve">-641,8 </w:t>
            </w:r>
          </w:p>
        </w:tc>
        <w:tc>
          <w:tcPr>
            <w:tcW w:w="916" w:type="dxa"/>
            <w:tcBorders>
              <w:top w:val="nil"/>
              <w:left w:val="nil"/>
              <w:bottom w:val="single" w:sz="4" w:space="0" w:color="auto"/>
              <w:right w:val="single" w:sz="4" w:space="0" w:color="auto"/>
            </w:tcBorders>
            <w:shd w:val="clear" w:color="auto" w:fill="auto"/>
            <w:noWrap/>
            <w:vAlign w:val="bottom"/>
            <w:hideMark/>
          </w:tcPr>
          <w:p w14:paraId="6C636E71" w14:textId="77777777" w:rsidR="00F51A36" w:rsidRPr="00F51A36" w:rsidRDefault="00F51A36" w:rsidP="00F51A36">
            <w:pPr>
              <w:spacing w:after="0"/>
              <w:jc w:val="right"/>
              <w:rPr>
                <w:b/>
                <w:bCs/>
                <w:sz w:val="16"/>
                <w:szCs w:val="16"/>
              </w:rPr>
            </w:pPr>
            <w:r w:rsidRPr="00F51A36">
              <w:rPr>
                <w:b/>
                <w:bCs/>
                <w:sz w:val="16"/>
                <w:szCs w:val="16"/>
              </w:rPr>
              <w:t xml:space="preserve">-154,3 </w:t>
            </w:r>
          </w:p>
        </w:tc>
        <w:tc>
          <w:tcPr>
            <w:tcW w:w="879" w:type="dxa"/>
            <w:tcBorders>
              <w:top w:val="nil"/>
              <w:left w:val="nil"/>
              <w:bottom w:val="single" w:sz="4" w:space="0" w:color="auto"/>
              <w:right w:val="single" w:sz="4" w:space="0" w:color="auto"/>
            </w:tcBorders>
            <w:shd w:val="clear" w:color="auto" w:fill="auto"/>
            <w:noWrap/>
            <w:vAlign w:val="bottom"/>
            <w:hideMark/>
          </w:tcPr>
          <w:p w14:paraId="3D90D811" w14:textId="77777777" w:rsidR="00F51A36" w:rsidRPr="00F51A36" w:rsidRDefault="00F51A36" w:rsidP="00F51A36">
            <w:pPr>
              <w:spacing w:after="0"/>
              <w:jc w:val="right"/>
              <w:rPr>
                <w:sz w:val="16"/>
                <w:szCs w:val="16"/>
              </w:rPr>
            </w:pPr>
            <w:r w:rsidRPr="00F51A36">
              <w:rPr>
                <w:sz w:val="16"/>
                <w:szCs w:val="16"/>
              </w:rPr>
              <w:t xml:space="preserve">24,0 </w:t>
            </w:r>
          </w:p>
        </w:tc>
        <w:tc>
          <w:tcPr>
            <w:tcW w:w="918" w:type="dxa"/>
            <w:tcBorders>
              <w:top w:val="nil"/>
              <w:left w:val="nil"/>
              <w:bottom w:val="single" w:sz="4" w:space="0" w:color="auto"/>
              <w:right w:val="single" w:sz="4" w:space="0" w:color="auto"/>
            </w:tcBorders>
            <w:shd w:val="clear" w:color="auto" w:fill="auto"/>
            <w:noWrap/>
            <w:vAlign w:val="bottom"/>
            <w:hideMark/>
          </w:tcPr>
          <w:p w14:paraId="78BDD71E" w14:textId="77777777" w:rsidR="00F51A36" w:rsidRPr="00F51A36" w:rsidRDefault="00F51A36" w:rsidP="00F51A36">
            <w:pPr>
              <w:spacing w:after="0"/>
              <w:jc w:val="right"/>
              <w:rPr>
                <w:b/>
                <w:bCs/>
                <w:sz w:val="16"/>
                <w:szCs w:val="16"/>
              </w:rPr>
            </w:pPr>
            <w:r w:rsidRPr="00F51A36">
              <w:rPr>
                <w:b/>
                <w:bCs/>
                <w:sz w:val="16"/>
                <w:szCs w:val="16"/>
              </w:rPr>
              <w:t xml:space="preserve">-116,0 </w:t>
            </w:r>
          </w:p>
        </w:tc>
        <w:tc>
          <w:tcPr>
            <w:tcW w:w="918" w:type="dxa"/>
            <w:tcBorders>
              <w:top w:val="nil"/>
              <w:left w:val="nil"/>
              <w:bottom w:val="single" w:sz="4" w:space="0" w:color="auto"/>
              <w:right w:val="single" w:sz="4" w:space="0" w:color="auto"/>
            </w:tcBorders>
            <w:shd w:val="clear" w:color="auto" w:fill="auto"/>
            <w:noWrap/>
            <w:vAlign w:val="bottom"/>
            <w:hideMark/>
          </w:tcPr>
          <w:p w14:paraId="25F29D06" w14:textId="77777777" w:rsidR="00F51A36" w:rsidRPr="00F51A36" w:rsidRDefault="00F51A36" w:rsidP="00F51A36">
            <w:pPr>
              <w:spacing w:after="0"/>
              <w:jc w:val="right"/>
              <w:rPr>
                <w:b/>
                <w:bCs/>
                <w:sz w:val="16"/>
                <w:szCs w:val="16"/>
              </w:rPr>
            </w:pPr>
            <w:r w:rsidRPr="00F51A36">
              <w:rPr>
                <w:b/>
                <w:bCs/>
                <w:sz w:val="16"/>
                <w:szCs w:val="16"/>
              </w:rPr>
              <w:t xml:space="preserve">-126,8 </w:t>
            </w:r>
          </w:p>
        </w:tc>
        <w:tc>
          <w:tcPr>
            <w:tcW w:w="916" w:type="dxa"/>
            <w:tcBorders>
              <w:top w:val="nil"/>
              <w:left w:val="nil"/>
              <w:bottom w:val="single" w:sz="4" w:space="0" w:color="auto"/>
              <w:right w:val="single" w:sz="4" w:space="0" w:color="auto"/>
            </w:tcBorders>
            <w:shd w:val="clear" w:color="auto" w:fill="auto"/>
            <w:noWrap/>
            <w:vAlign w:val="bottom"/>
            <w:hideMark/>
          </w:tcPr>
          <w:p w14:paraId="677EC439" w14:textId="77777777" w:rsidR="00F51A36" w:rsidRPr="00F51A36" w:rsidRDefault="00F51A36" w:rsidP="00F51A36">
            <w:pPr>
              <w:spacing w:after="0"/>
              <w:jc w:val="right"/>
              <w:rPr>
                <w:b/>
                <w:bCs/>
                <w:sz w:val="16"/>
                <w:szCs w:val="16"/>
              </w:rPr>
            </w:pPr>
            <w:r w:rsidRPr="00F51A36">
              <w:rPr>
                <w:b/>
                <w:bCs/>
                <w:sz w:val="16"/>
                <w:szCs w:val="16"/>
              </w:rPr>
              <w:t xml:space="preserve">-155,0 </w:t>
            </w:r>
          </w:p>
        </w:tc>
        <w:tc>
          <w:tcPr>
            <w:tcW w:w="941" w:type="dxa"/>
            <w:tcBorders>
              <w:top w:val="nil"/>
              <w:left w:val="nil"/>
              <w:bottom w:val="single" w:sz="4" w:space="0" w:color="auto"/>
              <w:right w:val="single" w:sz="4" w:space="0" w:color="auto"/>
            </w:tcBorders>
            <w:shd w:val="clear" w:color="auto" w:fill="auto"/>
            <w:noWrap/>
            <w:vAlign w:val="bottom"/>
            <w:hideMark/>
          </w:tcPr>
          <w:p w14:paraId="053A9EC5" w14:textId="77777777" w:rsidR="00F51A36" w:rsidRPr="00F51A36" w:rsidRDefault="00F51A36" w:rsidP="00F51A36">
            <w:pPr>
              <w:spacing w:after="0"/>
              <w:jc w:val="right"/>
              <w:rPr>
                <w:sz w:val="16"/>
                <w:szCs w:val="16"/>
              </w:rPr>
            </w:pPr>
            <w:r w:rsidRPr="00F51A36">
              <w:rPr>
                <w:sz w:val="16"/>
                <w:szCs w:val="16"/>
              </w:rPr>
              <w:t xml:space="preserve">133,6 </w:t>
            </w:r>
          </w:p>
        </w:tc>
        <w:tc>
          <w:tcPr>
            <w:tcW w:w="941" w:type="dxa"/>
            <w:tcBorders>
              <w:top w:val="nil"/>
              <w:left w:val="nil"/>
              <w:bottom w:val="single" w:sz="4" w:space="0" w:color="auto"/>
              <w:right w:val="single" w:sz="4" w:space="0" w:color="auto"/>
            </w:tcBorders>
            <w:shd w:val="clear" w:color="auto" w:fill="auto"/>
            <w:noWrap/>
            <w:vAlign w:val="bottom"/>
            <w:hideMark/>
          </w:tcPr>
          <w:p w14:paraId="34E999CC" w14:textId="77777777" w:rsidR="00F51A36" w:rsidRPr="00F51A36" w:rsidRDefault="00F51A36" w:rsidP="00F51A36">
            <w:pPr>
              <w:spacing w:after="0"/>
              <w:jc w:val="right"/>
              <w:rPr>
                <w:sz w:val="16"/>
                <w:szCs w:val="16"/>
              </w:rPr>
            </w:pPr>
            <w:r w:rsidRPr="00F51A36">
              <w:rPr>
                <w:sz w:val="16"/>
                <w:szCs w:val="16"/>
              </w:rPr>
              <w:t xml:space="preserve">122,2 </w:t>
            </w:r>
          </w:p>
        </w:tc>
        <w:tc>
          <w:tcPr>
            <w:tcW w:w="815" w:type="dxa"/>
            <w:tcBorders>
              <w:top w:val="nil"/>
              <w:left w:val="nil"/>
              <w:bottom w:val="single" w:sz="4" w:space="0" w:color="auto"/>
              <w:right w:val="single" w:sz="4" w:space="0" w:color="auto"/>
            </w:tcBorders>
            <w:shd w:val="clear" w:color="auto" w:fill="auto"/>
            <w:noWrap/>
            <w:vAlign w:val="bottom"/>
            <w:hideMark/>
          </w:tcPr>
          <w:p w14:paraId="00BE03BA" w14:textId="77777777" w:rsidR="00F51A36" w:rsidRPr="00F51A36" w:rsidRDefault="00F51A36" w:rsidP="00F51A36">
            <w:pPr>
              <w:spacing w:after="0"/>
              <w:jc w:val="right"/>
              <w:rPr>
                <w:sz w:val="16"/>
                <w:szCs w:val="16"/>
              </w:rPr>
            </w:pPr>
            <w:r w:rsidRPr="00F51A36">
              <w:rPr>
                <w:sz w:val="16"/>
                <w:szCs w:val="16"/>
              </w:rPr>
              <w:t xml:space="preserve">100,5 </w:t>
            </w:r>
          </w:p>
        </w:tc>
      </w:tr>
      <w:tr w:rsidR="00F51A36" w:rsidRPr="00F51A36" w14:paraId="267F10FA" w14:textId="77777777" w:rsidTr="00F51A36">
        <w:trPr>
          <w:trHeight w:val="300"/>
        </w:trPr>
        <w:tc>
          <w:tcPr>
            <w:tcW w:w="1660" w:type="dxa"/>
            <w:tcBorders>
              <w:top w:val="nil"/>
              <w:left w:val="single" w:sz="4" w:space="0" w:color="auto"/>
              <w:bottom w:val="single" w:sz="4" w:space="0" w:color="auto"/>
              <w:right w:val="single" w:sz="4" w:space="0" w:color="auto"/>
            </w:tcBorders>
            <w:shd w:val="clear" w:color="auto" w:fill="auto"/>
            <w:vAlign w:val="bottom"/>
            <w:hideMark/>
          </w:tcPr>
          <w:p w14:paraId="163100A0" w14:textId="77777777" w:rsidR="00F51A36" w:rsidRPr="00F51A36" w:rsidRDefault="00F51A36" w:rsidP="00F51A36">
            <w:pPr>
              <w:spacing w:after="0"/>
              <w:jc w:val="right"/>
              <w:rPr>
                <w:sz w:val="16"/>
                <w:szCs w:val="16"/>
              </w:rPr>
            </w:pPr>
            <w:r w:rsidRPr="00F51A36">
              <w:rPr>
                <w:sz w:val="16"/>
                <w:szCs w:val="16"/>
              </w:rPr>
              <w:t>bevétel:</w:t>
            </w:r>
          </w:p>
        </w:tc>
        <w:tc>
          <w:tcPr>
            <w:tcW w:w="916" w:type="dxa"/>
            <w:tcBorders>
              <w:top w:val="nil"/>
              <w:left w:val="nil"/>
              <w:bottom w:val="single" w:sz="4" w:space="0" w:color="auto"/>
              <w:right w:val="single" w:sz="4" w:space="0" w:color="auto"/>
            </w:tcBorders>
            <w:shd w:val="clear" w:color="auto" w:fill="auto"/>
            <w:noWrap/>
            <w:vAlign w:val="bottom"/>
            <w:hideMark/>
          </w:tcPr>
          <w:p w14:paraId="70F1BB59" w14:textId="77777777" w:rsidR="00F51A36" w:rsidRPr="00F51A36" w:rsidRDefault="00F51A36" w:rsidP="00F51A36">
            <w:pPr>
              <w:spacing w:after="0"/>
              <w:jc w:val="right"/>
              <w:rPr>
                <w:sz w:val="16"/>
                <w:szCs w:val="16"/>
              </w:rPr>
            </w:pPr>
            <w:r w:rsidRPr="00F51A36">
              <w:rPr>
                <w:sz w:val="16"/>
                <w:szCs w:val="16"/>
              </w:rPr>
              <w:t xml:space="preserve">5 900,8 </w:t>
            </w:r>
          </w:p>
        </w:tc>
        <w:tc>
          <w:tcPr>
            <w:tcW w:w="916" w:type="dxa"/>
            <w:tcBorders>
              <w:top w:val="nil"/>
              <w:left w:val="nil"/>
              <w:bottom w:val="single" w:sz="4" w:space="0" w:color="auto"/>
              <w:right w:val="single" w:sz="4" w:space="0" w:color="auto"/>
            </w:tcBorders>
            <w:shd w:val="clear" w:color="auto" w:fill="auto"/>
            <w:noWrap/>
            <w:vAlign w:val="bottom"/>
            <w:hideMark/>
          </w:tcPr>
          <w:p w14:paraId="04AD36E4" w14:textId="77777777" w:rsidR="00F51A36" w:rsidRPr="00F51A36" w:rsidRDefault="00F51A36" w:rsidP="00F51A36">
            <w:pPr>
              <w:spacing w:after="0"/>
              <w:jc w:val="right"/>
              <w:rPr>
                <w:sz w:val="16"/>
                <w:szCs w:val="16"/>
              </w:rPr>
            </w:pPr>
            <w:r w:rsidRPr="00F51A36">
              <w:rPr>
                <w:sz w:val="16"/>
                <w:szCs w:val="16"/>
              </w:rPr>
              <w:t xml:space="preserve">2 510,3 </w:t>
            </w:r>
          </w:p>
        </w:tc>
        <w:tc>
          <w:tcPr>
            <w:tcW w:w="879" w:type="dxa"/>
            <w:tcBorders>
              <w:top w:val="nil"/>
              <w:left w:val="nil"/>
              <w:bottom w:val="single" w:sz="4" w:space="0" w:color="auto"/>
              <w:right w:val="single" w:sz="4" w:space="0" w:color="auto"/>
            </w:tcBorders>
            <w:shd w:val="clear" w:color="auto" w:fill="auto"/>
            <w:noWrap/>
            <w:vAlign w:val="bottom"/>
            <w:hideMark/>
          </w:tcPr>
          <w:p w14:paraId="041F73C4" w14:textId="77777777" w:rsidR="00F51A36" w:rsidRPr="00F51A36" w:rsidRDefault="00F51A36" w:rsidP="00F51A36">
            <w:pPr>
              <w:spacing w:after="0"/>
              <w:jc w:val="right"/>
              <w:rPr>
                <w:sz w:val="16"/>
                <w:szCs w:val="16"/>
              </w:rPr>
            </w:pPr>
            <w:r w:rsidRPr="00F51A36">
              <w:rPr>
                <w:sz w:val="16"/>
                <w:szCs w:val="16"/>
              </w:rPr>
              <w:t xml:space="preserve">42,5 </w:t>
            </w:r>
          </w:p>
        </w:tc>
        <w:tc>
          <w:tcPr>
            <w:tcW w:w="918" w:type="dxa"/>
            <w:tcBorders>
              <w:top w:val="nil"/>
              <w:left w:val="nil"/>
              <w:bottom w:val="single" w:sz="4" w:space="0" w:color="auto"/>
              <w:right w:val="single" w:sz="4" w:space="0" w:color="auto"/>
            </w:tcBorders>
            <w:shd w:val="clear" w:color="auto" w:fill="auto"/>
            <w:noWrap/>
            <w:vAlign w:val="bottom"/>
            <w:hideMark/>
          </w:tcPr>
          <w:p w14:paraId="45A8DCC0" w14:textId="77777777" w:rsidR="00F51A36" w:rsidRPr="00F51A36" w:rsidRDefault="00F51A36" w:rsidP="00F51A36">
            <w:pPr>
              <w:spacing w:after="0"/>
              <w:jc w:val="right"/>
              <w:rPr>
                <w:sz w:val="16"/>
                <w:szCs w:val="16"/>
              </w:rPr>
            </w:pPr>
            <w:r w:rsidRPr="00F51A36">
              <w:rPr>
                <w:sz w:val="16"/>
                <w:szCs w:val="16"/>
              </w:rPr>
              <w:t xml:space="preserve">6 718,6 </w:t>
            </w:r>
          </w:p>
        </w:tc>
        <w:tc>
          <w:tcPr>
            <w:tcW w:w="918" w:type="dxa"/>
            <w:tcBorders>
              <w:top w:val="nil"/>
              <w:left w:val="nil"/>
              <w:bottom w:val="single" w:sz="4" w:space="0" w:color="auto"/>
              <w:right w:val="single" w:sz="4" w:space="0" w:color="auto"/>
            </w:tcBorders>
            <w:shd w:val="clear" w:color="auto" w:fill="auto"/>
            <w:noWrap/>
            <w:vAlign w:val="bottom"/>
            <w:hideMark/>
          </w:tcPr>
          <w:p w14:paraId="7A299494" w14:textId="77777777" w:rsidR="00F51A36" w:rsidRPr="00F51A36" w:rsidRDefault="00F51A36" w:rsidP="00F51A36">
            <w:pPr>
              <w:spacing w:after="0"/>
              <w:jc w:val="right"/>
              <w:rPr>
                <w:sz w:val="16"/>
                <w:szCs w:val="16"/>
              </w:rPr>
            </w:pPr>
            <w:r w:rsidRPr="00F51A36">
              <w:rPr>
                <w:sz w:val="16"/>
                <w:szCs w:val="16"/>
              </w:rPr>
              <w:t xml:space="preserve">6 707,8 </w:t>
            </w:r>
          </w:p>
        </w:tc>
        <w:tc>
          <w:tcPr>
            <w:tcW w:w="916" w:type="dxa"/>
            <w:tcBorders>
              <w:top w:val="nil"/>
              <w:left w:val="nil"/>
              <w:bottom w:val="single" w:sz="4" w:space="0" w:color="auto"/>
              <w:right w:val="single" w:sz="4" w:space="0" w:color="auto"/>
            </w:tcBorders>
            <w:shd w:val="clear" w:color="auto" w:fill="auto"/>
            <w:noWrap/>
            <w:vAlign w:val="bottom"/>
            <w:hideMark/>
          </w:tcPr>
          <w:p w14:paraId="2835E203" w14:textId="77777777" w:rsidR="00F51A36" w:rsidRPr="00F51A36" w:rsidRDefault="00F51A36" w:rsidP="00F51A36">
            <w:pPr>
              <w:spacing w:after="0"/>
              <w:jc w:val="right"/>
              <w:rPr>
                <w:sz w:val="16"/>
                <w:szCs w:val="16"/>
              </w:rPr>
            </w:pPr>
            <w:r w:rsidRPr="00F51A36">
              <w:rPr>
                <w:sz w:val="16"/>
                <w:szCs w:val="16"/>
              </w:rPr>
              <w:t xml:space="preserve">2 767,1 </w:t>
            </w:r>
          </w:p>
        </w:tc>
        <w:tc>
          <w:tcPr>
            <w:tcW w:w="941" w:type="dxa"/>
            <w:tcBorders>
              <w:top w:val="nil"/>
              <w:left w:val="nil"/>
              <w:bottom w:val="single" w:sz="4" w:space="0" w:color="auto"/>
              <w:right w:val="single" w:sz="4" w:space="0" w:color="auto"/>
            </w:tcBorders>
            <w:shd w:val="clear" w:color="auto" w:fill="auto"/>
            <w:noWrap/>
            <w:vAlign w:val="bottom"/>
            <w:hideMark/>
          </w:tcPr>
          <w:p w14:paraId="362C4476" w14:textId="77777777" w:rsidR="00F51A36" w:rsidRPr="00F51A36" w:rsidRDefault="00F51A36" w:rsidP="00F51A36">
            <w:pPr>
              <w:spacing w:after="0"/>
              <w:jc w:val="right"/>
              <w:rPr>
                <w:sz w:val="16"/>
                <w:szCs w:val="16"/>
              </w:rPr>
            </w:pPr>
            <w:r w:rsidRPr="00F51A36">
              <w:rPr>
                <w:sz w:val="16"/>
                <w:szCs w:val="16"/>
              </w:rPr>
              <w:t xml:space="preserve">41,2 </w:t>
            </w:r>
          </w:p>
        </w:tc>
        <w:tc>
          <w:tcPr>
            <w:tcW w:w="941" w:type="dxa"/>
            <w:tcBorders>
              <w:top w:val="nil"/>
              <w:left w:val="nil"/>
              <w:bottom w:val="single" w:sz="4" w:space="0" w:color="auto"/>
              <w:right w:val="single" w:sz="4" w:space="0" w:color="auto"/>
            </w:tcBorders>
            <w:shd w:val="clear" w:color="auto" w:fill="auto"/>
            <w:noWrap/>
            <w:vAlign w:val="bottom"/>
            <w:hideMark/>
          </w:tcPr>
          <w:p w14:paraId="5B4B459F" w14:textId="77777777" w:rsidR="00F51A36" w:rsidRPr="00F51A36" w:rsidRDefault="00F51A36" w:rsidP="00F51A36">
            <w:pPr>
              <w:spacing w:after="0"/>
              <w:jc w:val="right"/>
              <w:rPr>
                <w:sz w:val="16"/>
                <w:szCs w:val="16"/>
              </w:rPr>
            </w:pPr>
            <w:r w:rsidRPr="00F51A36">
              <w:rPr>
                <w:sz w:val="16"/>
                <w:szCs w:val="16"/>
              </w:rPr>
              <w:t xml:space="preserve">41,3 </w:t>
            </w:r>
          </w:p>
        </w:tc>
        <w:tc>
          <w:tcPr>
            <w:tcW w:w="815" w:type="dxa"/>
            <w:tcBorders>
              <w:top w:val="nil"/>
              <w:left w:val="nil"/>
              <w:bottom w:val="single" w:sz="4" w:space="0" w:color="auto"/>
              <w:right w:val="single" w:sz="4" w:space="0" w:color="auto"/>
            </w:tcBorders>
            <w:shd w:val="clear" w:color="auto" w:fill="auto"/>
            <w:noWrap/>
            <w:vAlign w:val="bottom"/>
            <w:hideMark/>
          </w:tcPr>
          <w:p w14:paraId="71BACE09" w14:textId="77777777" w:rsidR="00F51A36" w:rsidRPr="00F51A36" w:rsidRDefault="00F51A36" w:rsidP="00F51A36">
            <w:pPr>
              <w:spacing w:after="0"/>
              <w:jc w:val="right"/>
              <w:rPr>
                <w:sz w:val="16"/>
                <w:szCs w:val="16"/>
              </w:rPr>
            </w:pPr>
            <w:r w:rsidRPr="00F51A36">
              <w:rPr>
                <w:sz w:val="16"/>
                <w:szCs w:val="16"/>
              </w:rPr>
              <w:t xml:space="preserve">110,2 </w:t>
            </w:r>
          </w:p>
        </w:tc>
      </w:tr>
      <w:tr w:rsidR="00F51A36" w:rsidRPr="00F51A36" w14:paraId="6FB6C781" w14:textId="77777777" w:rsidTr="00F51A36">
        <w:trPr>
          <w:trHeight w:val="300"/>
        </w:trPr>
        <w:tc>
          <w:tcPr>
            <w:tcW w:w="1660" w:type="dxa"/>
            <w:tcBorders>
              <w:top w:val="nil"/>
              <w:left w:val="single" w:sz="4" w:space="0" w:color="auto"/>
              <w:bottom w:val="single" w:sz="4" w:space="0" w:color="auto"/>
              <w:right w:val="single" w:sz="4" w:space="0" w:color="auto"/>
            </w:tcBorders>
            <w:shd w:val="clear" w:color="auto" w:fill="auto"/>
            <w:vAlign w:val="bottom"/>
            <w:hideMark/>
          </w:tcPr>
          <w:p w14:paraId="73BB1B43" w14:textId="77777777" w:rsidR="00F51A36" w:rsidRPr="00F51A36" w:rsidRDefault="00F51A36" w:rsidP="00F51A36">
            <w:pPr>
              <w:spacing w:after="0"/>
              <w:jc w:val="right"/>
              <w:rPr>
                <w:sz w:val="16"/>
                <w:szCs w:val="16"/>
              </w:rPr>
            </w:pPr>
            <w:r w:rsidRPr="00F51A36">
              <w:rPr>
                <w:sz w:val="16"/>
                <w:szCs w:val="16"/>
              </w:rPr>
              <w:t>kiadás:</w:t>
            </w:r>
          </w:p>
        </w:tc>
        <w:tc>
          <w:tcPr>
            <w:tcW w:w="916" w:type="dxa"/>
            <w:tcBorders>
              <w:top w:val="nil"/>
              <w:left w:val="nil"/>
              <w:bottom w:val="single" w:sz="4" w:space="0" w:color="auto"/>
              <w:right w:val="single" w:sz="4" w:space="0" w:color="auto"/>
            </w:tcBorders>
            <w:shd w:val="clear" w:color="auto" w:fill="auto"/>
            <w:noWrap/>
            <w:vAlign w:val="bottom"/>
            <w:hideMark/>
          </w:tcPr>
          <w:p w14:paraId="6C11CE60" w14:textId="77777777" w:rsidR="00F51A36" w:rsidRPr="00F51A36" w:rsidRDefault="00F51A36" w:rsidP="00F51A36">
            <w:pPr>
              <w:spacing w:after="0"/>
              <w:jc w:val="right"/>
              <w:rPr>
                <w:sz w:val="16"/>
                <w:szCs w:val="16"/>
              </w:rPr>
            </w:pPr>
            <w:r w:rsidRPr="00F51A36">
              <w:rPr>
                <w:sz w:val="16"/>
                <w:szCs w:val="16"/>
              </w:rPr>
              <w:t xml:space="preserve">6 542,6 </w:t>
            </w:r>
          </w:p>
        </w:tc>
        <w:tc>
          <w:tcPr>
            <w:tcW w:w="916" w:type="dxa"/>
            <w:tcBorders>
              <w:top w:val="nil"/>
              <w:left w:val="nil"/>
              <w:bottom w:val="single" w:sz="4" w:space="0" w:color="auto"/>
              <w:right w:val="single" w:sz="4" w:space="0" w:color="auto"/>
            </w:tcBorders>
            <w:shd w:val="clear" w:color="auto" w:fill="auto"/>
            <w:noWrap/>
            <w:vAlign w:val="bottom"/>
            <w:hideMark/>
          </w:tcPr>
          <w:p w14:paraId="02272E97" w14:textId="77777777" w:rsidR="00F51A36" w:rsidRPr="00F51A36" w:rsidRDefault="00F51A36" w:rsidP="00F51A36">
            <w:pPr>
              <w:spacing w:after="0"/>
              <w:jc w:val="right"/>
              <w:rPr>
                <w:sz w:val="16"/>
                <w:szCs w:val="16"/>
              </w:rPr>
            </w:pPr>
            <w:r w:rsidRPr="00F51A36">
              <w:rPr>
                <w:sz w:val="16"/>
                <w:szCs w:val="16"/>
              </w:rPr>
              <w:t xml:space="preserve">2 664,6 </w:t>
            </w:r>
          </w:p>
        </w:tc>
        <w:tc>
          <w:tcPr>
            <w:tcW w:w="879" w:type="dxa"/>
            <w:tcBorders>
              <w:top w:val="nil"/>
              <w:left w:val="nil"/>
              <w:bottom w:val="single" w:sz="4" w:space="0" w:color="auto"/>
              <w:right w:val="single" w:sz="4" w:space="0" w:color="auto"/>
            </w:tcBorders>
            <w:shd w:val="clear" w:color="auto" w:fill="auto"/>
            <w:noWrap/>
            <w:vAlign w:val="bottom"/>
            <w:hideMark/>
          </w:tcPr>
          <w:p w14:paraId="3433181E" w14:textId="77777777" w:rsidR="00F51A36" w:rsidRPr="00F51A36" w:rsidRDefault="00F51A36" w:rsidP="00F51A36">
            <w:pPr>
              <w:spacing w:after="0"/>
              <w:jc w:val="right"/>
              <w:rPr>
                <w:sz w:val="16"/>
                <w:szCs w:val="16"/>
              </w:rPr>
            </w:pPr>
            <w:r w:rsidRPr="00F51A36">
              <w:rPr>
                <w:sz w:val="16"/>
                <w:szCs w:val="16"/>
              </w:rPr>
              <w:t xml:space="preserve">40,7 </w:t>
            </w:r>
          </w:p>
        </w:tc>
        <w:tc>
          <w:tcPr>
            <w:tcW w:w="918" w:type="dxa"/>
            <w:tcBorders>
              <w:top w:val="nil"/>
              <w:left w:val="nil"/>
              <w:bottom w:val="single" w:sz="4" w:space="0" w:color="auto"/>
              <w:right w:val="single" w:sz="4" w:space="0" w:color="auto"/>
            </w:tcBorders>
            <w:shd w:val="clear" w:color="auto" w:fill="auto"/>
            <w:noWrap/>
            <w:vAlign w:val="bottom"/>
            <w:hideMark/>
          </w:tcPr>
          <w:p w14:paraId="273118C2" w14:textId="77777777" w:rsidR="00F51A36" w:rsidRPr="00F51A36" w:rsidRDefault="00F51A36" w:rsidP="00F51A36">
            <w:pPr>
              <w:spacing w:after="0"/>
              <w:jc w:val="right"/>
              <w:rPr>
                <w:sz w:val="16"/>
                <w:szCs w:val="16"/>
              </w:rPr>
            </w:pPr>
            <w:r w:rsidRPr="00F51A36">
              <w:rPr>
                <w:sz w:val="16"/>
                <w:szCs w:val="16"/>
              </w:rPr>
              <w:t xml:space="preserve">6 834,6 </w:t>
            </w:r>
          </w:p>
        </w:tc>
        <w:tc>
          <w:tcPr>
            <w:tcW w:w="918" w:type="dxa"/>
            <w:tcBorders>
              <w:top w:val="nil"/>
              <w:left w:val="nil"/>
              <w:bottom w:val="single" w:sz="4" w:space="0" w:color="auto"/>
              <w:right w:val="single" w:sz="4" w:space="0" w:color="auto"/>
            </w:tcBorders>
            <w:shd w:val="clear" w:color="auto" w:fill="auto"/>
            <w:noWrap/>
            <w:vAlign w:val="bottom"/>
            <w:hideMark/>
          </w:tcPr>
          <w:p w14:paraId="218F9D80" w14:textId="77777777" w:rsidR="00F51A36" w:rsidRPr="00F51A36" w:rsidRDefault="00F51A36" w:rsidP="00F51A36">
            <w:pPr>
              <w:spacing w:after="0"/>
              <w:jc w:val="right"/>
              <w:rPr>
                <w:sz w:val="16"/>
                <w:szCs w:val="16"/>
              </w:rPr>
            </w:pPr>
            <w:r w:rsidRPr="00F51A36">
              <w:rPr>
                <w:sz w:val="16"/>
                <w:szCs w:val="16"/>
              </w:rPr>
              <w:t xml:space="preserve">6 834,6 </w:t>
            </w:r>
          </w:p>
        </w:tc>
        <w:tc>
          <w:tcPr>
            <w:tcW w:w="916" w:type="dxa"/>
            <w:tcBorders>
              <w:top w:val="nil"/>
              <w:left w:val="nil"/>
              <w:bottom w:val="single" w:sz="4" w:space="0" w:color="auto"/>
              <w:right w:val="single" w:sz="4" w:space="0" w:color="auto"/>
            </w:tcBorders>
            <w:shd w:val="clear" w:color="auto" w:fill="auto"/>
            <w:noWrap/>
            <w:vAlign w:val="bottom"/>
            <w:hideMark/>
          </w:tcPr>
          <w:p w14:paraId="1D99F4DE" w14:textId="77777777" w:rsidR="00F51A36" w:rsidRPr="00F51A36" w:rsidRDefault="00F51A36" w:rsidP="00F51A36">
            <w:pPr>
              <w:spacing w:after="0"/>
              <w:jc w:val="right"/>
              <w:rPr>
                <w:sz w:val="16"/>
                <w:szCs w:val="16"/>
              </w:rPr>
            </w:pPr>
            <w:r w:rsidRPr="00F51A36">
              <w:rPr>
                <w:sz w:val="16"/>
                <w:szCs w:val="16"/>
              </w:rPr>
              <w:t xml:space="preserve">2 922,1 </w:t>
            </w:r>
          </w:p>
        </w:tc>
        <w:tc>
          <w:tcPr>
            <w:tcW w:w="941" w:type="dxa"/>
            <w:tcBorders>
              <w:top w:val="nil"/>
              <w:left w:val="nil"/>
              <w:bottom w:val="single" w:sz="4" w:space="0" w:color="auto"/>
              <w:right w:val="single" w:sz="4" w:space="0" w:color="auto"/>
            </w:tcBorders>
            <w:shd w:val="clear" w:color="auto" w:fill="auto"/>
            <w:noWrap/>
            <w:vAlign w:val="bottom"/>
            <w:hideMark/>
          </w:tcPr>
          <w:p w14:paraId="3653B96C" w14:textId="77777777" w:rsidR="00F51A36" w:rsidRPr="00F51A36" w:rsidRDefault="00F51A36" w:rsidP="00F51A36">
            <w:pPr>
              <w:spacing w:after="0"/>
              <w:jc w:val="right"/>
              <w:rPr>
                <w:sz w:val="16"/>
                <w:szCs w:val="16"/>
              </w:rPr>
            </w:pPr>
            <w:r w:rsidRPr="00F51A36">
              <w:rPr>
                <w:sz w:val="16"/>
                <w:szCs w:val="16"/>
              </w:rPr>
              <w:t xml:space="preserve">42,8 </w:t>
            </w:r>
          </w:p>
        </w:tc>
        <w:tc>
          <w:tcPr>
            <w:tcW w:w="941" w:type="dxa"/>
            <w:tcBorders>
              <w:top w:val="nil"/>
              <w:left w:val="nil"/>
              <w:bottom w:val="single" w:sz="4" w:space="0" w:color="auto"/>
              <w:right w:val="single" w:sz="4" w:space="0" w:color="auto"/>
            </w:tcBorders>
            <w:shd w:val="clear" w:color="auto" w:fill="auto"/>
            <w:noWrap/>
            <w:vAlign w:val="bottom"/>
            <w:hideMark/>
          </w:tcPr>
          <w:p w14:paraId="44FD36BB" w14:textId="77777777" w:rsidR="00F51A36" w:rsidRPr="00F51A36" w:rsidRDefault="00F51A36" w:rsidP="00F51A36">
            <w:pPr>
              <w:spacing w:after="0"/>
              <w:jc w:val="right"/>
              <w:rPr>
                <w:sz w:val="16"/>
                <w:szCs w:val="16"/>
              </w:rPr>
            </w:pPr>
            <w:r w:rsidRPr="00F51A36">
              <w:rPr>
                <w:sz w:val="16"/>
                <w:szCs w:val="16"/>
              </w:rPr>
              <w:t xml:space="preserve">42,8 </w:t>
            </w:r>
          </w:p>
        </w:tc>
        <w:tc>
          <w:tcPr>
            <w:tcW w:w="815" w:type="dxa"/>
            <w:tcBorders>
              <w:top w:val="nil"/>
              <w:left w:val="nil"/>
              <w:bottom w:val="single" w:sz="4" w:space="0" w:color="auto"/>
              <w:right w:val="single" w:sz="4" w:space="0" w:color="auto"/>
            </w:tcBorders>
            <w:shd w:val="clear" w:color="auto" w:fill="auto"/>
            <w:noWrap/>
            <w:vAlign w:val="bottom"/>
            <w:hideMark/>
          </w:tcPr>
          <w:p w14:paraId="41297D40" w14:textId="77777777" w:rsidR="00F51A36" w:rsidRPr="00F51A36" w:rsidRDefault="00F51A36" w:rsidP="00F51A36">
            <w:pPr>
              <w:spacing w:after="0"/>
              <w:jc w:val="right"/>
              <w:rPr>
                <w:sz w:val="16"/>
                <w:szCs w:val="16"/>
              </w:rPr>
            </w:pPr>
            <w:r w:rsidRPr="00F51A36">
              <w:rPr>
                <w:sz w:val="16"/>
                <w:szCs w:val="16"/>
              </w:rPr>
              <w:t xml:space="preserve">109,7 </w:t>
            </w:r>
          </w:p>
        </w:tc>
      </w:tr>
      <w:tr w:rsidR="00F51A36" w:rsidRPr="00F51A36" w14:paraId="3B29AC39" w14:textId="77777777" w:rsidTr="00F51A36">
        <w:trPr>
          <w:trHeight w:val="255"/>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52109619" w14:textId="77777777" w:rsidR="00F51A36" w:rsidRPr="00F51A36" w:rsidRDefault="00F51A36" w:rsidP="00F51A36">
            <w:pPr>
              <w:spacing w:after="0"/>
              <w:jc w:val="left"/>
              <w:rPr>
                <w:b/>
                <w:bCs/>
                <w:sz w:val="16"/>
                <w:szCs w:val="16"/>
              </w:rPr>
            </w:pPr>
            <w:r w:rsidRPr="00F51A36">
              <w:rPr>
                <w:b/>
                <w:bCs/>
                <w:sz w:val="16"/>
                <w:szCs w:val="16"/>
              </w:rPr>
              <w:t>Egyenleg összesen</w:t>
            </w:r>
          </w:p>
        </w:tc>
        <w:tc>
          <w:tcPr>
            <w:tcW w:w="916" w:type="dxa"/>
            <w:tcBorders>
              <w:top w:val="nil"/>
              <w:left w:val="nil"/>
              <w:bottom w:val="single" w:sz="4" w:space="0" w:color="auto"/>
              <w:right w:val="single" w:sz="4" w:space="0" w:color="auto"/>
            </w:tcBorders>
            <w:shd w:val="clear" w:color="auto" w:fill="auto"/>
            <w:noWrap/>
            <w:vAlign w:val="bottom"/>
            <w:hideMark/>
          </w:tcPr>
          <w:p w14:paraId="615B2F32" w14:textId="77777777" w:rsidR="00F51A36" w:rsidRPr="00F51A36" w:rsidRDefault="00F51A36" w:rsidP="00F51A36">
            <w:pPr>
              <w:spacing w:after="0"/>
              <w:jc w:val="right"/>
              <w:rPr>
                <w:b/>
                <w:bCs/>
                <w:sz w:val="16"/>
                <w:szCs w:val="16"/>
              </w:rPr>
            </w:pPr>
            <w:r w:rsidRPr="00F51A36">
              <w:rPr>
                <w:b/>
                <w:bCs/>
                <w:sz w:val="16"/>
                <w:szCs w:val="16"/>
              </w:rPr>
              <w:t xml:space="preserve">-5 548,6 </w:t>
            </w:r>
          </w:p>
        </w:tc>
        <w:tc>
          <w:tcPr>
            <w:tcW w:w="916" w:type="dxa"/>
            <w:tcBorders>
              <w:top w:val="nil"/>
              <w:left w:val="nil"/>
              <w:bottom w:val="single" w:sz="4" w:space="0" w:color="auto"/>
              <w:right w:val="single" w:sz="4" w:space="0" w:color="auto"/>
            </w:tcBorders>
            <w:shd w:val="clear" w:color="auto" w:fill="auto"/>
            <w:noWrap/>
            <w:vAlign w:val="bottom"/>
            <w:hideMark/>
          </w:tcPr>
          <w:p w14:paraId="022E8382" w14:textId="77777777" w:rsidR="00F51A36" w:rsidRPr="00F51A36" w:rsidRDefault="00F51A36" w:rsidP="00F51A36">
            <w:pPr>
              <w:spacing w:after="0"/>
              <w:jc w:val="right"/>
              <w:rPr>
                <w:b/>
                <w:bCs/>
                <w:sz w:val="16"/>
                <w:szCs w:val="16"/>
              </w:rPr>
            </w:pPr>
            <w:r w:rsidRPr="00F51A36">
              <w:rPr>
                <w:b/>
                <w:bCs/>
                <w:sz w:val="16"/>
                <w:szCs w:val="16"/>
              </w:rPr>
              <w:t xml:space="preserve">-1 051,5 </w:t>
            </w:r>
          </w:p>
        </w:tc>
        <w:tc>
          <w:tcPr>
            <w:tcW w:w="879" w:type="dxa"/>
            <w:tcBorders>
              <w:top w:val="nil"/>
              <w:left w:val="nil"/>
              <w:bottom w:val="single" w:sz="4" w:space="0" w:color="auto"/>
              <w:right w:val="single" w:sz="4" w:space="0" w:color="auto"/>
            </w:tcBorders>
            <w:shd w:val="clear" w:color="auto" w:fill="auto"/>
            <w:noWrap/>
            <w:vAlign w:val="bottom"/>
            <w:hideMark/>
          </w:tcPr>
          <w:p w14:paraId="4D77CCBF" w14:textId="77777777" w:rsidR="00F51A36" w:rsidRPr="00F51A36" w:rsidRDefault="00F51A36" w:rsidP="00F51A36">
            <w:pPr>
              <w:spacing w:after="0"/>
              <w:jc w:val="right"/>
              <w:rPr>
                <w:sz w:val="16"/>
                <w:szCs w:val="16"/>
              </w:rPr>
            </w:pPr>
            <w:r w:rsidRPr="00F51A36">
              <w:rPr>
                <w:sz w:val="16"/>
                <w:szCs w:val="16"/>
              </w:rPr>
              <w:t xml:space="preserve">19,0 </w:t>
            </w:r>
          </w:p>
        </w:tc>
        <w:tc>
          <w:tcPr>
            <w:tcW w:w="918" w:type="dxa"/>
            <w:tcBorders>
              <w:top w:val="nil"/>
              <w:left w:val="nil"/>
              <w:bottom w:val="single" w:sz="4" w:space="0" w:color="auto"/>
              <w:right w:val="single" w:sz="4" w:space="0" w:color="auto"/>
            </w:tcBorders>
            <w:shd w:val="clear" w:color="auto" w:fill="auto"/>
            <w:noWrap/>
            <w:vAlign w:val="bottom"/>
            <w:hideMark/>
          </w:tcPr>
          <w:p w14:paraId="07F68FE9" w14:textId="77777777" w:rsidR="00F51A36" w:rsidRPr="00F51A36" w:rsidRDefault="00F51A36" w:rsidP="00F51A36">
            <w:pPr>
              <w:spacing w:after="0"/>
              <w:jc w:val="right"/>
              <w:rPr>
                <w:b/>
                <w:bCs/>
                <w:sz w:val="16"/>
                <w:szCs w:val="16"/>
              </w:rPr>
            </w:pPr>
            <w:r w:rsidRPr="00F51A36">
              <w:rPr>
                <w:b/>
                <w:bCs/>
                <w:sz w:val="16"/>
                <w:szCs w:val="16"/>
              </w:rPr>
              <w:t xml:space="preserve">-1 491,2 </w:t>
            </w:r>
          </w:p>
        </w:tc>
        <w:tc>
          <w:tcPr>
            <w:tcW w:w="918" w:type="dxa"/>
            <w:tcBorders>
              <w:top w:val="nil"/>
              <w:left w:val="nil"/>
              <w:bottom w:val="single" w:sz="4" w:space="0" w:color="auto"/>
              <w:right w:val="single" w:sz="4" w:space="0" w:color="auto"/>
            </w:tcBorders>
            <w:shd w:val="clear" w:color="auto" w:fill="auto"/>
            <w:noWrap/>
            <w:vAlign w:val="bottom"/>
            <w:hideMark/>
          </w:tcPr>
          <w:p w14:paraId="18FBA3EE" w14:textId="77777777" w:rsidR="00F51A36" w:rsidRPr="00F51A36" w:rsidRDefault="00F51A36" w:rsidP="00F51A36">
            <w:pPr>
              <w:spacing w:after="0"/>
              <w:jc w:val="right"/>
              <w:rPr>
                <w:b/>
                <w:bCs/>
                <w:sz w:val="16"/>
                <w:szCs w:val="16"/>
              </w:rPr>
            </w:pPr>
            <w:r w:rsidRPr="00F51A36">
              <w:rPr>
                <w:b/>
                <w:bCs/>
                <w:sz w:val="16"/>
                <w:szCs w:val="16"/>
              </w:rPr>
              <w:t xml:space="preserve">-2 287,7 </w:t>
            </w:r>
          </w:p>
        </w:tc>
        <w:tc>
          <w:tcPr>
            <w:tcW w:w="916" w:type="dxa"/>
            <w:tcBorders>
              <w:top w:val="nil"/>
              <w:left w:val="nil"/>
              <w:bottom w:val="single" w:sz="4" w:space="0" w:color="auto"/>
              <w:right w:val="single" w:sz="4" w:space="0" w:color="auto"/>
            </w:tcBorders>
            <w:shd w:val="clear" w:color="auto" w:fill="auto"/>
            <w:noWrap/>
            <w:vAlign w:val="bottom"/>
            <w:hideMark/>
          </w:tcPr>
          <w:p w14:paraId="08CCA37A" w14:textId="77777777" w:rsidR="00F51A36" w:rsidRPr="00F51A36" w:rsidRDefault="00F51A36" w:rsidP="00F51A36">
            <w:pPr>
              <w:spacing w:after="0"/>
              <w:jc w:val="right"/>
              <w:rPr>
                <w:b/>
                <w:bCs/>
                <w:sz w:val="16"/>
                <w:szCs w:val="16"/>
              </w:rPr>
            </w:pPr>
            <w:r w:rsidRPr="00F51A36">
              <w:rPr>
                <w:b/>
                <w:bCs/>
                <w:sz w:val="16"/>
                <w:szCs w:val="16"/>
              </w:rPr>
              <w:t xml:space="preserve">-1 312,6 </w:t>
            </w:r>
          </w:p>
        </w:tc>
        <w:tc>
          <w:tcPr>
            <w:tcW w:w="941" w:type="dxa"/>
            <w:tcBorders>
              <w:top w:val="nil"/>
              <w:left w:val="nil"/>
              <w:bottom w:val="single" w:sz="4" w:space="0" w:color="auto"/>
              <w:right w:val="single" w:sz="4" w:space="0" w:color="auto"/>
            </w:tcBorders>
            <w:shd w:val="clear" w:color="auto" w:fill="auto"/>
            <w:noWrap/>
            <w:vAlign w:val="bottom"/>
            <w:hideMark/>
          </w:tcPr>
          <w:p w14:paraId="2DA833C6" w14:textId="77777777" w:rsidR="00F51A36" w:rsidRPr="00F51A36" w:rsidRDefault="00F51A36" w:rsidP="00F51A36">
            <w:pPr>
              <w:spacing w:after="0"/>
              <w:jc w:val="right"/>
              <w:rPr>
                <w:sz w:val="16"/>
                <w:szCs w:val="16"/>
              </w:rPr>
            </w:pPr>
            <w:r w:rsidRPr="00F51A36">
              <w:rPr>
                <w:sz w:val="16"/>
                <w:szCs w:val="16"/>
              </w:rPr>
              <w:t xml:space="preserve">88,0 </w:t>
            </w:r>
          </w:p>
        </w:tc>
        <w:tc>
          <w:tcPr>
            <w:tcW w:w="941" w:type="dxa"/>
            <w:tcBorders>
              <w:top w:val="nil"/>
              <w:left w:val="nil"/>
              <w:bottom w:val="single" w:sz="4" w:space="0" w:color="auto"/>
              <w:right w:val="single" w:sz="4" w:space="0" w:color="auto"/>
            </w:tcBorders>
            <w:shd w:val="clear" w:color="auto" w:fill="auto"/>
            <w:noWrap/>
            <w:vAlign w:val="bottom"/>
            <w:hideMark/>
          </w:tcPr>
          <w:p w14:paraId="28D6EC1A" w14:textId="77777777" w:rsidR="00F51A36" w:rsidRPr="00F51A36" w:rsidRDefault="00F51A36" w:rsidP="00F51A36">
            <w:pPr>
              <w:spacing w:after="0"/>
              <w:jc w:val="right"/>
              <w:rPr>
                <w:sz w:val="16"/>
                <w:szCs w:val="16"/>
              </w:rPr>
            </w:pPr>
            <w:r w:rsidRPr="00F51A36">
              <w:rPr>
                <w:sz w:val="16"/>
                <w:szCs w:val="16"/>
              </w:rPr>
              <w:t xml:space="preserve">57,4 </w:t>
            </w:r>
          </w:p>
        </w:tc>
        <w:tc>
          <w:tcPr>
            <w:tcW w:w="815" w:type="dxa"/>
            <w:tcBorders>
              <w:top w:val="nil"/>
              <w:left w:val="nil"/>
              <w:bottom w:val="single" w:sz="4" w:space="0" w:color="auto"/>
              <w:right w:val="single" w:sz="4" w:space="0" w:color="auto"/>
            </w:tcBorders>
            <w:shd w:val="clear" w:color="auto" w:fill="auto"/>
            <w:noWrap/>
            <w:vAlign w:val="bottom"/>
            <w:hideMark/>
          </w:tcPr>
          <w:p w14:paraId="582C6BA0" w14:textId="77777777" w:rsidR="00F51A36" w:rsidRPr="00F51A36" w:rsidRDefault="00F51A36" w:rsidP="00F51A36">
            <w:pPr>
              <w:spacing w:after="0"/>
              <w:jc w:val="right"/>
              <w:rPr>
                <w:sz w:val="16"/>
                <w:szCs w:val="16"/>
              </w:rPr>
            </w:pPr>
            <w:r w:rsidRPr="00F51A36">
              <w:rPr>
                <w:sz w:val="16"/>
                <w:szCs w:val="16"/>
              </w:rPr>
              <w:t xml:space="preserve">124,8 </w:t>
            </w:r>
          </w:p>
        </w:tc>
      </w:tr>
      <w:tr w:rsidR="00F51A36" w:rsidRPr="00F51A36" w14:paraId="38883FA7" w14:textId="77777777" w:rsidTr="00F51A36">
        <w:trPr>
          <w:trHeight w:val="300"/>
        </w:trPr>
        <w:tc>
          <w:tcPr>
            <w:tcW w:w="1660" w:type="dxa"/>
            <w:tcBorders>
              <w:top w:val="nil"/>
              <w:left w:val="single" w:sz="4" w:space="0" w:color="auto"/>
              <w:bottom w:val="single" w:sz="4" w:space="0" w:color="auto"/>
              <w:right w:val="single" w:sz="4" w:space="0" w:color="auto"/>
            </w:tcBorders>
            <w:shd w:val="clear" w:color="auto" w:fill="auto"/>
            <w:vAlign w:val="bottom"/>
            <w:hideMark/>
          </w:tcPr>
          <w:p w14:paraId="48C0CB0B" w14:textId="77777777" w:rsidR="00F51A36" w:rsidRPr="00F51A36" w:rsidRDefault="00F51A36" w:rsidP="00F51A36">
            <w:pPr>
              <w:spacing w:after="0"/>
              <w:jc w:val="right"/>
              <w:rPr>
                <w:sz w:val="16"/>
                <w:szCs w:val="16"/>
              </w:rPr>
            </w:pPr>
            <w:r w:rsidRPr="00F51A36">
              <w:rPr>
                <w:sz w:val="16"/>
                <w:szCs w:val="16"/>
              </w:rPr>
              <w:t>bevétel:</w:t>
            </w:r>
          </w:p>
        </w:tc>
        <w:tc>
          <w:tcPr>
            <w:tcW w:w="916" w:type="dxa"/>
            <w:tcBorders>
              <w:top w:val="nil"/>
              <w:left w:val="nil"/>
              <w:bottom w:val="single" w:sz="4" w:space="0" w:color="auto"/>
              <w:right w:val="single" w:sz="4" w:space="0" w:color="auto"/>
            </w:tcBorders>
            <w:shd w:val="clear" w:color="auto" w:fill="auto"/>
            <w:noWrap/>
            <w:vAlign w:val="bottom"/>
            <w:hideMark/>
          </w:tcPr>
          <w:p w14:paraId="273A31A6" w14:textId="77777777" w:rsidR="00F51A36" w:rsidRPr="00F51A36" w:rsidRDefault="00F51A36" w:rsidP="00F51A36">
            <w:pPr>
              <w:spacing w:after="0"/>
              <w:jc w:val="right"/>
              <w:rPr>
                <w:sz w:val="16"/>
                <w:szCs w:val="16"/>
              </w:rPr>
            </w:pPr>
            <w:r w:rsidRPr="00F51A36">
              <w:rPr>
                <w:sz w:val="16"/>
                <w:szCs w:val="16"/>
              </w:rPr>
              <w:t xml:space="preserve">22 865,4 </w:t>
            </w:r>
          </w:p>
        </w:tc>
        <w:tc>
          <w:tcPr>
            <w:tcW w:w="916" w:type="dxa"/>
            <w:tcBorders>
              <w:top w:val="nil"/>
              <w:left w:val="nil"/>
              <w:bottom w:val="single" w:sz="4" w:space="0" w:color="auto"/>
              <w:right w:val="single" w:sz="4" w:space="0" w:color="auto"/>
            </w:tcBorders>
            <w:shd w:val="clear" w:color="auto" w:fill="auto"/>
            <w:noWrap/>
            <w:vAlign w:val="bottom"/>
            <w:hideMark/>
          </w:tcPr>
          <w:p w14:paraId="7E8F802C" w14:textId="77777777" w:rsidR="00F51A36" w:rsidRPr="00F51A36" w:rsidRDefault="00F51A36" w:rsidP="00F51A36">
            <w:pPr>
              <w:spacing w:after="0"/>
              <w:jc w:val="right"/>
              <w:rPr>
                <w:sz w:val="16"/>
                <w:szCs w:val="16"/>
              </w:rPr>
            </w:pPr>
            <w:r w:rsidRPr="00F51A36">
              <w:rPr>
                <w:sz w:val="16"/>
                <w:szCs w:val="16"/>
              </w:rPr>
              <w:t xml:space="preserve">9 040,0 </w:t>
            </w:r>
          </w:p>
        </w:tc>
        <w:tc>
          <w:tcPr>
            <w:tcW w:w="879" w:type="dxa"/>
            <w:tcBorders>
              <w:top w:val="nil"/>
              <w:left w:val="nil"/>
              <w:bottom w:val="single" w:sz="4" w:space="0" w:color="auto"/>
              <w:right w:val="single" w:sz="4" w:space="0" w:color="auto"/>
            </w:tcBorders>
            <w:shd w:val="clear" w:color="auto" w:fill="auto"/>
            <w:noWrap/>
            <w:vAlign w:val="bottom"/>
            <w:hideMark/>
          </w:tcPr>
          <w:p w14:paraId="62351424" w14:textId="77777777" w:rsidR="00F51A36" w:rsidRPr="00F51A36" w:rsidRDefault="00F51A36" w:rsidP="00F51A36">
            <w:pPr>
              <w:spacing w:after="0"/>
              <w:jc w:val="right"/>
              <w:rPr>
                <w:sz w:val="16"/>
                <w:szCs w:val="16"/>
              </w:rPr>
            </w:pPr>
            <w:r w:rsidRPr="00F51A36">
              <w:rPr>
                <w:sz w:val="16"/>
                <w:szCs w:val="16"/>
              </w:rPr>
              <w:t xml:space="preserve">39,5 </w:t>
            </w:r>
          </w:p>
        </w:tc>
        <w:tc>
          <w:tcPr>
            <w:tcW w:w="918" w:type="dxa"/>
            <w:tcBorders>
              <w:top w:val="nil"/>
              <w:left w:val="nil"/>
              <w:bottom w:val="single" w:sz="4" w:space="0" w:color="auto"/>
              <w:right w:val="single" w:sz="4" w:space="0" w:color="auto"/>
            </w:tcBorders>
            <w:shd w:val="clear" w:color="auto" w:fill="auto"/>
            <w:noWrap/>
            <w:vAlign w:val="bottom"/>
            <w:hideMark/>
          </w:tcPr>
          <w:p w14:paraId="2952822B" w14:textId="77777777" w:rsidR="00F51A36" w:rsidRPr="00F51A36" w:rsidRDefault="00F51A36" w:rsidP="00F51A36">
            <w:pPr>
              <w:spacing w:after="0"/>
              <w:jc w:val="right"/>
              <w:rPr>
                <w:sz w:val="16"/>
                <w:szCs w:val="16"/>
              </w:rPr>
            </w:pPr>
            <w:r w:rsidRPr="00F51A36">
              <w:rPr>
                <w:sz w:val="16"/>
                <w:szCs w:val="16"/>
              </w:rPr>
              <w:t xml:space="preserve">21 974,2 </w:t>
            </w:r>
          </w:p>
        </w:tc>
        <w:tc>
          <w:tcPr>
            <w:tcW w:w="918" w:type="dxa"/>
            <w:tcBorders>
              <w:top w:val="nil"/>
              <w:left w:val="nil"/>
              <w:bottom w:val="single" w:sz="4" w:space="0" w:color="auto"/>
              <w:right w:val="single" w:sz="4" w:space="0" w:color="auto"/>
            </w:tcBorders>
            <w:shd w:val="clear" w:color="auto" w:fill="auto"/>
            <w:noWrap/>
            <w:vAlign w:val="bottom"/>
            <w:hideMark/>
          </w:tcPr>
          <w:p w14:paraId="5D588456" w14:textId="77777777" w:rsidR="00F51A36" w:rsidRPr="00F51A36" w:rsidRDefault="00F51A36" w:rsidP="00F51A36">
            <w:pPr>
              <w:spacing w:after="0"/>
              <w:jc w:val="right"/>
              <w:rPr>
                <w:sz w:val="16"/>
                <w:szCs w:val="16"/>
              </w:rPr>
            </w:pPr>
            <w:r w:rsidRPr="00F51A36">
              <w:rPr>
                <w:sz w:val="16"/>
                <w:szCs w:val="16"/>
              </w:rPr>
              <w:t xml:space="preserve">22 764,5 </w:t>
            </w:r>
          </w:p>
        </w:tc>
        <w:tc>
          <w:tcPr>
            <w:tcW w:w="916" w:type="dxa"/>
            <w:tcBorders>
              <w:top w:val="nil"/>
              <w:left w:val="nil"/>
              <w:bottom w:val="single" w:sz="4" w:space="0" w:color="auto"/>
              <w:right w:val="single" w:sz="4" w:space="0" w:color="auto"/>
            </w:tcBorders>
            <w:shd w:val="clear" w:color="auto" w:fill="auto"/>
            <w:noWrap/>
            <w:vAlign w:val="bottom"/>
            <w:hideMark/>
          </w:tcPr>
          <w:p w14:paraId="27D9B37B" w14:textId="77777777" w:rsidR="00F51A36" w:rsidRPr="00F51A36" w:rsidRDefault="00F51A36" w:rsidP="00F51A36">
            <w:pPr>
              <w:spacing w:after="0"/>
              <w:jc w:val="right"/>
              <w:rPr>
                <w:sz w:val="16"/>
                <w:szCs w:val="16"/>
              </w:rPr>
            </w:pPr>
            <w:r w:rsidRPr="00F51A36">
              <w:rPr>
                <w:sz w:val="16"/>
                <w:szCs w:val="16"/>
              </w:rPr>
              <w:t xml:space="preserve">9 730,3 </w:t>
            </w:r>
          </w:p>
        </w:tc>
        <w:tc>
          <w:tcPr>
            <w:tcW w:w="941" w:type="dxa"/>
            <w:tcBorders>
              <w:top w:val="nil"/>
              <w:left w:val="nil"/>
              <w:bottom w:val="single" w:sz="4" w:space="0" w:color="auto"/>
              <w:right w:val="single" w:sz="4" w:space="0" w:color="auto"/>
            </w:tcBorders>
            <w:shd w:val="clear" w:color="auto" w:fill="auto"/>
            <w:noWrap/>
            <w:vAlign w:val="bottom"/>
            <w:hideMark/>
          </w:tcPr>
          <w:p w14:paraId="65C74029" w14:textId="77777777" w:rsidR="00F51A36" w:rsidRPr="00F51A36" w:rsidRDefault="00F51A36" w:rsidP="00F51A36">
            <w:pPr>
              <w:spacing w:after="0"/>
              <w:jc w:val="right"/>
              <w:rPr>
                <w:sz w:val="16"/>
                <w:szCs w:val="16"/>
              </w:rPr>
            </w:pPr>
            <w:r w:rsidRPr="00F51A36">
              <w:rPr>
                <w:sz w:val="16"/>
                <w:szCs w:val="16"/>
              </w:rPr>
              <w:t xml:space="preserve">44,3 </w:t>
            </w:r>
          </w:p>
        </w:tc>
        <w:tc>
          <w:tcPr>
            <w:tcW w:w="941" w:type="dxa"/>
            <w:tcBorders>
              <w:top w:val="nil"/>
              <w:left w:val="nil"/>
              <w:bottom w:val="single" w:sz="4" w:space="0" w:color="auto"/>
              <w:right w:val="single" w:sz="4" w:space="0" w:color="auto"/>
            </w:tcBorders>
            <w:shd w:val="clear" w:color="auto" w:fill="auto"/>
            <w:noWrap/>
            <w:vAlign w:val="bottom"/>
            <w:hideMark/>
          </w:tcPr>
          <w:p w14:paraId="27F553DD" w14:textId="77777777" w:rsidR="00F51A36" w:rsidRPr="00F51A36" w:rsidRDefault="00F51A36" w:rsidP="00F51A36">
            <w:pPr>
              <w:spacing w:after="0"/>
              <w:jc w:val="right"/>
              <w:rPr>
                <w:sz w:val="16"/>
                <w:szCs w:val="16"/>
              </w:rPr>
            </w:pPr>
            <w:r w:rsidRPr="00F51A36">
              <w:rPr>
                <w:sz w:val="16"/>
                <w:szCs w:val="16"/>
              </w:rPr>
              <w:t xml:space="preserve">42,7 </w:t>
            </w:r>
          </w:p>
        </w:tc>
        <w:tc>
          <w:tcPr>
            <w:tcW w:w="815" w:type="dxa"/>
            <w:tcBorders>
              <w:top w:val="nil"/>
              <w:left w:val="nil"/>
              <w:bottom w:val="single" w:sz="4" w:space="0" w:color="auto"/>
              <w:right w:val="single" w:sz="4" w:space="0" w:color="auto"/>
            </w:tcBorders>
            <w:shd w:val="clear" w:color="auto" w:fill="auto"/>
            <w:noWrap/>
            <w:vAlign w:val="bottom"/>
            <w:hideMark/>
          </w:tcPr>
          <w:p w14:paraId="099F1F81" w14:textId="77777777" w:rsidR="00F51A36" w:rsidRPr="00F51A36" w:rsidRDefault="00F51A36" w:rsidP="00F51A36">
            <w:pPr>
              <w:spacing w:after="0"/>
              <w:jc w:val="right"/>
              <w:rPr>
                <w:sz w:val="16"/>
                <w:szCs w:val="16"/>
              </w:rPr>
            </w:pPr>
            <w:r w:rsidRPr="00F51A36">
              <w:rPr>
                <w:sz w:val="16"/>
                <w:szCs w:val="16"/>
              </w:rPr>
              <w:t xml:space="preserve">107,6 </w:t>
            </w:r>
          </w:p>
        </w:tc>
      </w:tr>
      <w:tr w:rsidR="00F51A36" w:rsidRPr="00F51A36" w14:paraId="402A05CD" w14:textId="77777777" w:rsidTr="00F51A36">
        <w:trPr>
          <w:trHeight w:val="300"/>
        </w:trPr>
        <w:tc>
          <w:tcPr>
            <w:tcW w:w="1660" w:type="dxa"/>
            <w:tcBorders>
              <w:top w:val="nil"/>
              <w:left w:val="single" w:sz="4" w:space="0" w:color="auto"/>
              <w:bottom w:val="single" w:sz="4" w:space="0" w:color="auto"/>
              <w:right w:val="single" w:sz="4" w:space="0" w:color="auto"/>
            </w:tcBorders>
            <w:shd w:val="clear" w:color="auto" w:fill="auto"/>
            <w:vAlign w:val="bottom"/>
            <w:hideMark/>
          </w:tcPr>
          <w:p w14:paraId="5DFEAE73" w14:textId="77777777" w:rsidR="00F51A36" w:rsidRPr="00F51A36" w:rsidRDefault="00F51A36" w:rsidP="00F51A36">
            <w:pPr>
              <w:spacing w:after="0"/>
              <w:jc w:val="right"/>
              <w:rPr>
                <w:sz w:val="16"/>
                <w:szCs w:val="16"/>
              </w:rPr>
            </w:pPr>
            <w:r w:rsidRPr="00F51A36">
              <w:rPr>
                <w:sz w:val="16"/>
                <w:szCs w:val="16"/>
              </w:rPr>
              <w:t>kiadás:</w:t>
            </w:r>
          </w:p>
        </w:tc>
        <w:tc>
          <w:tcPr>
            <w:tcW w:w="916" w:type="dxa"/>
            <w:tcBorders>
              <w:top w:val="nil"/>
              <w:left w:val="nil"/>
              <w:bottom w:val="single" w:sz="4" w:space="0" w:color="auto"/>
              <w:right w:val="single" w:sz="4" w:space="0" w:color="auto"/>
            </w:tcBorders>
            <w:shd w:val="clear" w:color="auto" w:fill="auto"/>
            <w:noWrap/>
            <w:vAlign w:val="bottom"/>
            <w:hideMark/>
          </w:tcPr>
          <w:p w14:paraId="0E77683E" w14:textId="77777777" w:rsidR="00F51A36" w:rsidRPr="00F51A36" w:rsidRDefault="00F51A36" w:rsidP="00F51A36">
            <w:pPr>
              <w:spacing w:after="0"/>
              <w:jc w:val="right"/>
              <w:rPr>
                <w:sz w:val="16"/>
                <w:szCs w:val="16"/>
              </w:rPr>
            </w:pPr>
            <w:r w:rsidRPr="00F51A36">
              <w:rPr>
                <w:sz w:val="16"/>
                <w:szCs w:val="16"/>
              </w:rPr>
              <w:t xml:space="preserve">28 414,0 </w:t>
            </w:r>
          </w:p>
        </w:tc>
        <w:tc>
          <w:tcPr>
            <w:tcW w:w="916" w:type="dxa"/>
            <w:tcBorders>
              <w:top w:val="nil"/>
              <w:left w:val="nil"/>
              <w:bottom w:val="single" w:sz="4" w:space="0" w:color="auto"/>
              <w:right w:val="single" w:sz="4" w:space="0" w:color="auto"/>
            </w:tcBorders>
            <w:shd w:val="clear" w:color="auto" w:fill="auto"/>
            <w:noWrap/>
            <w:vAlign w:val="bottom"/>
            <w:hideMark/>
          </w:tcPr>
          <w:p w14:paraId="15E6CCAC" w14:textId="77777777" w:rsidR="00F51A36" w:rsidRPr="00F51A36" w:rsidRDefault="00F51A36" w:rsidP="00F51A36">
            <w:pPr>
              <w:spacing w:after="0"/>
              <w:jc w:val="right"/>
              <w:rPr>
                <w:sz w:val="16"/>
                <w:szCs w:val="16"/>
              </w:rPr>
            </w:pPr>
            <w:r w:rsidRPr="00F51A36">
              <w:rPr>
                <w:sz w:val="16"/>
                <w:szCs w:val="16"/>
              </w:rPr>
              <w:t xml:space="preserve">10 091,5 </w:t>
            </w:r>
          </w:p>
        </w:tc>
        <w:tc>
          <w:tcPr>
            <w:tcW w:w="879" w:type="dxa"/>
            <w:tcBorders>
              <w:top w:val="nil"/>
              <w:left w:val="nil"/>
              <w:bottom w:val="single" w:sz="4" w:space="0" w:color="auto"/>
              <w:right w:val="single" w:sz="4" w:space="0" w:color="auto"/>
            </w:tcBorders>
            <w:shd w:val="clear" w:color="auto" w:fill="auto"/>
            <w:noWrap/>
            <w:vAlign w:val="bottom"/>
            <w:hideMark/>
          </w:tcPr>
          <w:p w14:paraId="52469429" w14:textId="77777777" w:rsidR="00F51A36" w:rsidRPr="00F51A36" w:rsidRDefault="00F51A36" w:rsidP="00F51A36">
            <w:pPr>
              <w:spacing w:after="0"/>
              <w:jc w:val="right"/>
              <w:rPr>
                <w:sz w:val="16"/>
                <w:szCs w:val="16"/>
              </w:rPr>
            </w:pPr>
            <w:r w:rsidRPr="00F51A36">
              <w:rPr>
                <w:sz w:val="16"/>
                <w:szCs w:val="16"/>
              </w:rPr>
              <w:t xml:space="preserve">35,5 </w:t>
            </w:r>
          </w:p>
        </w:tc>
        <w:tc>
          <w:tcPr>
            <w:tcW w:w="918" w:type="dxa"/>
            <w:tcBorders>
              <w:top w:val="nil"/>
              <w:left w:val="nil"/>
              <w:bottom w:val="single" w:sz="4" w:space="0" w:color="auto"/>
              <w:right w:val="single" w:sz="4" w:space="0" w:color="auto"/>
            </w:tcBorders>
            <w:shd w:val="clear" w:color="auto" w:fill="auto"/>
            <w:noWrap/>
            <w:vAlign w:val="bottom"/>
            <w:hideMark/>
          </w:tcPr>
          <w:p w14:paraId="78AED324" w14:textId="77777777" w:rsidR="00F51A36" w:rsidRPr="00F51A36" w:rsidRDefault="00F51A36" w:rsidP="00F51A36">
            <w:pPr>
              <w:spacing w:after="0"/>
              <w:jc w:val="right"/>
              <w:rPr>
                <w:sz w:val="16"/>
                <w:szCs w:val="16"/>
              </w:rPr>
            </w:pPr>
            <w:r w:rsidRPr="00F51A36">
              <w:rPr>
                <w:sz w:val="16"/>
                <w:szCs w:val="16"/>
              </w:rPr>
              <w:t xml:space="preserve">23 465,4 </w:t>
            </w:r>
          </w:p>
        </w:tc>
        <w:tc>
          <w:tcPr>
            <w:tcW w:w="918" w:type="dxa"/>
            <w:tcBorders>
              <w:top w:val="nil"/>
              <w:left w:val="nil"/>
              <w:bottom w:val="single" w:sz="4" w:space="0" w:color="auto"/>
              <w:right w:val="single" w:sz="4" w:space="0" w:color="auto"/>
            </w:tcBorders>
            <w:shd w:val="clear" w:color="auto" w:fill="auto"/>
            <w:noWrap/>
            <w:vAlign w:val="bottom"/>
            <w:hideMark/>
          </w:tcPr>
          <w:p w14:paraId="65E6FBA5" w14:textId="77777777" w:rsidR="00F51A36" w:rsidRPr="00F51A36" w:rsidRDefault="00F51A36" w:rsidP="00F51A36">
            <w:pPr>
              <w:spacing w:after="0"/>
              <w:jc w:val="right"/>
              <w:rPr>
                <w:sz w:val="16"/>
                <w:szCs w:val="16"/>
              </w:rPr>
            </w:pPr>
            <w:r w:rsidRPr="00F51A36">
              <w:rPr>
                <w:sz w:val="16"/>
                <w:szCs w:val="16"/>
              </w:rPr>
              <w:t xml:space="preserve">25 052,2 </w:t>
            </w:r>
          </w:p>
        </w:tc>
        <w:tc>
          <w:tcPr>
            <w:tcW w:w="916" w:type="dxa"/>
            <w:tcBorders>
              <w:top w:val="nil"/>
              <w:left w:val="nil"/>
              <w:bottom w:val="single" w:sz="4" w:space="0" w:color="auto"/>
              <w:right w:val="single" w:sz="4" w:space="0" w:color="auto"/>
            </w:tcBorders>
            <w:shd w:val="clear" w:color="auto" w:fill="auto"/>
            <w:noWrap/>
            <w:vAlign w:val="bottom"/>
            <w:hideMark/>
          </w:tcPr>
          <w:p w14:paraId="6950D49C" w14:textId="77777777" w:rsidR="00F51A36" w:rsidRPr="00F51A36" w:rsidRDefault="00F51A36" w:rsidP="00F51A36">
            <w:pPr>
              <w:spacing w:after="0"/>
              <w:jc w:val="right"/>
              <w:rPr>
                <w:sz w:val="16"/>
                <w:szCs w:val="16"/>
              </w:rPr>
            </w:pPr>
            <w:r w:rsidRPr="00F51A36">
              <w:rPr>
                <w:sz w:val="16"/>
                <w:szCs w:val="16"/>
              </w:rPr>
              <w:t xml:space="preserve">11 042,9 </w:t>
            </w:r>
          </w:p>
        </w:tc>
        <w:tc>
          <w:tcPr>
            <w:tcW w:w="941" w:type="dxa"/>
            <w:tcBorders>
              <w:top w:val="nil"/>
              <w:left w:val="nil"/>
              <w:bottom w:val="single" w:sz="4" w:space="0" w:color="auto"/>
              <w:right w:val="single" w:sz="4" w:space="0" w:color="auto"/>
            </w:tcBorders>
            <w:shd w:val="clear" w:color="auto" w:fill="auto"/>
            <w:noWrap/>
            <w:vAlign w:val="bottom"/>
            <w:hideMark/>
          </w:tcPr>
          <w:p w14:paraId="5CF9658C" w14:textId="77777777" w:rsidR="00F51A36" w:rsidRPr="00F51A36" w:rsidRDefault="00F51A36" w:rsidP="00F51A36">
            <w:pPr>
              <w:spacing w:after="0"/>
              <w:jc w:val="right"/>
              <w:rPr>
                <w:sz w:val="16"/>
                <w:szCs w:val="16"/>
              </w:rPr>
            </w:pPr>
            <w:r w:rsidRPr="00F51A36">
              <w:rPr>
                <w:sz w:val="16"/>
                <w:szCs w:val="16"/>
              </w:rPr>
              <w:t xml:space="preserve">47,1 </w:t>
            </w:r>
          </w:p>
        </w:tc>
        <w:tc>
          <w:tcPr>
            <w:tcW w:w="941" w:type="dxa"/>
            <w:tcBorders>
              <w:top w:val="nil"/>
              <w:left w:val="nil"/>
              <w:bottom w:val="single" w:sz="4" w:space="0" w:color="auto"/>
              <w:right w:val="single" w:sz="4" w:space="0" w:color="auto"/>
            </w:tcBorders>
            <w:shd w:val="clear" w:color="auto" w:fill="auto"/>
            <w:noWrap/>
            <w:vAlign w:val="bottom"/>
            <w:hideMark/>
          </w:tcPr>
          <w:p w14:paraId="66B995E2" w14:textId="77777777" w:rsidR="00F51A36" w:rsidRPr="00F51A36" w:rsidRDefault="00F51A36" w:rsidP="00F51A36">
            <w:pPr>
              <w:spacing w:after="0"/>
              <w:jc w:val="right"/>
              <w:rPr>
                <w:sz w:val="16"/>
                <w:szCs w:val="16"/>
              </w:rPr>
            </w:pPr>
            <w:r w:rsidRPr="00F51A36">
              <w:rPr>
                <w:sz w:val="16"/>
                <w:szCs w:val="16"/>
              </w:rPr>
              <w:t xml:space="preserve">44,1 </w:t>
            </w:r>
          </w:p>
        </w:tc>
        <w:tc>
          <w:tcPr>
            <w:tcW w:w="815" w:type="dxa"/>
            <w:tcBorders>
              <w:top w:val="nil"/>
              <w:left w:val="nil"/>
              <w:bottom w:val="single" w:sz="4" w:space="0" w:color="auto"/>
              <w:right w:val="single" w:sz="4" w:space="0" w:color="auto"/>
            </w:tcBorders>
            <w:shd w:val="clear" w:color="auto" w:fill="auto"/>
            <w:noWrap/>
            <w:vAlign w:val="bottom"/>
            <w:hideMark/>
          </w:tcPr>
          <w:p w14:paraId="78B7D9C3" w14:textId="74AEF802" w:rsidR="00F51A36" w:rsidRPr="00F51A36" w:rsidRDefault="00F51A36" w:rsidP="00F51A36">
            <w:pPr>
              <w:spacing w:after="0"/>
              <w:jc w:val="right"/>
              <w:rPr>
                <w:sz w:val="16"/>
                <w:szCs w:val="16"/>
              </w:rPr>
            </w:pPr>
            <w:r w:rsidRPr="00F51A36">
              <w:rPr>
                <w:sz w:val="16"/>
                <w:szCs w:val="16"/>
              </w:rPr>
              <w:t xml:space="preserve">109,4 </w:t>
            </w:r>
          </w:p>
        </w:tc>
      </w:tr>
    </w:tbl>
    <w:p w14:paraId="6E1F6F69" w14:textId="77777777" w:rsidR="003172E1" w:rsidRDefault="003172E1" w:rsidP="00F51A36">
      <w:pPr>
        <w:keepNext/>
        <w:ind w:left="-284" w:hanging="142"/>
      </w:pPr>
    </w:p>
    <w:p w14:paraId="5FF4D2D1" w14:textId="7FA20392" w:rsidR="00250A2F" w:rsidRDefault="00250A2F" w:rsidP="00250A2F">
      <w:pPr>
        <w:keepNext/>
        <w:ind w:left="-142"/>
      </w:pPr>
      <w:r>
        <w:t xml:space="preserve">A tábla kiegészítésre került a 2021. évi törvényi módosított előirányzattal, melyet a </w:t>
      </w:r>
      <w:r w:rsidR="00DE3C9F">
        <w:t>Magyar Államk</w:t>
      </w:r>
      <w:r>
        <w:t xml:space="preserve">incstár júniustól </w:t>
      </w:r>
      <w:proofErr w:type="gramStart"/>
      <w:r>
        <w:t>publikál</w:t>
      </w:r>
      <w:proofErr w:type="gramEnd"/>
      <w:r>
        <w:t>.</w:t>
      </w:r>
    </w:p>
    <w:p w14:paraId="475BFD86" w14:textId="0F00C463" w:rsidR="009B7DC5" w:rsidRDefault="009B7DC5" w:rsidP="51CD5D50">
      <w:pPr>
        <w:jc w:val="center"/>
        <w:rPr>
          <w:b/>
          <w:bCs/>
        </w:rPr>
      </w:pPr>
      <w:r>
        <w:rPr>
          <w:b/>
          <w:bCs/>
        </w:rPr>
        <w:br w:type="page"/>
      </w:r>
      <w:bookmarkStart w:id="1" w:name="_GoBack"/>
      <w:bookmarkEnd w:id="1"/>
    </w:p>
    <w:p w14:paraId="2B7AC59C" w14:textId="77777777" w:rsidR="00C630CF" w:rsidRDefault="00C630CF" w:rsidP="51CD5D50">
      <w:pPr>
        <w:jc w:val="center"/>
        <w:rPr>
          <w:b/>
          <w:bCs/>
        </w:rPr>
      </w:pPr>
    </w:p>
    <w:p w14:paraId="5D4F01B7" w14:textId="6839E02E" w:rsidR="000D0735" w:rsidRPr="00DB479B" w:rsidRDefault="0FCC8A84" w:rsidP="0FCC8A84">
      <w:pPr>
        <w:jc w:val="center"/>
        <w:rPr>
          <w:b/>
          <w:bCs/>
        </w:rPr>
      </w:pPr>
      <w:r w:rsidRPr="0FCC8A84">
        <w:rPr>
          <w:b/>
          <w:bCs/>
        </w:rPr>
        <w:t>I.</w:t>
      </w:r>
    </w:p>
    <w:p w14:paraId="5D4F01B8" w14:textId="77777777" w:rsidR="003C135C" w:rsidRDefault="0FCC8A84" w:rsidP="003C135C">
      <w:pPr>
        <w:pStyle w:val="Cmsor2"/>
        <w:spacing w:before="0" w:after="120"/>
      </w:pPr>
      <w:r>
        <w:t xml:space="preserve">A központi alrendszer pénzügyi folyamatainak </w:t>
      </w:r>
      <w:r w:rsidR="6B0A3B39">
        <w:br/>
      </w:r>
      <w:r>
        <w:t>alakulása</w:t>
      </w:r>
    </w:p>
    <w:p w14:paraId="49F8AB94" w14:textId="77777777" w:rsidR="00953258" w:rsidRPr="00953258" w:rsidRDefault="00953258" w:rsidP="00953258"/>
    <w:p w14:paraId="16926C64" w14:textId="1C5FE3C5" w:rsidR="00D05D14" w:rsidRPr="00D05D14" w:rsidRDefault="0FCC8A84" w:rsidP="00D05D14">
      <w:pPr>
        <w:pStyle w:val="Cmsor3"/>
        <w:numPr>
          <w:ilvl w:val="0"/>
          <w:numId w:val="8"/>
        </w:numPr>
        <w:spacing w:before="0" w:after="120"/>
        <w:jc w:val="left"/>
      </w:pPr>
      <w:r w:rsidRPr="0FCC8A84">
        <w:rPr>
          <w:sz w:val="26"/>
          <w:szCs w:val="26"/>
        </w:rPr>
        <w:t>A főbb bevételek</w:t>
      </w:r>
    </w:p>
    <w:p w14:paraId="71F2918F" w14:textId="40E61370" w:rsidR="00F43C34" w:rsidRPr="00F43C34" w:rsidRDefault="0FCC8A84" w:rsidP="0FCC8A84">
      <w:pPr>
        <w:rPr>
          <w:rFonts w:cs="Tahoma"/>
          <w:b/>
          <w:bCs/>
        </w:rPr>
      </w:pPr>
      <w:r w:rsidRPr="0FCC8A84">
        <w:rPr>
          <w:b/>
          <w:bCs/>
        </w:rPr>
        <w:t>A központi alrendszer 2021. május végi 9730,3 milliárd forint összegű bevételei az előző év azonos időszakához képest 690,3 milliárd forinttal, 7,6%-kal magasabb összegben alakultak</w:t>
      </w:r>
      <w:r w:rsidRPr="0FCC8A84">
        <w:rPr>
          <w:rFonts w:cs="Tahoma"/>
          <w:b/>
          <w:bCs/>
        </w:rPr>
        <w:t>. Magasabban teljesültek – többek között – a társasági adóból, az általános forgalmi adóból, a személyi jövedelemadóból és a társadalombiztosítási járulékból származó bevételek. Elmaradtak viszont az egy évvel korábbi összegtől a szociális hozzájárulási adóból származó bevételek, az állami vagyonnal kapcsolatos befizetések, a kamatbevételek, valamint az uniós programok bevételei is.</w:t>
      </w:r>
    </w:p>
    <w:p w14:paraId="259CE477" w14:textId="77777777" w:rsidR="00B91971" w:rsidRPr="00B91971" w:rsidRDefault="00B91971" w:rsidP="00483A53">
      <w:pPr>
        <w:rPr>
          <w:szCs w:val="26"/>
        </w:rPr>
      </w:pPr>
    </w:p>
    <w:p w14:paraId="20D97DEA" w14:textId="3435E55D" w:rsidR="00806A0F" w:rsidRDefault="00B56303" w:rsidP="00483A53">
      <w:pPr>
        <w:rPr>
          <w:szCs w:val="26"/>
        </w:rPr>
      </w:pPr>
      <w:r>
        <w:rPr>
          <w:noProof/>
          <w:szCs w:val="26"/>
        </w:rPr>
        <w:drawing>
          <wp:inline distT="0" distB="0" distL="0" distR="0" wp14:anchorId="12ACEAAB" wp14:editId="189019BB">
            <wp:extent cx="5940425" cy="2193290"/>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vétel_megoszlás.png"/>
                    <pic:cNvPicPr/>
                  </pic:nvPicPr>
                  <pic:blipFill>
                    <a:blip r:embed="rId13">
                      <a:extLst>
                        <a:ext uri="{28A0092B-C50C-407E-A947-70E740481C1C}">
                          <a14:useLocalDpi xmlns:a14="http://schemas.microsoft.com/office/drawing/2010/main" val="0"/>
                        </a:ext>
                      </a:extLst>
                    </a:blip>
                    <a:stretch>
                      <a:fillRect/>
                    </a:stretch>
                  </pic:blipFill>
                  <pic:spPr>
                    <a:xfrm>
                      <a:off x="0" y="0"/>
                      <a:ext cx="5940425" cy="2193290"/>
                    </a:xfrm>
                    <a:prstGeom prst="rect">
                      <a:avLst/>
                    </a:prstGeom>
                  </pic:spPr>
                </pic:pic>
              </a:graphicData>
            </a:graphic>
          </wp:inline>
        </w:drawing>
      </w:r>
    </w:p>
    <w:p w14:paraId="7ABA024A" w14:textId="77777777" w:rsidR="00B56303" w:rsidRDefault="00B56303" w:rsidP="00483A53">
      <w:pPr>
        <w:rPr>
          <w:szCs w:val="26"/>
        </w:rPr>
      </w:pPr>
    </w:p>
    <w:p w14:paraId="78792053" w14:textId="7C10C5E1" w:rsidR="00B91971" w:rsidRDefault="0FCC8A84" w:rsidP="00E75B9B">
      <w:pPr>
        <w:spacing w:before="120"/>
      </w:pPr>
      <w:r w:rsidRPr="0FCC8A84">
        <w:rPr>
          <w:b/>
          <w:bCs/>
        </w:rPr>
        <w:t>Társasági adó</w:t>
      </w:r>
      <w:r>
        <w:t xml:space="preserve"> jogcímen 2021 első </w:t>
      </w:r>
      <w:r w:rsidR="00A00F78" w:rsidRPr="00A00F78">
        <w:t>öt hónapjában 349,9</w:t>
      </w:r>
      <w:r w:rsidR="00773116">
        <w:t> </w:t>
      </w:r>
      <w:r w:rsidR="00A00F78" w:rsidRPr="00A00F78">
        <w:t xml:space="preserve">milliárd forint </w:t>
      </w:r>
      <w:proofErr w:type="gramStart"/>
      <w:r w:rsidR="00A00F78" w:rsidRPr="00A00F78">
        <w:t>realizálódott</w:t>
      </w:r>
      <w:proofErr w:type="gramEnd"/>
      <w:r w:rsidR="00A00F78" w:rsidRPr="00A00F78">
        <w:t>, amely az előző év azonos időszakának egyenlegét 193,</w:t>
      </w:r>
      <w:r w:rsidR="00C27063">
        <w:t>0</w:t>
      </w:r>
      <w:r w:rsidR="00773116">
        <w:t> </w:t>
      </w:r>
      <w:r w:rsidR="00A00F78" w:rsidRPr="00A00F78">
        <w:t>milliárd forinttal halad</w:t>
      </w:r>
      <w:r w:rsidR="00773116">
        <w:t>t</w:t>
      </w:r>
      <w:r w:rsidR="00A00F78" w:rsidRPr="00A00F78">
        <w:t xml:space="preserve">a meg. A bázisévhez viszonyítva az eltérést az okozza, hogy </w:t>
      </w:r>
      <w:r w:rsidR="00876D50">
        <w:t xml:space="preserve">a </w:t>
      </w:r>
      <w:r w:rsidR="00A00F78" w:rsidRPr="00A00F78">
        <w:t>2020. évben a bevallási határidő a koronavírus</w:t>
      </w:r>
      <w:r w:rsidR="00122FFE">
        <w:t>-</w:t>
      </w:r>
      <w:r w:rsidR="00A00F78" w:rsidRPr="00A00F78">
        <w:t xml:space="preserve">járvány gazdasági hatásainak kezelése miatt szeptemberre tolódott, míg </w:t>
      </w:r>
      <w:r w:rsidR="00BC2517">
        <w:t xml:space="preserve">a </w:t>
      </w:r>
      <w:r w:rsidR="00A00F78" w:rsidRPr="00A00F78">
        <w:t>2021.</w:t>
      </w:r>
      <w:r w:rsidR="007F6E0F">
        <w:t xml:space="preserve"> </w:t>
      </w:r>
      <w:r w:rsidR="00A00F78" w:rsidRPr="00A00F78">
        <w:t xml:space="preserve">évben a szokásos májusi bevallási határidő van érvényben. Az adózók által </w:t>
      </w:r>
      <w:r w:rsidR="003701D9">
        <w:t xml:space="preserve">a </w:t>
      </w:r>
      <w:r w:rsidR="00A00F78" w:rsidRPr="00A00F78">
        <w:t>2019</w:t>
      </w:r>
      <w:r w:rsidR="003701D9">
        <w:t>. </w:t>
      </w:r>
      <w:r w:rsidR="00A00F78" w:rsidRPr="00A00F78">
        <w:t>év végén (az adóelőleg-kiegészítés terhére történt) sporttámogatásra felajánlott összegnek jelentős része, mintegy 40</w:t>
      </w:r>
      <w:r w:rsidR="00773116">
        <w:t> </w:t>
      </w:r>
      <w:r w:rsidR="00A00F78" w:rsidRPr="00A00F78">
        <w:t xml:space="preserve">milliárd forint 2020 januárjában került csak ténylegesen kiutalásra az adóhatóság által. Mivel </w:t>
      </w:r>
      <w:r w:rsidR="00773116">
        <w:t xml:space="preserve">a </w:t>
      </w:r>
      <w:r w:rsidR="00A00F78" w:rsidRPr="00A00F78">
        <w:t>2020</w:t>
      </w:r>
      <w:r w:rsidR="00773116">
        <w:t>.</w:t>
      </w:r>
      <w:r w:rsidR="00A00F78" w:rsidRPr="00A00F78">
        <w:t xml:space="preserve"> év végén már egyáltalán nem volt lehetőség a feltöltésre, ezért az ehhez kapcsolódó rendelkezés nem valósulhatott meg, így a 2021</w:t>
      </w:r>
      <w:r w:rsidR="00773116">
        <w:t> </w:t>
      </w:r>
      <w:r w:rsidR="00A00F78" w:rsidRPr="00A00F78">
        <w:t xml:space="preserve">januári kiutalás is </w:t>
      </w:r>
      <w:r w:rsidR="003C5EEE">
        <w:t xml:space="preserve">mintegy </w:t>
      </w:r>
      <w:r w:rsidR="00A00F78" w:rsidRPr="00A00F78">
        <w:t>36</w:t>
      </w:r>
      <w:r w:rsidR="00773116">
        <w:t> </w:t>
      </w:r>
      <w:r w:rsidR="00A00F78" w:rsidRPr="00A00F78">
        <w:t>milliárd forinttal elmaradt az előző évi összegtől. Ezen kívül a március havi bevétel is meghaladta az előző évi értéket, mely egy egyedi, nagyobb összegű befizetéshez köthető</w:t>
      </w:r>
      <w:r>
        <w:t>.</w:t>
      </w:r>
    </w:p>
    <w:p w14:paraId="6FFBEE4D" w14:textId="72A4F194" w:rsidR="00FA2934" w:rsidRDefault="0FCC8A84" w:rsidP="00E75B9B">
      <w:pPr>
        <w:spacing w:before="120"/>
      </w:pPr>
      <w:r w:rsidRPr="0FCC8A84">
        <w:rPr>
          <w:b/>
          <w:bCs/>
        </w:rPr>
        <w:t>Pénzügyi szervezetek különadójából</w:t>
      </w:r>
      <w:r>
        <w:t xml:space="preserve"> származó bevétel 2021 első </w:t>
      </w:r>
      <w:r w:rsidR="00A00F78" w:rsidRPr="00A00F78">
        <w:t>öt hónapjában 16,5</w:t>
      </w:r>
      <w:r w:rsidR="00F63864">
        <w:t> </w:t>
      </w:r>
      <w:r w:rsidR="00A00F78" w:rsidRPr="00A00F78">
        <w:t>milliárd forint bevétel teljesült, mely az előző év azonos időszakától 1,</w:t>
      </w:r>
      <w:r w:rsidR="00A85F8D">
        <w:t>0</w:t>
      </w:r>
      <w:r w:rsidR="00F63864">
        <w:t> </w:t>
      </w:r>
      <w:r w:rsidR="00A00F78" w:rsidRPr="00A00F78">
        <w:t xml:space="preserve">milliárd forinttal maradt el. Ennek oka, hogy a hitelintézetek által 2020-ban befizetett járványügyi </w:t>
      </w:r>
      <w:r w:rsidR="00A00F78" w:rsidRPr="00A00F78">
        <w:lastRenderedPageBreak/>
        <w:t>különadó 2021-től kezdve öt év alatt egyenlő részletekben levonható a normál bankadó kötelezettségből</w:t>
      </w:r>
      <w:r>
        <w:t>.</w:t>
      </w:r>
    </w:p>
    <w:p w14:paraId="79232D36" w14:textId="513E20A1" w:rsidR="00FA2934" w:rsidRDefault="0FCC8A84" w:rsidP="00FA2934">
      <w:pPr>
        <w:spacing w:before="240"/>
      </w:pPr>
      <w:r>
        <w:t xml:space="preserve">A </w:t>
      </w:r>
      <w:r w:rsidRPr="0FCC8A84">
        <w:rPr>
          <w:b/>
          <w:bCs/>
        </w:rPr>
        <w:t>kisadózók tételes adójából</w:t>
      </w:r>
      <w:r>
        <w:t xml:space="preserve"> származó bevétel az év első </w:t>
      </w:r>
      <w:r w:rsidR="00A00F78" w:rsidRPr="00A00F78">
        <w:t>öt hónapjában 76,7</w:t>
      </w:r>
      <w:r w:rsidR="0021667F">
        <w:t> </w:t>
      </w:r>
      <w:r w:rsidR="00A00F78" w:rsidRPr="00A00F78">
        <w:t>milliárd forint keletkezett, mely 10,4</w:t>
      </w:r>
      <w:r w:rsidR="0021667F">
        <w:t> </w:t>
      </w:r>
      <w:r w:rsidR="00A00F78" w:rsidRPr="00A00F78">
        <w:t>milliárd forinttal magasabb az egy évvel korábbinál, melynek oka az adóalanyok számának bővülése az előző év azonos időszakához képest</w:t>
      </w:r>
      <w:r>
        <w:t>.</w:t>
      </w:r>
    </w:p>
    <w:p w14:paraId="3BD54B80" w14:textId="5BCA6241" w:rsidR="00FA2934" w:rsidRPr="0009352F" w:rsidRDefault="0FCC8A84" w:rsidP="00FA2934">
      <w:pPr>
        <w:spacing w:before="240"/>
      </w:pPr>
      <w:r>
        <w:t xml:space="preserve">A </w:t>
      </w:r>
      <w:r w:rsidRPr="0FCC8A84">
        <w:rPr>
          <w:b/>
          <w:bCs/>
        </w:rPr>
        <w:t xml:space="preserve">kisvállalati adóból </w:t>
      </w:r>
      <w:r>
        <w:t xml:space="preserve">származó bevétel 2021 első </w:t>
      </w:r>
      <w:r w:rsidR="00A00F78" w:rsidRPr="00A00F78">
        <w:t>öt hónapjában 45,7</w:t>
      </w:r>
      <w:r w:rsidR="0021667F">
        <w:t> </w:t>
      </w:r>
      <w:r w:rsidR="00A00F78" w:rsidRPr="00A00F78">
        <w:t>milliárd forint volt, mely 8,</w:t>
      </w:r>
      <w:r w:rsidR="00414BB1">
        <w:t>9</w:t>
      </w:r>
      <w:r w:rsidR="0021667F">
        <w:t> </w:t>
      </w:r>
      <w:r w:rsidR="00A00F78" w:rsidRPr="00A00F78">
        <w:t>milliárd forinttal magasabb az egy évvel korábbinál, melynek oka az adóalanyok számának jelentős mértékű bővülése</w:t>
      </w:r>
      <w:r>
        <w:t>.</w:t>
      </w:r>
    </w:p>
    <w:p w14:paraId="36F2DF75" w14:textId="7D73D3EE" w:rsidR="000851FF" w:rsidRDefault="0FCC8A84" w:rsidP="00E75B9B">
      <w:pPr>
        <w:spacing w:before="120"/>
      </w:pPr>
      <w:r>
        <w:t xml:space="preserve">Az </w:t>
      </w:r>
      <w:r w:rsidRPr="0FCC8A84">
        <w:rPr>
          <w:b/>
          <w:bCs/>
        </w:rPr>
        <w:t xml:space="preserve">egyéb központosított bevételekből </w:t>
      </w:r>
      <w:r w:rsidR="00EF38EE">
        <w:t>május</w:t>
      </w:r>
      <w:r>
        <w:t xml:space="preserve"> végéig összesen </w:t>
      </w:r>
      <w:r w:rsidR="00EF38EE">
        <w:t>198,2</w:t>
      </w:r>
      <w:r>
        <w:t> milliárd forint teljesült, amely a</w:t>
      </w:r>
      <w:r w:rsidR="006C23C2">
        <w:t>z eredeti</w:t>
      </w:r>
      <w:r>
        <w:t xml:space="preserve"> törvényi előirányzat </w:t>
      </w:r>
      <w:r w:rsidR="00EF38EE">
        <w:t>42,3</w:t>
      </w:r>
      <w:r>
        <w:t xml:space="preserve">%-ának felel meg. Ezen belül kiemelendő az elektronikus útdíj </w:t>
      </w:r>
      <w:r w:rsidR="00EF38EE">
        <w:t>96,8</w:t>
      </w:r>
      <w:r>
        <w:t> milliárd forintot kitevő összege.</w:t>
      </w:r>
    </w:p>
    <w:tbl>
      <w:tblPr>
        <w:tblW w:w="7936" w:type="dxa"/>
        <w:tblInd w:w="496" w:type="dxa"/>
        <w:tblCellMar>
          <w:left w:w="70" w:type="dxa"/>
          <w:right w:w="70" w:type="dxa"/>
        </w:tblCellMar>
        <w:tblLook w:val="04A0" w:firstRow="1" w:lastRow="0" w:firstColumn="1" w:lastColumn="0" w:noHBand="0" w:noVBand="1"/>
      </w:tblPr>
      <w:tblGrid>
        <w:gridCol w:w="2976"/>
        <w:gridCol w:w="1418"/>
        <w:gridCol w:w="1417"/>
        <w:gridCol w:w="1276"/>
        <w:gridCol w:w="849"/>
      </w:tblGrid>
      <w:tr w:rsidR="00723EB0" w:rsidRPr="00723EB0" w14:paraId="2D01000F" w14:textId="77777777" w:rsidTr="0FCC8A84">
        <w:trPr>
          <w:trHeight w:val="396"/>
        </w:trPr>
        <w:tc>
          <w:tcPr>
            <w:tcW w:w="7936" w:type="dxa"/>
            <w:gridSpan w:val="5"/>
            <w:tcBorders>
              <w:top w:val="nil"/>
              <w:left w:val="nil"/>
              <w:bottom w:val="nil"/>
              <w:right w:val="nil"/>
            </w:tcBorders>
            <w:shd w:val="clear" w:color="auto" w:fill="auto"/>
            <w:noWrap/>
            <w:vAlign w:val="bottom"/>
            <w:hideMark/>
          </w:tcPr>
          <w:p w14:paraId="7F925CD9" w14:textId="530A8F2A" w:rsidR="00723EB0" w:rsidRPr="00723EB0" w:rsidRDefault="00FA2934" w:rsidP="0FCC8A84">
            <w:pPr>
              <w:ind w:left="512" w:hanging="512"/>
              <w:jc w:val="center"/>
              <w:rPr>
                <w:b/>
                <w:bCs/>
                <w:color w:val="000000" w:themeColor="text1"/>
                <w:sz w:val="20"/>
              </w:rPr>
            </w:pPr>
            <w:r>
              <w:br w:type="page"/>
            </w:r>
            <w:r w:rsidR="0FCC8A84" w:rsidRPr="0FCC8A84">
              <w:rPr>
                <w:b/>
                <w:bCs/>
                <w:color w:val="000000" w:themeColor="text1"/>
                <w:sz w:val="20"/>
              </w:rPr>
              <w:t>Egyéb központosított bevételek alakulása (millió forint)</w:t>
            </w:r>
          </w:p>
        </w:tc>
      </w:tr>
      <w:tr w:rsidR="00780F67" w:rsidRPr="00723EB0" w14:paraId="40D4C144" w14:textId="77777777" w:rsidTr="0FCC8A84">
        <w:trPr>
          <w:trHeight w:val="435"/>
        </w:trPr>
        <w:tc>
          <w:tcPr>
            <w:tcW w:w="2976" w:type="dxa"/>
            <w:vMerge w:val="restart"/>
            <w:tcBorders>
              <w:top w:val="single" w:sz="8" w:space="0" w:color="auto"/>
              <w:left w:val="single" w:sz="8" w:space="0" w:color="auto"/>
              <w:bottom w:val="single" w:sz="8" w:space="0" w:color="000000" w:themeColor="text1"/>
              <w:right w:val="single" w:sz="8" w:space="0" w:color="auto"/>
            </w:tcBorders>
            <w:shd w:val="clear" w:color="auto" w:fill="auto"/>
            <w:noWrap/>
            <w:vAlign w:val="center"/>
            <w:hideMark/>
          </w:tcPr>
          <w:p w14:paraId="1237094F" w14:textId="77777777" w:rsidR="00780F67" w:rsidRPr="00723EB0" w:rsidRDefault="0FCC8A84" w:rsidP="0FCC8A84">
            <w:pPr>
              <w:ind w:left="512" w:hanging="512"/>
              <w:jc w:val="center"/>
              <w:rPr>
                <w:b/>
                <w:bCs/>
                <w:color w:val="000000" w:themeColor="text1"/>
                <w:sz w:val="20"/>
              </w:rPr>
            </w:pPr>
            <w:r w:rsidRPr="0FCC8A84">
              <w:rPr>
                <w:b/>
                <w:bCs/>
                <w:color w:val="000000" w:themeColor="text1"/>
                <w:sz w:val="20"/>
              </w:rPr>
              <w:t>Megnevezés</w:t>
            </w:r>
          </w:p>
        </w:tc>
        <w:tc>
          <w:tcPr>
            <w:tcW w:w="1418" w:type="dxa"/>
            <w:vMerge w:val="restart"/>
            <w:tcBorders>
              <w:top w:val="single" w:sz="8" w:space="0" w:color="auto"/>
              <w:left w:val="single" w:sz="8" w:space="0" w:color="auto"/>
              <w:bottom w:val="single" w:sz="8" w:space="0" w:color="000000" w:themeColor="text1"/>
              <w:right w:val="single" w:sz="4" w:space="0" w:color="auto"/>
            </w:tcBorders>
            <w:shd w:val="clear" w:color="auto" w:fill="auto"/>
            <w:vAlign w:val="center"/>
            <w:hideMark/>
          </w:tcPr>
          <w:p w14:paraId="646CC402" w14:textId="7D2ECCCC" w:rsidR="00780F67" w:rsidRPr="00723EB0" w:rsidRDefault="00EF38EE" w:rsidP="0FCC8A84">
            <w:pPr>
              <w:spacing w:after="0"/>
              <w:jc w:val="center"/>
              <w:rPr>
                <w:b/>
                <w:bCs/>
                <w:sz w:val="20"/>
              </w:rPr>
            </w:pPr>
            <w:r>
              <w:rPr>
                <w:b/>
                <w:bCs/>
                <w:sz w:val="20"/>
              </w:rPr>
              <w:t>2020. I-</w:t>
            </w:r>
            <w:r w:rsidR="0FCC8A84" w:rsidRPr="0FCC8A84">
              <w:rPr>
                <w:b/>
                <w:bCs/>
                <w:sz w:val="20"/>
              </w:rPr>
              <w:t>V. hó</w:t>
            </w:r>
          </w:p>
        </w:tc>
        <w:tc>
          <w:tcPr>
            <w:tcW w:w="1417" w:type="dxa"/>
            <w:vMerge w:val="restart"/>
            <w:tcBorders>
              <w:top w:val="single" w:sz="8" w:space="0" w:color="auto"/>
              <w:left w:val="single" w:sz="4" w:space="0" w:color="auto"/>
              <w:bottom w:val="single" w:sz="8" w:space="0" w:color="000000" w:themeColor="text1"/>
              <w:right w:val="single" w:sz="8" w:space="0" w:color="auto"/>
            </w:tcBorders>
            <w:shd w:val="clear" w:color="auto" w:fill="auto"/>
            <w:vAlign w:val="center"/>
            <w:hideMark/>
          </w:tcPr>
          <w:p w14:paraId="3BA8764A" w14:textId="4C1F4DE7" w:rsidR="00780F67" w:rsidRPr="00723EB0" w:rsidRDefault="00EF38EE" w:rsidP="0FCC8A84">
            <w:pPr>
              <w:spacing w:after="0"/>
              <w:ind w:left="512" w:hanging="512"/>
              <w:jc w:val="center"/>
              <w:rPr>
                <w:b/>
                <w:bCs/>
                <w:sz w:val="20"/>
              </w:rPr>
            </w:pPr>
            <w:r>
              <w:rPr>
                <w:b/>
                <w:bCs/>
                <w:sz w:val="20"/>
              </w:rPr>
              <w:t>2021. I-</w:t>
            </w:r>
            <w:r w:rsidR="0FCC8A84" w:rsidRPr="0FCC8A84">
              <w:rPr>
                <w:b/>
                <w:bCs/>
                <w:sz w:val="20"/>
              </w:rPr>
              <w:t>V. hó</w:t>
            </w:r>
          </w:p>
        </w:tc>
        <w:tc>
          <w:tcPr>
            <w:tcW w:w="2125" w:type="dxa"/>
            <w:gridSpan w:val="2"/>
            <w:tcBorders>
              <w:top w:val="single" w:sz="8" w:space="0" w:color="auto"/>
              <w:left w:val="nil"/>
              <w:bottom w:val="single" w:sz="4" w:space="0" w:color="auto"/>
              <w:right w:val="single" w:sz="8" w:space="0" w:color="000000" w:themeColor="text1"/>
            </w:tcBorders>
            <w:shd w:val="clear" w:color="auto" w:fill="auto"/>
            <w:noWrap/>
            <w:vAlign w:val="center"/>
            <w:hideMark/>
          </w:tcPr>
          <w:p w14:paraId="48CECE7F" w14:textId="77777777" w:rsidR="00780F67" w:rsidRPr="00723EB0" w:rsidRDefault="0FCC8A84" w:rsidP="0FCC8A84">
            <w:pPr>
              <w:ind w:left="512" w:hanging="512"/>
              <w:jc w:val="center"/>
              <w:rPr>
                <w:b/>
                <w:bCs/>
                <w:color w:val="000000" w:themeColor="text1"/>
                <w:sz w:val="20"/>
              </w:rPr>
            </w:pPr>
            <w:r w:rsidRPr="0FCC8A84">
              <w:rPr>
                <w:b/>
                <w:bCs/>
                <w:color w:val="000000" w:themeColor="text1"/>
                <w:sz w:val="20"/>
              </w:rPr>
              <w:t>Eltérés</w:t>
            </w:r>
          </w:p>
        </w:tc>
      </w:tr>
      <w:tr w:rsidR="00780F67" w:rsidRPr="00723EB0" w14:paraId="410332D0" w14:textId="77777777" w:rsidTr="0FCC8A84">
        <w:trPr>
          <w:trHeight w:val="373"/>
        </w:trPr>
        <w:tc>
          <w:tcPr>
            <w:tcW w:w="2976" w:type="dxa"/>
            <w:vMerge/>
            <w:tcBorders>
              <w:top w:val="single" w:sz="8" w:space="0" w:color="auto"/>
              <w:left w:val="single" w:sz="8" w:space="0" w:color="auto"/>
              <w:bottom w:val="single" w:sz="8" w:space="0" w:color="000000"/>
              <w:right w:val="single" w:sz="8" w:space="0" w:color="auto"/>
            </w:tcBorders>
            <w:vAlign w:val="center"/>
            <w:hideMark/>
          </w:tcPr>
          <w:p w14:paraId="3D073375" w14:textId="5394FFB6" w:rsidR="00780F67" w:rsidRPr="00723EB0" w:rsidRDefault="00780F67" w:rsidP="00D432CD">
            <w:pPr>
              <w:ind w:left="512" w:hanging="512"/>
              <w:jc w:val="center"/>
              <w:rPr>
                <w:b/>
                <w:bCs/>
                <w:color w:val="000000" w:themeColor="text1"/>
                <w:sz w:val="20"/>
              </w:rPr>
            </w:pPr>
          </w:p>
        </w:tc>
        <w:tc>
          <w:tcPr>
            <w:tcW w:w="1418" w:type="dxa"/>
            <w:vMerge/>
            <w:tcBorders>
              <w:top w:val="single" w:sz="8" w:space="0" w:color="auto"/>
              <w:left w:val="single" w:sz="8" w:space="0" w:color="auto"/>
              <w:bottom w:val="single" w:sz="8" w:space="0" w:color="000000"/>
              <w:right w:val="single" w:sz="4" w:space="0" w:color="auto"/>
            </w:tcBorders>
            <w:vAlign w:val="center"/>
            <w:hideMark/>
          </w:tcPr>
          <w:p w14:paraId="584DDC9B" w14:textId="77777777" w:rsidR="00780F67" w:rsidRPr="00723EB0" w:rsidRDefault="00780F67" w:rsidP="00D432CD">
            <w:pPr>
              <w:ind w:left="512" w:hanging="512"/>
              <w:jc w:val="center"/>
              <w:rPr>
                <w:b/>
                <w:bCs/>
                <w:color w:val="000000" w:themeColor="text1"/>
                <w:sz w:val="20"/>
              </w:rPr>
            </w:pPr>
          </w:p>
        </w:tc>
        <w:tc>
          <w:tcPr>
            <w:tcW w:w="1417" w:type="dxa"/>
            <w:vMerge/>
            <w:tcBorders>
              <w:top w:val="single" w:sz="8" w:space="0" w:color="auto"/>
              <w:left w:val="single" w:sz="4" w:space="0" w:color="auto"/>
              <w:bottom w:val="single" w:sz="8" w:space="0" w:color="000000"/>
              <w:right w:val="single" w:sz="8" w:space="0" w:color="auto"/>
            </w:tcBorders>
            <w:vAlign w:val="center"/>
            <w:hideMark/>
          </w:tcPr>
          <w:p w14:paraId="3E14FCA0" w14:textId="77777777" w:rsidR="00780F67" w:rsidRPr="00723EB0" w:rsidRDefault="00780F67" w:rsidP="00D432CD">
            <w:pPr>
              <w:ind w:left="512" w:hanging="512"/>
              <w:jc w:val="center"/>
              <w:rPr>
                <w:b/>
                <w:bCs/>
                <w:color w:val="000000" w:themeColor="text1"/>
                <w:sz w:val="20"/>
              </w:rPr>
            </w:pPr>
          </w:p>
        </w:tc>
        <w:tc>
          <w:tcPr>
            <w:tcW w:w="1276" w:type="dxa"/>
            <w:tcBorders>
              <w:top w:val="nil"/>
              <w:left w:val="nil"/>
              <w:bottom w:val="single" w:sz="8" w:space="0" w:color="auto"/>
              <w:right w:val="single" w:sz="4" w:space="0" w:color="auto"/>
            </w:tcBorders>
            <w:shd w:val="clear" w:color="auto" w:fill="auto"/>
            <w:vAlign w:val="center"/>
            <w:hideMark/>
          </w:tcPr>
          <w:p w14:paraId="462C698E" w14:textId="09D55B70" w:rsidR="00780F67" w:rsidRPr="00723EB0" w:rsidRDefault="0FCC8A84" w:rsidP="0FCC8A84">
            <w:pPr>
              <w:spacing w:after="0"/>
              <w:ind w:left="512" w:hanging="512"/>
              <w:jc w:val="center"/>
              <w:rPr>
                <w:b/>
                <w:bCs/>
                <w:color w:val="000000" w:themeColor="text1"/>
                <w:sz w:val="20"/>
              </w:rPr>
            </w:pPr>
            <w:r w:rsidRPr="0FCC8A84">
              <w:rPr>
                <w:b/>
                <w:bCs/>
                <w:color w:val="000000" w:themeColor="text1"/>
                <w:sz w:val="20"/>
              </w:rPr>
              <w:t>millió forint</w:t>
            </w:r>
          </w:p>
        </w:tc>
        <w:tc>
          <w:tcPr>
            <w:tcW w:w="849" w:type="dxa"/>
            <w:tcBorders>
              <w:top w:val="nil"/>
              <w:left w:val="nil"/>
              <w:bottom w:val="single" w:sz="8" w:space="0" w:color="auto"/>
              <w:right w:val="single" w:sz="8" w:space="0" w:color="auto"/>
            </w:tcBorders>
            <w:shd w:val="clear" w:color="auto" w:fill="auto"/>
            <w:noWrap/>
            <w:vAlign w:val="center"/>
            <w:hideMark/>
          </w:tcPr>
          <w:p w14:paraId="30DA47DA" w14:textId="77777777" w:rsidR="00780F67" w:rsidRPr="00723EB0" w:rsidRDefault="0FCC8A84" w:rsidP="0FCC8A84">
            <w:pPr>
              <w:spacing w:after="0"/>
              <w:ind w:left="512" w:hanging="512"/>
              <w:jc w:val="center"/>
              <w:rPr>
                <w:color w:val="000000" w:themeColor="text1"/>
                <w:sz w:val="22"/>
                <w:szCs w:val="22"/>
              </w:rPr>
            </w:pPr>
            <w:r w:rsidRPr="0FCC8A84">
              <w:rPr>
                <w:color w:val="000000" w:themeColor="text1"/>
                <w:sz w:val="22"/>
                <w:szCs w:val="22"/>
              </w:rPr>
              <w:t>%</w:t>
            </w:r>
          </w:p>
        </w:tc>
      </w:tr>
      <w:tr w:rsidR="00024D6D" w:rsidRPr="00C86784" w14:paraId="5A763D68" w14:textId="77777777" w:rsidTr="0FCC8A84">
        <w:trPr>
          <w:trHeight w:val="319"/>
        </w:trPr>
        <w:tc>
          <w:tcPr>
            <w:tcW w:w="2976" w:type="dxa"/>
            <w:tcBorders>
              <w:top w:val="nil"/>
              <w:left w:val="single" w:sz="8" w:space="0" w:color="auto"/>
              <w:bottom w:val="single" w:sz="4" w:space="0" w:color="auto"/>
              <w:right w:val="single" w:sz="8" w:space="0" w:color="auto"/>
            </w:tcBorders>
            <w:shd w:val="clear" w:color="auto" w:fill="auto"/>
            <w:noWrap/>
            <w:vAlign w:val="center"/>
            <w:hideMark/>
          </w:tcPr>
          <w:p w14:paraId="50871522" w14:textId="1C56AEA9" w:rsidR="00024D6D" w:rsidRPr="00723EB0" w:rsidRDefault="00024D6D" w:rsidP="00024D6D">
            <w:pPr>
              <w:overflowPunct w:val="0"/>
              <w:autoSpaceDE w:val="0"/>
              <w:autoSpaceDN w:val="0"/>
              <w:adjustRightInd w:val="0"/>
              <w:ind w:left="512" w:hanging="512"/>
              <w:textAlignment w:val="baseline"/>
              <w:rPr>
                <w:color w:val="000000" w:themeColor="text1"/>
                <w:sz w:val="20"/>
              </w:rPr>
            </w:pPr>
            <w:r w:rsidRPr="0FCC8A84">
              <w:rPr>
                <w:color w:val="000000" w:themeColor="text1"/>
                <w:sz w:val="20"/>
              </w:rPr>
              <w:t>Környezetvédelmi termékdíjak</w:t>
            </w:r>
          </w:p>
        </w:tc>
        <w:tc>
          <w:tcPr>
            <w:tcW w:w="1418" w:type="dxa"/>
            <w:tcBorders>
              <w:top w:val="nil"/>
              <w:left w:val="single" w:sz="8" w:space="0" w:color="auto"/>
              <w:bottom w:val="single" w:sz="4" w:space="0" w:color="auto"/>
              <w:right w:val="single" w:sz="4" w:space="0" w:color="auto"/>
            </w:tcBorders>
            <w:shd w:val="clear" w:color="auto" w:fill="auto"/>
            <w:noWrap/>
          </w:tcPr>
          <w:p w14:paraId="69429D14" w14:textId="46F70E32" w:rsidR="00024D6D" w:rsidRPr="00024D6D" w:rsidRDefault="00024D6D" w:rsidP="00024D6D">
            <w:pPr>
              <w:overflowPunct w:val="0"/>
              <w:autoSpaceDE w:val="0"/>
              <w:autoSpaceDN w:val="0"/>
              <w:adjustRightInd w:val="0"/>
              <w:ind w:left="512" w:hanging="512"/>
              <w:jc w:val="right"/>
              <w:textAlignment w:val="baseline"/>
              <w:rPr>
                <w:sz w:val="20"/>
              </w:rPr>
            </w:pPr>
            <w:r w:rsidRPr="00024D6D">
              <w:rPr>
                <w:sz w:val="20"/>
              </w:rPr>
              <w:t>23 519,0</w:t>
            </w:r>
          </w:p>
        </w:tc>
        <w:tc>
          <w:tcPr>
            <w:tcW w:w="1417" w:type="dxa"/>
            <w:tcBorders>
              <w:top w:val="nil"/>
              <w:left w:val="nil"/>
              <w:bottom w:val="single" w:sz="4" w:space="0" w:color="auto"/>
              <w:right w:val="single" w:sz="8" w:space="0" w:color="auto"/>
            </w:tcBorders>
            <w:shd w:val="clear" w:color="auto" w:fill="auto"/>
            <w:noWrap/>
          </w:tcPr>
          <w:p w14:paraId="3B90FF67" w14:textId="0EE87C8B" w:rsidR="00024D6D" w:rsidRPr="00024D6D" w:rsidRDefault="00024D6D" w:rsidP="00024D6D">
            <w:pPr>
              <w:overflowPunct w:val="0"/>
              <w:autoSpaceDE w:val="0"/>
              <w:autoSpaceDN w:val="0"/>
              <w:adjustRightInd w:val="0"/>
              <w:ind w:left="512" w:hanging="512"/>
              <w:jc w:val="right"/>
              <w:textAlignment w:val="baseline"/>
              <w:rPr>
                <w:sz w:val="20"/>
              </w:rPr>
            </w:pPr>
            <w:r w:rsidRPr="00024D6D">
              <w:rPr>
                <w:sz w:val="20"/>
              </w:rPr>
              <w:t>28 393,0</w:t>
            </w:r>
          </w:p>
        </w:tc>
        <w:tc>
          <w:tcPr>
            <w:tcW w:w="1276" w:type="dxa"/>
            <w:tcBorders>
              <w:top w:val="single" w:sz="4" w:space="0" w:color="auto"/>
              <w:left w:val="nil"/>
              <w:bottom w:val="single" w:sz="4" w:space="0" w:color="auto"/>
              <w:right w:val="single" w:sz="4" w:space="0" w:color="auto"/>
            </w:tcBorders>
            <w:shd w:val="clear" w:color="auto" w:fill="auto"/>
            <w:noWrap/>
          </w:tcPr>
          <w:p w14:paraId="44A2E4EA" w14:textId="07FE94F3" w:rsidR="00024D6D" w:rsidRPr="00024D6D" w:rsidRDefault="00024D6D" w:rsidP="00024D6D">
            <w:pPr>
              <w:overflowPunct w:val="0"/>
              <w:autoSpaceDE w:val="0"/>
              <w:autoSpaceDN w:val="0"/>
              <w:adjustRightInd w:val="0"/>
              <w:ind w:left="512" w:hanging="512"/>
              <w:jc w:val="right"/>
              <w:textAlignment w:val="baseline"/>
              <w:rPr>
                <w:sz w:val="20"/>
              </w:rPr>
            </w:pPr>
            <w:r w:rsidRPr="00024D6D">
              <w:rPr>
                <w:sz w:val="20"/>
              </w:rPr>
              <w:t>4 874,0</w:t>
            </w:r>
          </w:p>
        </w:tc>
        <w:tc>
          <w:tcPr>
            <w:tcW w:w="849" w:type="dxa"/>
            <w:tcBorders>
              <w:top w:val="nil"/>
              <w:left w:val="nil"/>
              <w:bottom w:val="single" w:sz="4" w:space="0" w:color="auto"/>
              <w:right w:val="single" w:sz="8" w:space="0" w:color="auto"/>
            </w:tcBorders>
            <w:shd w:val="clear" w:color="auto" w:fill="auto"/>
            <w:noWrap/>
          </w:tcPr>
          <w:p w14:paraId="3834BE53" w14:textId="4CA4E772" w:rsidR="00024D6D" w:rsidRPr="00024D6D" w:rsidRDefault="00024D6D" w:rsidP="00024D6D">
            <w:pPr>
              <w:overflowPunct w:val="0"/>
              <w:autoSpaceDE w:val="0"/>
              <w:autoSpaceDN w:val="0"/>
              <w:adjustRightInd w:val="0"/>
              <w:ind w:left="512" w:hanging="512"/>
              <w:jc w:val="right"/>
              <w:textAlignment w:val="baseline"/>
              <w:rPr>
                <w:sz w:val="20"/>
              </w:rPr>
            </w:pPr>
            <w:r w:rsidRPr="00024D6D">
              <w:rPr>
                <w:sz w:val="20"/>
              </w:rPr>
              <w:t>120,7</w:t>
            </w:r>
          </w:p>
        </w:tc>
      </w:tr>
      <w:tr w:rsidR="00024D6D" w:rsidRPr="00C86784" w14:paraId="5D3B11E5" w14:textId="77777777" w:rsidTr="0FCC8A84">
        <w:trPr>
          <w:trHeight w:val="319"/>
        </w:trPr>
        <w:tc>
          <w:tcPr>
            <w:tcW w:w="2976" w:type="dxa"/>
            <w:tcBorders>
              <w:top w:val="nil"/>
              <w:left w:val="single" w:sz="8" w:space="0" w:color="auto"/>
              <w:bottom w:val="single" w:sz="4" w:space="0" w:color="auto"/>
              <w:right w:val="single" w:sz="8" w:space="0" w:color="auto"/>
            </w:tcBorders>
            <w:shd w:val="clear" w:color="auto" w:fill="auto"/>
            <w:noWrap/>
            <w:vAlign w:val="center"/>
            <w:hideMark/>
          </w:tcPr>
          <w:p w14:paraId="051EB506" w14:textId="4CD895AC" w:rsidR="00024D6D" w:rsidRPr="00723EB0" w:rsidRDefault="00024D6D" w:rsidP="00024D6D">
            <w:pPr>
              <w:overflowPunct w:val="0"/>
              <w:autoSpaceDE w:val="0"/>
              <w:autoSpaceDN w:val="0"/>
              <w:adjustRightInd w:val="0"/>
              <w:ind w:left="512" w:hanging="512"/>
              <w:textAlignment w:val="baseline"/>
              <w:rPr>
                <w:color w:val="000000" w:themeColor="text1"/>
                <w:sz w:val="20"/>
              </w:rPr>
            </w:pPr>
            <w:proofErr w:type="spellStart"/>
            <w:r w:rsidRPr="0FCC8A84">
              <w:rPr>
                <w:color w:val="000000" w:themeColor="text1"/>
                <w:sz w:val="20"/>
              </w:rPr>
              <w:t>Vízkészletjárulék</w:t>
            </w:r>
            <w:proofErr w:type="spellEnd"/>
          </w:p>
        </w:tc>
        <w:tc>
          <w:tcPr>
            <w:tcW w:w="1418" w:type="dxa"/>
            <w:tcBorders>
              <w:top w:val="nil"/>
              <w:left w:val="single" w:sz="8" w:space="0" w:color="auto"/>
              <w:bottom w:val="single" w:sz="4" w:space="0" w:color="auto"/>
              <w:right w:val="single" w:sz="4" w:space="0" w:color="auto"/>
            </w:tcBorders>
            <w:shd w:val="clear" w:color="auto" w:fill="auto"/>
            <w:noWrap/>
          </w:tcPr>
          <w:p w14:paraId="06134C6C" w14:textId="6D4FF0F4" w:rsidR="00024D6D" w:rsidRPr="00024D6D" w:rsidRDefault="00024D6D" w:rsidP="00024D6D">
            <w:pPr>
              <w:overflowPunct w:val="0"/>
              <w:autoSpaceDE w:val="0"/>
              <w:autoSpaceDN w:val="0"/>
              <w:adjustRightInd w:val="0"/>
              <w:ind w:left="512" w:hanging="512"/>
              <w:jc w:val="right"/>
              <w:textAlignment w:val="baseline"/>
              <w:rPr>
                <w:sz w:val="20"/>
              </w:rPr>
            </w:pPr>
            <w:r w:rsidRPr="00024D6D">
              <w:rPr>
                <w:sz w:val="20"/>
              </w:rPr>
              <w:t>6 279,1</w:t>
            </w:r>
          </w:p>
        </w:tc>
        <w:tc>
          <w:tcPr>
            <w:tcW w:w="1417" w:type="dxa"/>
            <w:tcBorders>
              <w:top w:val="nil"/>
              <w:left w:val="nil"/>
              <w:bottom w:val="single" w:sz="4" w:space="0" w:color="auto"/>
              <w:right w:val="single" w:sz="8" w:space="0" w:color="auto"/>
            </w:tcBorders>
            <w:shd w:val="clear" w:color="auto" w:fill="auto"/>
            <w:noWrap/>
          </w:tcPr>
          <w:p w14:paraId="2D678947" w14:textId="2EDBBA1A" w:rsidR="00024D6D" w:rsidRPr="00024D6D" w:rsidRDefault="00024D6D" w:rsidP="00024D6D">
            <w:pPr>
              <w:overflowPunct w:val="0"/>
              <w:autoSpaceDE w:val="0"/>
              <w:autoSpaceDN w:val="0"/>
              <w:adjustRightInd w:val="0"/>
              <w:ind w:left="512" w:hanging="512"/>
              <w:jc w:val="right"/>
              <w:textAlignment w:val="baseline"/>
              <w:rPr>
                <w:sz w:val="20"/>
              </w:rPr>
            </w:pPr>
            <w:r w:rsidRPr="00024D6D">
              <w:rPr>
                <w:sz w:val="20"/>
              </w:rPr>
              <w:t>6 076,1</w:t>
            </w:r>
          </w:p>
        </w:tc>
        <w:tc>
          <w:tcPr>
            <w:tcW w:w="1276" w:type="dxa"/>
            <w:tcBorders>
              <w:top w:val="nil"/>
              <w:left w:val="nil"/>
              <w:bottom w:val="single" w:sz="4" w:space="0" w:color="auto"/>
              <w:right w:val="single" w:sz="4" w:space="0" w:color="auto"/>
            </w:tcBorders>
            <w:shd w:val="clear" w:color="auto" w:fill="auto"/>
            <w:noWrap/>
          </w:tcPr>
          <w:p w14:paraId="780A2B8D" w14:textId="3E7F3BDB" w:rsidR="00024D6D" w:rsidRPr="00024D6D" w:rsidRDefault="00024D6D" w:rsidP="00024D6D">
            <w:pPr>
              <w:overflowPunct w:val="0"/>
              <w:autoSpaceDE w:val="0"/>
              <w:autoSpaceDN w:val="0"/>
              <w:adjustRightInd w:val="0"/>
              <w:ind w:left="512" w:hanging="512"/>
              <w:jc w:val="right"/>
              <w:textAlignment w:val="baseline"/>
              <w:rPr>
                <w:sz w:val="20"/>
              </w:rPr>
            </w:pPr>
            <w:r w:rsidRPr="00024D6D">
              <w:rPr>
                <w:sz w:val="20"/>
              </w:rPr>
              <w:t>-203,0</w:t>
            </w:r>
          </w:p>
        </w:tc>
        <w:tc>
          <w:tcPr>
            <w:tcW w:w="849" w:type="dxa"/>
            <w:tcBorders>
              <w:top w:val="nil"/>
              <w:left w:val="nil"/>
              <w:bottom w:val="single" w:sz="4" w:space="0" w:color="auto"/>
              <w:right w:val="single" w:sz="8" w:space="0" w:color="auto"/>
            </w:tcBorders>
            <w:shd w:val="clear" w:color="auto" w:fill="auto"/>
            <w:noWrap/>
          </w:tcPr>
          <w:p w14:paraId="3935BA5B" w14:textId="3228142E" w:rsidR="00024D6D" w:rsidRPr="00024D6D" w:rsidRDefault="00024D6D" w:rsidP="00024D6D">
            <w:pPr>
              <w:overflowPunct w:val="0"/>
              <w:autoSpaceDE w:val="0"/>
              <w:autoSpaceDN w:val="0"/>
              <w:adjustRightInd w:val="0"/>
              <w:ind w:left="512" w:hanging="512"/>
              <w:jc w:val="right"/>
              <w:textAlignment w:val="baseline"/>
              <w:rPr>
                <w:sz w:val="20"/>
              </w:rPr>
            </w:pPr>
            <w:r w:rsidRPr="00024D6D">
              <w:rPr>
                <w:sz w:val="20"/>
              </w:rPr>
              <w:t>96,8</w:t>
            </w:r>
          </w:p>
        </w:tc>
      </w:tr>
      <w:tr w:rsidR="00024D6D" w:rsidRPr="00C86784" w14:paraId="036E62E4" w14:textId="77777777" w:rsidTr="0FCC8A84">
        <w:trPr>
          <w:trHeight w:val="319"/>
        </w:trPr>
        <w:tc>
          <w:tcPr>
            <w:tcW w:w="2976" w:type="dxa"/>
            <w:tcBorders>
              <w:top w:val="nil"/>
              <w:left w:val="single" w:sz="8" w:space="0" w:color="auto"/>
              <w:bottom w:val="single" w:sz="4" w:space="0" w:color="auto"/>
              <w:right w:val="single" w:sz="8" w:space="0" w:color="auto"/>
            </w:tcBorders>
            <w:shd w:val="clear" w:color="auto" w:fill="auto"/>
            <w:hideMark/>
          </w:tcPr>
          <w:p w14:paraId="3E2A5A0E" w14:textId="1E9EF1BF" w:rsidR="00024D6D" w:rsidRPr="00723EB0" w:rsidRDefault="00024D6D" w:rsidP="00024D6D">
            <w:pPr>
              <w:overflowPunct w:val="0"/>
              <w:autoSpaceDE w:val="0"/>
              <w:autoSpaceDN w:val="0"/>
              <w:adjustRightInd w:val="0"/>
              <w:ind w:left="512" w:hanging="512"/>
              <w:textAlignment w:val="baseline"/>
              <w:rPr>
                <w:color w:val="000000" w:themeColor="text1"/>
                <w:sz w:val="20"/>
              </w:rPr>
            </w:pPr>
            <w:r w:rsidRPr="0FCC8A84">
              <w:rPr>
                <w:color w:val="000000" w:themeColor="text1"/>
                <w:sz w:val="20"/>
              </w:rPr>
              <w:t>Hulladéklerakási járulék</w:t>
            </w:r>
          </w:p>
        </w:tc>
        <w:tc>
          <w:tcPr>
            <w:tcW w:w="1418" w:type="dxa"/>
            <w:tcBorders>
              <w:top w:val="nil"/>
              <w:left w:val="single" w:sz="8" w:space="0" w:color="auto"/>
              <w:bottom w:val="single" w:sz="4" w:space="0" w:color="auto"/>
              <w:right w:val="single" w:sz="4" w:space="0" w:color="auto"/>
            </w:tcBorders>
            <w:shd w:val="clear" w:color="auto" w:fill="auto"/>
            <w:noWrap/>
          </w:tcPr>
          <w:p w14:paraId="79CD9915" w14:textId="469AF776" w:rsidR="00024D6D" w:rsidRPr="00024D6D" w:rsidRDefault="00024D6D" w:rsidP="00024D6D">
            <w:pPr>
              <w:overflowPunct w:val="0"/>
              <w:autoSpaceDE w:val="0"/>
              <w:autoSpaceDN w:val="0"/>
              <w:adjustRightInd w:val="0"/>
              <w:ind w:left="512" w:hanging="512"/>
              <w:jc w:val="right"/>
              <w:textAlignment w:val="baseline"/>
              <w:rPr>
                <w:sz w:val="20"/>
              </w:rPr>
            </w:pPr>
            <w:r w:rsidRPr="00024D6D">
              <w:rPr>
                <w:sz w:val="20"/>
              </w:rPr>
              <w:t>6 623,4</w:t>
            </w:r>
          </w:p>
        </w:tc>
        <w:tc>
          <w:tcPr>
            <w:tcW w:w="1417" w:type="dxa"/>
            <w:tcBorders>
              <w:top w:val="nil"/>
              <w:left w:val="nil"/>
              <w:bottom w:val="single" w:sz="4" w:space="0" w:color="auto"/>
              <w:right w:val="single" w:sz="8" w:space="0" w:color="auto"/>
            </w:tcBorders>
            <w:shd w:val="clear" w:color="auto" w:fill="auto"/>
            <w:noWrap/>
          </w:tcPr>
          <w:p w14:paraId="5F76BE34" w14:textId="42144009" w:rsidR="00024D6D" w:rsidRPr="00024D6D" w:rsidRDefault="00024D6D" w:rsidP="00024D6D">
            <w:pPr>
              <w:overflowPunct w:val="0"/>
              <w:autoSpaceDE w:val="0"/>
              <w:autoSpaceDN w:val="0"/>
              <w:adjustRightInd w:val="0"/>
              <w:ind w:left="512" w:hanging="512"/>
              <w:jc w:val="right"/>
              <w:textAlignment w:val="baseline"/>
              <w:rPr>
                <w:sz w:val="20"/>
              </w:rPr>
            </w:pPr>
            <w:r w:rsidRPr="00024D6D">
              <w:rPr>
                <w:sz w:val="20"/>
              </w:rPr>
              <w:t>7 012,4</w:t>
            </w:r>
          </w:p>
        </w:tc>
        <w:tc>
          <w:tcPr>
            <w:tcW w:w="1276" w:type="dxa"/>
            <w:tcBorders>
              <w:top w:val="nil"/>
              <w:left w:val="nil"/>
              <w:bottom w:val="single" w:sz="4" w:space="0" w:color="auto"/>
              <w:right w:val="single" w:sz="4" w:space="0" w:color="auto"/>
            </w:tcBorders>
            <w:shd w:val="clear" w:color="auto" w:fill="auto"/>
            <w:noWrap/>
          </w:tcPr>
          <w:p w14:paraId="696BA93B" w14:textId="1DE96EC4" w:rsidR="00024D6D" w:rsidRPr="00024D6D" w:rsidRDefault="00024D6D" w:rsidP="00024D6D">
            <w:pPr>
              <w:overflowPunct w:val="0"/>
              <w:autoSpaceDE w:val="0"/>
              <w:autoSpaceDN w:val="0"/>
              <w:adjustRightInd w:val="0"/>
              <w:ind w:left="512" w:hanging="512"/>
              <w:jc w:val="right"/>
              <w:textAlignment w:val="baseline"/>
              <w:rPr>
                <w:sz w:val="20"/>
              </w:rPr>
            </w:pPr>
            <w:r w:rsidRPr="00024D6D">
              <w:rPr>
                <w:sz w:val="20"/>
              </w:rPr>
              <w:t>389,0</w:t>
            </w:r>
          </w:p>
        </w:tc>
        <w:tc>
          <w:tcPr>
            <w:tcW w:w="849" w:type="dxa"/>
            <w:tcBorders>
              <w:top w:val="nil"/>
              <w:left w:val="nil"/>
              <w:bottom w:val="single" w:sz="4" w:space="0" w:color="auto"/>
              <w:right w:val="single" w:sz="8" w:space="0" w:color="auto"/>
            </w:tcBorders>
            <w:shd w:val="clear" w:color="auto" w:fill="auto"/>
            <w:noWrap/>
          </w:tcPr>
          <w:p w14:paraId="62481C31" w14:textId="1F4B1259" w:rsidR="00024D6D" w:rsidRPr="00024D6D" w:rsidRDefault="00024D6D" w:rsidP="00024D6D">
            <w:pPr>
              <w:overflowPunct w:val="0"/>
              <w:autoSpaceDE w:val="0"/>
              <w:autoSpaceDN w:val="0"/>
              <w:adjustRightInd w:val="0"/>
              <w:ind w:left="512" w:hanging="512"/>
              <w:jc w:val="right"/>
              <w:textAlignment w:val="baseline"/>
              <w:rPr>
                <w:sz w:val="20"/>
              </w:rPr>
            </w:pPr>
            <w:r w:rsidRPr="00024D6D">
              <w:rPr>
                <w:sz w:val="20"/>
              </w:rPr>
              <w:t>105,9</w:t>
            </w:r>
          </w:p>
        </w:tc>
      </w:tr>
      <w:tr w:rsidR="00024D6D" w:rsidRPr="00C86784" w14:paraId="2B8FF813" w14:textId="77777777" w:rsidTr="0FCC8A84">
        <w:trPr>
          <w:trHeight w:val="319"/>
        </w:trPr>
        <w:tc>
          <w:tcPr>
            <w:tcW w:w="2976" w:type="dxa"/>
            <w:tcBorders>
              <w:top w:val="nil"/>
              <w:left w:val="single" w:sz="8" w:space="0" w:color="auto"/>
              <w:bottom w:val="single" w:sz="4" w:space="0" w:color="auto"/>
              <w:right w:val="single" w:sz="8" w:space="0" w:color="auto"/>
            </w:tcBorders>
            <w:shd w:val="clear" w:color="auto" w:fill="auto"/>
            <w:noWrap/>
            <w:vAlign w:val="center"/>
            <w:hideMark/>
          </w:tcPr>
          <w:p w14:paraId="3CD46533" w14:textId="6E246FE2" w:rsidR="00024D6D" w:rsidRPr="00723EB0" w:rsidRDefault="00024D6D" w:rsidP="00024D6D">
            <w:pPr>
              <w:overflowPunct w:val="0"/>
              <w:autoSpaceDE w:val="0"/>
              <w:autoSpaceDN w:val="0"/>
              <w:adjustRightInd w:val="0"/>
              <w:ind w:left="512" w:hanging="512"/>
              <w:textAlignment w:val="baseline"/>
              <w:rPr>
                <w:color w:val="000000" w:themeColor="text1"/>
                <w:sz w:val="20"/>
              </w:rPr>
            </w:pPr>
            <w:r w:rsidRPr="0FCC8A84">
              <w:rPr>
                <w:color w:val="000000" w:themeColor="text1"/>
                <w:sz w:val="20"/>
              </w:rPr>
              <w:t>Elektronikus útdíj</w:t>
            </w:r>
          </w:p>
        </w:tc>
        <w:tc>
          <w:tcPr>
            <w:tcW w:w="1418" w:type="dxa"/>
            <w:tcBorders>
              <w:top w:val="nil"/>
              <w:left w:val="single" w:sz="8" w:space="0" w:color="auto"/>
              <w:bottom w:val="single" w:sz="4" w:space="0" w:color="auto"/>
              <w:right w:val="single" w:sz="4" w:space="0" w:color="auto"/>
            </w:tcBorders>
            <w:shd w:val="clear" w:color="auto" w:fill="auto"/>
            <w:noWrap/>
          </w:tcPr>
          <w:p w14:paraId="3B3B1AFD" w14:textId="1E0B9C34" w:rsidR="00024D6D" w:rsidRPr="00024D6D" w:rsidRDefault="00024D6D" w:rsidP="00024D6D">
            <w:pPr>
              <w:overflowPunct w:val="0"/>
              <w:autoSpaceDE w:val="0"/>
              <w:autoSpaceDN w:val="0"/>
              <w:adjustRightInd w:val="0"/>
              <w:ind w:left="512" w:hanging="512"/>
              <w:jc w:val="right"/>
              <w:textAlignment w:val="baseline"/>
              <w:rPr>
                <w:sz w:val="20"/>
              </w:rPr>
            </w:pPr>
            <w:r w:rsidRPr="00024D6D">
              <w:rPr>
                <w:sz w:val="20"/>
              </w:rPr>
              <w:t>83 682,4</w:t>
            </w:r>
          </w:p>
        </w:tc>
        <w:tc>
          <w:tcPr>
            <w:tcW w:w="1417" w:type="dxa"/>
            <w:tcBorders>
              <w:top w:val="nil"/>
              <w:left w:val="nil"/>
              <w:bottom w:val="single" w:sz="4" w:space="0" w:color="auto"/>
              <w:right w:val="single" w:sz="8" w:space="0" w:color="auto"/>
            </w:tcBorders>
            <w:shd w:val="clear" w:color="auto" w:fill="auto"/>
            <w:noWrap/>
          </w:tcPr>
          <w:p w14:paraId="65871DFF" w14:textId="3E742F63" w:rsidR="00024D6D" w:rsidRPr="00024D6D" w:rsidRDefault="00024D6D" w:rsidP="00024D6D">
            <w:pPr>
              <w:overflowPunct w:val="0"/>
              <w:autoSpaceDE w:val="0"/>
              <w:autoSpaceDN w:val="0"/>
              <w:adjustRightInd w:val="0"/>
              <w:ind w:left="512" w:hanging="512"/>
              <w:jc w:val="right"/>
              <w:textAlignment w:val="baseline"/>
              <w:rPr>
                <w:sz w:val="20"/>
              </w:rPr>
            </w:pPr>
            <w:r w:rsidRPr="00024D6D">
              <w:rPr>
                <w:sz w:val="20"/>
              </w:rPr>
              <w:t>96 787,9</w:t>
            </w:r>
          </w:p>
        </w:tc>
        <w:tc>
          <w:tcPr>
            <w:tcW w:w="1276" w:type="dxa"/>
            <w:tcBorders>
              <w:top w:val="nil"/>
              <w:left w:val="nil"/>
              <w:bottom w:val="single" w:sz="4" w:space="0" w:color="auto"/>
              <w:right w:val="single" w:sz="4" w:space="0" w:color="auto"/>
            </w:tcBorders>
            <w:shd w:val="clear" w:color="auto" w:fill="auto"/>
            <w:noWrap/>
          </w:tcPr>
          <w:p w14:paraId="0B96A16C" w14:textId="0A4AC129" w:rsidR="00024D6D" w:rsidRPr="00024D6D" w:rsidRDefault="00024D6D" w:rsidP="00024D6D">
            <w:pPr>
              <w:overflowPunct w:val="0"/>
              <w:autoSpaceDE w:val="0"/>
              <w:autoSpaceDN w:val="0"/>
              <w:adjustRightInd w:val="0"/>
              <w:ind w:left="512" w:hanging="512"/>
              <w:jc w:val="right"/>
              <w:textAlignment w:val="baseline"/>
              <w:rPr>
                <w:sz w:val="20"/>
              </w:rPr>
            </w:pPr>
            <w:r w:rsidRPr="00024D6D">
              <w:rPr>
                <w:sz w:val="20"/>
              </w:rPr>
              <w:t>13 105,5</w:t>
            </w:r>
          </w:p>
        </w:tc>
        <w:tc>
          <w:tcPr>
            <w:tcW w:w="849" w:type="dxa"/>
            <w:tcBorders>
              <w:top w:val="nil"/>
              <w:left w:val="nil"/>
              <w:bottom w:val="single" w:sz="4" w:space="0" w:color="auto"/>
              <w:right w:val="single" w:sz="8" w:space="0" w:color="auto"/>
            </w:tcBorders>
            <w:shd w:val="clear" w:color="auto" w:fill="auto"/>
            <w:noWrap/>
          </w:tcPr>
          <w:p w14:paraId="2CBB6149" w14:textId="70E0ED5A" w:rsidR="00024D6D" w:rsidRPr="00024D6D" w:rsidRDefault="00024D6D" w:rsidP="00024D6D">
            <w:pPr>
              <w:overflowPunct w:val="0"/>
              <w:autoSpaceDE w:val="0"/>
              <w:autoSpaceDN w:val="0"/>
              <w:adjustRightInd w:val="0"/>
              <w:ind w:left="512" w:hanging="512"/>
              <w:jc w:val="right"/>
              <w:textAlignment w:val="baseline"/>
              <w:rPr>
                <w:sz w:val="20"/>
              </w:rPr>
            </w:pPr>
            <w:r w:rsidRPr="00024D6D">
              <w:rPr>
                <w:sz w:val="20"/>
              </w:rPr>
              <w:t>115,7</w:t>
            </w:r>
          </w:p>
        </w:tc>
      </w:tr>
      <w:tr w:rsidR="00024D6D" w:rsidRPr="00C86784" w14:paraId="01244098" w14:textId="77777777" w:rsidTr="0FCC8A84">
        <w:trPr>
          <w:trHeight w:val="319"/>
        </w:trPr>
        <w:tc>
          <w:tcPr>
            <w:tcW w:w="2976" w:type="dxa"/>
            <w:tcBorders>
              <w:top w:val="nil"/>
              <w:left w:val="single" w:sz="8" w:space="0" w:color="auto"/>
              <w:bottom w:val="single" w:sz="4" w:space="0" w:color="auto"/>
              <w:right w:val="single" w:sz="8" w:space="0" w:color="auto"/>
            </w:tcBorders>
            <w:shd w:val="clear" w:color="auto" w:fill="auto"/>
            <w:noWrap/>
            <w:vAlign w:val="center"/>
            <w:hideMark/>
          </w:tcPr>
          <w:p w14:paraId="4D2CC07A" w14:textId="42659F3A" w:rsidR="00024D6D" w:rsidRPr="00723EB0" w:rsidRDefault="00024D6D" w:rsidP="00024D6D">
            <w:pPr>
              <w:overflowPunct w:val="0"/>
              <w:autoSpaceDE w:val="0"/>
              <w:autoSpaceDN w:val="0"/>
              <w:adjustRightInd w:val="0"/>
              <w:ind w:left="512" w:hanging="512"/>
              <w:textAlignment w:val="baseline"/>
              <w:rPr>
                <w:color w:val="000000" w:themeColor="text1"/>
                <w:sz w:val="20"/>
              </w:rPr>
            </w:pPr>
            <w:r w:rsidRPr="0FCC8A84">
              <w:rPr>
                <w:color w:val="000000" w:themeColor="text1"/>
                <w:sz w:val="20"/>
              </w:rPr>
              <w:t>Korkedvezmény-biztosítási járulék</w:t>
            </w:r>
          </w:p>
        </w:tc>
        <w:tc>
          <w:tcPr>
            <w:tcW w:w="1418" w:type="dxa"/>
            <w:tcBorders>
              <w:top w:val="nil"/>
              <w:left w:val="single" w:sz="8" w:space="0" w:color="auto"/>
              <w:bottom w:val="single" w:sz="4" w:space="0" w:color="auto"/>
              <w:right w:val="single" w:sz="4" w:space="0" w:color="auto"/>
            </w:tcBorders>
            <w:shd w:val="clear" w:color="auto" w:fill="auto"/>
            <w:noWrap/>
          </w:tcPr>
          <w:p w14:paraId="48E0DE6A" w14:textId="7FFE7D05" w:rsidR="00024D6D" w:rsidRPr="00024D6D" w:rsidRDefault="00024D6D" w:rsidP="00024D6D">
            <w:pPr>
              <w:overflowPunct w:val="0"/>
              <w:autoSpaceDE w:val="0"/>
              <w:autoSpaceDN w:val="0"/>
              <w:adjustRightInd w:val="0"/>
              <w:ind w:left="512" w:hanging="512"/>
              <w:jc w:val="right"/>
              <w:textAlignment w:val="baseline"/>
              <w:rPr>
                <w:sz w:val="20"/>
              </w:rPr>
            </w:pPr>
            <w:r w:rsidRPr="00024D6D">
              <w:rPr>
                <w:sz w:val="20"/>
              </w:rPr>
              <w:t>5,8</w:t>
            </w:r>
          </w:p>
        </w:tc>
        <w:tc>
          <w:tcPr>
            <w:tcW w:w="1417" w:type="dxa"/>
            <w:tcBorders>
              <w:top w:val="nil"/>
              <w:left w:val="nil"/>
              <w:bottom w:val="single" w:sz="4" w:space="0" w:color="auto"/>
              <w:right w:val="single" w:sz="8" w:space="0" w:color="auto"/>
            </w:tcBorders>
            <w:shd w:val="clear" w:color="auto" w:fill="auto"/>
            <w:noWrap/>
          </w:tcPr>
          <w:p w14:paraId="75C15708" w14:textId="610F153C" w:rsidR="00024D6D" w:rsidRPr="00024D6D" w:rsidRDefault="00024D6D" w:rsidP="00024D6D">
            <w:pPr>
              <w:overflowPunct w:val="0"/>
              <w:autoSpaceDE w:val="0"/>
              <w:autoSpaceDN w:val="0"/>
              <w:adjustRightInd w:val="0"/>
              <w:ind w:left="512" w:hanging="512"/>
              <w:jc w:val="right"/>
              <w:textAlignment w:val="baseline"/>
              <w:rPr>
                <w:sz w:val="20"/>
              </w:rPr>
            </w:pPr>
            <w:r w:rsidRPr="00024D6D">
              <w:rPr>
                <w:sz w:val="20"/>
              </w:rPr>
              <w:t>0,6</w:t>
            </w:r>
          </w:p>
        </w:tc>
        <w:tc>
          <w:tcPr>
            <w:tcW w:w="1276" w:type="dxa"/>
            <w:tcBorders>
              <w:top w:val="nil"/>
              <w:left w:val="nil"/>
              <w:bottom w:val="single" w:sz="4" w:space="0" w:color="auto"/>
              <w:right w:val="single" w:sz="4" w:space="0" w:color="auto"/>
            </w:tcBorders>
            <w:shd w:val="clear" w:color="auto" w:fill="auto"/>
            <w:noWrap/>
          </w:tcPr>
          <w:p w14:paraId="1534B589" w14:textId="1AAE98B5" w:rsidR="00024D6D" w:rsidRPr="00024D6D" w:rsidRDefault="00024D6D" w:rsidP="00024D6D">
            <w:pPr>
              <w:overflowPunct w:val="0"/>
              <w:autoSpaceDE w:val="0"/>
              <w:autoSpaceDN w:val="0"/>
              <w:adjustRightInd w:val="0"/>
              <w:ind w:left="512" w:hanging="512"/>
              <w:jc w:val="right"/>
              <w:textAlignment w:val="baseline"/>
              <w:rPr>
                <w:sz w:val="20"/>
              </w:rPr>
            </w:pPr>
            <w:r w:rsidRPr="00024D6D">
              <w:rPr>
                <w:sz w:val="20"/>
              </w:rPr>
              <w:t>-5,2</w:t>
            </w:r>
          </w:p>
        </w:tc>
        <w:tc>
          <w:tcPr>
            <w:tcW w:w="849" w:type="dxa"/>
            <w:tcBorders>
              <w:top w:val="nil"/>
              <w:left w:val="nil"/>
              <w:bottom w:val="single" w:sz="4" w:space="0" w:color="auto"/>
              <w:right w:val="single" w:sz="8" w:space="0" w:color="auto"/>
            </w:tcBorders>
            <w:shd w:val="clear" w:color="auto" w:fill="auto"/>
            <w:noWrap/>
          </w:tcPr>
          <w:p w14:paraId="22250457" w14:textId="4031D923" w:rsidR="00024D6D" w:rsidRPr="00024D6D" w:rsidRDefault="00421D71" w:rsidP="00024D6D">
            <w:pPr>
              <w:overflowPunct w:val="0"/>
              <w:autoSpaceDE w:val="0"/>
              <w:autoSpaceDN w:val="0"/>
              <w:adjustRightInd w:val="0"/>
              <w:ind w:left="512" w:hanging="512"/>
              <w:jc w:val="right"/>
              <w:textAlignment w:val="baseline"/>
              <w:rPr>
                <w:sz w:val="20"/>
              </w:rPr>
            </w:pPr>
            <w:r>
              <w:rPr>
                <w:sz w:val="20"/>
              </w:rPr>
              <w:t>10,3</w:t>
            </w:r>
          </w:p>
        </w:tc>
      </w:tr>
      <w:tr w:rsidR="00024D6D" w:rsidRPr="00C86784" w14:paraId="6A89324A" w14:textId="77777777" w:rsidTr="0FCC8A84">
        <w:trPr>
          <w:trHeight w:val="319"/>
        </w:trPr>
        <w:tc>
          <w:tcPr>
            <w:tcW w:w="2976" w:type="dxa"/>
            <w:tcBorders>
              <w:top w:val="nil"/>
              <w:left w:val="single" w:sz="8" w:space="0" w:color="auto"/>
              <w:bottom w:val="single" w:sz="4" w:space="0" w:color="auto"/>
              <w:right w:val="single" w:sz="8" w:space="0" w:color="auto"/>
            </w:tcBorders>
            <w:shd w:val="clear" w:color="auto" w:fill="auto"/>
            <w:noWrap/>
            <w:vAlign w:val="center"/>
            <w:hideMark/>
          </w:tcPr>
          <w:p w14:paraId="66CEC987" w14:textId="0CD8F311" w:rsidR="00024D6D" w:rsidRPr="00723EB0" w:rsidRDefault="00024D6D" w:rsidP="00024D6D">
            <w:pPr>
              <w:overflowPunct w:val="0"/>
              <w:autoSpaceDE w:val="0"/>
              <w:autoSpaceDN w:val="0"/>
              <w:adjustRightInd w:val="0"/>
              <w:ind w:left="512" w:hanging="512"/>
              <w:textAlignment w:val="baseline"/>
              <w:rPr>
                <w:color w:val="000000" w:themeColor="text1"/>
                <w:sz w:val="20"/>
              </w:rPr>
            </w:pPr>
            <w:r w:rsidRPr="0FCC8A84">
              <w:rPr>
                <w:color w:val="000000" w:themeColor="text1"/>
                <w:sz w:val="20"/>
              </w:rPr>
              <w:t>Időalapú útdíj</w:t>
            </w:r>
          </w:p>
        </w:tc>
        <w:tc>
          <w:tcPr>
            <w:tcW w:w="1418" w:type="dxa"/>
            <w:tcBorders>
              <w:top w:val="nil"/>
              <w:left w:val="single" w:sz="8" w:space="0" w:color="auto"/>
              <w:bottom w:val="single" w:sz="4" w:space="0" w:color="auto"/>
              <w:right w:val="single" w:sz="4" w:space="0" w:color="auto"/>
            </w:tcBorders>
            <w:shd w:val="clear" w:color="auto" w:fill="auto"/>
            <w:noWrap/>
          </w:tcPr>
          <w:p w14:paraId="261636BC" w14:textId="37251F89" w:rsidR="00024D6D" w:rsidRPr="00024D6D" w:rsidRDefault="00024D6D" w:rsidP="00024D6D">
            <w:pPr>
              <w:overflowPunct w:val="0"/>
              <w:autoSpaceDE w:val="0"/>
              <w:autoSpaceDN w:val="0"/>
              <w:adjustRightInd w:val="0"/>
              <w:ind w:left="512" w:hanging="512"/>
              <w:jc w:val="right"/>
              <w:textAlignment w:val="baseline"/>
              <w:rPr>
                <w:sz w:val="20"/>
              </w:rPr>
            </w:pPr>
            <w:r w:rsidRPr="00024D6D">
              <w:rPr>
                <w:sz w:val="20"/>
              </w:rPr>
              <w:t>37 067,9</w:t>
            </w:r>
          </w:p>
        </w:tc>
        <w:tc>
          <w:tcPr>
            <w:tcW w:w="1417" w:type="dxa"/>
            <w:tcBorders>
              <w:top w:val="nil"/>
              <w:left w:val="nil"/>
              <w:bottom w:val="single" w:sz="4" w:space="0" w:color="auto"/>
              <w:right w:val="single" w:sz="8" w:space="0" w:color="auto"/>
            </w:tcBorders>
            <w:shd w:val="clear" w:color="auto" w:fill="auto"/>
            <w:noWrap/>
          </w:tcPr>
          <w:p w14:paraId="3D3E7E73" w14:textId="2637A50F" w:rsidR="00024D6D" w:rsidRPr="00024D6D" w:rsidRDefault="00024D6D" w:rsidP="00024D6D">
            <w:pPr>
              <w:overflowPunct w:val="0"/>
              <w:autoSpaceDE w:val="0"/>
              <w:autoSpaceDN w:val="0"/>
              <w:adjustRightInd w:val="0"/>
              <w:ind w:left="512" w:hanging="512"/>
              <w:jc w:val="right"/>
              <w:textAlignment w:val="baseline"/>
              <w:rPr>
                <w:sz w:val="20"/>
              </w:rPr>
            </w:pPr>
            <w:r w:rsidRPr="00024D6D">
              <w:rPr>
                <w:sz w:val="20"/>
              </w:rPr>
              <w:t>36 462,8</w:t>
            </w:r>
          </w:p>
        </w:tc>
        <w:tc>
          <w:tcPr>
            <w:tcW w:w="1276" w:type="dxa"/>
            <w:tcBorders>
              <w:top w:val="nil"/>
              <w:left w:val="nil"/>
              <w:bottom w:val="single" w:sz="4" w:space="0" w:color="auto"/>
              <w:right w:val="single" w:sz="4" w:space="0" w:color="auto"/>
            </w:tcBorders>
            <w:shd w:val="clear" w:color="auto" w:fill="auto"/>
            <w:noWrap/>
          </w:tcPr>
          <w:p w14:paraId="2185C571" w14:textId="74B97B53" w:rsidR="00024D6D" w:rsidRPr="00024D6D" w:rsidRDefault="00024D6D" w:rsidP="00CC0117">
            <w:pPr>
              <w:overflowPunct w:val="0"/>
              <w:autoSpaceDE w:val="0"/>
              <w:autoSpaceDN w:val="0"/>
              <w:adjustRightInd w:val="0"/>
              <w:ind w:left="512" w:hanging="512"/>
              <w:jc w:val="right"/>
              <w:textAlignment w:val="baseline"/>
              <w:rPr>
                <w:sz w:val="20"/>
              </w:rPr>
            </w:pPr>
            <w:r w:rsidRPr="00024D6D">
              <w:rPr>
                <w:sz w:val="20"/>
              </w:rPr>
              <w:t>-605,</w:t>
            </w:r>
            <w:r w:rsidR="00CC0117">
              <w:rPr>
                <w:sz w:val="20"/>
              </w:rPr>
              <w:t>1</w:t>
            </w:r>
          </w:p>
        </w:tc>
        <w:tc>
          <w:tcPr>
            <w:tcW w:w="849" w:type="dxa"/>
            <w:tcBorders>
              <w:top w:val="nil"/>
              <w:left w:val="nil"/>
              <w:bottom w:val="single" w:sz="4" w:space="0" w:color="auto"/>
              <w:right w:val="single" w:sz="8" w:space="0" w:color="auto"/>
            </w:tcBorders>
            <w:shd w:val="clear" w:color="auto" w:fill="auto"/>
            <w:noWrap/>
          </w:tcPr>
          <w:p w14:paraId="23F4345A" w14:textId="5E1672B3" w:rsidR="00024D6D" w:rsidRPr="00024D6D" w:rsidRDefault="00024D6D" w:rsidP="00024D6D">
            <w:pPr>
              <w:overflowPunct w:val="0"/>
              <w:autoSpaceDE w:val="0"/>
              <w:autoSpaceDN w:val="0"/>
              <w:adjustRightInd w:val="0"/>
              <w:ind w:left="512" w:hanging="512"/>
              <w:jc w:val="right"/>
              <w:textAlignment w:val="baseline"/>
              <w:rPr>
                <w:sz w:val="20"/>
              </w:rPr>
            </w:pPr>
            <w:r w:rsidRPr="00024D6D">
              <w:rPr>
                <w:sz w:val="20"/>
              </w:rPr>
              <w:t>98,4</w:t>
            </w:r>
          </w:p>
        </w:tc>
      </w:tr>
      <w:tr w:rsidR="00024D6D" w:rsidRPr="00C86784" w14:paraId="450B7EA2" w14:textId="77777777" w:rsidTr="0FCC8A84">
        <w:trPr>
          <w:trHeight w:val="319"/>
        </w:trPr>
        <w:tc>
          <w:tcPr>
            <w:tcW w:w="2976" w:type="dxa"/>
            <w:tcBorders>
              <w:top w:val="nil"/>
              <w:left w:val="single" w:sz="8" w:space="0" w:color="auto"/>
              <w:bottom w:val="single" w:sz="4" w:space="0" w:color="auto"/>
              <w:right w:val="single" w:sz="8" w:space="0" w:color="auto"/>
            </w:tcBorders>
            <w:shd w:val="clear" w:color="auto" w:fill="auto"/>
            <w:noWrap/>
            <w:vAlign w:val="center"/>
            <w:hideMark/>
          </w:tcPr>
          <w:p w14:paraId="2C5B39AB" w14:textId="7B7EB5CF" w:rsidR="00024D6D" w:rsidRPr="00723EB0" w:rsidRDefault="00024D6D" w:rsidP="00024D6D">
            <w:pPr>
              <w:overflowPunct w:val="0"/>
              <w:autoSpaceDE w:val="0"/>
              <w:autoSpaceDN w:val="0"/>
              <w:adjustRightInd w:val="0"/>
              <w:ind w:left="512" w:hanging="512"/>
              <w:textAlignment w:val="baseline"/>
              <w:rPr>
                <w:color w:val="000000" w:themeColor="text1"/>
                <w:sz w:val="20"/>
              </w:rPr>
            </w:pPr>
            <w:r w:rsidRPr="0FCC8A84">
              <w:rPr>
                <w:color w:val="000000" w:themeColor="text1"/>
                <w:sz w:val="20"/>
              </w:rPr>
              <w:t>Bírságok és függő tételek</w:t>
            </w:r>
          </w:p>
        </w:tc>
        <w:tc>
          <w:tcPr>
            <w:tcW w:w="1418" w:type="dxa"/>
            <w:tcBorders>
              <w:top w:val="nil"/>
              <w:left w:val="single" w:sz="8" w:space="0" w:color="auto"/>
              <w:bottom w:val="single" w:sz="4" w:space="0" w:color="auto"/>
              <w:right w:val="single" w:sz="4" w:space="0" w:color="auto"/>
            </w:tcBorders>
            <w:shd w:val="clear" w:color="auto" w:fill="auto"/>
            <w:noWrap/>
          </w:tcPr>
          <w:p w14:paraId="42C02778" w14:textId="1E3B33DE" w:rsidR="00024D6D" w:rsidRPr="00024D6D" w:rsidRDefault="00024D6D" w:rsidP="00024D6D">
            <w:pPr>
              <w:overflowPunct w:val="0"/>
              <w:autoSpaceDE w:val="0"/>
              <w:autoSpaceDN w:val="0"/>
              <w:adjustRightInd w:val="0"/>
              <w:ind w:left="512" w:hanging="512"/>
              <w:jc w:val="right"/>
              <w:textAlignment w:val="baseline"/>
              <w:rPr>
                <w:sz w:val="20"/>
              </w:rPr>
            </w:pPr>
            <w:r w:rsidRPr="00024D6D">
              <w:rPr>
                <w:sz w:val="20"/>
              </w:rPr>
              <w:t>21 621,4</w:t>
            </w:r>
          </w:p>
        </w:tc>
        <w:tc>
          <w:tcPr>
            <w:tcW w:w="1417" w:type="dxa"/>
            <w:tcBorders>
              <w:top w:val="nil"/>
              <w:left w:val="nil"/>
              <w:bottom w:val="single" w:sz="4" w:space="0" w:color="auto"/>
              <w:right w:val="single" w:sz="8" w:space="0" w:color="auto"/>
            </w:tcBorders>
            <w:shd w:val="clear" w:color="auto" w:fill="auto"/>
            <w:noWrap/>
          </w:tcPr>
          <w:p w14:paraId="60B6F1F8" w14:textId="60418245" w:rsidR="00024D6D" w:rsidRPr="00024D6D" w:rsidRDefault="00024D6D" w:rsidP="00024D6D">
            <w:pPr>
              <w:overflowPunct w:val="0"/>
              <w:autoSpaceDE w:val="0"/>
              <w:autoSpaceDN w:val="0"/>
              <w:adjustRightInd w:val="0"/>
              <w:ind w:left="512" w:hanging="512"/>
              <w:jc w:val="right"/>
              <w:textAlignment w:val="baseline"/>
              <w:rPr>
                <w:sz w:val="20"/>
              </w:rPr>
            </w:pPr>
            <w:r w:rsidRPr="00024D6D">
              <w:rPr>
                <w:sz w:val="20"/>
              </w:rPr>
              <w:t>21 164,4</w:t>
            </w:r>
          </w:p>
        </w:tc>
        <w:tc>
          <w:tcPr>
            <w:tcW w:w="1276" w:type="dxa"/>
            <w:tcBorders>
              <w:top w:val="nil"/>
              <w:left w:val="nil"/>
              <w:bottom w:val="single" w:sz="4" w:space="0" w:color="auto"/>
              <w:right w:val="single" w:sz="4" w:space="0" w:color="auto"/>
            </w:tcBorders>
            <w:shd w:val="clear" w:color="auto" w:fill="auto"/>
            <w:noWrap/>
          </w:tcPr>
          <w:p w14:paraId="656DACF4" w14:textId="4C2F7ADD" w:rsidR="00024D6D" w:rsidRPr="00024D6D" w:rsidRDefault="00024D6D" w:rsidP="00024D6D">
            <w:pPr>
              <w:overflowPunct w:val="0"/>
              <w:autoSpaceDE w:val="0"/>
              <w:autoSpaceDN w:val="0"/>
              <w:adjustRightInd w:val="0"/>
              <w:ind w:left="512" w:hanging="512"/>
              <w:jc w:val="right"/>
              <w:textAlignment w:val="baseline"/>
              <w:rPr>
                <w:sz w:val="20"/>
              </w:rPr>
            </w:pPr>
            <w:r w:rsidRPr="00024D6D">
              <w:rPr>
                <w:sz w:val="20"/>
              </w:rPr>
              <w:t>-457,0</w:t>
            </w:r>
          </w:p>
        </w:tc>
        <w:tc>
          <w:tcPr>
            <w:tcW w:w="849" w:type="dxa"/>
            <w:tcBorders>
              <w:top w:val="nil"/>
              <w:left w:val="nil"/>
              <w:bottom w:val="single" w:sz="4" w:space="0" w:color="auto"/>
              <w:right w:val="single" w:sz="8" w:space="0" w:color="auto"/>
            </w:tcBorders>
            <w:shd w:val="clear" w:color="auto" w:fill="auto"/>
            <w:noWrap/>
          </w:tcPr>
          <w:p w14:paraId="3B910221" w14:textId="54895C68" w:rsidR="00024D6D" w:rsidRPr="00024D6D" w:rsidRDefault="00024D6D" w:rsidP="00024D6D">
            <w:pPr>
              <w:overflowPunct w:val="0"/>
              <w:autoSpaceDE w:val="0"/>
              <w:autoSpaceDN w:val="0"/>
              <w:adjustRightInd w:val="0"/>
              <w:ind w:left="512" w:hanging="512"/>
              <w:jc w:val="right"/>
              <w:textAlignment w:val="baseline"/>
              <w:rPr>
                <w:sz w:val="20"/>
              </w:rPr>
            </w:pPr>
            <w:r w:rsidRPr="00024D6D">
              <w:rPr>
                <w:sz w:val="20"/>
              </w:rPr>
              <w:t>97,9</w:t>
            </w:r>
          </w:p>
        </w:tc>
      </w:tr>
      <w:tr w:rsidR="00024D6D" w:rsidRPr="00C86784" w14:paraId="160B4B20" w14:textId="77777777" w:rsidTr="0FCC8A84">
        <w:trPr>
          <w:trHeight w:val="319"/>
        </w:trPr>
        <w:tc>
          <w:tcPr>
            <w:tcW w:w="2976" w:type="dxa"/>
            <w:tcBorders>
              <w:top w:val="nil"/>
              <w:left w:val="single" w:sz="8" w:space="0" w:color="auto"/>
              <w:bottom w:val="single" w:sz="8" w:space="0" w:color="auto"/>
              <w:right w:val="single" w:sz="8" w:space="0" w:color="auto"/>
            </w:tcBorders>
            <w:shd w:val="clear" w:color="auto" w:fill="auto"/>
            <w:noWrap/>
            <w:vAlign w:val="center"/>
            <w:hideMark/>
          </w:tcPr>
          <w:p w14:paraId="6505F41A" w14:textId="7DC54D38" w:rsidR="00024D6D" w:rsidRPr="00723EB0" w:rsidRDefault="00024D6D" w:rsidP="00024D6D">
            <w:pPr>
              <w:overflowPunct w:val="0"/>
              <w:autoSpaceDE w:val="0"/>
              <w:autoSpaceDN w:val="0"/>
              <w:adjustRightInd w:val="0"/>
              <w:ind w:left="512" w:hanging="512"/>
              <w:textAlignment w:val="baseline"/>
              <w:rPr>
                <w:color w:val="000000" w:themeColor="text1"/>
                <w:sz w:val="20"/>
              </w:rPr>
            </w:pPr>
            <w:r w:rsidRPr="0FCC8A84">
              <w:rPr>
                <w:color w:val="000000" w:themeColor="text1"/>
                <w:sz w:val="20"/>
              </w:rPr>
              <w:t>Egyéb tételek összesen</w:t>
            </w:r>
          </w:p>
        </w:tc>
        <w:tc>
          <w:tcPr>
            <w:tcW w:w="1418" w:type="dxa"/>
            <w:tcBorders>
              <w:top w:val="nil"/>
              <w:left w:val="single" w:sz="8" w:space="0" w:color="auto"/>
              <w:bottom w:val="single" w:sz="4" w:space="0" w:color="auto"/>
              <w:right w:val="single" w:sz="4" w:space="0" w:color="auto"/>
            </w:tcBorders>
            <w:shd w:val="clear" w:color="auto" w:fill="auto"/>
            <w:noWrap/>
          </w:tcPr>
          <w:p w14:paraId="30726ED3" w14:textId="0678E771" w:rsidR="00024D6D" w:rsidRPr="00024D6D" w:rsidRDefault="00024D6D" w:rsidP="00DC3A63">
            <w:pPr>
              <w:overflowPunct w:val="0"/>
              <w:autoSpaceDE w:val="0"/>
              <w:autoSpaceDN w:val="0"/>
              <w:adjustRightInd w:val="0"/>
              <w:ind w:left="512" w:hanging="512"/>
              <w:jc w:val="right"/>
              <w:textAlignment w:val="baseline"/>
              <w:rPr>
                <w:sz w:val="20"/>
              </w:rPr>
            </w:pPr>
            <w:r w:rsidRPr="00024D6D">
              <w:rPr>
                <w:sz w:val="20"/>
              </w:rPr>
              <w:t>2 531,</w:t>
            </w:r>
            <w:r w:rsidR="00DC3A63">
              <w:rPr>
                <w:sz w:val="20"/>
              </w:rPr>
              <w:t>8</w:t>
            </w:r>
          </w:p>
        </w:tc>
        <w:tc>
          <w:tcPr>
            <w:tcW w:w="1417" w:type="dxa"/>
            <w:tcBorders>
              <w:top w:val="nil"/>
              <w:left w:val="nil"/>
              <w:bottom w:val="single" w:sz="4" w:space="0" w:color="auto"/>
              <w:right w:val="single" w:sz="8" w:space="0" w:color="auto"/>
            </w:tcBorders>
            <w:shd w:val="clear" w:color="auto" w:fill="auto"/>
            <w:noWrap/>
          </w:tcPr>
          <w:p w14:paraId="31126547" w14:textId="1A564D53" w:rsidR="00024D6D" w:rsidRPr="00024D6D" w:rsidRDefault="00024D6D" w:rsidP="00024D6D">
            <w:pPr>
              <w:overflowPunct w:val="0"/>
              <w:autoSpaceDE w:val="0"/>
              <w:autoSpaceDN w:val="0"/>
              <w:adjustRightInd w:val="0"/>
              <w:ind w:left="512" w:hanging="512"/>
              <w:jc w:val="right"/>
              <w:textAlignment w:val="baseline"/>
              <w:rPr>
                <w:sz w:val="20"/>
              </w:rPr>
            </w:pPr>
            <w:r w:rsidRPr="00024D6D">
              <w:rPr>
                <w:sz w:val="20"/>
              </w:rPr>
              <w:t>2 342,2</w:t>
            </w:r>
          </w:p>
        </w:tc>
        <w:tc>
          <w:tcPr>
            <w:tcW w:w="1276" w:type="dxa"/>
            <w:tcBorders>
              <w:top w:val="nil"/>
              <w:left w:val="nil"/>
              <w:bottom w:val="single" w:sz="8" w:space="0" w:color="auto"/>
              <w:right w:val="single" w:sz="4" w:space="0" w:color="auto"/>
            </w:tcBorders>
            <w:shd w:val="clear" w:color="auto" w:fill="auto"/>
            <w:noWrap/>
          </w:tcPr>
          <w:p w14:paraId="29C4195B" w14:textId="10ACF2D9" w:rsidR="00024D6D" w:rsidRPr="00024D6D" w:rsidRDefault="00024D6D" w:rsidP="00CC0117">
            <w:pPr>
              <w:overflowPunct w:val="0"/>
              <w:autoSpaceDE w:val="0"/>
              <w:autoSpaceDN w:val="0"/>
              <w:adjustRightInd w:val="0"/>
              <w:ind w:left="512" w:hanging="512"/>
              <w:jc w:val="right"/>
              <w:textAlignment w:val="baseline"/>
              <w:rPr>
                <w:sz w:val="20"/>
              </w:rPr>
            </w:pPr>
            <w:r w:rsidRPr="00024D6D">
              <w:rPr>
                <w:sz w:val="20"/>
              </w:rPr>
              <w:t>-189,</w:t>
            </w:r>
            <w:r w:rsidR="00CC0117">
              <w:rPr>
                <w:sz w:val="20"/>
              </w:rPr>
              <w:t>6</w:t>
            </w:r>
          </w:p>
        </w:tc>
        <w:tc>
          <w:tcPr>
            <w:tcW w:w="849" w:type="dxa"/>
            <w:tcBorders>
              <w:top w:val="nil"/>
              <w:left w:val="nil"/>
              <w:bottom w:val="single" w:sz="4" w:space="0" w:color="auto"/>
              <w:right w:val="single" w:sz="8" w:space="0" w:color="auto"/>
            </w:tcBorders>
            <w:shd w:val="clear" w:color="auto" w:fill="auto"/>
            <w:noWrap/>
          </w:tcPr>
          <w:p w14:paraId="630D7340" w14:textId="0689F8DD" w:rsidR="00024D6D" w:rsidRPr="00024D6D" w:rsidRDefault="00024D6D" w:rsidP="00024D6D">
            <w:pPr>
              <w:overflowPunct w:val="0"/>
              <w:autoSpaceDE w:val="0"/>
              <w:autoSpaceDN w:val="0"/>
              <w:adjustRightInd w:val="0"/>
              <w:ind w:left="512" w:hanging="512"/>
              <w:jc w:val="right"/>
              <w:textAlignment w:val="baseline"/>
              <w:rPr>
                <w:sz w:val="20"/>
              </w:rPr>
            </w:pPr>
            <w:r w:rsidRPr="00024D6D">
              <w:rPr>
                <w:sz w:val="20"/>
              </w:rPr>
              <w:t>92,5</w:t>
            </w:r>
          </w:p>
        </w:tc>
      </w:tr>
      <w:tr w:rsidR="00024D6D" w:rsidRPr="00C86784" w14:paraId="0707D9BA" w14:textId="77777777" w:rsidTr="0FCC8A84">
        <w:trPr>
          <w:trHeight w:val="330"/>
        </w:trPr>
        <w:tc>
          <w:tcPr>
            <w:tcW w:w="2976" w:type="dxa"/>
            <w:tcBorders>
              <w:top w:val="nil"/>
              <w:left w:val="single" w:sz="8" w:space="0" w:color="auto"/>
              <w:bottom w:val="single" w:sz="8" w:space="0" w:color="auto"/>
              <w:right w:val="single" w:sz="8" w:space="0" w:color="auto"/>
            </w:tcBorders>
            <w:shd w:val="clear" w:color="auto" w:fill="auto"/>
            <w:vAlign w:val="bottom"/>
            <w:hideMark/>
          </w:tcPr>
          <w:p w14:paraId="4A4DBB2E" w14:textId="3B07C597" w:rsidR="00024D6D" w:rsidRPr="00723EB0" w:rsidRDefault="00024D6D" w:rsidP="00024D6D">
            <w:pPr>
              <w:overflowPunct w:val="0"/>
              <w:autoSpaceDE w:val="0"/>
              <w:autoSpaceDN w:val="0"/>
              <w:adjustRightInd w:val="0"/>
              <w:ind w:left="512" w:hanging="512"/>
              <w:jc w:val="center"/>
              <w:textAlignment w:val="baseline"/>
              <w:rPr>
                <w:b/>
                <w:bCs/>
                <w:color w:val="000000" w:themeColor="text1"/>
                <w:sz w:val="20"/>
              </w:rPr>
            </w:pPr>
            <w:r w:rsidRPr="0FCC8A84">
              <w:rPr>
                <w:b/>
                <w:bCs/>
                <w:color w:val="000000" w:themeColor="text1"/>
                <w:sz w:val="20"/>
              </w:rPr>
              <w:t>Összesen</w:t>
            </w:r>
          </w:p>
        </w:tc>
        <w:tc>
          <w:tcPr>
            <w:tcW w:w="1418" w:type="dxa"/>
            <w:tcBorders>
              <w:top w:val="single" w:sz="8" w:space="0" w:color="auto"/>
              <w:left w:val="single" w:sz="8" w:space="0" w:color="auto"/>
              <w:bottom w:val="single" w:sz="8" w:space="0" w:color="auto"/>
              <w:right w:val="single" w:sz="4" w:space="0" w:color="auto"/>
            </w:tcBorders>
            <w:shd w:val="clear" w:color="auto" w:fill="auto"/>
            <w:noWrap/>
          </w:tcPr>
          <w:p w14:paraId="2312A22A" w14:textId="5B2A873F" w:rsidR="00024D6D" w:rsidRPr="00024D6D" w:rsidRDefault="00024D6D" w:rsidP="00CD7F98">
            <w:pPr>
              <w:overflowPunct w:val="0"/>
              <w:autoSpaceDE w:val="0"/>
              <w:autoSpaceDN w:val="0"/>
              <w:adjustRightInd w:val="0"/>
              <w:ind w:left="512" w:hanging="512"/>
              <w:jc w:val="right"/>
              <w:textAlignment w:val="baseline"/>
              <w:rPr>
                <w:b/>
                <w:bCs/>
                <w:sz w:val="20"/>
              </w:rPr>
            </w:pPr>
            <w:r w:rsidRPr="00024D6D">
              <w:rPr>
                <w:b/>
                <w:sz w:val="20"/>
              </w:rPr>
              <w:t>181 330,</w:t>
            </w:r>
            <w:r w:rsidR="00CD7F98">
              <w:rPr>
                <w:b/>
                <w:sz w:val="20"/>
              </w:rPr>
              <w:t>8</w:t>
            </w:r>
          </w:p>
        </w:tc>
        <w:tc>
          <w:tcPr>
            <w:tcW w:w="1417" w:type="dxa"/>
            <w:tcBorders>
              <w:top w:val="single" w:sz="8" w:space="0" w:color="auto"/>
              <w:left w:val="nil"/>
              <w:bottom w:val="single" w:sz="8" w:space="0" w:color="auto"/>
              <w:right w:val="single" w:sz="8" w:space="0" w:color="auto"/>
            </w:tcBorders>
            <w:shd w:val="clear" w:color="auto" w:fill="auto"/>
            <w:noWrap/>
          </w:tcPr>
          <w:p w14:paraId="1CE3DF8E" w14:textId="4BDF4AEE" w:rsidR="00024D6D" w:rsidRPr="00024D6D" w:rsidRDefault="00024D6D" w:rsidP="00024D6D">
            <w:pPr>
              <w:overflowPunct w:val="0"/>
              <w:autoSpaceDE w:val="0"/>
              <w:autoSpaceDN w:val="0"/>
              <w:adjustRightInd w:val="0"/>
              <w:ind w:left="512" w:hanging="512"/>
              <w:jc w:val="right"/>
              <w:textAlignment w:val="baseline"/>
              <w:rPr>
                <w:b/>
                <w:bCs/>
                <w:sz w:val="20"/>
              </w:rPr>
            </w:pPr>
            <w:r w:rsidRPr="00024D6D">
              <w:rPr>
                <w:b/>
                <w:sz w:val="20"/>
              </w:rPr>
              <w:t>198 239,4</w:t>
            </w:r>
          </w:p>
        </w:tc>
        <w:tc>
          <w:tcPr>
            <w:tcW w:w="1276" w:type="dxa"/>
            <w:tcBorders>
              <w:top w:val="nil"/>
              <w:left w:val="nil"/>
              <w:bottom w:val="single" w:sz="8" w:space="0" w:color="auto"/>
              <w:right w:val="single" w:sz="4" w:space="0" w:color="auto"/>
            </w:tcBorders>
            <w:shd w:val="clear" w:color="auto" w:fill="auto"/>
            <w:noWrap/>
          </w:tcPr>
          <w:p w14:paraId="6D040A33" w14:textId="504A5D4F" w:rsidR="00024D6D" w:rsidRPr="00024D6D" w:rsidRDefault="00024D6D" w:rsidP="00024D6D">
            <w:pPr>
              <w:overflowPunct w:val="0"/>
              <w:autoSpaceDE w:val="0"/>
              <w:autoSpaceDN w:val="0"/>
              <w:adjustRightInd w:val="0"/>
              <w:ind w:left="512" w:hanging="512"/>
              <w:jc w:val="right"/>
              <w:textAlignment w:val="baseline"/>
              <w:rPr>
                <w:b/>
                <w:bCs/>
                <w:sz w:val="20"/>
              </w:rPr>
            </w:pPr>
            <w:r w:rsidRPr="00024D6D">
              <w:rPr>
                <w:b/>
                <w:sz w:val="20"/>
              </w:rPr>
              <w:t>16 908,6</w:t>
            </w:r>
          </w:p>
        </w:tc>
        <w:tc>
          <w:tcPr>
            <w:tcW w:w="849" w:type="dxa"/>
            <w:tcBorders>
              <w:top w:val="single" w:sz="8" w:space="0" w:color="auto"/>
              <w:left w:val="nil"/>
              <w:bottom w:val="single" w:sz="8" w:space="0" w:color="auto"/>
              <w:right w:val="single" w:sz="8" w:space="0" w:color="auto"/>
            </w:tcBorders>
            <w:shd w:val="clear" w:color="auto" w:fill="auto"/>
            <w:noWrap/>
          </w:tcPr>
          <w:p w14:paraId="4F082888" w14:textId="4FEA792A" w:rsidR="00024D6D" w:rsidRPr="00024D6D" w:rsidRDefault="00024D6D" w:rsidP="00024D6D">
            <w:pPr>
              <w:overflowPunct w:val="0"/>
              <w:autoSpaceDE w:val="0"/>
              <w:autoSpaceDN w:val="0"/>
              <w:adjustRightInd w:val="0"/>
              <w:ind w:left="512" w:hanging="512"/>
              <w:jc w:val="right"/>
              <w:textAlignment w:val="baseline"/>
              <w:rPr>
                <w:b/>
                <w:bCs/>
                <w:sz w:val="20"/>
              </w:rPr>
            </w:pPr>
            <w:r w:rsidRPr="00024D6D">
              <w:rPr>
                <w:b/>
                <w:sz w:val="20"/>
              </w:rPr>
              <w:t>109,3</w:t>
            </w:r>
          </w:p>
        </w:tc>
      </w:tr>
    </w:tbl>
    <w:p w14:paraId="49000C85" w14:textId="4BB9E16C" w:rsidR="005B1DC1" w:rsidRPr="0009352F" w:rsidRDefault="0FCC8A84" w:rsidP="004702E7">
      <w:pPr>
        <w:spacing w:before="240"/>
      </w:pPr>
      <w:r>
        <w:t xml:space="preserve">A </w:t>
      </w:r>
      <w:r w:rsidRPr="0FCC8A84">
        <w:rPr>
          <w:b/>
          <w:bCs/>
        </w:rPr>
        <w:t xml:space="preserve">kiskereskedelmi adó </w:t>
      </w:r>
      <w:r>
        <w:t xml:space="preserve">jogcímen 2021 első </w:t>
      </w:r>
      <w:r w:rsidR="00EF38EE" w:rsidRPr="00EF38EE">
        <w:t>öt hónapjában 5,1</w:t>
      </w:r>
      <w:r w:rsidR="005971B3">
        <w:t> </w:t>
      </w:r>
      <w:r w:rsidR="00EF38EE" w:rsidRPr="00EF38EE">
        <w:t>milliárd forint bevétel teljesült, előző év azonos időszakánál 3,</w:t>
      </w:r>
      <w:proofErr w:type="spellStart"/>
      <w:r w:rsidR="00CC3FFE">
        <w:t>3</w:t>
      </w:r>
      <w:proofErr w:type="spellEnd"/>
      <w:r w:rsidR="005971B3">
        <w:t> </w:t>
      </w:r>
      <w:r w:rsidR="00EF38EE" w:rsidRPr="00EF38EE">
        <w:t>milliárd forinttal magasabb, melynek oka az eltérő előlegfizetési szabályok alkalmazása</w:t>
      </w:r>
      <w:r>
        <w:t>.</w:t>
      </w:r>
    </w:p>
    <w:p w14:paraId="3AEEFE1C" w14:textId="69B09D3D" w:rsidR="005B1DC1" w:rsidRPr="0009352F" w:rsidRDefault="0FCC8A84" w:rsidP="004702E7">
      <w:pPr>
        <w:spacing w:before="240"/>
      </w:pPr>
      <w:r>
        <w:t xml:space="preserve">A </w:t>
      </w:r>
      <w:r w:rsidRPr="0FCC8A84">
        <w:rPr>
          <w:b/>
          <w:bCs/>
        </w:rPr>
        <w:t>rehabilitációs hozzájárulásból</w:t>
      </w:r>
      <w:r>
        <w:t xml:space="preserve"> származó bevétel az év első </w:t>
      </w:r>
      <w:r w:rsidR="00EF38EE" w:rsidRPr="00EF38EE">
        <w:t>öt hónapjában 55,3</w:t>
      </w:r>
      <w:r w:rsidR="00036DC4">
        <w:t> </w:t>
      </w:r>
      <w:r w:rsidR="00EF38EE" w:rsidRPr="00EF38EE">
        <w:t>milliárd forint volt, amely 3,2</w:t>
      </w:r>
      <w:r w:rsidR="00036DC4">
        <w:t> </w:t>
      </w:r>
      <w:r w:rsidR="00EF38EE" w:rsidRPr="00EF38EE">
        <w:t xml:space="preserve">milliárd forinttal magasabb az egy évvel korábbi összegnél. </w:t>
      </w:r>
    </w:p>
    <w:p w14:paraId="3DC1E74F" w14:textId="250D6564" w:rsidR="004702E7" w:rsidRDefault="00EF38EE" w:rsidP="0009352F">
      <w:pPr>
        <w:tabs>
          <w:tab w:val="left" w:pos="3105"/>
        </w:tabs>
        <w:spacing w:before="240"/>
      </w:pPr>
      <w:r>
        <w:t>Május</w:t>
      </w:r>
      <w:r w:rsidR="0FCC8A84">
        <w:t xml:space="preserve"> végéig az </w:t>
      </w:r>
      <w:r w:rsidR="0FCC8A84" w:rsidRPr="0FCC8A84">
        <w:rPr>
          <w:b/>
          <w:bCs/>
        </w:rPr>
        <w:t xml:space="preserve">általános forgalmi adóból </w:t>
      </w:r>
      <w:r w:rsidRPr="00EF38EE">
        <w:t>2000,3</w:t>
      </w:r>
      <w:r w:rsidR="00192C0D">
        <w:t> </w:t>
      </w:r>
      <w:r w:rsidRPr="00EF38EE">
        <w:t>milliárd forint bevétele keletkezett a költségvetésnek, ami az egy évvel korábbi bevételt 362,4</w:t>
      </w:r>
      <w:r w:rsidR="00192C0D">
        <w:t> </w:t>
      </w:r>
      <w:r w:rsidRPr="00EF38EE">
        <w:t>milliárd forinttal</w:t>
      </w:r>
      <w:r w:rsidR="00192C0D">
        <w:t xml:space="preserve"> haladta meg</w:t>
      </w:r>
      <w:r w:rsidR="0FCC8A84">
        <w:t>.</w:t>
      </w:r>
    </w:p>
    <w:tbl>
      <w:tblPr>
        <w:tblW w:w="6373" w:type="dxa"/>
        <w:jc w:val="center"/>
        <w:tblCellMar>
          <w:left w:w="70" w:type="dxa"/>
          <w:right w:w="70" w:type="dxa"/>
        </w:tblCellMar>
        <w:tblLook w:val="04A0" w:firstRow="1" w:lastRow="0" w:firstColumn="1" w:lastColumn="0" w:noHBand="0" w:noVBand="1"/>
      </w:tblPr>
      <w:tblGrid>
        <w:gridCol w:w="1448"/>
        <w:gridCol w:w="1383"/>
        <w:gridCol w:w="1287"/>
        <w:gridCol w:w="905"/>
        <w:gridCol w:w="1350"/>
      </w:tblGrid>
      <w:tr w:rsidR="004702E7" w:rsidRPr="00DB1A96" w14:paraId="2CDE1D04" w14:textId="77777777" w:rsidTr="0FCC8A84">
        <w:trPr>
          <w:trHeight w:val="255"/>
          <w:jc w:val="center"/>
        </w:trPr>
        <w:tc>
          <w:tcPr>
            <w:tcW w:w="6373" w:type="dxa"/>
            <w:gridSpan w:val="5"/>
            <w:tcBorders>
              <w:top w:val="nil"/>
              <w:left w:val="nil"/>
              <w:bottom w:val="nil"/>
              <w:right w:val="nil"/>
            </w:tcBorders>
            <w:shd w:val="clear" w:color="auto" w:fill="auto"/>
            <w:noWrap/>
            <w:vAlign w:val="bottom"/>
            <w:hideMark/>
          </w:tcPr>
          <w:p w14:paraId="193F4F9E" w14:textId="77777777" w:rsidR="004702E7" w:rsidRPr="00DB1A96" w:rsidRDefault="0FCC8A84" w:rsidP="0FCC8A84">
            <w:pPr>
              <w:jc w:val="center"/>
              <w:rPr>
                <w:b/>
                <w:bCs/>
                <w:color w:val="000000" w:themeColor="text1"/>
                <w:sz w:val="20"/>
              </w:rPr>
            </w:pPr>
            <w:r w:rsidRPr="0FCC8A84">
              <w:rPr>
                <w:b/>
                <w:bCs/>
                <w:color w:val="000000" w:themeColor="text1"/>
                <w:sz w:val="20"/>
              </w:rPr>
              <w:t>Általános forgalmi adó bevétel alakulása (milliárd forint)</w:t>
            </w:r>
          </w:p>
        </w:tc>
      </w:tr>
      <w:tr w:rsidR="004702E7" w:rsidRPr="00DB1A96" w14:paraId="6088BDF7" w14:textId="77777777" w:rsidTr="0FCC8A84">
        <w:trPr>
          <w:trHeight w:val="465"/>
          <w:jc w:val="center"/>
        </w:trPr>
        <w:tc>
          <w:tcPr>
            <w:tcW w:w="1448" w:type="dxa"/>
            <w:vMerge w:val="restart"/>
            <w:tcBorders>
              <w:top w:val="single" w:sz="8" w:space="0" w:color="auto"/>
              <w:left w:val="single" w:sz="8" w:space="0" w:color="auto"/>
              <w:bottom w:val="single" w:sz="8" w:space="0" w:color="000000" w:themeColor="text1"/>
              <w:right w:val="single" w:sz="8" w:space="0" w:color="auto"/>
            </w:tcBorders>
            <w:shd w:val="clear" w:color="auto" w:fill="auto"/>
            <w:noWrap/>
            <w:vAlign w:val="center"/>
            <w:hideMark/>
          </w:tcPr>
          <w:p w14:paraId="600BFA44" w14:textId="77777777" w:rsidR="004702E7" w:rsidRPr="00DB1A96" w:rsidRDefault="0FCC8A84" w:rsidP="0FCC8A84">
            <w:pPr>
              <w:spacing w:after="0"/>
              <w:jc w:val="center"/>
              <w:rPr>
                <w:b/>
                <w:bCs/>
                <w:color w:val="000000" w:themeColor="text1"/>
                <w:sz w:val="20"/>
              </w:rPr>
            </w:pPr>
            <w:r w:rsidRPr="0FCC8A84">
              <w:rPr>
                <w:b/>
                <w:bCs/>
                <w:color w:val="000000" w:themeColor="text1"/>
                <w:sz w:val="20"/>
              </w:rPr>
              <w:t>Megnevezés</w:t>
            </w:r>
          </w:p>
        </w:tc>
        <w:tc>
          <w:tcPr>
            <w:tcW w:w="1383"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468CFE69" w14:textId="2BBEE210" w:rsidR="004702E7" w:rsidRPr="00DB1A96" w:rsidRDefault="0FCC8A84" w:rsidP="0FCC8A84">
            <w:pPr>
              <w:spacing w:after="0"/>
              <w:jc w:val="center"/>
              <w:rPr>
                <w:b/>
                <w:bCs/>
                <w:sz w:val="20"/>
              </w:rPr>
            </w:pPr>
            <w:r w:rsidRPr="0FCC8A84">
              <w:rPr>
                <w:b/>
                <w:bCs/>
                <w:sz w:val="20"/>
              </w:rPr>
              <w:t>2020.</w:t>
            </w:r>
            <w:r w:rsidR="6B0A3B39">
              <w:br/>
            </w:r>
            <w:r w:rsidR="00EF38EE">
              <w:rPr>
                <w:b/>
                <w:bCs/>
                <w:sz w:val="20"/>
              </w:rPr>
              <w:t>I-</w:t>
            </w:r>
            <w:r w:rsidRPr="0FCC8A84">
              <w:rPr>
                <w:b/>
                <w:bCs/>
                <w:sz w:val="20"/>
              </w:rPr>
              <w:t>V. hó</w:t>
            </w:r>
          </w:p>
        </w:tc>
        <w:tc>
          <w:tcPr>
            <w:tcW w:w="1287"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2A08D7B7" w14:textId="374E6A21" w:rsidR="004702E7" w:rsidRPr="00DB1A96" w:rsidRDefault="0FCC8A84" w:rsidP="0FCC8A84">
            <w:pPr>
              <w:spacing w:after="0"/>
              <w:jc w:val="center"/>
              <w:rPr>
                <w:b/>
                <w:bCs/>
                <w:sz w:val="20"/>
              </w:rPr>
            </w:pPr>
            <w:r w:rsidRPr="0FCC8A84">
              <w:rPr>
                <w:b/>
                <w:bCs/>
                <w:sz w:val="20"/>
              </w:rPr>
              <w:t>2021.</w:t>
            </w:r>
            <w:r w:rsidR="6B0A3B39">
              <w:br/>
            </w:r>
            <w:r w:rsidR="00EF38EE">
              <w:rPr>
                <w:b/>
                <w:bCs/>
                <w:sz w:val="20"/>
              </w:rPr>
              <w:t>I-</w:t>
            </w:r>
            <w:r w:rsidRPr="0FCC8A84">
              <w:rPr>
                <w:b/>
                <w:bCs/>
                <w:sz w:val="20"/>
              </w:rPr>
              <w:t>V. hó</w:t>
            </w:r>
          </w:p>
        </w:tc>
        <w:tc>
          <w:tcPr>
            <w:tcW w:w="2255" w:type="dxa"/>
            <w:gridSpan w:val="2"/>
            <w:tcBorders>
              <w:top w:val="single" w:sz="8" w:space="0" w:color="auto"/>
              <w:left w:val="nil"/>
              <w:bottom w:val="single" w:sz="4" w:space="0" w:color="auto"/>
              <w:right w:val="single" w:sz="8" w:space="0" w:color="000000" w:themeColor="text1"/>
            </w:tcBorders>
            <w:shd w:val="clear" w:color="auto" w:fill="auto"/>
            <w:noWrap/>
            <w:vAlign w:val="center"/>
            <w:hideMark/>
          </w:tcPr>
          <w:p w14:paraId="30484B97" w14:textId="77777777" w:rsidR="004702E7" w:rsidRPr="00DB1A96" w:rsidRDefault="0FCC8A84" w:rsidP="0FCC8A84">
            <w:pPr>
              <w:spacing w:after="0"/>
              <w:jc w:val="center"/>
              <w:rPr>
                <w:b/>
                <w:bCs/>
                <w:color w:val="000000" w:themeColor="text1"/>
                <w:sz w:val="20"/>
              </w:rPr>
            </w:pPr>
            <w:r w:rsidRPr="0FCC8A84">
              <w:rPr>
                <w:b/>
                <w:bCs/>
                <w:color w:val="000000" w:themeColor="text1"/>
                <w:sz w:val="20"/>
              </w:rPr>
              <w:t>Eltérés</w:t>
            </w:r>
          </w:p>
        </w:tc>
      </w:tr>
      <w:tr w:rsidR="004702E7" w:rsidRPr="00DB1A96" w14:paraId="6FBF33D6" w14:textId="77777777" w:rsidTr="0FCC8A84">
        <w:trPr>
          <w:trHeight w:val="465"/>
          <w:jc w:val="center"/>
        </w:trPr>
        <w:tc>
          <w:tcPr>
            <w:tcW w:w="1448" w:type="dxa"/>
            <w:vMerge/>
            <w:tcBorders>
              <w:top w:val="single" w:sz="8" w:space="0" w:color="auto"/>
              <w:left w:val="single" w:sz="8" w:space="0" w:color="auto"/>
              <w:bottom w:val="single" w:sz="8" w:space="0" w:color="000000"/>
              <w:right w:val="single" w:sz="8" w:space="0" w:color="auto"/>
            </w:tcBorders>
            <w:vAlign w:val="center"/>
            <w:hideMark/>
          </w:tcPr>
          <w:p w14:paraId="78EC8BF6" w14:textId="77777777" w:rsidR="004702E7" w:rsidRPr="00DB1A96" w:rsidRDefault="004702E7" w:rsidP="00B91971">
            <w:pPr>
              <w:spacing w:after="0"/>
              <w:jc w:val="left"/>
              <w:rPr>
                <w:b/>
                <w:bCs/>
                <w:color w:val="000000"/>
                <w:sz w:val="20"/>
              </w:rPr>
            </w:pPr>
          </w:p>
        </w:tc>
        <w:tc>
          <w:tcPr>
            <w:tcW w:w="1383" w:type="dxa"/>
            <w:vMerge/>
            <w:tcBorders>
              <w:top w:val="single" w:sz="8" w:space="0" w:color="auto"/>
              <w:left w:val="single" w:sz="8" w:space="0" w:color="auto"/>
              <w:bottom w:val="single" w:sz="8" w:space="0" w:color="000000"/>
              <w:right w:val="single" w:sz="8" w:space="0" w:color="auto"/>
            </w:tcBorders>
            <w:vAlign w:val="center"/>
            <w:hideMark/>
          </w:tcPr>
          <w:p w14:paraId="25C25767" w14:textId="77777777" w:rsidR="004702E7" w:rsidRPr="00DB1A96" w:rsidRDefault="004702E7" w:rsidP="00B91971">
            <w:pPr>
              <w:spacing w:after="0"/>
              <w:jc w:val="left"/>
              <w:rPr>
                <w:b/>
                <w:bCs/>
                <w:sz w:val="20"/>
              </w:rPr>
            </w:pPr>
          </w:p>
        </w:tc>
        <w:tc>
          <w:tcPr>
            <w:tcW w:w="1287" w:type="dxa"/>
            <w:vMerge/>
            <w:tcBorders>
              <w:top w:val="single" w:sz="8" w:space="0" w:color="auto"/>
              <w:left w:val="single" w:sz="8" w:space="0" w:color="auto"/>
              <w:bottom w:val="single" w:sz="8" w:space="0" w:color="000000"/>
              <w:right w:val="single" w:sz="8" w:space="0" w:color="auto"/>
            </w:tcBorders>
            <w:vAlign w:val="center"/>
            <w:hideMark/>
          </w:tcPr>
          <w:p w14:paraId="2B9FC7C9" w14:textId="77777777" w:rsidR="004702E7" w:rsidRPr="00DB1A96" w:rsidRDefault="004702E7" w:rsidP="00B91971">
            <w:pPr>
              <w:spacing w:after="0"/>
              <w:jc w:val="left"/>
              <w:rPr>
                <w:b/>
                <w:bCs/>
                <w:sz w:val="20"/>
              </w:rPr>
            </w:pPr>
          </w:p>
        </w:tc>
        <w:tc>
          <w:tcPr>
            <w:tcW w:w="905" w:type="dxa"/>
            <w:tcBorders>
              <w:top w:val="nil"/>
              <w:left w:val="nil"/>
              <w:bottom w:val="single" w:sz="8" w:space="0" w:color="auto"/>
              <w:right w:val="single" w:sz="4" w:space="0" w:color="auto"/>
            </w:tcBorders>
            <w:shd w:val="clear" w:color="auto" w:fill="auto"/>
            <w:noWrap/>
            <w:vAlign w:val="center"/>
            <w:hideMark/>
          </w:tcPr>
          <w:p w14:paraId="2BC03ACB" w14:textId="77777777" w:rsidR="004702E7" w:rsidRPr="00DB1A96" w:rsidRDefault="0FCC8A84" w:rsidP="0FCC8A84">
            <w:pPr>
              <w:spacing w:after="0"/>
              <w:jc w:val="center"/>
              <w:rPr>
                <w:b/>
                <w:bCs/>
                <w:color w:val="000000" w:themeColor="text1"/>
                <w:sz w:val="20"/>
              </w:rPr>
            </w:pPr>
            <w:r w:rsidRPr="0FCC8A84">
              <w:rPr>
                <w:b/>
                <w:bCs/>
                <w:color w:val="000000" w:themeColor="text1"/>
                <w:sz w:val="20"/>
              </w:rPr>
              <w:t>Mrd Ft</w:t>
            </w:r>
          </w:p>
        </w:tc>
        <w:tc>
          <w:tcPr>
            <w:tcW w:w="1350" w:type="dxa"/>
            <w:tcBorders>
              <w:top w:val="nil"/>
              <w:left w:val="nil"/>
              <w:bottom w:val="single" w:sz="8" w:space="0" w:color="auto"/>
              <w:right w:val="single" w:sz="8" w:space="0" w:color="auto"/>
            </w:tcBorders>
            <w:shd w:val="clear" w:color="auto" w:fill="auto"/>
            <w:noWrap/>
            <w:vAlign w:val="center"/>
            <w:hideMark/>
          </w:tcPr>
          <w:p w14:paraId="089C503F" w14:textId="77777777" w:rsidR="004702E7" w:rsidRPr="00DB1A96" w:rsidRDefault="0FCC8A84" w:rsidP="0FCC8A84">
            <w:pPr>
              <w:spacing w:after="0"/>
              <w:jc w:val="center"/>
              <w:rPr>
                <w:b/>
                <w:bCs/>
                <w:color w:val="000000" w:themeColor="text1"/>
                <w:sz w:val="20"/>
              </w:rPr>
            </w:pPr>
            <w:r w:rsidRPr="0FCC8A84">
              <w:rPr>
                <w:b/>
                <w:bCs/>
                <w:color w:val="000000" w:themeColor="text1"/>
                <w:sz w:val="20"/>
              </w:rPr>
              <w:t>%</w:t>
            </w:r>
          </w:p>
        </w:tc>
      </w:tr>
      <w:tr w:rsidR="00EF38EE" w:rsidRPr="004A0C18" w14:paraId="696B4B9D" w14:textId="77777777" w:rsidTr="0FCC8A84">
        <w:trPr>
          <w:trHeight w:val="270"/>
          <w:jc w:val="center"/>
        </w:trPr>
        <w:tc>
          <w:tcPr>
            <w:tcW w:w="1448" w:type="dxa"/>
            <w:tcBorders>
              <w:top w:val="nil"/>
              <w:left w:val="single" w:sz="8" w:space="0" w:color="auto"/>
              <w:bottom w:val="single" w:sz="4" w:space="0" w:color="auto"/>
              <w:right w:val="single" w:sz="8" w:space="0" w:color="auto"/>
            </w:tcBorders>
            <w:shd w:val="clear" w:color="auto" w:fill="auto"/>
            <w:noWrap/>
            <w:vAlign w:val="center"/>
            <w:hideMark/>
          </w:tcPr>
          <w:p w14:paraId="1534865D" w14:textId="77777777" w:rsidR="00EF38EE" w:rsidRPr="00DB1A96" w:rsidRDefault="00EF38EE" w:rsidP="00EF38EE">
            <w:pPr>
              <w:spacing w:after="0"/>
              <w:jc w:val="center"/>
              <w:rPr>
                <w:b/>
                <w:bCs/>
                <w:sz w:val="20"/>
              </w:rPr>
            </w:pPr>
            <w:r w:rsidRPr="0FCC8A84">
              <w:rPr>
                <w:b/>
                <w:bCs/>
                <w:sz w:val="20"/>
              </w:rPr>
              <w:t>Befizetés</w:t>
            </w:r>
          </w:p>
        </w:tc>
        <w:tc>
          <w:tcPr>
            <w:tcW w:w="1383" w:type="dxa"/>
            <w:tcBorders>
              <w:top w:val="nil"/>
              <w:left w:val="single" w:sz="8" w:space="0" w:color="auto"/>
              <w:bottom w:val="single" w:sz="4" w:space="0" w:color="auto"/>
              <w:right w:val="single" w:sz="8" w:space="0" w:color="auto"/>
            </w:tcBorders>
            <w:shd w:val="clear" w:color="auto" w:fill="auto"/>
            <w:noWrap/>
          </w:tcPr>
          <w:p w14:paraId="1B136DBC" w14:textId="4E41F630" w:rsidR="00EF38EE" w:rsidRPr="00EF38EE" w:rsidRDefault="00EF38EE" w:rsidP="00EF38EE">
            <w:pPr>
              <w:spacing w:after="0"/>
              <w:jc w:val="right"/>
              <w:rPr>
                <w:sz w:val="20"/>
              </w:rPr>
            </w:pPr>
            <w:r w:rsidRPr="00EF38EE">
              <w:rPr>
                <w:sz w:val="20"/>
              </w:rPr>
              <w:t>3</w:t>
            </w:r>
            <w:r w:rsidR="0088491B">
              <w:rPr>
                <w:sz w:val="20"/>
              </w:rPr>
              <w:t xml:space="preserve"> </w:t>
            </w:r>
            <w:r w:rsidRPr="00EF38EE">
              <w:rPr>
                <w:sz w:val="20"/>
              </w:rPr>
              <w:t>144,4</w:t>
            </w:r>
          </w:p>
        </w:tc>
        <w:tc>
          <w:tcPr>
            <w:tcW w:w="1287" w:type="dxa"/>
            <w:tcBorders>
              <w:top w:val="nil"/>
              <w:left w:val="nil"/>
              <w:bottom w:val="single" w:sz="4" w:space="0" w:color="auto"/>
              <w:right w:val="single" w:sz="8" w:space="0" w:color="auto"/>
            </w:tcBorders>
            <w:shd w:val="clear" w:color="auto" w:fill="auto"/>
            <w:noWrap/>
          </w:tcPr>
          <w:p w14:paraId="536597DE" w14:textId="5DBF561F" w:rsidR="00EF38EE" w:rsidRPr="00EF38EE" w:rsidRDefault="00EF38EE" w:rsidP="00EF38EE">
            <w:pPr>
              <w:spacing w:after="0"/>
              <w:jc w:val="right"/>
              <w:rPr>
                <w:sz w:val="20"/>
              </w:rPr>
            </w:pPr>
            <w:r w:rsidRPr="00EF38EE">
              <w:rPr>
                <w:sz w:val="20"/>
              </w:rPr>
              <w:t>3</w:t>
            </w:r>
            <w:r w:rsidR="0088491B">
              <w:rPr>
                <w:sz w:val="20"/>
              </w:rPr>
              <w:t xml:space="preserve"> </w:t>
            </w:r>
            <w:r w:rsidRPr="00EF38EE">
              <w:rPr>
                <w:sz w:val="20"/>
              </w:rPr>
              <w:t>578,4</w:t>
            </w:r>
          </w:p>
        </w:tc>
        <w:tc>
          <w:tcPr>
            <w:tcW w:w="905" w:type="dxa"/>
            <w:tcBorders>
              <w:top w:val="nil"/>
              <w:left w:val="nil"/>
              <w:bottom w:val="single" w:sz="4" w:space="0" w:color="auto"/>
              <w:right w:val="single" w:sz="4" w:space="0" w:color="auto"/>
            </w:tcBorders>
            <w:shd w:val="clear" w:color="auto" w:fill="auto"/>
            <w:noWrap/>
          </w:tcPr>
          <w:p w14:paraId="7B7FFFEE" w14:textId="5D86A9FB" w:rsidR="00EF38EE" w:rsidRPr="00EF38EE" w:rsidRDefault="00EF38EE" w:rsidP="00EF38EE">
            <w:pPr>
              <w:spacing w:after="0"/>
              <w:jc w:val="right"/>
              <w:rPr>
                <w:sz w:val="20"/>
              </w:rPr>
            </w:pPr>
            <w:r w:rsidRPr="00EF38EE">
              <w:rPr>
                <w:sz w:val="20"/>
              </w:rPr>
              <w:t>434,0</w:t>
            </w:r>
          </w:p>
        </w:tc>
        <w:tc>
          <w:tcPr>
            <w:tcW w:w="1350" w:type="dxa"/>
            <w:tcBorders>
              <w:top w:val="nil"/>
              <w:left w:val="nil"/>
              <w:bottom w:val="single" w:sz="4" w:space="0" w:color="auto"/>
              <w:right w:val="single" w:sz="8" w:space="0" w:color="auto"/>
            </w:tcBorders>
            <w:shd w:val="clear" w:color="auto" w:fill="auto"/>
            <w:noWrap/>
          </w:tcPr>
          <w:p w14:paraId="788A36F5" w14:textId="6D9A80AC" w:rsidR="00EF38EE" w:rsidRPr="00EF38EE" w:rsidRDefault="00EF38EE" w:rsidP="00EF38EE">
            <w:pPr>
              <w:spacing w:after="0"/>
              <w:jc w:val="right"/>
              <w:rPr>
                <w:color w:val="000000" w:themeColor="text1"/>
                <w:sz w:val="20"/>
              </w:rPr>
            </w:pPr>
            <w:r w:rsidRPr="00EF38EE">
              <w:rPr>
                <w:sz w:val="20"/>
              </w:rPr>
              <w:t>113,8</w:t>
            </w:r>
          </w:p>
        </w:tc>
      </w:tr>
      <w:tr w:rsidR="00EF38EE" w:rsidRPr="004A0C18" w14:paraId="6B18998E" w14:textId="77777777" w:rsidTr="0FCC8A84">
        <w:trPr>
          <w:trHeight w:val="270"/>
          <w:jc w:val="center"/>
        </w:trPr>
        <w:tc>
          <w:tcPr>
            <w:tcW w:w="1448" w:type="dxa"/>
            <w:tcBorders>
              <w:top w:val="nil"/>
              <w:left w:val="single" w:sz="8" w:space="0" w:color="auto"/>
              <w:bottom w:val="single" w:sz="4" w:space="0" w:color="auto"/>
              <w:right w:val="single" w:sz="8" w:space="0" w:color="auto"/>
            </w:tcBorders>
            <w:shd w:val="clear" w:color="auto" w:fill="auto"/>
            <w:noWrap/>
            <w:vAlign w:val="center"/>
            <w:hideMark/>
          </w:tcPr>
          <w:p w14:paraId="5440B48E" w14:textId="77777777" w:rsidR="00EF38EE" w:rsidRPr="00DB1A96" w:rsidRDefault="00EF38EE" w:rsidP="00EF38EE">
            <w:pPr>
              <w:spacing w:after="0"/>
              <w:jc w:val="center"/>
              <w:rPr>
                <w:b/>
                <w:bCs/>
                <w:sz w:val="20"/>
              </w:rPr>
            </w:pPr>
            <w:r w:rsidRPr="0FCC8A84">
              <w:rPr>
                <w:b/>
                <w:bCs/>
                <w:sz w:val="20"/>
              </w:rPr>
              <w:t>Kiutalás</w:t>
            </w:r>
          </w:p>
        </w:tc>
        <w:tc>
          <w:tcPr>
            <w:tcW w:w="1383" w:type="dxa"/>
            <w:tcBorders>
              <w:top w:val="nil"/>
              <w:left w:val="single" w:sz="8" w:space="0" w:color="auto"/>
              <w:bottom w:val="single" w:sz="4" w:space="0" w:color="auto"/>
              <w:right w:val="single" w:sz="8" w:space="0" w:color="auto"/>
            </w:tcBorders>
            <w:shd w:val="clear" w:color="auto" w:fill="auto"/>
            <w:noWrap/>
          </w:tcPr>
          <w:p w14:paraId="515B825A" w14:textId="538E7078" w:rsidR="00EF38EE" w:rsidRPr="00EF38EE" w:rsidRDefault="00EF38EE" w:rsidP="00EF38EE">
            <w:pPr>
              <w:spacing w:after="0"/>
              <w:jc w:val="right"/>
              <w:rPr>
                <w:sz w:val="20"/>
              </w:rPr>
            </w:pPr>
            <w:r w:rsidRPr="00EF38EE">
              <w:rPr>
                <w:sz w:val="20"/>
              </w:rPr>
              <w:t>1</w:t>
            </w:r>
            <w:r w:rsidR="0088491B">
              <w:rPr>
                <w:sz w:val="20"/>
              </w:rPr>
              <w:t xml:space="preserve"> </w:t>
            </w:r>
            <w:r w:rsidRPr="00EF38EE">
              <w:rPr>
                <w:sz w:val="20"/>
              </w:rPr>
              <w:t>506,5</w:t>
            </w:r>
          </w:p>
        </w:tc>
        <w:tc>
          <w:tcPr>
            <w:tcW w:w="1287" w:type="dxa"/>
            <w:tcBorders>
              <w:top w:val="nil"/>
              <w:left w:val="nil"/>
              <w:bottom w:val="single" w:sz="4" w:space="0" w:color="auto"/>
              <w:right w:val="single" w:sz="8" w:space="0" w:color="auto"/>
            </w:tcBorders>
            <w:shd w:val="clear" w:color="auto" w:fill="auto"/>
            <w:noWrap/>
          </w:tcPr>
          <w:p w14:paraId="3EA49D92" w14:textId="1057D575" w:rsidR="00EF38EE" w:rsidRPr="00EF38EE" w:rsidRDefault="00EF38EE" w:rsidP="00EF38EE">
            <w:pPr>
              <w:spacing w:after="0"/>
              <w:jc w:val="right"/>
              <w:rPr>
                <w:sz w:val="20"/>
              </w:rPr>
            </w:pPr>
            <w:r w:rsidRPr="00EF38EE">
              <w:rPr>
                <w:sz w:val="20"/>
              </w:rPr>
              <w:t>1</w:t>
            </w:r>
            <w:r w:rsidR="0088491B">
              <w:rPr>
                <w:sz w:val="20"/>
              </w:rPr>
              <w:t xml:space="preserve"> </w:t>
            </w:r>
            <w:r w:rsidRPr="00EF38EE">
              <w:rPr>
                <w:sz w:val="20"/>
              </w:rPr>
              <w:t>578,1</w:t>
            </w:r>
          </w:p>
        </w:tc>
        <w:tc>
          <w:tcPr>
            <w:tcW w:w="905" w:type="dxa"/>
            <w:tcBorders>
              <w:top w:val="nil"/>
              <w:left w:val="nil"/>
              <w:bottom w:val="single" w:sz="4" w:space="0" w:color="auto"/>
              <w:right w:val="single" w:sz="4" w:space="0" w:color="auto"/>
            </w:tcBorders>
            <w:shd w:val="clear" w:color="auto" w:fill="auto"/>
            <w:noWrap/>
          </w:tcPr>
          <w:p w14:paraId="4C3DD2F0" w14:textId="19628639" w:rsidR="00EF38EE" w:rsidRPr="00EF38EE" w:rsidRDefault="00EF38EE" w:rsidP="00EF38EE">
            <w:pPr>
              <w:spacing w:after="0"/>
              <w:jc w:val="right"/>
              <w:rPr>
                <w:sz w:val="20"/>
              </w:rPr>
            </w:pPr>
            <w:r w:rsidRPr="00EF38EE">
              <w:rPr>
                <w:sz w:val="20"/>
              </w:rPr>
              <w:t>71,6</w:t>
            </w:r>
          </w:p>
        </w:tc>
        <w:tc>
          <w:tcPr>
            <w:tcW w:w="1350" w:type="dxa"/>
            <w:tcBorders>
              <w:top w:val="nil"/>
              <w:left w:val="nil"/>
              <w:bottom w:val="single" w:sz="4" w:space="0" w:color="auto"/>
              <w:right w:val="single" w:sz="8" w:space="0" w:color="auto"/>
            </w:tcBorders>
            <w:shd w:val="clear" w:color="auto" w:fill="auto"/>
            <w:noWrap/>
          </w:tcPr>
          <w:p w14:paraId="7AD2266A" w14:textId="42C66504" w:rsidR="00EF38EE" w:rsidRPr="00EF38EE" w:rsidRDefault="00EF38EE" w:rsidP="00EF38EE">
            <w:pPr>
              <w:spacing w:after="0"/>
              <w:jc w:val="right"/>
              <w:rPr>
                <w:color w:val="000000" w:themeColor="text1"/>
                <w:sz w:val="20"/>
              </w:rPr>
            </w:pPr>
            <w:r w:rsidRPr="00EF38EE">
              <w:rPr>
                <w:sz w:val="20"/>
              </w:rPr>
              <w:t>104,8</w:t>
            </w:r>
          </w:p>
        </w:tc>
      </w:tr>
      <w:tr w:rsidR="00EF38EE" w:rsidRPr="004A0C18" w14:paraId="6B4C6B67" w14:textId="77777777" w:rsidTr="0FCC8A84">
        <w:trPr>
          <w:trHeight w:val="270"/>
          <w:jc w:val="center"/>
        </w:trPr>
        <w:tc>
          <w:tcPr>
            <w:tcW w:w="1448" w:type="dxa"/>
            <w:tcBorders>
              <w:top w:val="nil"/>
              <w:left w:val="single" w:sz="8" w:space="0" w:color="auto"/>
              <w:bottom w:val="single" w:sz="8" w:space="0" w:color="auto"/>
              <w:right w:val="single" w:sz="8" w:space="0" w:color="auto"/>
            </w:tcBorders>
            <w:shd w:val="clear" w:color="auto" w:fill="auto"/>
            <w:noWrap/>
            <w:vAlign w:val="center"/>
            <w:hideMark/>
          </w:tcPr>
          <w:p w14:paraId="29C7CFE7" w14:textId="5D8BB943" w:rsidR="00EF38EE" w:rsidRPr="00DB1A96" w:rsidRDefault="00EF38EE" w:rsidP="00EF38EE">
            <w:pPr>
              <w:spacing w:after="0"/>
              <w:jc w:val="center"/>
              <w:rPr>
                <w:b/>
                <w:bCs/>
                <w:sz w:val="20"/>
              </w:rPr>
            </w:pPr>
            <w:r w:rsidRPr="0FCC8A84">
              <w:rPr>
                <w:b/>
                <w:bCs/>
                <w:sz w:val="20"/>
              </w:rPr>
              <w:t>Egyenleg</w:t>
            </w:r>
          </w:p>
        </w:tc>
        <w:tc>
          <w:tcPr>
            <w:tcW w:w="1383" w:type="dxa"/>
            <w:tcBorders>
              <w:top w:val="nil"/>
              <w:left w:val="single" w:sz="8" w:space="0" w:color="auto"/>
              <w:bottom w:val="single" w:sz="8" w:space="0" w:color="auto"/>
              <w:right w:val="single" w:sz="8" w:space="0" w:color="auto"/>
            </w:tcBorders>
            <w:shd w:val="clear" w:color="auto" w:fill="auto"/>
            <w:noWrap/>
          </w:tcPr>
          <w:p w14:paraId="717F995F" w14:textId="1A7D8E0D" w:rsidR="00EF38EE" w:rsidRPr="00EF38EE" w:rsidRDefault="00EF38EE" w:rsidP="00EF38EE">
            <w:pPr>
              <w:spacing w:after="0"/>
              <w:jc w:val="right"/>
              <w:rPr>
                <w:b/>
                <w:bCs/>
                <w:sz w:val="20"/>
              </w:rPr>
            </w:pPr>
            <w:r w:rsidRPr="00EF38EE">
              <w:rPr>
                <w:b/>
                <w:sz w:val="20"/>
              </w:rPr>
              <w:t>1</w:t>
            </w:r>
            <w:r w:rsidR="0088491B">
              <w:rPr>
                <w:b/>
                <w:sz w:val="20"/>
              </w:rPr>
              <w:t xml:space="preserve"> </w:t>
            </w:r>
            <w:r w:rsidRPr="00EF38EE">
              <w:rPr>
                <w:b/>
                <w:sz w:val="20"/>
              </w:rPr>
              <w:t>637,9</w:t>
            </w:r>
          </w:p>
        </w:tc>
        <w:tc>
          <w:tcPr>
            <w:tcW w:w="1287" w:type="dxa"/>
            <w:tcBorders>
              <w:top w:val="nil"/>
              <w:left w:val="nil"/>
              <w:bottom w:val="single" w:sz="8" w:space="0" w:color="auto"/>
              <w:right w:val="single" w:sz="8" w:space="0" w:color="auto"/>
            </w:tcBorders>
            <w:shd w:val="clear" w:color="auto" w:fill="auto"/>
            <w:noWrap/>
          </w:tcPr>
          <w:p w14:paraId="472BC427" w14:textId="14A49617" w:rsidR="00EF38EE" w:rsidRPr="00EF38EE" w:rsidRDefault="00EF38EE" w:rsidP="00EF38EE">
            <w:pPr>
              <w:spacing w:after="0"/>
              <w:jc w:val="right"/>
              <w:rPr>
                <w:b/>
                <w:bCs/>
                <w:sz w:val="20"/>
              </w:rPr>
            </w:pPr>
            <w:r w:rsidRPr="00EF38EE">
              <w:rPr>
                <w:b/>
                <w:sz w:val="20"/>
              </w:rPr>
              <w:t>2</w:t>
            </w:r>
            <w:r w:rsidR="0088491B">
              <w:rPr>
                <w:b/>
                <w:sz w:val="20"/>
              </w:rPr>
              <w:t xml:space="preserve"> </w:t>
            </w:r>
            <w:r w:rsidRPr="00EF38EE">
              <w:rPr>
                <w:b/>
                <w:sz w:val="20"/>
              </w:rPr>
              <w:t>000,3</w:t>
            </w:r>
          </w:p>
        </w:tc>
        <w:tc>
          <w:tcPr>
            <w:tcW w:w="905" w:type="dxa"/>
            <w:tcBorders>
              <w:top w:val="nil"/>
              <w:left w:val="nil"/>
              <w:bottom w:val="single" w:sz="8" w:space="0" w:color="auto"/>
              <w:right w:val="single" w:sz="4" w:space="0" w:color="auto"/>
            </w:tcBorders>
            <w:shd w:val="clear" w:color="auto" w:fill="auto"/>
            <w:noWrap/>
          </w:tcPr>
          <w:p w14:paraId="7510E2B5" w14:textId="46AFC551" w:rsidR="00EF38EE" w:rsidRPr="00EF38EE" w:rsidRDefault="00EF38EE" w:rsidP="00EF38EE">
            <w:pPr>
              <w:spacing w:after="0"/>
              <w:jc w:val="right"/>
              <w:rPr>
                <w:b/>
                <w:bCs/>
                <w:sz w:val="20"/>
              </w:rPr>
            </w:pPr>
            <w:r w:rsidRPr="00EF38EE">
              <w:rPr>
                <w:b/>
                <w:sz w:val="20"/>
              </w:rPr>
              <w:t>362,4</w:t>
            </w:r>
          </w:p>
        </w:tc>
        <w:tc>
          <w:tcPr>
            <w:tcW w:w="1350" w:type="dxa"/>
            <w:tcBorders>
              <w:top w:val="nil"/>
              <w:left w:val="nil"/>
              <w:bottom w:val="single" w:sz="8" w:space="0" w:color="auto"/>
              <w:right w:val="single" w:sz="8" w:space="0" w:color="auto"/>
            </w:tcBorders>
            <w:shd w:val="clear" w:color="auto" w:fill="auto"/>
            <w:noWrap/>
          </w:tcPr>
          <w:p w14:paraId="23D63217" w14:textId="66D867A2" w:rsidR="00EF38EE" w:rsidRPr="00EF38EE" w:rsidRDefault="00EF38EE" w:rsidP="00EF38EE">
            <w:pPr>
              <w:spacing w:after="0"/>
              <w:jc w:val="right"/>
              <w:rPr>
                <w:b/>
                <w:bCs/>
                <w:color w:val="000000" w:themeColor="text1"/>
                <w:sz w:val="20"/>
              </w:rPr>
            </w:pPr>
            <w:r w:rsidRPr="00EF38EE">
              <w:rPr>
                <w:b/>
                <w:sz w:val="20"/>
              </w:rPr>
              <w:t>122,1</w:t>
            </w:r>
          </w:p>
        </w:tc>
      </w:tr>
    </w:tbl>
    <w:p w14:paraId="64433ABA" w14:textId="47C74061" w:rsidR="00635829" w:rsidRDefault="005E672D" w:rsidP="004702E7">
      <w:pPr>
        <w:spacing w:before="240"/>
      </w:pPr>
      <w:r w:rsidRPr="005E672D">
        <w:lastRenderedPageBreak/>
        <w:t xml:space="preserve">A belföldi, az </w:t>
      </w:r>
      <w:proofErr w:type="gramStart"/>
      <w:r w:rsidRPr="005E672D">
        <w:t>import</w:t>
      </w:r>
      <w:proofErr w:type="gramEnd"/>
      <w:r w:rsidRPr="005E672D">
        <w:t xml:space="preserve"> és dohánytermékek utáni </w:t>
      </w:r>
      <w:proofErr w:type="spellStart"/>
      <w:r w:rsidRPr="005E672D">
        <w:t>áfabevétel</w:t>
      </w:r>
      <w:proofErr w:type="spellEnd"/>
      <w:r w:rsidRPr="005E672D">
        <w:t xml:space="preserve"> egyaránt növekedett. A belföldi befizetések növekedése elsősorban a feldolgozóiparhoz köthető. A dohánytermékek utáni bevételek előző évhez viszonyított növekedését elsősorban az EU-s minimumszint elérése miatt </w:t>
      </w:r>
      <w:r w:rsidR="00353147">
        <w:t xml:space="preserve">a </w:t>
      </w:r>
      <w:r w:rsidRPr="005E672D">
        <w:t xml:space="preserve">2019. januári és júliusi, valamint </w:t>
      </w:r>
      <w:r w:rsidR="00353147">
        <w:t xml:space="preserve">a </w:t>
      </w:r>
      <w:r w:rsidRPr="005E672D">
        <w:t>2020. januári és júliusi jövedéki adómérték-emelés, valamint a 2021. januári és áprilisi adóemelések miatti készletezésnek köszönhető forgalomnövekedés</w:t>
      </w:r>
      <w:r w:rsidR="00DA1E9A" w:rsidRPr="00DA1E9A">
        <w:t xml:space="preserve"> </w:t>
      </w:r>
      <w:r w:rsidR="00DA1E9A" w:rsidRPr="005E672D">
        <w:t>határozza meg</w:t>
      </w:r>
      <w:r w:rsidRPr="005E672D">
        <w:t xml:space="preserve">. Az </w:t>
      </w:r>
      <w:proofErr w:type="gramStart"/>
      <w:r w:rsidRPr="005E672D">
        <w:t>import</w:t>
      </w:r>
      <w:proofErr w:type="gramEnd"/>
      <w:r w:rsidRPr="005E672D">
        <w:t xml:space="preserve"> utáni befizetések növekedéséhez hozzájárult a koronavírus</w:t>
      </w:r>
      <w:r w:rsidR="004A304E">
        <w:t>-járványhoz</w:t>
      </w:r>
      <w:r w:rsidRPr="005E672D">
        <w:t xml:space="preserve"> kapcsolódó segédeszközök állami beszerzése után keletkező adókötelezettség. A kiutalások növekedéséhez hozzájárul</w:t>
      </w:r>
      <w:r w:rsidR="00344741">
        <w:t>t</w:t>
      </w:r>
      <w:r w:rsidRPr="005E672D">
        <w:t xml:space="preserve"> és a hónapok közötti eloszlást átrendezte, hogy az adóhatóság a kkv-k számára elsőként a 2020. áprilisi bevallási időszakra vonatkozóan rövidebb kiutalási határidőt alkalmaz a visszaigényelhető áfa tekintetében (normál adózók esetében 75 napról 30 napra és a megbízható adózók esetében 30 napról 20 napra csökkent a kiutalási határidő)</w:t>
      </w:r>
      <w:r w:rsidR="0FCC8A84">
        <w:t xml:space="preserve">. </w:t>
      </w:r>
    </w:p>
    <w:p w14:paraId="0480DA46" w14:textId="48C2E827" w:rsidR="00F256F0" w:rsidRDefault="006C5C9F" w:rsidP="00445D0B">
      <w:pPr>
        <w:spacing w:before="240"/>
      </w:pPr>
      <w:r>
        <w:rPr>
          <w:noProof/>
        </w:rPr>
        <w:drawing>
          <wp:inline distT="0" distB="0" distL="0" distR="0" wp14:anchorId="785103E5" wp14:editId="27C318D2">
            <wp:extent cx="5940425" cy="3874135"/>
            <wp:effectExtent l="0" t="0" r="3175"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áfa.PNG"/>
                    <pic:cNvPicPr/>
                  </pic:nvPicPr>
                  <pic:blipFill>
                    <a:blip r:embed="rId14">
                      <a:extLst>
                        <a:ext uri="{28A0092B-C50C-407E-A947-70E740481C1C}">
                          <a14:useLocalDpi xmlns:a14="http://schemas.microsoft.com/office/drawing/2010/main" val="0"/>
                        </a:ext>
                      </a:extLst>
                    </a:blip>
                    <a:stretch>
                      <a:fillRect/>
                    </a:stretch>
                  </pic:blipFill>
                  <pic:spPr>
                    <a:xfrm>
                      <a:off x="0" y="0"/>
                      <a:ext cx="5940425" cy="3874135"/>
                    </a:xfrm>
                    <a:prstGeom prst="rect">
                      <a:avLst/>
                    </a:prstGeom>
                  </pic:spPr>
                </pic:pic>
              </a:graphicData>
            </a:graphic>
          </wp:inline>
        </w:drawing>
      </w:r>
    </w:p>
    <w:p w14:paraId="029C00EA" w14:textId="77777777" w:rsidR="006C5C9F" w:rsidRDefault="006C5C9F" w:rsidP="00445D0B">
      <w:pPr>
        <w:spacing w:before="240"/>
      </w:pPr>
    </w:p>
    <w:p w14:paraId="1E1ECE73" w14:textId="77049987" w:rsidR="004764C7" w:rsidRDefault="0FCC8A84" w:rsidP="00E75B9B">
      <w:pPr>
        <w:spacing w:before="120"/>
      </w:pPr>
      <w:r>
        <w:t xml:space="preserve">A </w:t>
      </w:r>
      <w:r w:rsidRPr="0FCC8A84">
        <w:rPr>
          <w:b/>
          <w:bCs/>
        </w:rPr>
        <w:t xml:space="preserve">jövedéki adóból </w:t>
      </w:r>
      <w:r>
        <w:t xml:space="preserve">származó bevétel </w:t>
      </w:r>
      <w:r w:rsidR="005E672D" w:rsidRPr="005E672D">
        <w:t>az év első öt hónapjában 463,6</w:t>
      </w:r>
      <w:r w:rsidR="007A732D">
        <w:t> </w:t>
      </w:r>
      <w:r w:rsidR="005E672D" w:rsidRPr="005E672D">
        <w:t>milliárd forintot tett ki, amely 14,</w:t>
      </w:r>
      <w:r w:rsidR="00F964E9">
        <w:t>5</w:t>
      </w:r>
      <w:r w:rsidR="007A732D">
        <w:t> </w:t>
      </w:r>
      <w:r w:rsidR="005E672D" w:rsidRPr="005E672D">
        <w:t xml:space="preserve">milliárd forinttal magasabb az egy évvel korábbi bevételnél. </w:t>
      </w:r>
      <w:r w:rsidR="003F2BA5" w:rsidRPr="005E672D">
        <w:t xml:space="preserve">Az üzemanyagok utáni bevételek növekedésének hátterében a magasabb </w:t>
      </w:r>
      <w:proofErr w:type="spellStart"/>
      <w:r w:rsidR="003F2BA5" w:rsidRPr="005E672D">
        <w:t>üzemanyagforgalom</w:t>
      </w:r>
      <w:proofErr w:type="spellEnd"/>
      <w:r w:rsidR="003F2BA5" w:rsidRPr="005E672D">
        <w:t xml:space="preserve"> és a 2021. első negyedévi magasabb adómértékek állnak. </w:t>
      </w:r>
      <w:r w:rsidR="005E672D" w:rsidRPr="005E672D">
        <w:t>A dohánytermékek utáni bevételek csökkenésének hátterében elsősorban az adómérték-emelés miatti készletfelhalmozásból fakadó forgalomcsökkenés áll. A</w:t>
      </w:r>
      <w:r w:rsidR="007A732D">
        <w:t>z</w:t>
      </w:r>
      <w:r w:rsidR="005E672D" w:rsidRPr="005E672D">
        <w:t xml:space="preserve"> egyéb termékek esetében a bevételek növekedését a magasabb forgalom indokolja. Az energiaadó bevételek növekedésének hátterében a magasabb energiafelhasználás áll</w:t>
      </w:r>
      <w:r>
        <w:t>.</w:t>
      </w:r>
      <w:r w:rsidR="6B0A3B39">
        <w:br w:type="page"/>
      </w:r>
    </w:p>
    <w:tbl>
      <w:tblPr>
        <w:tblW w:w="6679" w:type="dxa"/>
        <w:jc w:val="center"/>
        <w:tblCellMar>
          <w:left w:w="70" w:type="dxa"/>
          <w:right w:w="70" w:type="dxa"/>
        </w:tblCellMar>
        <w:tblLook w:val="04A0" w:firstRow="1" w:lastRow="0" w:firstColumn="1" w:lastColumn="0" w:noHBand="0" w:noVBand="1"/>
      </w:tblPr>
      <w:tblGrid>
        <w:gridCol w:w="3118"/>
        <w:gridCol w:w="993"/>
        <w:gridCol w:w="992"/>
        <w:gridCol w:w="709"/>
        <w:gridCol w:w="867"/>
      </w:tblGrid>
      <w:tr w:rsidR="00024A56" w:rsidRPr="00024A56" w14:paraId="3A81EA80" w14:textId="77777777" w:rsidTr="0FCC8A84">
        <w:trPr>
          <w:trHeight w:val="255"/>
          <w:jc w:val="center"/>
        </w:trPr>
        <w:tc>
          <w:tcPr>
            <w:tcW w:w="6679" w:type="dxa"/>
            <w:gridSpan w:val="5"/>
            <w:tcBorders>
              <w:top w:val="nil"/>
              <w:left w:val="nil"/>
              <w:bottom w:val="nil"/>
              <w:right w:val="nil"/>
            </w:tcBorders>
            <w:shd w:val="clear" w:color="auto" w:fill="auto"/>
            <w:noWrap/>
            <w:vAlign w:val="bottom"/>
            <w:hideMark/>
          </w:tcPr>
          <w:p w14:paraId="6E79320C" w14:textId="77777777" w:rsidR="00024A56" w:rsidRPr="00024A56" w:rsidRDefault="0FCC8A84" w:rsidP="0FCC8A84">
            <w:pPr>
              <w:spacing w:before="120"/>
              <w:jc w:val="center"/>
              <w:rPr>
                <w:b/>
                <w:bCs/>
                <w:color w:val="000000" w:themeColor="text1"/>
                <w:sz w:val="20"/>
              </w:rPr>
            </w:pPr>
            <w:r w:rsidRPr="0FCC8A84">
              <w:rPr>
                <w:b/>
                <w:bCs/>
                <w:color w:val="000000" w:themeColor="text1"/>
                <w:sz w:val="20"/>
              </w:rPr>
              <w:lastRenderedPageBreak/>
              <w:t>Jövedéki adó bevétel alakulása (milliárd forint)</w:t>
            </w:r>
          </w:p>
        </w:tc>
      </w:tr>
      <w:tr w:rsidR="00024A56" w:rsidRPr="00024A56" w14:paraId="34A1C44D" w14:textId="77777777" w:rsidTr="0FCC8A84">
        <w:trPr>
          <w:trHeight w:val="450"/>
          <w:jc w:val="center"/>
        </w:trPr>
        <w:tc>
          <w:tcPr>
            <w:tcW w:w="3118" w:type="dxa"/>
            <w:vMerge w:val="restart"/>
            <w:tcBorders>
              <w:top w:val="single" w:sz="8" w:space="0" w:color="auto"/>
              <w:left w:val="single" w:sz="8" w:space="0" w:color="auto"/>
              <w:bottom w:val="single" w:sz="8" w:space="0" w:color="000000" w:themeColor="text1"/>
              <w:right w:val="single" w:sz="8" w:space="0" w:color="auto"/>
            </w:tcBorders>
            <w:shd w:val="clear" w:color="auto" w:fill="auto"/>
            <w:noWrap/>
            <w:vAlign w:val="center"/>
            <w:hideMark/>
          </w:tcPr>
          <w:p w14:paraId="5AFD96E8" w14:textId="77777777" w:rsidR="00024A56" w:rsidRPr="00024A56" w:rsidRDefault="0FCC8A84" w:rsidP="0FCC8A84">
            <w:pPr>
              <w:spacing w:after="0"/>
              <w:jc w:val="center"/>
              <w:rPr>
                <w:b/>
                <w:bCs/>
                <w:color w:val="000000" w:themeColor="text1"/>
                <w:sz w:val="20"/>
              </w:rPr>
            </w:pPr>
            <w:r w:rsidRPr="0FCC8A84">
              <w:rPr>
                <w:b/>
                <w:bCs/>
                <w:color w:val="000000" w:themeColor="text1"/>
                <w:sz w:val="20"/>
              </w:rPr>
              <w:t>Megnevezés</w:t>
            </w:r>
          </w:p>
        </w:tc>
        <w:tc>
          <w:tcPr>
            <w:tcW w:w="993"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4D932975" w14:textId="1A9D8C3C" w:rsidR="00024A56" w:rsidRPr="00024A56" w:rsidRDefault="0FCC8A84" w:rsidP="0FCC8A84">
            <w:pPr>
              <w:spacing w:after="0"/>
              <w:jc w:val="center"/>
              <w:rPr>
                <w:b/>
                <w:bCs/>
                <w:sz w:val="20"/>
              </w:rPr>
            </w:pPr>
            <w:r w:rsidRPr="0FCC8A84">
              <w:rPr>
                <w:b/>
                <w:bCs/>
                <w:sz w:val="20"/>
              </w:rPr>
              <w:t>2020.</w:t>
            </w:r>
            <w:r w:rsidR="6B0A3B39">
              <w:br/>
            </w:r>
            <w:r w:rsidR="005E672D">
              <w:rPr>
                <w:b/>
                <w:bCs/>
                <w:sz w:val="20"/>
              </w:rPr>
              <w:t>I-</w:t>
            </w:r>
            <w:r w:rsidRPr="0FCC8A84">
              <w:rPr>
                <w:b/>
                <w:bCs/>
                <w:sz w:val="20"/>
              </w:rPr>
              <w:t>V. hó</w:t>
            </w:r>
          </w:p>
        </w:tc>
        <w:tc>
          <w:tcPr>
            <w:tcW w:w="992"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21AA4BEA" w14:textId="04AB6042" w:rsidR="00024A56" w:rsidRPr="00024A56" w:rsidRDefault="0FCC8A84" w:rsidP="0FCC8A84">
            <w:pPr>
              <w:spacing w:after="0"/>
              <w:jc w:val="center"/>
              <w:rPr>
                <w:b/>
                <w:bCs/>
                <w:sz w:val="20"/>
              </w:rPr>
            </w:pPr>
            <w:r w:rsidRPr="0FCC8A84">
              <w:rPr>
                <w:b/>
                <w:bCs/>
                <w:sz w:val="20"/>
              </w:rPr>
              <w:t>2021.</w:t>
            </w:r>
            <w:r w:rsidR="6B0A3B39">
              <w:br/>
            </w:r>
            <w:r w:rsidR="005E672D">
              <w:rPr>
                <w:b/>
                <w:bCs/>
                <w:sz w:val="20"/>
              </w:rPr>
              <w:t>I-</w:t>
            </w:r>
            <w:r w:rsidRPr="0FCC8A84">
              <w:rPr>
                <w:b/>
                <w:bCs/>
                <w:sz w:val="20"/>
              </w:rPr>
              <w:t>V. hó</w:t>
            </w:r>
          </w:p>
        </w:tc>
        <w:tc>
          <w:tcPr>
            <w:tcW w:w="1576" w:type="dxa"/>
            <w:gridSpan w:val="2"/>
            <w:tcBorders>
              <w:top w:val="single" w:sz="8" w:space="0" w:color="auto"/>
              <w:left w:val="nil"/>
              <w:bottom w:val="single" w:sz="4" w:space="0" w:color="auto"/>
              <w:right w:val="single" w:sz="8" w:space="0" w:color="000000" w:themeColor="text1"/>
            </w:tcBorders>
            <w:shd w:val="clear" w:color="auto" w:fill="auto"/>
            <w:noWrap/>
            <w:vAlign w:val="center"/>
            <w:hideMark/>
          </w:tcPr>
          <w:p w14:paraId="1D2F24C1" w14:textId="77777777" w:rsidR="00024A56" w:rsidRPr="00024A56" w:rsidRDefault="0FCC8A84" w:rsidP="0FCC8A84">
            <w:pPr>
              <w:spacing w:after="0"/>
              <w:jc w:val="center"/>
              <w:rPr>
                <w:b/>
                <w:bCs/>
                <w:color w:val="000000" w:themeColor="text1"/>
                <w:sz w:val="20"/>
              </w:rPr>
            </w:pPr>
            <w:r w:rsidRPr="0FCC8A84">
              <w:rPr>
                <w:b/>
                <w:bCs/>
                <w:color w:val="000000" w:themeColor="text1"/>
                <w:sz w:val="20"/>
              </w:rPr>
              <w:t>Eltérés</w:t>
            </w:r>
          </w:p>
        </w:tc>
      </w:tr>
      <w:tr w:rsidR="00024A56" w:rsidRPr="00024A56" w14:paraId="0A0EA470" w14:textId="77777777" w:rsidTr="0FCC8A84">
        <w:trPr>
          <w:trHeight w:val="450"/>
          <w:jc w:val="center"/>
        </w:trPr>
        <w:tc>
          <w:tcPr>
            <w:tcW w:w="3118" w:type="dxa"/>
            <w:vMerge/>
            <w:tcBorders>
              <w:top w:val="single" w:sz="8" w:space="0" w:color="auto"/>
              <w:left w:val="single" w:sz="8" w:space="0" w:color="auto"/>
              <w:bottom w:val="single" w:sz="8" w:space="0" w:color="000000"/>
              <w:right w:val="single" w:sz="8" w:space="0" w:color="auto"/>
            </w:tcBorders>
            <w:vAlign w:val="center"/>
            <w:hideMark/>
          </w:tcPr>
          <w:p w14:paraId="3CF47CB0" w14:textId="77777777" w:rsidR="00024A56" w:rsidRPr="00024A56" w:rsidRDefault="00024A56" w:rsidP="00024A56">
            <w:pPr>
              <w:spacing w:after="0"/>
              <w:jc w:val="left"/>
              <w:rPr>
                <w:b/>
                <w:bCs/>
                <w:color w:val="000000"/>
                <w:sz w:val="20"/>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0A60470E" w14:textId="77777777" w:rsidR="00024A56" w:rsidRPr="00024A56" w:rsidRDefault="00024A56" w:rsidP="00024A56">
            <w:pPr>
              <w:spacing w:after="0"/>
              <w:jc w:val="left"/>
              <w:rPr>
                <w:b/>
                <w:bCs/>
                <w:sz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A9292C5" w14:textId="77777777" w:rsidR="00024A56" w:rsidRPr="00024A56" w:rsidRDefault="00024A56" w:rsidP="00024A56">
            <w:pPr>
              <w:spacing w:after="0"/>
              <w:jc w:val="left"/>
              <w:rPr>
                <w:b/>
                <w:bCs/>
                <w:sz w:val="20"/>
              </w:rPr>
            </w:pPr>
          </w:p>
        </w:tc>
        <w:tc>
          <w:tcPr>
            <w:tcW w:w="709" w:type="dxa"/>
            <w:tcBorders>
              <w:top w:val="nil"/>
              <w:left w:val="nil"/>
              <w:bottom w:val="single" w:sz="8" w:space="0" w:color="auto"/>
              <w:right w:val="single" w:sz="4" w:space="0" w:color="auto"/>
            </w:tcBorders>
            <w:shd w:val="clear" w:color="auto" w:fill="auto"/>
            <w:noWrap/>
            <w:vAlign w:val="center"/>
            <w:hideMark/>
          </w:tcPr>
          <w:p w14:paraId="54154943" w14:textId="77777777" w:rsidR="00024A56" w:rsidRPr="00024A56" w:rsidRDefault="0FCC8A84" w:rsidP="0FCC8A84">
            <w:pPr>
              <w:spacing w:after="0"/>
              <w:jc w:val="center"/>
              <w:rPr>
                <w:b/>
                <w:bCs/>
                <w:color w:val="000000" w:themeColor="text1"/>
                <w:sz w:val="20"/>
              </w:rPr>
            </w:pPr>
            <w:r w:rsidRPr="0FCC8A84">
              <w:rPr>
                <w:b/>
                <w:bCs/>
                <w:color w:val="000000" w:themeColor="text1"/>
                <w:sz w:val="20"/>
              </w:rPr>
              <w:t>Mrd Ft</w:t>
            </w:r>
          </w:p>
        </w:tc>
        <w:tc>
          <w:tcPr>
            <w:tcW w:w="867" w:type="dxa"/>
            <w:tcBorders>
              <w:top w:val="nil"/>
              <w:left w:val="nil"/>
              <w:bottom w:val="single" w:sz="8" w:space="0" w:color="auto"/>
              <w:right w:val="single" w:sz="8" w:space="0" w:color="auto"/>
            </w:tcBorders>
            <w:shd w:val="clear" w:color="auto" w:fill="auto"/>
            <w:noWrap/>
            <w:vAlign w:val="center"/>
            <w:hideMark/>
          </w:tcPr>
          <w:p w14:paraId="4FA863EF" w14:textId="77777777" w:rsidR="00024A56" w:rsidRPr="00024A56" w:rsidRDefault="0FCC8A84" w:rsidP="0FCC8A84">
            <w:pPr>
              <w:spacing w:after="0"/>
              <w:jc w:val="center"/>
              <w:rPr>
                <w:b/>
                <w:bCs/>
                <w:color w:val="000000" w:themeColor="text1"/>
                <w:sz w:val="20"/>
              </w:rPr>
            </w:pPr>
            <w:r w:rsidRPr="0FCC8A84">
              <w:rPr>
                <w:b/>
                <w:bCs/>
                <w:color w:val="000000" w:themeColor="text1"/>
                <w:sz w:val="20"/>
              </w:rPr>
              <w:t>%</w:t>
            </w:r>
          </w:p>
        </w:tc>
      </w:tr>
      <w:tr w:rsidR="005E672D" w:rsidRPr="000C76A6" w14:paraId="508557F8" w14:textId="77777777" w:rsidTr="0FCC8A84">
        <w:trPr>
          <w:trHeight w:val="270"/>
          <w:jc w:val="center"/>
        </w:trPr>
        <w:tc>
          <w:tcPr>
            <w:tcW w:w="3118" w:type="dxa"/>
            <w:tcBorders>
              <w:top w:val="nil"/>
              <w:left w:val="single" w:sz="8" w:space="0" w:color="auto"/>
              <w:bottom w:val="single" w:sz="4" w:space="0" w:color="auto"/>
              <w:right w:val="single" w:sz="8" w:space="0" w:color="auto"/>
            </w:tcBorders>
            <w:shd w:val="clear" w:color="auto" w:fill="auto"/>
            <w:noWrap/>
            <w:vAlign w:val="center"/>
            <w:hideMark/>
          </w:tcPr>
          <w:p w14:paraId="6EC723A4" w14:textId="50D0FBE1" w:rsidR="005E672D" w:rsidRPr="00024A56" w:rsidRDefault="005E672D" w:rsidP="005E672D">
            <w:pPr>
              <w:spacing w:after="0"/>
              <w:jc w:val="left"/>
              <w:rPr>
                <w:b/>
                <w:bCs/>
                <w:sz w:val="20"/>
              </w:rPr>
            </w:pPr>
            <w:r w:rsidRPr="0FCC8A84">
              <w:rPr>
                <w:b/>
                <w:bCs/>
                <w:sz w:val="20"/>
              </w:rPr>
              <w:t>Üzemanyag jövedéki adó</w:t>
            </w:r>
          </w:p>
        </w:tc>
        <w:tc>
          <w:tcPr>
            <w:tcW w:w="993" w:type="dxa"/>
            <w:tcBorders>
              <w:top w:val="nil"/>
              <w:left w:val="single" w:sz="8" w:space="0" w:color="auto"/>
              <w:bottom w:val="single" w:sz="4" w:space="0" w:color="auto"/>
              <w:right w:val="single" w:sz="8" w:space="0" w:color="auto"/>
            </w:tcBorders>
            <w:shd w:val="clear" w:color="auto" w:fill="auto"/>
            <w:noWrap/>
          </w:tcPr>
          <w:p w14:paraId="68AF4B4E" w14:textId="4B9DE44D" w:rsidR="005E672D" w:rsidRPr="005E672D" w:rsidRDefault="005E672D" w:rsidP="005E672D">
            <w:pPr>
              <w:spacing w:after="0"/>
              <w:jc w:val="center"/>
              <w:rPr>
                <w:sz w:val="20"/>
              </w:rPr>
            </w:pPr>
            <w:r w:rsidRPr="005E672D">
              <w:rPr>
                <w:sz w:val="20"/>
              </w:rPr>
              <w:t>245,3</w:t>
            </w:r>
          </w:p>
        </w:tc>
        <w:tc>
          <w:tcPr>
            <w:tcW w:w="992" w:type="dxa"/>
            <w:tcBorders>
              <w:top w:val="nil"/>
              <w:left w:val="nil"/>
              <w:bottom w:val="single" w:sz="4" w:space="0" w:color="auto"/>
              <w:right w:val="single" w:sz="8" w:space="0" w:color="auto"/>
            </w:tcBorders>
            <w:shd w:val="clear" w:color="auto" w:fill="auto"/>
            <w:noWrap/>
          </w:tcPr>
          <w:p w14:paraId="27E8CB93" w14:textId="1D9E7CE4" w:rsidR="005E672D" w:rsidRPr="005E672D" w:rsidRDefault="005E672D" w:rsidP="005E672D">
            <w:pPr>
              <w:spacing w:after="0"/>
              <w:jc w:val="center"/>
              <w:rPr>
                <w:sz w:val="20"/>
              </w:rPr>
            </w:pPr>
            <w:r w:rsidRPr="005E672D">
              <w:rPr>
                <w:sz w:val="20"/>
              </w:rPr>
              <w:t>256,2</w:t>
            </w:r>
          </w:p>
        </w:tc>
        <w:tc>
          <w:tcPr>
            <w:tcW w:w="709" w:type="dxa"/>
            <w:tcBorders>
              <w:top w:val="nil"/>
              <w:left w:val="nil"/>
              <w:bottom w:val="single" w:sz="4" w:space="0" w:color="auto"/>
              <w:right w:val="single" w:sz="4" w:space="0" w:color="auto"/>
            </w:tcBorders>
            <w:shd w:val="clear" w:color="auto" w:fill="auto"/>
            <w:noWrap/>
          </w:tcPr>
          <w:p w14:paraId="28D690E2" w14:textId="4F2522C7" w:rsidR="005E672D" w:rsidRPr="005E672D" w:rsidRDefault="005E672D" w:rsidP="008E29E0">
            <w:pPr>
              <w:spacing w:after="0"/>
              <w:jc w:val="center"/>
              <w:rPr>
                <w:color w:val="000000" w:themeColor="text1"/>
                <w:sz w:val="20"/>
              </w:rPr>
            </w:pPr>
            <w:r w:rsidRPr="005E672D">
              <w:rPr>
                <w:sz w:val="20"/>
              </w:rPr>
              <w:t>1</w:t>
            </w:r>
            <w:r w:rsidR="008E29E0">
              <w:rPr>
                <w:sz w:val="20"/>
              </w:rPr>
              <w:t>0,9</w:t>
            </w:r>
          </w:p>
        </w:tc>
        <w:tc>
          <w:tcPr>
            <w:tcW w:w="867" w:type="dxa"/>
            <w:tcBorders>
              <w:top w:val="nil"/>
              <w:left w:val="nil"/>
              <w:bottom w:val="single" w:sz="4" w:space="0" w:color="auto"/>
              <w:right w:val="single" w:sz="8" w:space="0" w:color="auto"/>
            </w:tcBorders>
            <w:shd w:val="clear" w:color="auto" w:fill="auto"/>
            <w:noWrap/>
          </w:tcPr>
          <w:p w14:paraId="4A80F6B5" w14:textId="2A5506A4" w:rsidR="005E672D" w:rsidRPr="005E672D" w:rsidRDefault="005E672D" w:rsidP="0026400C">
            <w:pPr>
              <w:spacing w:after="0"/>
              <w:jc w:val="center"/>
              <w:rPr>
                <w:sz w:val="20"/>
              </w:rPr>
            </w:pPr>
            <w:r w:rsidRPr="005E672D">
              <w:rPr>
                <w:sz w:val="20"/>
              </w:rPr>
              <w:t>104,</w:t>
            </w:r>
            <w:r w:rsidR="0026400C">
              <w:rPr>
                <w:sz w:val="20"/>
              </w:rPr>
              <w:t>4</w:t>
            </w:r>
          </w:p>
        </w:tc>
      </w:tr>
      <w:tr w:rsidR="005E672D" w:rsidRPr="000C76A6" w14:paraId="57AD209F" w14:textId="77777777" w:rsidTr="0FCC8A84">
        <w:trPr>
          <w:trHeight w:val="270"/>
          <w:jc w:val="center"/>
        </w:trPr>
        <w:tc>
          <w:tcPr>
            <w:tcW w:w="3118" w:type="dxa"/>
            <w:tcBorders>
              <w:top w:val="nil"/>
              <w:left w:val="single" w:sz="8" w:space="0" w:color="auto"/>
              <w:bottom w:val="single" w:sz="4" w:space="0" w:color="auto"/>
              <w:right w:val="single" w:sz="8" w:space="0" w:color="auto"/>
            </w:tcBorders>
            <w:shd w:val="clear" w:color="auto" w:fill="auto"/>
            <w:noWrap/>
            <w:vAlign w:val="center"/>
            <w:hideMark/>
          </w:tcPr>
          <w:p w14:paraId="268C933F" w14:textId="35F788F0" w:rsidR="005E672D" w:rsidRPr="00024A56" w:rsidRDefault="005E672D" w:rsidP="005E672D">
            <w:pPr>
              <w:spacing w:after="0"/>
              <w:jc w:val="left"/>
              <w:rPr>
                <w:b/>
                <w:bCs/>
                <w:sz w:val="20"/>
              </w:rPr>
            </w:pPr>
            <w:r w:rsidRPr="0FCC8A84">
              <w:rPr>
                <w:b/>
                <w:bCs/>
                <w:sz w:val="20"/>
              </w:rPr>
              <w:t>Dohánygyártmány jövedéki adó</w:t>
            </w:r>
          </w:p>
        </w:tc>
        <w:tc>
          <w:tcPr>
            <w:tcW w:w="993" w:type="dxa"/>
            <w:tcBorders>
              <w:top w:val="nil"/>
              <w:left w:val="single" w:sz="8" w:space="0" w:color="auto"/>
              <w:bottom w:val="single" w:sz="4" w:space="0" w:color="auto"/>
              <w:right w:val="single" w:sz="8" w:space="0" w:color="auto"/>
            </w:tcBorders>
            <w:shd w:val="clear" w:color="auto" w:fill="auto"/>
            <w:noWrap/>
          </w:tcPr>
          <w:p w14:paraId="79F99CAB" w14:textId="411AC664" w:rsidR="005E672D" w:rsidRPr="005E672D" w:rsidRDefault="005E672D" w:rsidP="005E672D">
            <w:pPr>
              <w:spacing w:after="0"/>
              <w:jc w:val="center"/>
              <w:rPr>
                <w:sz w:val="20"/>
              </w:rPr>
            </w:pPr>
            <w:r w:rsidRPr="005E672D">
              <w:rPr>
                <w:sz w:val="20"/>
              </w:rPr>
              <w:t>162,7</w:t>
            </w:r>
          </w:p>
        </w:tc>
        <w:tc>
          <w:tcPr>
            <w:tcW w:w="992" w:type="dxa"/>
            <w:tcBorders>
              <w:top w:val="nil"/>
              <w:left w:val="nil"/>
              <w:bottom w:val="single" w:sz="4" w:space="0" w:color="auto"/>
              <w:right w:val="single" w:sz="8" w:space="0" w:color="auto"/>
            </w:tcBorders>
            <w:shd w:val="clear" w:color="auto" w:fill="auto"/>
            <w:noWrap/>
          </w:tcPr>
          <w:p w14:paraId="77FC4294" w14:textId="5E6CE12F" w:rsidR="005E672D" w:rsidRPr="005E672D" w:rsidRDefault="005E672D" w:rsidP="004E4292">
            <w:pPr>
              <w:spacing w:after="0"/>
              <w:jc w:val="center"/>
              <w:rPr>
                <w:sz w:val="20"/>
              </w:rPr>
            </w:pPr>
            <w:r w:rsidRPr="005E672D">
              <w:rPr>
                <w:sz w:val="20"/>
              </w:rPr>
              <w:t>162,</w:t>
            </w:r>
            <w:r w:rsidR="004E4292">
              <w:rPr>
                <w:sz w:val="20"/>
              </w:rPr>
              <w:t>2</w:t>
            </w:r>
          </w:p>
        </w:tc>
        <w:tc>
          <w:tcPr>
            <w:tcW w:w="709" w:type="dxa"/>
            <w:tcBorders>
              <w:top w:val="nil"/>
              <w:left w:val="nil"/>
              <w:bottom w:val="single" w:sz="4" w:space="0" w:color="auto"/>
              <w:right w:val="single" w:sz="4" w:space="0" w:color="auto"/>
            </w:tcBorders>
            <w:shd w:val="clear" w:color="auto" w:fill="auto"/>
            <w:noWrap/>
          </w:tcPr>
          <w:p w14:paraId="23932EB7" w14:textId="7D6BBBD4" w:rsidR="005E672D" w:rsidRPr="005E672D" w:rsidRDefault="005E672D" w:rsidP="005E672D">
            <w:pPr>
              <w:spacing w:after="0"/>
              <w:jc w:val="center"/>
              <w:rPr>
                <w:color w:val="000000" w:themeColor="text1"/>
                <w:sz w:val="20"/>
              </w:rPr>
            </w:pPr>
            <w:r w:rsidRPr="005E672D">
              <w:rPr>
                <w:sz w:val="20"/>
              </w:rPr>
              <w:t>-0,5</w:t>
            </w:r>
          </w:p>
        </w:tc>
        <w:tc>
          <w:tcPr>
            <w:tcW w:w="867" w:type="dxa"/>
            <w:tcBorders>
              <w:top w:val="nil"/>
              <w:left w:val="nil"/>
              <w:bottom w:val="single" w:sz="4" w:space="0" w:color="auto"/>
              <w:right w:val="single" w:sz="8" w:space="0" w:color="auto"/>
            </w:tcBorders>
            <w:shd w:val="clear" w:color="auto" w:fill="auto"/>
            <w:noWrap/>
          </w:tcPr>
          <w:p w14:paraId="6073DB33" w14:textId="263EA579" w:rsidR="005E672D" w:rsidRPr="005E672D" w:rsidRDefault="005E672D" w:rsidP="005E672D">
            <w:pPr>
              <w:spacing w:after="0"/>
              <w:jc w:val="center"/>
              <w:rPr>
                <w:sz w:val="20"/>
              </w:rPr>
            </w:pPr>
            <w:r w:rsidRPr="005E672D">
              <w:rPr>
                <w:sz w:val="20"/>
              </w:rPr>
              <w:t>99,7</w:t>
            </w:r>
          </w:p>
        </w:tc>
      </w:tr>
      <w:tr w:rsidR="005E672D" w:rsidRPr="000C76A6" w14:paraId="2E89E7E2" w14:textId="77777777" w:rsidTr="0FCC8A84">
        <w:trPr>
          <w:trHeight w:val="270"/>
          <w:jc w:val="center"/>
        </w:trPr>
        <w:tc>
          <w:tcPr>
            <w:tcW w:w="3118" w:type="dxa"/>
            <w:tcBorders>
              <w:top w:val="nil"/>
              <w:left w:val="single" w:sz="8" w:space="0" w:color="auto"/>
              <w:bottom w:val="nil"/>
              <w:right w:val="single" w:sz="8" w:space="0" w:color="auto"/>
            </w:tcBorders>
            <w:shd w:val="clear" w:color="auto" w:fill="auto"/>
            <w:noWrap/>
            <w:vAlign w:val="center"/>
            <w:hideMark/>
          </w:tcPr>
          <w:p w14:paraId="27C95F96" w14:textId="79969345" w:rsidR="005E672D" w:rsidRPr="00024A56" w:rsidRDefault="005E672D" w:rsidP="005E672D">
            <w:pPr>
              <w:spacing w:after="0"/>
              <w:jc w:val="left"/>
              <w:rPr>
                <w:b/>
                <w:bCs/>
                <w:sz w:val="20"/>
              </w:rPr>
            </w:pPr>
            <w:r w:rsidRPr="0FCC8A84">
              <w:rPr>
                <w:b/>
                <w:bCs/>
                <w:sz w:val="20"/>
              </w:rPr>
              <w:t>Egyéb termék jövedéki adó</w:t>
            </w:r>
          </w:p>
        </w:tc>
        <w:tc>
          <w:tcPr>
            <w:tcW w:w="993" w:type="dxa"/>
            <w:tcBorders>
              <w:top w:val="nil"/>
              <w:left w:val="single" w:sz="8" w:space="0" w:color="auto"/>
              <w:bottom w:val="nil"/>
              <w:right w:val="single" w:sz="8" w:space="0" w:color="auto"/>
            </w:tcBorders>
            <w:shd w:val="clear" w:color="auto" w:fill="auto"/>
            <w:noWrap/>
          </w:tcPr>
          <w:p w14:paraId="7364BF93" w14:textId="4AAE150F" w:rsidR="005E672D" w:rsidRPr="005E672D" w:rsidRDefault="005E672D" w:rsidP="00974F5A">
            <w:pPr>
              <w:spacing w:after="0"/>
              <w:jc w:val="center"/>
              <w:rPr>
                <w:sz w:val="20"/>
              </w:rPr>
            </w:pPr>
            <w:r w:rsidRPr="005E672D">
              <w:rPr>
                <w:sz w:val="20"/>
              </w:rPr>
              <w:t>31,</w:t>
            </w:r>
            <w:r w:rsidR="00974F5A">
              <w:rPr>
                <w:sz w:val="20"/>
              </w:rPr>
              <w:t>5</w:t>
            </w:r>
          </w:p>
        </w:tc>
        <w:tc>
          <w:tcPr>
            <w:tcW w:w="992" w:type="dxa"/>
            <w:tcBorders>
              <w:top w:val="nil"/>
              <w:left w:val="nil"/>
              <w:bottom w:val="nil"/>
              <w:right w:val="single" w:sz="8" w:space="0" w:color="auto"/>
            </w:tcBorders>
            <w:shd w:val="clear" w:color="auto" w:fill="auto"/>
            <w:noWrap/>
          </w:tcPr>
          <w:p w14:paraId="7B16728B" w14:textId="3CA2C473" w:rsidR="005E672D" w:rsidRPr="005E672D" w:rsidRDefault="005E672D" w:rsidP="005E672D">
            <w:pPr>
              <w:spacing w:after="0"/>
              <w:jc w:val="center"/>
              <w:rPr>
                <w:sz w:val="20"/>
              </w:rPr>
            </w:pPr>
            <w:r w:rsidRPr="005E672D">
              <w:rPr>
                <w:sz w:val="20"/>
              </w:rPr>
              <w:t>34,8</w:t>
            </w:r>
          </w:p>
        </w:tc>
        <w:tc>
          <w:tcPr>
            <w:tcW w:w="709" w:type="dxa"/>
            <w:tcBorders>
              <w:top w:val="nil"/>
              <w:left w:val="nil"/>
              <w:bottom w:val="nil"/>
              <w:right w:val="single" w:sz="4" w:space="0" w:color="auto"/>
            </w:tcBorders>
            <w:shd w:val="clear" w:color="auto" w:fill="auto"/>
            <w:noWrap/>
          </w:tcPr>
          <w:p w14:paraId="27354059" w14:textId="3E8F532A" w:rsidR="005E672D" w:rsidRPr="005E672D" w:rsidRDefault="005E672D" w:rsidP="008E29E0">
            <w:pPr>
              <w:spacing w:after="0"/>
              <w:jc w:val="center"/>
              <w:rPr>
                <w:color w:val="000000" w:themeColor="text1"/>
                <w:sz w:val="20"/>
              </w:rPr>
            </w:pPr>
            <w:r w:rsidRPr="005E672D">
              <w:rPr>
                <w:sz w:val="20"/>
              </w:rPr>
              <w:t>3,</w:t>
            </w:r>
            <w:proofErr w:type="spellStart"/>
            <w:r w:rsidR="008E29E0">
              <w:rPr>
                <w:sz w:val="20"/>
              </w:rPr>
              <w:t>3</w:t>
            </w:r>
            <w:proofErr w:type="spellEnd"/>
          </w:p>
        </w:tc>
        <w:tc>
          <w:tcPr>
            <w:tcW w:w="867" w:type="dxa"/>
            <w:tcBorders>
              <w:top w:val="nil"/>
              <w:left w:val="nil"/>
              <w:bottom w:val="nil"/>
              <w:right w:val="single" w:sz="8" w:space="0" w:color="auto"/>
            </w:tcBorders>
            <w:shd w:val="clear" w:color="auto" w:fill="auto"/>
            <w:noWrap/>
          </w:tcPr>
          <w:p w14:paraId="40F267EE" w14:textId="3C074EC3" w:rsidR="005E672D" w:rsidRPr="005E672D" w:rsidRDefault="005E672D" w:rsidP="002B4B8F">
            <w:pPr>
              <w:spacing w:after="0"/>
              <w:jc w:val="center"/>
              <w:rPr>
                <w:sz w:val="20"/>
              </w:rPr>
            </w:pPr>
            <w:r w:rsidRPr="005E672D">
              <w:rPr>
                <w:sz w:val="20"/>
              </w:rPr>
              <w:t>110,</w:t>
            </w:r>
            <w:r w:rsidR="002B4B8F">
              <w:rPr>
                <w:sz w:val="20"/>
              </w:rPr>
              <w:t>5</w:t>
            </w:r>
          </w:p>
        </w:tc>
      </w:tr>
      <w:tr w:rsidR="005E672D" w:rsidRPr="000C76A6" w14:paraId="664D47E1" w14:textId="77777777" w:rsidTr="0FCC8A84">
        <w:trPr>
          <w:trHeight w:val="270"/>
          <w:jc w:val="center"/>
        </w:trPr>
        <w:tc>
          <w:tcPr>
            <w:tcW w:w="3118" w:type="dxa"/>
            <w:tcBorders>
              <w:top w:val="single" w:sz="4" w:space="0" w:color="auto"/>
              <w:left w:val="single" w:sz="8" w:space="0" w:color="auto"/>
              <w:bottom w:val="nil"/>
              <w:right w:val="single" w:sz="8" w:space="0" w:color="auto"/>
            </w:tcBorders>
            <w:shd w:val="clear" w:color="auto" w:fill="auto"/>
            <w:noWrap/>
            <w:vAlign w:val="center"/>
            <w:hideMark/>
          </w:tcPr>
          <w:p w14:paraId="7B919B72" w14:textId="7F22971B" w:rsidR="005E672D" w:rsidRPr="00024A56" w:rsidRDefault="005E672D" w:rsidP="005E672D">
            <w:pPr>
              <w:spacing w:after="0"/>
              <w:jc w:val="left"/>
              <w:rPr>
                <w:b/>
                <w:bCs/>
                <w:sz w:val="20"/>
              </w:rPr>
            </w:pPr>
            <w:proofErr w:type="gramStart"/>
            <w:r w:rsidRPr="0FCC8A84">
              <w:rPr>
                <w:b/>
                <w:bCs/>
                <w:sz w:val="20"/>
              </w:rPr>
              <w:t>Import</w:t>
            </w:r>
            <w:proofErr w:type="gramEnd"/>
            <w:r w:rsidRPr="0FCC8A84">
              <w:rPr>
                <w:b/>
                <w:bCs/>
                <w:sz w:val="20"/>
              </w:rPr>
              <w:t xml:space="preserve"> jövedéki adó és energiaadó</w:t>
            </w:r>
          </w:p>
        </w:tc>
        <w:tc>
          <w:tcPr>
            <w:tcW w:w="993" w:type="dxa"/>
            <w:tcBorders>
              <w:top w:val="single" w:sz="4" w:space="0" w:color="auto"/>
              <w:left w:val="single" w:sz="8" w:space="0" w:color="auto"/>
              <w:bottom w:val="single" w:sz="8" w:space="0" w:color="auto"/>
              <w:right w:val="single" w:sz="8" w:space="0" w:color="auto"/>
            </w:tcBorders>
            <w:shd w:val="clear" w:color="auto" w:fill="auto"/>
            <w:noWrap/>
          </w:tcPr>
          <w:p w14:paraId="1C055628" w14:textId="0DFF30B1" w:rsidR="005E672D" w:rsidRPr="005E672D" w:rsidRDefault="005E672D" w:rsidP="005E672D">
            <w:pPr>
              <w:spacing w:after="0"/>
              <w:jc w:val="center"/>
              <w:rPr>
                <w:sz w:val="20"/>
              </w:rPr>
            </w:pPr>
            <w:r w:rsidRPr="005E672D">
              <w:rPr>
                <w:sz w:val="20"/>
              </w:rPr>
              <w:t>9,6</w:t>
            </w:r>
          </w:p>
        </w:tc>
        <w:tc>
          <w:tcPr>
            <w:tcW w:w="992" w:type="dxa"/>
            <w:tcBorders>
              <w:top w:val="single" w:sz="4" w:space="0" w:color="auto"/>
              <w:left w:val="nil"/>
              <w:bottom w:val="single" w:sz="8" w:space="0" w:color="auto"/>
              <w:right w:val="single" w:sz="8" w:space="0" w:color="auto"/>
            </w:tcBorders>
            <w:shd w:val="clear" w:color="auto" w:fill="auto"/>
            <w:noWrap/>
          </w:tcPr>
          <w:p w14:paraId="13C70C2F" w14:textId="000BB931" w:rsidR="005E672D" w:rsidRPr="005E672D" w:rsidRDefault="005E672D" w:rsidP="005E672D">
            <w:pPr>
              <w:spacing w:after="0"/>
              <w:jc w:val="center"/>
              <w:rPr>
                <w:sz w:val="20"/>
              </w:rPr>
            </w:pPr>
            <w:r w:rsidRPr="005E672D">
              <w:rPr>
                <w:sz w:val="20"/>
              </w:rPr>
              <w:t>10,4</w:t>
            </w:r>
          </w:p>
        </w:tc>
        <w:tc>
          <w:tcPr>
            <w:tcW w:w="709" w:type="dxa"/>
            <w:tcBorders>
              <w:top w:val="single" w:sz="4" w:space="0" w:color="auto"/>
              <w:left w:val="nil"/>
              <w:bottom w:val="single" w:sz="8" w:space="0" w:color="auto"/>
              <w:right w:val="single" w:sz="4" w:space="0" w:color="auto"/>
            </w:tcBorders>
            <w:shd w:val="clear" w:color="auto" w:fill="auto"/>
            <w:noWrap/>
          </w:tcPr>
          <w:p w14:paraId="562B1DC5" w14:textId="221E3D3A" w:rsidR="005E672D" w:rsidRPr="005E672D" w:rsidRDefault="005E672D" w:rsidP="005E672D">
            <w:pPr>
              <w:spacing w:after="0"/>
              <w:jc w:val="center"/>
              <w:rPr>
                <w:color w:val="000000" w:themeColor="text1"/>
                <w:sz w:val="20"/>
              </w:rPr>
            </w:pPr>
            <w:r w:rsidRPr="005E672D">
              <w:rPr>
                <w:sz w:val="20"/>
              </w:rPr>
              <w:t>0,8</w:t>
            </w:r>
          </w:p>
        </w:tc>
        <w:tc>
          <w:tcPr>
            <w:tcW w:w="867" w:type="dxa"/>
            <w:tcBorders>
              <w:top w:val="single" w:sz="4" w:space="0" w:color="auto"/>
              <w:left w:val="nil"/>
              <w:bottom w:val="single" w:sz="8" w:space="0" w:color="auto"/>
              <w:right w:val="single" w:sz="8" w:space="0" w:color="auto"/>
            </w:tcBorders>
            <w:shd w:val="clear" w:color="auto" w:fill="auto"/>
            <w:noWrap/>
          </w:tcPr>
          <w:p w14:paraId="4F21FF55" w14:textId="249934C4" w:rsidR="005E672D" w:rsidRPr="005E672D" w:rsidRDefault="00467136" w:rsidP="005E672D">
            <w:pPr>
              <w:spacing w:after="0"/>
              <w:jc w:val="center"/>
              <w:rPr>
                <w:sz w:val="20"/>
              </w:rPr>
            </w:pPr>
            <w:r>
              <w:rPr>
                <w:sz w:val="20"/>
              </w:rPr>
              <w:t>108,3</w:t>
            </w:r>
          </w:p>
        </w:tc>
      </w:tr>
      <w:tr w:rsidR="005E672D" w:rsidRPr="005E672D" w14:paraId="65DFBFEE" w14:textId="77777777" w:rsidTr="0FCC8A84">
        <w:trPr>
          <w:trHeight w:val="270"/>
          <w:jc w:val="center"/>
        </w:trPr>
        <w:tc>
          <w:tcPr>
            <w:tcW w:w="31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AB3BD6" w14:textId="56B210EE" w:rsidR="005E672D" w:rsidRPr="00024A56" w:rsidRDefault="005E672D" w:rsidP="005E672D">
            <w:pPr>
              <w:spacing w:after="0"/>
              <w:jc w:val="left"/>
              <w:rPr>
                <w:b/>
                <w:bCs/>
                <w:sz w:val="20"/>
              </w:rPr>
            </w:pPr>
            <w:r w:rsidRPr="0FCC8A84">
              <w:rPr>
                <w:b/>
                <w:bCs/>
                <w:sz w:val="20"/>
              </w:rPr>
              <w:t>Jövedéki adók összesen</w:t>
            </w:r>
          </w:p>
        </w:tc>
        <w:tc>
          <w:tcPr>
            <w:tcW w:w="993" w:type="dxa"/>
            <w:tcBorders>
              <w:top w:val="single" w:sz="8" w:space="0" w:color="auto"/>
              <w:left w:val="single" w:sz="8" w:space="0" w:color="auto"/>
              <w:bottom w:val="single" w:sz="8" w:space="0" w:color="auto"/>
              <w:right w:val="single" w:sz="8" w:space="0" w:color="auto"/>
            </w:tcBorders>
            <w:shd w:val="clear" w:color="auto" w:fill="auto"/>
            <w:noWrap/>
          </w:tcPr>
          <w:p w14:paraId="312362D3" w14:textId="7EBDDFAF" w:rsidR="005E672D" w:rsidRPr="005E672D" w:rsidRDefault="005E672D" w:rsidP="005E672D">
            <w:pPr>
              <w:spacing w:after="0"/>
              <w:jc w:val="center"/>
              <w:rPr>
                <w:b/>
                <w:bCs/>
                <w:sz w:val="20"/>
              </w:rPr>
            </w:pPr>
            <w:r w:rsidRPr="005E672D">
              <w:rPr>
                <w:b/>
                <w:sz w:val="20"/>
              </w:rPr>
              <w:t>449,1</w:t>
            </w:r>
          </w:p>
        </w:tc>
        <w:tc>
          <w:tcPr>
            <w:tcW w:w="992" w:type="dxa"/>
            <w:tcBorders>
              <w:top w:val="single" w:sz="8" w:space="0" w:color="auto"/>
              <w:left w:val="nil"/>
              <w:bottom w:val="single" w:sz="8" w:space="0" w:color="auto"/>
              <w:right w:val="single" w:sz="8" w:space="0" w:color="auto"/>
            </w:tcBorders>
            <w:shd w:val="clear" w:color="auto" w:fill="auto"/>
            <w:noWrap/>
          </w:tcPr>
          <w:p w14:paraId="35930993" w14:textId="5B8EFBF0" w:rsidR="005E672D" w:rsidRPr="005E672D" w:rsidRDefault="005E672D" w:rsidP="005E672D">
            <w:pPr>
              <w:spacing w:after="0"/>
              <w:jc w:val="center"/>
              <w:rPr>
                <w:b/>
                <w:bCs/>
                <w:sz w:val="20"/>
              </w:rPr>
            </w:pPr>
            <w:r w:rsidRPr="005E672D">
              <w:rPr>
                <w:b/>
                <w:sz w:val="20"/>
              </w:rPr>
              <w:t>463,6</w:t>
            </w:r>
          </w:p>
        </w:tc>
        <w:tc>
          <w:tcPr>
            <w:tcW w:w="709" w:type="dxa"/>
            <w:tcBorders>
              <w:top w:val="single" w:sz="8" w:space="0" w:color="auto"/>
              <w:left w:val="nil"/>
              <w:bottom w:val="single" w:sz="8" w:space="0" w:color="auto"/>
              <w:right w:val="single" w:sz="4" w:space="0" w:color="auto"/>
            </w:tcBorders>
            <w:shd w:val="clear" w:color="auto" w:fill="auto"/>
            <w:noWrap/>
          </w:tcPr>
          <w:p w14:paraId="64E32CD5" w14:textId="2677340E" w:rsidR="005E672D" w:rsidRPr="005E672D" w:rsidRDefault="005E672D" w:rsidP="008E29E0">
            <w:pPr>
              <w:spacing w:after="0"/>
              <w:jc w:val="center"/>
              <w:rPr>
                <w:b/>
                <w:bCs/>
                <w:sz w:val="20"/>
              </w:rPr>
            </w:pPr>
            <w:r w:rsidRPr="005E672D">
              <w:rPr>
                <w:b/>
                <w:sz w:val="20"/>
              </w:rPr>
              <w:t>14,</w:t>
            </w:r>
            <w:r w:rsidR="008E29E0">
              <w:rPr>
                <w:b/>
                <w:sz w:val="20"/>
              </w:rPr>
              <w:t>5</w:t>
            </w:r>
          </w:p>
        </w:tc>
        <w:tc>
          <w:tcPr>
            <w:tcW w:w="867" w:type="dxa"/>
            <w:tcBorders>
              <w:top w:val="single" w:sz="8" w:space="0" w:color="auto"/>
              <w:left w:val="nil"/>
              <w:bottom w:val="single" w:sz="8" w:space="0" w:color="auto"/>
              <w:right w:val="single" w:sz="8" w:space="0" w:color="auto"/>
            </w:tcBorders>
            <w:shd w:val="clear" w:color="auto" w:fill="auto"/>
            <w:noWrap/>
          </w:tcPr>
          <w:p w14:paraId="7A3BDED0" w14:textId="712FED5E" w:rsidR="005E672D" w:rsidRPr="005E672D" w:rsidRDefault="005E672D" w:rsidP="005E672D">
            <w:pPr>
              <w:spacing w:after="0"/>
              <w:jc w:val="center"/>
              <w:rPr>
                <w:b/>
                <w:bCs/>
                <w:sz w:val="20"/>
              </w:rPr>
            </w:pPr>
            <w:r w:rsidRPr="005E672D">
              <w:rPr>
                <w:b/>
                <w:sz w:val="20"/>
              </w:rPr>
              <w:t>103,2</w:t>
            </w:r>
          </w:p>
        </w:tc>
      </w:tr>
    </w:tbl>
    <w:p w14:paraId="10743248" w14:textId="77777777" w:rsidR="001E4959" w:rsidRDefault="001E4959" w:rsidP="00F9316E">
      <w:pPr>
        <w:spacing w:after="0" w:line="259" w:lineRule="auto"/>
      </w:pPr>
    </w:p>
    <w:p w14:paraId="08FB037C" w14:textId="52C4A445" w:rsidR="008174C4" w:rsidRPr="007C41D8" w:rsidRDefault="0FCC8A84" w:rsidP="007C4E05">
      <w:r w:rsidRPr="0FCC8A84">
        <w:rPr>
          <w:rFonts w:cs="Tahoma"/>
          <w:color w:val="000000" w:themeColor="text1"/>
        </w:rPr>
        <w:t xml:space="preserve">A </w:t>
      </w:r>
      <w:r w:rsidRPr="0FCC8A84">
        <w:rPr>
          <w:rFonts w:cs="Tahoma"/>
          <w:b/>
          <w:bCs/>
          <w:color w:val="000000" w:themeColor="text1"/>
        </w:rPr>
        <w:t>személyi jövedelemadóból</w:t>
      </w:r>
      <w:r w:rsidRPr="0FCC8A84">
        <w:rPr>
          <w:rFonts w:cs="Tahoma"/>
          <w:color w:val="000000" w:themeColor="text1"/>
        </w:rPr>
        <w:t xml:space="preserve"> származó bevétel az év első </w:t>
      </w:r>
      <w:r w:rsidR="00E572F3" w:rsidRPr="00E572F3">
        <w:rPr>
          <w:rFonts w:cs="Tahoma"/>
          <w:color w:val="000000" w:themeColor="text1"/>
        </w:rPr>
        <w:t>öt hónapjában 1166,2</w:t>
      </w:r>
      <w:r w:rsidR="00F03E73">
        <w:rPr>
          <w:rFonts w:cs="Tahoma"/>
          <w:color w:val="000000" w:themeColor="text1"/>
        </w:rPr>
        <w:t> </w:t>
      </w:r>
      <w:r w:rsidR="00E572F3" w:rsidRPr="00E572F3">
        <w:rPr>
          <w:rFonts w:cs="Tahoma"/>
          <w:color w:val="000000" w:themeColor="text1"/>
        </w:rPr>
        <w:t>milliárd forint volt, amely 114,</w:t>
      </w:r>
      <w:r w:rsidR="00716594">
        <w:rPr>
          <w:rFonts w:cs="Tahoma"/>
          <w:color w:val="000000" w:themeColor="text1"/>
        </w:rPr>
        <w:t>8</w:t>
      </w:r>
      <w:r w:rsidR="00F03E73">
        <w:rPr>
          <w:rFonts w:cs="Tahoma"/>
          <w:color w:val="000000" w:themeColor="text1"/>
        </w:rPr>
        <w:t> </w:t>
      </w:r>
      <w:r w:rsidR="00E572F3" w:rsidRPr="00E572F3">
        <w:rPr>
          <w:rFonts w:cs="Tahoma"/>
          <w:color w:val="000000" w:themeColor="text1"/>
        </w:rPr>
        <w:t xml:space="preserve">milliárd forinttal magasabb az egy évvel korábbi összegnél. A bázisidőszaktól való eltérés oka a magasabb bérkiáramlás miatti </w:t>
      </w:r>
      <w:proofErr w:type="spellStart"/>
      <w:r w:rsidR="00E572F3" w:rsidRPr="00E572F3">
        <w:rPr>
          <w:rFonts w:cs="Tahoma"/>
          <w:color w:val="000000" w:themeColor="text1"/>
        </w:rPr>
        <w:t>befizetésnövekedés</w:t>
      </w:r>
      <w:proofErr w:type="spellEnd"/>
      <w:r>
        <w:t>.</w:t>
      </w:r>
    </w:p>
    <w:tbl>
      <w:tblPr>
        <w:tblW w:w="5620" w:type="dxa"/>
        <w:jc w:val="center"/>
        <w:tblCellMar>
          <w:left w:w="70" w:type="dxa"/>
          <w:right w:w="70" w:type="dxa"/>
        </w:tblCellMar>
        <w:tblLook w:val="04A0" w:firstRow="1" w:lastRow="0" w:firstColumn="1" w:lastColumn="0" w:noHBand="0" w:noVBand="1"/>
      </w:tblPr>
      <w:tblGrid>
        <w:gridCol w:w="1434"/>
        <w:gridCol w:w="1274"/>
        <w:gridCol w:w="1274"/>
        <w:gridCol w:w="947"/>
        <w:gridCol w:w="691"/>
      </w:tblGrid>
      <w:tr w:rsidR="003F1341" w:rsidRPr="003F1341" w14:paraId="5DA149F4" w14:textId="77777777" w:rsidTr="0FCC8A84">
        <w:trPr>
          <w:trHeight w:val="270"/>
          <w:jc w:val="center"/>
        </w:trPr>
        <w:tc>
          <w:tcPr>
            <w:tcW w:w="5620" w:type="dxa"/>
            <w:gridSpan w:val="5"/>
            <w:tcBorders>
              <w:top w:val="nil"/>
              <w:left w:val="nil"/>
              <w:bottom w:val="nil"/>
              <w:right w:val="nil"/>
            </w:tcBorders>
            <w:shd w:val="clear" w:color="auto" w:fill="auto"/>
            <w:noWrap/>
            <w:vAlign w:val="bottom"/>
            <w:hideMark/>
          </w:tcPr>
          <w:p w14:paraId="3701DDA8" w14:textId="554836F8" w:rsidR="003F1341" w:rsidRPr="003F1341" w:rsidRDefault="008174C4" w:rsidP="0FCC8A84">
            <w:pPr>
              <w:spacing w:before="120"/>
              <w:jc w:val="center"/>
              <w:rPr>
                <w:b/>
                <w:bCs/>
                <w:color w:val="000000" w:themeColor="text1"/>
                <w:sz w:val="20"/>
              </w:rPr>
            </w:pPr>
            <w:r>
              <w:br w:type="page"/>
            </w:r>
            <w:r w:rsidR="0FCC8A84" w:rsidRPr="0FCC8A84">
              <w:rPr>
                <w:b/>
                <w:bCs/>
                <w:color w:val="000000" w:themeColor="text1"/>
                <w:sz w:val="20"/>
              </w:rPr>
              <w:t>Személyi jövedelemadó bevétel alakulása (milliárd forint)</w:t>
            </w:r>
          </w:p>
        </w:tc>
      </w:tr>
      <w:tr w:rsidR="003F1341" w:rsidRPr="003F1341" w14:paraId="28FCE067" w14:textId="77777777" w:rsidTr="0FCC8A84">
        <w:trPr>
          <w:trHeight w:val="450"/>
          <w:jc w:val="center"/>
        </w:trPr>
        <w:tc>
          <w:tcPr>
            <w:tcW w:w="1434" w:type="dxa"/>
            <w:vMerge w:val="restart"/>
            <w:tcBorders>
              <w:top w:val="single" w:sz="8" w:space="0" w:color="auto"/>
              <w:left w:val="single" w:sz="8" w:space="0" w:color="auto"/>
              <w:bottom w:val="single" w:sz="8" w:space="0" w:color="000000" w:themeColor="text1"/>
              <w:right w:val="single" w:sz="8" w:space="0" w:color="auto"/>
            </w:tcBorders>
            <w:shd w:val="clear" w:color="auto" w:fill="auto"/>
            <w:noWrap/>
            <w:vAlign w:val="center"/>
            <w:hideMark/>
          </w:tcPr>
          <w:p w14:paraId="665D9E31" w14:textId="77777777" w:rsidR="003F1341" w:rsidRPr="003F1341" w:rsidRDefault="0FCC8A84" w:rsidP="0FCC8A84">
            <w:pPr>
              <w:spacing w:after="0"/>
              <w:jc w:val="center"/>
              <w:rPr>
                <w:b/>
                <w:bCs/>
                <w:color w:val="000000" w:themeColor="text1"/>
                <w:sz w:val="20"/>
              </w:rPr>
            </w:pPr>
            <w:r w:rsidRPr="0FCC8A84">
              <w:rPr>
                <w:b/>
                <w:bCs/>
                <w:color w:val="000000" w:themeColor="text1"/>
                <w:sz w:val="20"/>
              </w:rPr>
              <w:t>Megnevezés</w:t>
            </w:r>
          </w:p>
        </w:tc>
        <w:tc>
          <w:tcPr>
            <w:tcW w:w="1274"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308A9D09" w14:textId="34A57070" w:rsidR="003F1341" w:rsidRPr="003F1341" w:rsidRDefault="0FCC8A84" w:rsidP="0FCC8A84">
            <w:pPr>
              <w:spacing w:after="0"/>
              <w:jc w:val="center"/>
              <w:rPr>
                <w:b/>
                <w:bCs/>
                <w:sz w:val="20"/>
              </w:rPr>
            </w:pPr>
            <w:r w:rsidRPr="0FCC8A84">
              <w:rPr>
                <w:b/>
                <w:bCs/>
                <w:sz w:val="20"/>
              </w:rPr>
              <w:t>2020.</w:t>
            </w:r>
            <w:r w:rsidR="6B0A3B39">
              <w:br/>
            </w:r>
            <w:r w:rsidR="00E572F3">
              <w:rPr>
                <w:b/>
                <w:bCs/>
                <w:sz w:val="20"/>
              </w:rPr>
              <w:t>I-</w:t>
            </w:r>
            <w:r w:rsidRPr="0FCC8A84">
              <w:rPr>
                <w:b/>
                <w:bCs/>
                <w:sz w:val="20"/>
              </w:rPr>
              <w:t>V. hó</w:t>
            </w:r>
          </w:p>
        </w:tc>
        <w:tc>
          <w:tcPr>
            <w:tcW w:w="1274"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50B736F0" w14:textId="5976C190" w:rsidR="003F1341" w:rsidRPr="003F1341" w:rsidRDefault="0FCC8A84" w:rsidP="0FCC8A84">
            <w:pPr>
              <w:spacing w:after="0"/>
              <w:jc w:val="center"/>
              <w:rPr>
                <w:b/>
                <w:bCs/>
                <w:sz w:val="20"/>
              </w:rPr>
            </w:pPr>
            <w:r w:rsidRPr="0FCC8A84">
              <w:rPr>
                <w:b/>
                <w:bCs/>
                <w:sz w:val="20"/>
              </w:rPr>
              <w:t>2021.</w:t>
            </w:r>
            <w:r w:rsidR="6B0A3B39">
              <w:br/>
            </w:r>
            <w:r w:rsidR="00E572F3">
              <w:rPr>
                <w:b/>
                <w:bCs/>
                <w:sz w:val="20"/>
              </w:rPr>
              <w:t>I-</w:t>
            </w:r>
            <w:r w:rsidRPr="0FCC8A84">
              <w:rPr>
                <w:b/>
                <w:bCs/>
                <w:sz w:val="20"/>
              </w:rPr>
              <w:t>V. hó</w:t>
            </w:r>
          </w:p>
        </w:tc>
        <w:tc>
          <w:tcPr>
            <w:tcW w:w="1638" w:type="dxa"/>
            <w:gridSpan w:val="2"/>
            <w:tcBorders>
              <w:top w:val="single" w:sz="8" w:space="0" w:color="auto"/>
              <w:left w:val="single" w:sz="4" w:space="0" w:color="auto"/>
              <w:bottom w:val="single" w:sz="4" w:space="0" w:color="auto"/>
              <w:right w:val="single" w:sz="8" w:space="0" w:color="000000" w:themeColor="text1"/>
            </w:tcBorders>
            <w:shd w:val="clear" w:color="auto" w:fill="auto"/>
            <w:noWrap/>
            <w:vAlign w:val="center"/>
            <w:hideMark/>
          </w:tcPr>
          <w:p w14:paraId="1FC378C5" w14:textId="77777777" w:rsidR="003F1341" w:rsidRPr="003F1341" w:rsidRDefault="0FCC8A84" w:rsidP="0FCC8A84">
            <w:pPr>
              <w:spacing w:after="0"/>
              <w:jc w:val="center"/>
              <w:rPr>
                <w:b/>
                <w:bCs/>
                <w:color w:val="000000" w:themeColor="text1"/>
                <w:sz w:val="20"/>
              </w:rPr>
            </w:pPr>
            <w:r w:rsidRPr="0FCC8A84">
              <w:rPr>
                <w:b/>
                <w:bCs/>
                <w:color w:val="000000" w:themeColor="text1"/>
                <w:sz w:val="20"/>
              </w:rPr>
              <w:t>Eltérés</w:t>
            </w:r>
          </w:p>
        </w:tc>
      </w:tr>
      <w:tr w:rsidR="003F1341" w:rsidRPr="003F1341" w14:paraId="04B141FD" w14:textId="77777777" w:rsidTr="0FCC8A84">
        <w:trPr>
          <w:trHeight w:val="690"/>
          <w:jc w:val="center"/>
        </w:trPr>
        <w:tc>
          <w:tcPr>
            <w:tcW w:w="1434" w:type="dxa"/>
            <w:vMerge/>
            <w:tcBorders>
              <w:top w:val="single" w:sz="8" w:space="0" w:color="auto"/>
              <w:left w:val="single" w:sz="8" w:space="0" w:color="auto"/>
              <w:bottom w:val="single" w:sz="8" w:space="0" w:color="000000"/>
              <w:right w:val="single" w:sz="8" w:space="0" w:color="auto"/>
            </w:tcBorders>
            <w:vAlign w:val="center"/>
            <w:hideMark/>
          </w:tcPr>
          <w:p w14:paraId="0839AA29" w14:textId="77777777" w:rsidR="003F1341" w:rsidRPr="003F1341" w:rsidRDefault="003F1341" w:rsidP="003F1341">
            <w:pPr>
              <w:spacing w:after="0"/>
              <w:jc w:val="left"/>
              <w:rPr>
                <w:b/>
                <w:bCs/>
                <w:color w:val="000000"/>
                <w:sz w:val="20"/>
              </w:rPr>
            </w:pPr>
          </w:p>
        </w:tc>
        <w:tc>
          <w:tcPr>
            <w:tcW w:w="1274" w:type="dxa"/>
            <w:vMerge/>
            <w:tcBorders>
              <w:top w:val="single" w:sz="8" w:space="0" w:color="auto"/>
              <w:left w:val="single" w:sz="8" w:space="0" w:color="auto"/>
              <w:bottom w:val="single" w:sz="8" w:space="0" w:color="000000"/>
              <w:right w:val="single" w:sz="8" w:space="0" w:color="auto"/>
            </w:tcBorders>
            <w:vAlign w:val="center"/>
            <w:hideMark/>
          </w:tcPr>
          <w:p w14:paraId="27419919" w14:textId="77777777" w:rsidR="003F1341" w:rsidRPr="003F1341" w:rsidRDefault="003F1341" w:rsidP="003F1341">
            <w:pPr>
              <w:spacing w:after="0"/>
              <w:jc w:val="left"/>
              <w:rPr>
                <w:b/>
                <w:bCs/>
                <w:sz w:val="20"/>
              </w:rPr>
            </w:pPr>
          </w:p>
        </w:tc>
        <w:tc>
          <w:tcPr>
            <w:tcW w:w="1274" w:type="dxa"/>
            <w:vMerge/>
            <w:tcBorders>
              <w:top w:val="single" w:sz="8" w:space="0" w:color="auto"/>
              <w:left w:val="single" w:sz="8" w:space="0" w:color="auto"/>
              <w:bottom w:val="single" w:sz="8" w:space="0" w:color="000000"/>
              <w:right w:val="single" w:sz="8" w:space="0" w:color="auto"/>
            </w:tcBorders>
            <w:vAlign w:val="center"/>
            <w:hideMark/>
          </w:tcPr>
          <w:p w14:paraId="1A9B2262" w14:textId="77777777" w:rsidR="003F1341" w:rsidRPr="003F1341" w:rsidRDefault="003F1341" w:rsidP="003F1341">
            <w:pPr>
              <w:spacing w:after="0"/>
              <w:jc w:val="left"/>
              <w:rPr>
                <w:b/>
                <w:bCs/>
                <w:sz w:val="20"/>
              </w:rPr>
            </w:pPr>
          </w:p>
        </w:tc>
        <w:tc>
          <w:tcPr>
            <w:tcW w:w="947" w:type="dxa"/>
            <w:tcBorders>
              <w:top w:val="nil"/>
              <w:left w:val="single" w:sz="4" w:space="0" w:color="auto"/>
              <w:bottom w:val="single" w:sz="8" w:space="0" w:color="auto"/>
              <w:right w:val="single" w:sz="4" w:space="0" w:color="auto"/>
            </w:tcBorders>
            <w:shd w:val="clear" w:color="auto" w:fill="auto"/>
            <w:noWrap/>
            <w:vAlign w:val="center"/>
            <w:hideMark/>
          </w:tcPr>
          <w:p w14:paraId="4C82DC52" w14:textId="77777777" w:rsidR="003F1341" w:rsidRPr="003F1341" w:rsidRDefault="0FCC8A84" w:rsidP="0FCC8A84">
            <w:pPr>
              <w:spacing w:after="0"/>
              <w:jc w:val="center"/>
              <w:rPr>
                <w:b/>
                <w:bCs/>
                <w:color w:val="000000" w:themeColor="text1"/>
                <w:sz w:val="20"/>
              </w:rPr>
            </w:pPr>
            <w:r w:rsidRPr="0FCC8A84">
              <w:rPr>
                <w:b/>
                <w:bCs/>
                <w:color w:val="000000" w:themeColor="text1"/>
                <w:sz w:val="20"/>
              </w:rPr>
              <w:t>Mrd Ft</w:t>
            </w:r>
          </w:p>
        </w:tc>
        <w:tc>
          <w:tcPr>
            <w:tcW w:w="691" w:type="dxa"/>
            <w:tcBorders>
              <w:top w:val="nil"/>
              <w:left w:val="nil"/>
              <w:bottom w:val="single" w:sz="8" w:space="0" w:color="auto"/>
              <w:right w:val="single" w:sz="8" w:space="0" w:color="auto"/>
            </w:tcBorders>
            <w:shd w:val="clear" w:color="auto" w:fill="auto"/>
            <w:noWrap/>
            <w:vAlign w:val="center"/>
            <w:hideMark/>
          </w:tcPr>
          <w:p w14:paraId="534B2402" w14:textId="77777777" w:rsidR="003F1341" w:rsidRPr="003F1341" w:rsidRDefault="0FCC8A84" w:rsidP="0FCC8A84">
            <w:pPr>
              <w:spacing w:after="0"/>
              <w:jc w:val="center"/>
              <w:rPr>
                <w:b/>
                <w:bCs/>
                <w:color w:val="000000" w:themeColor="text1"/>
                <w:sz w:val="20"/>
              </w:rPr>
            </w:pPr>
            <w:r w:rsidRPr="0FCC8A84">
              <w:rPr>
                <w:b/>
                <w:bCs/>
                <w:color w:val="000000" w:themeColor="text1"/>
                <w:sz w:val="20"/>
              </w:rPr>
              <w:t>%</w:t>
            </w:r>
          </w:p>
        </w:tc>
      </w:tr>
      <w:tr w:rsidR="00E572F3" w:rsidRPr="00E572F3" w14:paraId="3312DFB3" w14:textId="77777777" w:rsidTr="0FCC8A84">
        <w:trPr>
          <w:trHeight w:val="270"/>
          <w:jc w:val="center"/>
        </w:trPr>
        <w:tc>
          <w:tcPr>
            <w:tcW w:w="1434" w:type="dxa"/>
            <w:tcBorders>
              <w:top w:val="nil"/>
              <w:left w:val="single" w:sz="8" w:space="0" w:color="auto"/>
              <w:bottom w:val="single" w:sz="4" w:space="0" w:color="auto"/>
              <w:right w:val="single" w:sz="8" w:space="0" w:color="auto"/>
            </w:tcBorders>
            <w:shd w:val="clear" w:color="auto" w:fill="auto"/>
            <w:noWrap/>
            <w:vAlign w:val="center"/>
            <w:hideMark/>
          </w:tcPr>
          <w:p w14:paraId="1F3D318C" w14:textId="77777777" w:rsidR="00E572F3" w:rsidRPr="000912AA" w:rsidRDefault="00E572F3" w:rsidP="00E572F3">
            <w:pPr>
              <w:spacing w:after="0"/>
              <w:jc w:val="center"/>
              <w:rPr>
                <w:b/>
                <w:bCs/>
                <w:sz w:val="20"/>
              </w:rPr>
            </w:pPr>
            <w:r w:rsidRPr="0FCC8A84">
              <w:rPr>
                <w:b/>
                <w:bCs/>
                <w:sz w:val="20"/>
              </w:rPr>
              <w:t>Befizetés</w:t>
            </w:r>
          </w:p>
        </w:tc>
        <w:tc>
          <w:tcPr>
            <w:tcW w:w="1274" w:type="dxa"/>
            <w:tcBorders>
              <w:top w:val="nil"/>
              <w:left w:val="single" w:sz="8" w:space="0" w:color="auto"/>
              <w:bottom w:val="single" w:sz="4" w:space="0" w:color="auto"/>
              <w:right w:val="single" w:sz="8" w:space="0" w:color="auto"/>
            </w:tcBorders>
            <w:shd w:val="clear" w:color="auto" w:fill="auto"/>
            <w:noWrap/>
          </w:tcPr>
          <w:p w14:paraId="09A288E7" w14:textId="2765217A" w:rsidR="00E572F3" w:rsidRPr="00E572F3" w:rsidRDefault="00E572F3" w:rsidP="00E572F3">
            <w:pPr>
              <w:spacing w:after="0"/>
              <w:jc w:val="right"/>
              <w:rPr>
                <w:sz w:val="22"/>
                <w:szCs w:val="22"/>
              </w:rPr>
            </w:pPr>
            <w:r w:rsidRPr="00E572F3">
              <w:rPr>
                <w:sz w:val="22"/>
                <w:szCs w:val="22"/>
              </w:rPr>
              <w:t>1 139,3</w:t>
            </w:r>
          </w:p>
        </w:tc>
        <w:tc>
          <w:tcPr>
            <w:tcW w:w="1274" w:type="dxa"/>
            <w:tcBorders>
              <w:top w:val="nil"/>
              <w:left w:val="nil"/>
              <w:bottom w:val="single" w:sz="4" w:space="0" w:color="auto"/>
              <w:right w:val="nil"/>
            </w:tcBorders>
            <w:shd w:val="clear" w:color="auto" w:fill="auto"/>
            <w:noWrap/>
          </w:tcPr>
          <w:p w14:paraId="3B6AAC82" w14:textId="47D3E05D" w:rsidR="00E572F3" w:rsidRPr="00E572F3" w:rsidRDefault="00E572F3" w:rsidP="00E572F3">
            <w:pPr>
              <w:spacing w:after="0"/>
              <w:jc w:val="right"/>
              <w:rPr>
                <w:sz w:val="22"/>
                <w:szCs w:val="22"/>
              </w:rPr>
            </w:pPr>
            <w:r w:rsidRPr="00E572F3">
              <w:rPr>
                <w:sz w:val="22"/>
                <w:szCs w:val="22"/>
              </w:rPr>
              <w:t>1 262,3</w:t>
            </w:r>
          </w:p>
        </w:tc>
        <w:tc>
          <w:tcPr>
            <w:tcW w:w="947" w:type="dxa"/>
            <w:tcBorders>
              <w:top w:val="single" w:sz="8" w:space="0" w:color="auto"/>
              <w:left w:val="single" w:sz="8" w:space="0" w:color="auto"/>
              <w:bottom w:val="single" w:sz="4" w:space="0" w:color="auto"/>
              <w:right w:val="single" w:sz="4" w:space="0" w:color="auto"/>
            </w:tcBorders>
            <w:shd w:val="clear" w:color="auto" w:fill="auto"/>
            <w:noWrap/>
          </w:tcPr>
          <w:p w14:paraId="0668BF9C" w14:textId="076ED81B" w:rsidR="00E572F3" w:rsidRPr="00E572F3" w:rsidRDefault="00E572F3" w:rsidP="0059297B">
            <w:pPr>
              <w:spacing w:after="0"/>
              <w:jc w:val="right"/>
              <w:rPr>
                <w:sz w:val="22"/>
                <w:szCs w:val="22"/>
              </w:rPr>
            </w:pPr>
            <w:r w:rsidRPr="00E572F3">
              <w:rPr>
                <w:sz w:val="22"/>
                <w:szCs w:val="22"/>
              </w:rPr>
              <w:t>12</w:t>
            </w:r>
            <w:r w:rsidR="0059297B">
              <w:rPr>
                <w:sz w:val="22"/>
                <w:szCs w:val="22"/>
              </w:rPr>
              <w:t>3,0</w:t>
            </w:r>
          </w:p>
        </w:tc>
        <w:tc>
          <w:tcPr>
            <w:tcW w:w="691" w:type="dxa"/>
            <w:tcBorders>
              <w:top w:val="single" w:sz="8" w:space="0" w:color="auto"/>
              <w:left w:val="nil"/>
              <w:bottom w:val="single" w:sz="4" w:space="0" w:color="auto"/>
              <w:right w:val="single" w:sz="8" w:space="0" w:color="auto"/>
            </w:tcBorders>
            <w:shd w:val="clear" w:color="auto" w:fill="auto"/>
            <w:noWrap/>
          </w:tcPr>
          <w:p w14:paraId="7B8B88FA" w14:textId="4E95226F" w:rsidR="00E572F3" w:rsidRPr="00E572F3" w:rsidRDefault="00E572F3" w:rsidP="00E572F3">
            <w:pPr>
              <w:spacing w:after="0"/>
              <w:jc w:val="right"/>
              <w:rPr>
                <w:color w:val="000000" w:themeColor="text1"/>
                <w:sz w:val="22"/>
                <w:szCs w:val="22"/>
              </w:rPr>
            </w:pPr>
            <w:r w:rsidRPr="00E572F3">
              <w:rPr>
                <w:sz w:val="22"/>
                <w:szCs w:val="22"/>
              </w:rPr>
              <w:t>110,8</w:t>
            </w:r>
          </w:p>
        </w:tc>
      </w:tr>
      <w:tr w:rsidR="00E572F3" w:rsidRPr="00E572F3" w14:paraId="77B87138" w14:textId="77777777" w:rsidTr="0FCC8A84">
        <w:trPr>
          <w:trHeight w:val="285"/>
          <w:jc w:val="center"/>
        </w:trPr>
        <w:tc>
          <w:tcPr>
            <w:tcW w:w="1434" w:type="dxa"/>
            <w:tcBorders>
              <w:top w:val="nil"/>
              <w:left w:val="single" w:sz="8" w:space="0" w:color="auto"/>
              <w:bottom w:val="single" w:sz="4" w:space="0" w:color="auto"/>
              <w:right w:val="single" w:sz="8" w:space="0" w:color="auto"/>
            </w:tcBorders>
            <w:shd w:val="clear" w:color="auto" w:fill="auto"/>
            <w:noWrap/>
            <w:vAlign w:val="center"/>
            <w:hideMark/>
          </w:tcPr>
          <w:p w14:paraId="761C99AF" w14:textId="77777777" w:rsidR="00E572F3" w:rsidRPr="000912AA" w:rsidRDefault="00E572F3" w:rsidP="00E572F3">
            <w:pPr>
              <w:spacing w:after="0"/>
              <w:jc w:val="center"/>
              <w:rPr>
                <w:b/>
                <w:bCs/>
                <w:sz w:val="20"/>
              </w:rPr>
            </w:pPr>
            <w:r w:rsidRPr="0FCC8A84">
              <w:rPr>
                <w:b/>
                <w:bCs/>
                <w:sz w:val="20"/>
              </w:rPr>
              <w:t>Kiutalás</w:t>
            </w:r>
          </w:p>
        </w:tc>
        <w:tc>
          <w:tcPr>
            <w:tcW w:w="1274" w:type="dxa"/>
            <w:tcBorders>
              <w:top w:val="nil"/>
              <w:left w:val="single" w:sz="8" w:space="0" w:color="auto"/>
              <w:bottom w:val="single" w:sz="4" w:space="0" w:color="auto"/>
              <w:right w:val="single" w:sz="8" w:space="0" w:color="auto"/>
            </w:tcBorders>
            <w:shd w:val="clear" w:color="auto" w:fill="auto"/>
            <w:noWrap/>
          </w:tcPr>
          <w:p w14:paraId="4240CF9A" w14:textId="026843A8" w:rsidR="00E572F3" w:rsidRPr="00E572F3" w:rsidRDefault="00E572F3" w:rsidP="00E572F3">
            <w:pPr>
              <w:spacing w:after="0"/>
              <w:jc w:val="right"/>
              <w:rPr>
                <w:sz w:val="22"/>
                <w:szCs w:val="22"/>
              </w:rPr>
            </w:pPr>
            <w:r w:rsidRPr="00E572F3">
              <w:rPr>
                <w:sz w:val="22"/>
                <w:szCs w:val="22"/>
              </w:rPr>
              <w:t>87,9</w:t>
            </w:r>
          </w:p>
        </w:tc>
        <w:tc>
          <w:tcPr>
            <w:tcW w:w="1274" w:type="dxa"/>
            <w:tcBorders>
              <w:top w:val="nil"/>
              <w:left w:val="nil"/>
              <w:bottom w:val="single" w:sz="4" w:space="0" w:color="auto"/>
              <w:right w:val="nil"/>
            </w:tcBorders>
            <w:shd w:val="clear" w:color="auto" w:fill="auto"/>
            <w:noWrap/>
          </w:tcPr>
          <w:p w14:paraId="4B69188B" w14:textId="6F769EEB" w:rsidR="00E572F3" w:rsidRPr="00E572F3" w:rsidRDefault="00E572F3" w:rsidP="00E572F3">
            <w:pPr>
              <w:spacing w:after="0"/>
              <w:jc w:val="right"/>
              <w:rPr>
                <w:sz w:val="22"/>
                <w:szCs w:val="22"/>
              </w:rPr>
            </w:pPr>
            <w:r w:rsidRPr="00E572F3">
              <w:rPr>
                <w:sz w:val="22"/>
                <w:szCs w:val="22"/>
              </w:rPr>
              <w:t>96,1</w:t>
            </w:r>
          </w:p>
        </w:tc>
        <w:tc>
          <w:tcPr>
            <w:tcW w:w="947" w:type="dxa"/>
            <w:tcBorders>
              <w:top w:val="nil"/>
              <w:left w:val="single" w:sz="8" w:space="0" w:color="auto"/>
              <w:bottom w:val="single" w:sz="4" w:space="0" w:color="auto"/>
              <w:right w:val="single" w:sz="4" w:space="0" w:color="auto"/>
            </w:tcBorders>
            <w:shd w:val="clear" w:color="auto" w:fill="auto"/>
            <w:noWrap/>
          </w:tcPr>
          <w:p w14:paraId="19DF5EEB" w14:textId="1AEF754B" w:rsidR="00E572F3" w:rsidRPr="00E572F3" w:rsidRDefault="00E572F3" w:rsidP="00E572F3">
            <w:pPr>
              <w:spacing w:after="0"/>
              <w:jc w:val="right"/>
              <w:rPr>
                <w:sz w:val="22"/>
                <w:szCs w:val="22"/>
              </w:rPr>
            </w:pPr>
            <w:r w:rsidRPr="00E572F3">
              <w:rPr>
                <w:sz w:val="22"/>
                <w:szCs w:val="22"/>
              </w:rPr>
              <w:t>8,2</w:t>
            </w:r>
          </w:p>
        </w:tc>
        <w:tc>
          <w:tcPr>
            <w:tcW w:w="691" w:type="dxa"/>
            <w:tcBorders>
              <w:top w:val="nil"/>
              <w:left w:val="nil"/>
              <w:bottom w:val="single" w:sz="4" w:space="0" w:color="auto"/>
              <w:right w:val="single" w:sz="8" w:space="0" w:color="auto"/>
            </w:tcBorders>
            <w:shd w:val="clear" w:color="auto" w:fill="auto"/>
            <w:noWrap/>
          </w:tcPr>
          <w:p w14:paraId="29492FB8" w14:textId="3B43335A" w:rsidR="00E572F3" w:rsidRPr="00E572F3" w:rsidRDefault="00E572F3" w:rsidP="00E572F3">
            <w:pPr>
              <w:spacing w:after="0"/>
              <w:jc w:val="right"/>
              <w:rPr>
                <w:color w:val="000000" w:themeColor="text1"/>
                <w:sz w:val="22"/>
                <w:szCs w:val="22"/>
              </w:rPr>
            </w:pPr>
            <w:r w:rsidRPr="00E572F3">
              <w:rPr>
                <w:sz w:val="22"/>
                <w:szCs w:val="22"/>
              </w:rPr>
              <w:t>109,3</w:t>
            </w:r>
          </w:p>
        </w:tc>
      </w:tr>
      <w:tr w:rsidR="00E572F3" w:rsidRPr="00E572F3" w14:paraId="4DC8FA19" w14:textId="77777777" w:rsidTr="0FCC8A84">
        <w:trPr>
          <w:trHeight w:val="270"/>
          <w:jc w:val="center"/>
        </w:trPr>
        <w:tc>
          <w:tcPr>
            <w:tcW w:w="1434" w:type="dxa"/>
            <w:tcBorders>
              <w:top w:val="nil"/>
              <w:left w:val="single" w:sz="8" w:space="0" w:color="auto"/>
              <w:bottom w:val="single" w:sz="8" w:space="0" w:color="auto"/>
              <w:right w:val="single" w:sz="8" w:space="0" w:color="auto"/>
            </w:tcBorders>
            <w:shd w:val="clear" w:color="auto" w:fill="auto"/>
            <w:noWrap/>
            <w:vAlign w:val="center"/>
            <w:hideMark/>
          </w:tcPr>
          <w:p w14:paraId="79DC6734" w14:textId="77777777" w:rsidR="00E572F3" w:rsidRPr="000912AA" w:rsidRDefault="00E572F3" w:rsidP="00E572F3">
            <w:pPr>
              <w:spacing w:after="0"/>
              <w:jc w:val="center"/>
              <w:rPr>
                <w:b/>
                <w:bCs/>
                <w:sz w:val="20"/>
              </w:rPr>
            </w:pPr>
            <w:r w:rsidRPr="0FCC8A84">
              <w:rPr>
                <w:b/>
                <w:bCs/>
                <w:sz w:val="20"/>
              </w:rPr>
              <w:t>Egyenleg</w:t>
            </w:r>
          </w:p>
        </w:tc>
        <w:tc>
          <w:tcPr>
            <w:tcW w:w="1274" w:type="dxa"/>
            <w:tcBorders>
              <w:top w:val="nil"/>
              <w:left w:val="single" w:sz="8" w:space="0" w:color="auto"/>
              <w:bottom w:val="single" w:sz="8" w:space="0" w:color="auto"/>
              <w:right w:val="single" w:sz="8" w:space="0" w:color="auto"/>
            </w:tcBorders>
            <w:shd w:val="clear" w:color="auto" w:fill="auto"/>
            <w:noWrap/>
          </w:tcPr>
          <w:p w14:paraId="17702B75" w14:textId="0F33D32F" w:rsidR="00E572F3" w:rsidRPr="00E572F3" w:rsidRDefault="00E572F3" w:rsidP="00E572F3">
            <w:pPr>
              <w:spacing w:after="0"/>
              <w:jc w:val="right"/>
              <w:rPr>
                <w:b/>
                <w:bCs/>
                <w:sz w:val="22"/>
                <w:szCs w:val="22"/>
              </w:rPr>
            </w:pPr>
            <w:r w:rsidRPr="00E572F3">
              <w:rPr>
                <w:b/>
                <w:sz w:val="22"/>
                <w:szCs w:val="22"/>
              </w:rPr>
              <w:t>1 051,4</w:t>
            </w:r>
          </w:p>
        </w:tc>
        <w:tc>
          <w:tcPr>
            <w:tcW w:w="1274" w:type="dxa"/>
            <w:tcBorders>
              <w:top w:val="nil"/>
              <w:left w:val="nil"/>
              <w:bottom w:val="single" w:sz="8" w:space="0" w:color="auto"/>
              <w:right w:val="nil"/>
            </w:tcBorders>
            <w:shd w:val="clear" w:color="auto" w:fill="auto"/>
            <w:noWrap/>
          </w:tcPr>
          <w:p w14:paraId="453FDAD4" w14:textId="00C58F35" w:rsidR="00E572F3" w:rsidRPr="00E572F3" w:rsidRDefault="00E572F3" w:rsidP="00E572F3">
            <w:pPr>
              <w:spacing w:after="0"/>
              <w:jc w:val="right"/>
              <w:rPr>
                <w:b/>
                <w:bCs/>
                <w:sz w:val="22"/>
                <w:szCs w:val="22"/>
              </w:rPr>
            </w:pPr>
            <w:r w:rsidRPr="00E572F3">
              <w:rPr>
                <w:b/>
                <w:sz w:val="22"/>
                <w:szCs w:val="22"/>
              </w:rPr>
              <w:t>1 166,2</w:t>
            </w:r>
          </w:p>
        </w:tc>
        <w:tc>
          <w:tcPr>
            <w:tcW w:w="947" w:type="dxa"/>
            <w:tcBorders>
              <w:top w:val="nil"/>
              <w:left w:val="single" w:sz="8" w:space="0" w:color="auto"/>
              <w:bottom w:val="single" w:sz="8" w:space="0" w:color="auto"/>
              <w:right w:val="single" w:sz="4" w:space="0" w:color="auto"/>
            </w:tcBorders>
            <w:shd w:val="clear" w:color="auto" w:fill="auto"/>
            <w:noWrap/>
          </w:tcPr>
          <w:p w14:paraId="3DBAE11D" w14:textId="3F6E640C" w:rsidR="00E572F3" w:rsidRPr="00E572F3" w:rsidRDefault="00E572F3" w:rsidP="0059297B">
            <w:pPr>
              <w:spacing w:after="0"/>
              <w:jc w:val="right"/>
              <w:rPr>
                <w:b/>
                <w:bCs/>
                <w:sz w:val="22"/>
                <w:szCs w:val="22"/>
              </w:rPr>
            </w:pPr>
            <w:r w:rsidRPr="00E572F3">
              <w:rPr>
                <w:b/>
                <w:sz w:val="22"/>
                <w:szCs w:val="22"/>
              </w:rPr>
              <w:t>114,</w:t>
            </w:r>
            <w:r w:rsidR="0059297B">
              <w:rPr>
                <w:b/>
                <w:sz w:val="22"/>
                <w:szCs w:val="22"/>
              </w:rPr>
              <w:t>8</w:t>
            </w:r>
          </w:p>
        </w:tc>
        <w:tc>
          <w:tcPr>
            <w:tcW w:w="691" w:type="dxa"/>
            <w:tcBorders>
              <w:top w:val="nil"/>
              <w:left w:val="nil"/>
              <w:bottom w:val="single" w:sz="8" w:space="0" w:color="auto"/>
              <w:right w:val="single" w:sz="8" w:space="0" w:color="auto"/>
            </w:tcBorders>
            <w:shd w:val="clear" w:color="auto" w:fill="auto"/>
            <w:noWrap/>
          </w:tcPr>
          <w:p w14:paraId="455AF72B" w14:textId="378A21C9" w:rsidR="00E572F3" w:rsidRPr="00E572F3" w:rsidRDefault="00E572F3" w:rsidP="00E572F3">
            <w:pPr>
              <w:spacing w:after="0"/>
              <w:jc w:val="right"/>
              <w:rPr>
                <w:b/>
                <w:bCs/>
                <w:color w:val="000000" w:themeColor="text1"/>
                <w:sz w:val="22"/>
                <w:szCs w:val="22"/>
              </w:rPr>
            </w:pPr>
            <w:r w:rsidRPr="00E572F3">
              <w:rPr>
                <w:b/>
                <w:sz w:val="22"/>
                <w:szCs w:val="22"/>
              </w:rPr>
              <w:t>110,9</w:t>
            </w:r>
          </w:p>
        </w:tc>
      </w:tr>
    </w:tbl>
    <w:p w14:paraId="7C43E819" w14:textId="77777777" w:rsidR="001149F9" w:rsidRPr="000912AA" w:rsidRDefault="001149F9" w:rsidP="27083F14">
      <w:pPr>
        <w:rPr>
          <w:rFonts w:cs="Tahoma"/>
          <w:color w:val="000000" w:themeColor="text1"/>
          <w:sz w:val="20"/>
        </w:rPr>
      </w:pPr>
    </w:p>
    <w:p w14:paraId="1F7E68ED" w14:textId="44A49E4F" w:rsidR="009D4468" w:rsidRPr="009D4468" w:rsidRDefault="0FCC8A84" w:rsidP="0FCC8A84">
      <w:pPr>
        <w:rPr>
          <w:rFonts w:cs="Tahoma"/>
          <w:color w:val="000000" w:themeColor="text1"/>
        </w:rPr>
      </w:pPr>
      <w:r w:rsidRPr="0FCC8A84">
        <w:rPr>
          <w:rFonts w:cs="Tahoma"/>
          <w:color w:val="000000" w:themeColor="text1"/>
        </w:rPr>
        <w:t>A „</w:t>
      </w:r>
      <w:r w:rsidRPr="0FCC8A84">
        <w:rPr>
          <w:rFonts w:cs="Tahoma"/>
          <w:b/>
          <w:bCs/>
          <w:color w:val="000000" w:themeColor="text1"/>
        </w:rPr>
        <w:t>Központi Maradványalapba történő befizetések</w:t>
      </w:r>
      <w:r w:rsidRPr="0FCC8A84">
        <w:rPr>
          <w:rFonts w:cs="Tahoma"/>
          <w:color w:val="000000" w:themeColor="text1"/>
        </w:rPr>
        <w:t>” mérlegsorra a költségvetési szervek előirányzatai és a szakmai fejezeti kezelésű előirányzatok terhére 2021 első öt hónapjában összesen 319,0 milliárd forint maradvány került befizetésre, szemben az előző évi május végi 302,8 milliárd forintos összeggel.</w:t>
      </w:r>
    </w:p>
    <w:p w14:paraId="699A519F" w14:textId="10D8AF53" w:rsidR="7A495620" w:rsidRDefault="78955726" w:rsidP="7A495620">
      <w:pPr>
        <w:rPr>
          <w:szCs w:val="26"/>
        </w:rPr>
      </w:pPr>
      <w:r>
        <w:t xml:space="preserve">Az </w:t>
      </w:r>
      <w:r w:rsidRPr="78955726">
        <w:rPr>
          <w:b/>
          <w:bCs/>
        </w:rPr>
        <w:t>állami vagyonnal kapcsolatos befizetések</w:t>
      </w:r>
      <w:r>
        <w:t xml:space="preserve"> összege május végéig 71,6 milliárd forint volt, melynek meghatározó tétele a kibocsátási egységek értékesítéséből származó 48,6 milliárd forint</w:t>
      </w:r>
      <w:r w:rsidR="00E34663">
        <w:t>os bevétel</w:t>
      </w:r>
      <w:r>
        <w:t>. Ez</w:t>
      </w:r>
      <w:r w:rsidR="00FF42CE">
        <w:t xml:space="preserve"> utóbbi</w:t>
      </w:r>
      <w:r>
        <w:t xml:space="preserve"> 20,5 milliárd forinttal haladta meg a 2020. év azonos időszakában keletkezett </w:t>
      </w:r>
      <w:proofErr w:type="gramStart"/>
      <w:r>
        <w:t>kvóta</w:t>
      </w:r>
      <w:proofErr w:type="gramEnd"/>
      <w:r>
        <w:t>értékesítésből származó bevételt. A 2021. május végéig befolyt bevétel 108,2</w:t>
      </w:r>
      <w:r w:rsidR="009C2029">
        <w:t> </w:t>
      </w:r>
      <w:r>
        <w:t>milliárd forinttal alacsonyabb a 2020 első öt hónapjában beérkezettnél, mivel tavaly jelentős összegű – százmilliárdos nagyságrendű – egyszeri bevétel érkezett a frekvenciahasznosítással összefüggésben. A befizetések összetételét a következő diagram szemlélteti:</w:t>
      </w:r>
    </w:p>
    <w:p w14:paraId="538A6A6C" w14:textId="5D31CE52" w:rsidR="005156D3" w:rsidRDefault="00AB4A96" w:rsidP="6A1BB15D">
      <w:pPr>
        <w:rPr>
          <w:szCs w:val="26"/>
        </w:rPr>
      </w:pPr>
      <w:r>
        <w:rPr>
          <w:noProof/>
          <w:szCs w:val="26"/>
        </w:rPr>
        <w:lastRenderedPageBreak/>
        <w:drawing>
          <wp:inline distT="0" distB="0" distL="0" distR="0" wp14:anchorId="5AC50FCE" wp14:editId="422CE75D">
            <wp:extent cx="5940425" cy="3755390"/>
            <wp:effectExtent l="0" t="0" r="3175"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agyon_befizetések.png"/>
                    <pic:cNvPicPr/>
                  </pic:nvPicPr>
                  <pic:blipFill>
                    <a:blip r:embed="rId15">
                      <a:extLst>
                        <a:ext uri="{28A0092B-C50C-407E-A947-70E740481C1C}">
                          <a14:useLocalDpi xmlns:a14="http://schemas.microsoft.com/office/drawing/2010/main" val="0"/>
                        </a:ext>
                      </a:extLst>
                    </a:blip>
                    <a:stretch>
                      <a:fillRect/>
                    </a:stretch>
                  </pic:blipFill>
                  <pic:spPr>
                    <a:xfrm>
                      <a:off x="0" y="0"/>
                      <a:ext cx="5940425" cy="3755390"/>
                    </a:xfrm>
                    <a:prstGeom prst="rect">
                      <a:avLst/>
                    </a:prstGeom>
                  </pic:spPr>
                </pic:pic>
              </a:graphicData>
            </a:graphic>
          </wp:inline>
        </w:drawing>
      </w:r>
    </w:p>
    <w:p w14:paraId="4FB4A75C" w14:textId="77777777" w:rsidR="00AB4A96" w:rsidRDefault="00AB4A96" w:rsidP="6A1BB15D">
      <w:pPr>
        <w:rPr>
          <w:szCs w:val="26"/>
        </w:rPr>
      </w:pPr>
    </w:p>
    <w:p w14:paraId="7C7F6996" w14:textId="57D8022C" w:rsidR="1788F76D" w:rsidRDefault="1788F76D" w:rsidP="1788F76D">
      <w:r w:rsidRPr="1788F76D">
        <w:rPr>
          <w:szCs w:val="26"/>
        </w:rPr>
        <w:t xml:space="preserve">Az </w:t>
      </w:r>
      <w:r w:rsidRPr="1788F76D">
        <w:rPr>
          <w:b/>
          <w:bCs/>
          <w:szCs w:val="26"/>
        </w:rPr>
        <w:t>Uniós programok bevételei</w:t>
      </w:r>
      <w:r w:rsidRPr="1788F76D">
        <w:rPr>
          <w:szCs w:val="26"/>
        </w:rPr>
        <w:t xml:space="preserve"> mérlegsoron 2021. május végéig 184</w:t>
      </w:r>
      <w:r w:rsidR="00A829A8">
        <w:rPr>
          <w:szCs w:val="26"/>
        </w:rPr>
        <w:t>,0 </w:t>
      </w:r>
      <w:r w:rsidRPr="1788F76D">
        <w:rPr>
          <w:szCs w:val="26"/>
        </w:rPr>
        <w:t>milliárd forint bevétel keletkezett (</w:t>
      </w:r>
      <w:r w:rsidRPr="1788F76D">
        <w:rPr>
          <w:i/>
          <w:iCs/>
          <w:szCs w:val="26"/>
        </w:rPr>
        <w:t>Uniós programok uniós bevételei:</w:t>
      </w:r>
      <w:r w:rsidRPr="1788F76D">
        <w:rPr>
          <w:szCs w:val="26"/>
        </w:rPr>
        <w:t xml:space="preserve"> 152,8</w:t>
      </w:r>
      <w:r w:rsidR="00A829A8">
        <w:rPr>
          <w:szCs w:val="26"/>
        </w:rPr>
        <w:t> </w:t>
      </w:r>
      <w:r w:rsidRPr="1788F76D">
        <w:rPr>
          <w:szCs w:val="26"/>
        </w:rPr>
        <w:t xml:space="preserve">milliárd forint, az </w:t>
      </w:r>
      <w:r w:rsidRPr="1788F76D">
        <w:rPr>
          <w:i/>
          <w:iCs/>
          <w:szCs w:val="26"/>
        </w:rPr>
        <w:t>Uniós programok egyéb bevételei:</w:t>
      </w:r>
      <w:r w:rsidRPr="1788F76D">
        <w:rPr>
          <w:szCs w:val="26"/>
        </w:rPr>
        <w:t xml:space="preserve"> 31,2</w:t>
      </w:r>
      <w:r w:rsidR="00A829A8">
        <w:rPr>
          <w:szCs w:val="26"/>
        </w:rPr>
        <w:t> </w:t>
      </w:r>
      <w:r w:rsidRPr="1788F76D">
        <w:rPr>
          <w:szCs w:val="26"/>
        </w:rPr>
        <w:t xml:space="preserve">milliárd forint). Ez az összeg az éves </w:t>
      </w:r>
      <w:r w:rsidR="00076FC7">
        <w:rPr>
          <w:szCs w:val="26"/>
        </w:rPr>
        <w:t xml:space="preserve">eredeti </w:t>
      </w:r>
      <w:r w:rsidRPr="1788F76D">
        <w:rPr>
          <w:szCs w:val="26"/>
        </w:rPr>
        <w:t>előirányzat (1129,1</w:t>
      </w:r>
      <w:r w:rsidR="00A829A8">
        <w:rPr>
          <w:szCs w:val="26"/>
        </w:rPr>
        <w:t> </w:t>
      </w:r>
      <w:r w:rsidRPr="1788F76D">
        <w:rPr>
          <w:szCs w:val="26"/>
        </w:rPr>
        <w:t>milliárd forint) 16,3%-át teszi ki.</w:t>
      </w:r>
    </w:p>
    <w:p w14:paraId="333A2D42" w14:textId="26C00C1B" w:rsidR="1788F76D" w:rsidRDefault="1788F76D" w:rsidP="1788F76D">
      <w:r w:rsidRPr="1788F76D">
        <w:rPr>
          <w:szCs w:val="26"/>
        </w:rPr>
        <w:t>Az „</w:t>
      </w:r>
      <w:r w:rsidRPr="1788F76D">
        <w:rPr>
          <w:b/>
          <w:bCs/>
          <w:szCs w:val="26"/>
        </w:rPr>
        <w:t>Egyéb uniós bevételek</w:t>
      </w:r>
      <w:r w:rsidRPr="1788F76D">
        <w:rPr>
          <w:szCs w:val="26"/>
        </w:rPr>
        <w:t>” soron belül a vámbeszedési költség megtérítése 7,5</w:t>
      </w:r>
      <w:r w:rsidR="00AE7314">
        <w:rPr>
          <w:szCs w:val="26"/>
        </w:rPr>
        <w:t> </w:t>
      </w:r>
      <w:r w:rsidRPr="1788F76D">
        <w:rPr>
          <w:szCs w:val="26"/>
        </w:rPr>
        <w:t>milliárd forintot tett ki május végéig. Ez az összeg az éves előirányzat 46,1%-</w:t>
      </w:r>
      <w:proofErr w:type="gramStart"/>
      <w:r w:rsidRPr="1788F76D">
        <w:rPr>
          <w:szCs w:val="26"/>
        </w:rPr>
        <w:t>a</w:t>
      </w:r>
      <w:proofErr w:type="gramEnd"/>
      <w:r w:rsidRPr="1788F76D">
        <w:rPr>
          <w:szCs w:val="26"/>
        </w:rPr>
        <w:t>, és 1,</w:t>
      </w:r>
      <w:proofErr w:type="spellStart"/>
      <w:r w:rsidRPr="1788F76D">
        <w:rPr>
          <w:szCs w:val="26"/>
        </w:rPr>
        <w:t>1</w:t>
      </w:r>
      <w:proofErr w:type="spellEnd"/>
      <w:r w:rsidR="00AE7314">
        <w:rPr>
          <w:szCs w:val="26"/>
        </w:rPr>
        <w:t> </w:t>
      </w:r>
      <w:r w:rsidRPr="1788F76D">
        <w:rPr>
          <w:szCs w:val="26"/>
        </w:rPr>
        <w:t>milliárd forinttal halad</w:t>
      </w:r>
      <w:r w:rsidR="00AE7314">
        <w:rPr>
          <w:szCs w:val="26"/>
        </w:rPr>
        <w:t>t</w:t>
      </w:r>
      <w:r w:rsidRPr="1788F76D">
        <w:rPr>
          <w:szCs w:val="26"/>
        </w:rPr>
        <w:t>a meg a 2020. év azonos időszakában keletkezett bevételt.</w:t>
      </w:r>
    </w:p>
    <w:p w14:paraId="657C7112" w14:textId="38530F90" w:rsidR="003A1352" w:rsidRPr="0012462D" w:rsidRDefault="0FCC8A84" w:rsidP="0FCC8A84">
      <w:pPr>
        <w:spacing w:before="120"/>
        <w:rPr>
          <w:rFonts w:eastAsia="Calibri"/>
        </w:rPr>
      </w:pPr>
      <w:r w:rsidRPr="0FCC8A84">
        <w:rPr>
          <w:rFonts w:eastAsia="Calibri"/>
        </w:rPr>
        <w:t xml:space="preserve">A befizetett társadalombiztosítási járulék 8,1%-át az állami adóhatóság a foglalkoztatási programokkal kapcsolatos elkülönített állami pénzalapnak utalja át. </w:t>
      </w:r>
      <w:r w:rsidR="00225AF9">
        <w:rPr>
          <w:rFonts w:eastAsia="Calibri"/>
        </w:rPr>
        <w:t xml:space="preserve">A </w:t>
      </w:r>
      <w:r w:rsidR="006E3C7C" w:rsidRPr="006E3C7C">
        <w:rPr>
          <w:rFonts w:eastAsia="Calibri"/>
        </w:rPr>
        <w:t>2021.</w:t>
      </w:r>
      <w:r w:rsidR="00225AF9">
        <w:rPr>
          <w:rFonts w:eastAsia="Calibri"/>
        </w:rPr>
        <w:t xml:space="preserve"> év</w:t>
      </w:r>
      <w:r w:rsidR="006E3C7C" w:rsidRPr="006E3C7C">
        <w:rPr>
          <w:rFonts w:eastAsia="Calibri"/>
        </w:rPr>
        <w:t xml:space="preserve"> első öt hónapjában </w:t>
      </w:r>
      <w:r w:rsidR="006E3C7C" w:rsidRPr="00883A01">
        <w:rPr>
          <w:rFonts w:eastAsia="Calibri"/>
          <w:b/>
        </w:rPr>
        <w:t>társadalombiztosítási járulék Gazdaságvédelmi Foglalkoztatási Alapot megillető része</w:t>
      </w:r>
      <w:r w:rsidR="006E3C7C" w:rsidRPr="006E3C7C">
        <w:rPr>
          <w:rFonts w:eastAsia="Calibri"/>
        </w:rPr>
        <w:t xml:space="preserve"> 101,8</w:t>
      </w:r>
      <w:r w:rsidR="0069561D">
        <w:rPr>
          <w:rFonts w:eastAsia="Calibri"/>
        </w:rPr>
        <w:t> </w:t>
      </w:r>
      <w:r w:rsidR="006E3C7C" w:rsidRPr="006E3C7C">
        <w:rPr>
          <w:rFonts w:eastAsia="Calibri"/>
        </w:rPr>
        <w:t>milliárd forintban teljesült, az előző év azonos időszakában befolyt bevételt 6,1</w:t>
      </w:r>
      <w:r w:rsidR="0069561D">
        <w:rPr>
          <w:rFonts w:eastAsia="Calibri"/>
        </w:rPr>
        <w:t> </w:t>
      </w:r>
      <w:r w:rsidR="006E3C7C" w:rsidRPr="006E3C7C">
        <w:rPr>
          <w:rFonts w:eastAsia="Calibri"/>
        </w:rPr>
        <w:t>milliárd forinttal, 6,4%-kal halad</w:t>
      </w:r>
      <w:r w:rsidR="0069561D">
        <w:rPr>
          <w:rFonts w:eastAsia="Calibri"/>
        </w:rPr>
        <w:t>t</w:t>
      </w:r>
      <w:r w:rsidR="00A52430">
        <w:rPr>
          <w:rFonts w:eastAsia="Calibri"/>
        </w:rPr>
        <w:t>a</w:t>
      </w:r>
      <w:r w:rsidR="0069561D">
        <w:rPr>
          <w:rFonts w:eastAsia="Calibri"/>
        </w:rPr>
        <w:t xml:space="preserve"> meg</w:t>
      </w:r>
      <w:r w:rsidR="006E3C7C" w:rsidRPr="006E3C7C">
        <w:rPr>
          <w:rFonts w:eastAsia="Calibri"/>
        </w:rPr>
        <w:t xml:space="preserve">. A </w:t>
      </w:r>
      <w:proofErr w:type="spellStart"/>
      <w:r w:rsidR="006E3C7C" w:rsidRPr="006E3C7C">
        <w:rPr>
          <w:rFonts w:eastAsia="Calibri"/>
        </w:rPr>
        <w:t>bevételnövekedés</w:t>
      </w:r>
      <w:proofErr w:type="spellEnd"/>
      <w:r w:rsidR="006E3C7C" w:rsidRPr="006E3C7C">
        <w:rPr>
          <w:rFonts w:eastAsia="Calibri"/>
        </w:rPr>
        <w:t xml:space="preserve"> oka az átlagkereset</w:t>
      </w:r>
      <w:r w:rsidR="00B16A2D">
        <w:rPr>
          <w:rFonts w:eastAsia="Calibri"/>
        </w:rPr>
        <w:t xml:space="preserve"> </w:t>
      </w:r>
      <w:r w:rsidR="006E3C7C" w:rsidRPr="006E3C7C">
        <w:rPr>
          <w:rFonts w:eastAsia="Calibri"/>
        </w:rPr>
        <w:t>növekedése</w:t>
      </w:r>
      <w:r w:rsidRPr="0FCC8A84">
        <w:rPr>
          <w:rFonts w:eastAsia="Calibri"/>
        </w:rPr>
        <w:t>.</w:t>
      </w:r>
    </w:p>
    <w:p w14:paraId="5B451A9E" w14:textId="036743F7" w:rsidR="007024F4" w:rsidRPr="0012462D" w:rsidRDefault="0FCC8A84" w:rsidP="0012462D">
      <w:pPr>
        <w:spacing w:before="120"/>
      </w:pPr>
      <w:r>
        <w:t xml:space="preserve">2021 első </w:t>
      </w:r>
      <w:r w:rsidR="006E3C7C">
        <w:t>öt</w:t>
      </w:r>
      <w:r>
        <w:t xml:space="preserve"> hónapjában a </w:t>
      </w:r>
      <w:r w:rsidRPr="0FCC8A84">
        <w:rPr>
          <w:b/>
          <w:bCs/>
        </w:rPr>
        <w:t xml:space="preserve">szociális hozzájárulási adó Nyugdíjbiztosítási Alapot megillető része </w:t>
      </w:r>
      <w:r w:rsidR="006E3C7C" w:rsidRPr="006E3C7C">
        <w:t>(691,2</w:t>
      </w:r>
      <w:r w:rsidR="00C4397C">
        <w:t> </w:t>
      </w:r>
      <w:r w:rsidR="006E3C7C" w:rsidRPr="006E3C7C">
        <w:t>milliárd forint) 9,1%-kal, 69,2</w:t>
      </w:r>
      <w:r w:rsidR="00C4397C">
        <w:t> </w:t>
      </w:r>
      <w:r w:rsidR="006E3C7C" w:rsidRPr="006E3C7C">
        <w:t>milliárd forinttal maradt el az előző év azonos időszakában befolyt bevételektől. A tárgyévi elmaradás a koronavírus okozta gazdasági válságra tekintettel bevezetett munkaadói és SZÉP Kártya mentességekkel és a szociális hozzájárulási adó 17,5%-ról 15,5%-ra történő csökkentésével magyarázható</w:t>
      </w:r>
      <w:r>
        <w:t>.</w:t>
      </w:r>
    </w:p>
    <w:p w14:paraId="7CB9AC38" w14:textId="15534730" w:rsidR="003B190B" w:rsidRDefault="0FCC8A84" w:rsidP="003A1352">
      <w:pPr>
        <w:spacing w:before="120"/>
      </w:pPr>
      <w:r>
        <w:t xml:space="preserve">A befizetett társadalombiztosítási járulék 54%-át az állami adóhatóság a Nyugdíjbiztosítási Alapnak utalja át. </w:t>
      </w:r>
      <w:r w:rsidR="006E3C7C" w:rsidRPr="006E3C7C">
        <w:t xml:space="preserve">2021 első öt hónapjában </w:t>
      </w:r>
      <w:r w:rsidR="00B20DE2">
        <w:t xml:space="preserve">a </w:t>
      </w:r>
      <w:r w:rsidR="006E3C7C" w:rsidRPr="00B20DE2">
        <w:rPr>
          <w:b/>
        </w:rPr>
        <w:t>társadalombiztosítási járulék Nyugdíjbiztosítási Alapot megillető része és nyugdíjjárulék</w:t>
      </w:r>
      <w:r w:rsidR="006E3C7C" w:rsidRPr="006E3C7C">
        <w:t xml:space="preserve"> 696,7</w:t>
      </w:r>
      <w:r w:rsidR="00B731DF">
        <w:t> </w:t>
      </w:r>
      <w:r w:rsidR="006E3C7C" w:rsidRPr="006E3C7C">
        <w:t>milliárd forintban teljesült, az előző év azonos időszakában befolyt bevételt 61,0</w:t>
      </w:r>
      <w:r w:rsidR="00B731DF">
        <w:t> </w:t>
      </w:r>
      <w:r w:rsidR="006E3C7C" w:rsidRPr="006E3C7C">
        <w:t>milliárd forinttal, 9,6%</w:t>
      </w:r>
      <w:r w:rsidR="00B731DF">
        <w:noBreakHyphen/>
      </w:r>
      <w:r w:rsidR="006E3C7C" w:rsidRPr="006E3C7C">
        <w:t>kal halad</w:t>
      </w:r>
      <w:r w:rsidR="00B731DF">
        <w:t>t</w:t>
      </w:r>
      <w:r w:rsidR="00444D99">
        <w:t>a</w:t>
      </w:r>
      <w:r w:rsidR="00B731DF">
        <w:t xml:space="preserve"> meg</w:t>
      </w:r>
      <w:r w:rsidR="006E3C7C" w:rsidRPr="006E3C7C">
        <w:t xml:space="preserve">. A </w:t>
      </w:r>
      <w:proofErr w:type="spellStart"/>
      <w:r w:rsidR="006E3C7C" w:rsidRPr="006E3C7C">
        <w:t>bevételnövekedés</w:t>
      </w:r>
      <w:proofErr w:type="spellEnd"/>
      <w:r w:rsidR="006E3C7C" w:rsidRPr="006E3C7C">
        <w:t xml:space="preserve"> oka az átlagkereset</w:t>
      </w:r>
      <w:r w:rsidR="00F47521">
        <w:t xml:space="preserve"> </w:t>
      </w:r>
      <w:r w:rsidR="006E3C7C" w:rsidRPr="006E3C7C">
        <w:t>növekedése</w:t>
      </w:r>
      <w:r>
        <w:t>.</w:t>
      </w:r>
    </w:p>
    <w:p w14:paraId="7B1F7C11" w14:textId="2933B5AD" w:rsidR="004B1960" w:rsidRPr="0039604C" w:rsidRDefault="0FCC8A84" w:rsidP="004B1960">
      <w:pPr>
        <w:spacing w:after="240"/>
        <w:rPr>
          <w:bCs/>
        </w:rPr>
      </w:pPr>
      <w:r>
        <w:lastRenderedPageBreak/>
        <w:t xml:space="preserve">A </w:t>
      </w:r>
      <w:r w:rsidRPr="0FCC8A84">
        <w:rPr>
          <w:b/>
          <w:bCs/>
        </w:rPr>
        <w:t>Nyugdíjbiztosítási Alap</w:t>
      </w:r>
      <w:r>
        <w:t xml:space="preserve"> 2021-ben</w:t>
      </w:r>
      <w:r w:rsidR="00F1386A">
        <w:t xml:space="preserve"> – az eredeti törvényi előirányzatnak megfelelően </w:t>
      </w:r>
      <w:r w:rsidR="00E6551C">
        <w:t xml:space="preserve">– </w:t>
      </w:r>
      <w:r>
        <w:t xml:space="preserve">az ellátási kiadásainak támogatására 446,5 milliárd forint </w:t>
      </w:r>
      <w:r w:rsidRPr="0FCC8A84">
        <w:rPr>
          <w:b/>
          <w:bCs/>
        </w:rPr>
        <w:t>költségvetési hozzájárulásban</w:t>
      </w:r>
      <w:r>
        <w:t xml:space="preserve"> részesül. Ebből 316,1 milliárd forintot a XLII. </w:t>
      </w:r>
      <w:proofErr w:type="gramStart"/>
      <w:r>
        <w:t>A</w:t>
      </w:r>
      <w:proofErr w:type="gramEnd"/>
      <w:r>
        <w:t xml:space="preserve"> költségvetés közvetlen bevételei és kiadásai fejezet biztosít pénzeszközátadás útján az alap részére, míg további 130,4 milliárd forintot – a 13. havi nyugdíj, illetve a nyugdíjprémium fedezeteként – a XLVII.</w:t>
      </w:r>
      <w:r w:rsidR="00252677">
        <w:t> </w:t>
      </w:r>
      <w:r>
        <w:t xml:space="preserve">Gazdaságvédelmi Alap bocsát az alap rendelkezésére február, illetve november hónapokban. 2021. május végéig a Magyar Államkincstár az éves </w:t>
      </w:r>
      <w:proofErr w:type="gramStart"/>
      <w:r>
        <w:t>finanszírozási</w:t>
      </w:r>
      <w:proofErr w:type="gramEnd"/>
      <w:r>
        <w:t xml:space="preserve"> terv ütemezésének megfelelően 208,7 milliárd forintot utalt át a Nyugdíjbiztosítási Alap részére, melyből a 131,7 milliárd forintos pénzeszközátadás 112,1 milliárd forinttal haladta meg az előző év azonos időszakának támogatását. Az átutalás összegéből fennmaradó 77,0 milliárd forint a már február hónapban folyósításra került 13. havi ellátás fedezete.</w:t>
      </w:r>
    </w:p>
    <w:p w14:paraId="2A970225" w14:textId="3D30DFEF" w:rsidR="003B190B" w:rsidRPr="003A1352" w:rsidRDefault="0FCC8A84" w:rsidP="0FCC8A84">
      <w:pPr>
        <w:spacing w:before="120"/>
        <w:rPr>
          <w:rFonts w:eastAsia="Calibri"/>
        </w:rPr>
      </w:pPr>
      <w:r w:rsidRPr="0FCC8A84">
        <w:rPr>
          <w:rFonts w:eastAsia="Calibri"/>
        </w:rPr>
        <w:t xml:space="preserve">2021 első </w:t>
      </w:r>
      <w:r w:rsidR="006E3C7C">
        <w:rPr>
          <w:rFonts w:eastAsia="Calibri"/>
        </w:rPr>
        <w:t>öt</w:t>
      </w:r>
      <w:r w:rsidRPr="0FCC8A84">
        <w:rPr>
          <w:rFonts w:eastAsia="Calibri"/>
        </w:rPr>
        <w:t xml:space="preserve"> hónapjában a </w:t>
      </w:r>
      <w:r w:rsidRPr="0FCC8A84">
        <w:rPr>
          <w:rFonts w:eastAsia="Calibri"/>
          <w:b/>
          <w:bCs/>
        </w:rPr>
        <w:t>szociális hozzájárulási adó Egészségbiztosítási Alapot megillető része</w:t>
      </w:r>
      <w:r w:rsidRPr="0FCC8A84">
        <w:rPr>
          <w:rFonts w:eastAsia="Calibri"/>
        </w:rPr>
        <w:t xml:space="preserve"> </w:t>
      </w:r>
      <w:r w:rsidR="006E3C7C" w:rsidRPr="006E3C7C">
        <w:rPr>
          <w:rFonts w:eastAsia="Calibri"/>
        </w:rPr>
        <w:t>(273,7</w:t>
      </w:r>
      <w:r w:rsidR="00060E00">
        <w:rPr>
          <w:rFonts w:eastAsia="Calibri"/>
        </w:rPr>
        <w:t> </w:t>
      </w:r>
      <w:r w:rsidR="006E3C7C" w:rsidRPr="006E3C7C">
        <w:rPr>
          <w:rFonts w:eastAsia="Calibri"/>
        </w:rPr>
        <w:t>milliárd forint) 8,3%-kal, 24,7</w:t>
      </w:r>
      <w:r w:rsidR="00060E00">
        <w:rPr>
          <w:rFonts w:eastAsia="Calibri"/>
        </w:rPr>
        <w:t> </w:t>
      </w:r>
      <w:r w:rsidR="006E3C7C" w:rsidRPr="006E3C7C">
        <w:rPr>
          <w:rFonts w:eastAsia="Calibri"/>
        </w:rPr>
        <w:t>milliárd forinttal maradt el az előző év azonos időszakában befolyt bevételektől. A tárgyévi elmaradás a koronavírus okozta gazdasági válságra tekintettel bevezetett munkaadói és SZÉP Kártya mentességekkel és a szociális hozzájárulási adó 17,5%-ról 15,5%-ra történő csökkentésével magyarázható</w:t>
      </w:r>
      <w:r w:rsidRPr="0FCC8A84">
        <w:rPr>
          <w:rFonts w:eastAsia="Calibri"/>
        </w:rPr>
        <w:t>.</w:t>
      </w:r>
    </w:p>
    <w:p w14:paraId="2AA83621" w14:textId="27054372" w:rsidR="003A1352" w:rsidRPr="003A1352" w:rsidRDefault="0FCC8A84" w:rsidP="0FCC8A84">
      <w:pPr>
        <w:spacing w:before="120"/>
        <w:rPr>
          <w:rFonts w:eastAsia="Calibri"/>
        </w:rPr>
      </w:pPr>
      <w:r w:rsidRPr="0FCC8A84">
        <w:rPr>
          <w:rFonts w:eastAsia="Calibri"/>
        </w:rPr>
        <w:t xml:space="preserve">A befizetett társadalombiztosítási járulék 37,9%-át az állami adóhatóság az Egészségbiztosítási Alapnak utalja át. 2021 első </w:t>
      </w:r>
      <w:r w:rsidR="006E3C7C">
        <w:rPr>
          <w:rFonts w:eastAsia="Calibri"/>
        </w:rPr>
        <w:t>öt</w:t>
      </w:r>
      <w:r w:rsidRPr="0FCC8A84">
        <w:rPr>
          <w:rFonts w:eastAsia="Calibri"/>
        </w:rPr>
        <w:t xml:space="preserve"> hónapjában a </w:t>
      </w:r>
      <w:r w:rsidRPr="0FCC8A84">
        <w:rPr>
          <w:rFonts w:eastAsia="Calibri"/>
          <w:b/>
          <w:bCs/>
        </w:rPr>
        <w:t>társadalombiztosítási járulék Egészségbiztosítási Alapot megillető része és egészségbiztosítási járulék</w:t>
      </w:r>
      <w:r w:rsidRPr="0FCC8A84">
        <w:rPr>
          <w:rFonts w:eastAsia="Calibri"/>
        </w:rPr>
        <w:t xml:space="preserve"> </w:t>
      </w:r>
      <w:r w:rsidR="006E3C7C" w:rsidRPr="006E3C7C">
        <w:rPr>
          <w:rFonts w:eastAsia="Calibri"/>
        </w:rPr>
        <w:t>474,8</w:t>
      </w:r>
      <w:r w:rsidR="009D234C">
        <w:rPr>
          <w:rFonts w:eastAsia="Calibri"/>
        </w:rPr>
        <w:t> </w:t>
      </w:r>
      <w:r w:rsidR="006E3C7C" w:rsidRPr="006E3C7C">
        <w:rPr>
          <w:rFonts w:eastAsia="Calibri"/>
        </w:rPr>
        <w:t>milliárd forintban teljesült, az előző év azonos időszakában befolyt bevételt 43,</w:t>
      </w:r>
      <w:r w:rsidR="001D6EC6">
        <w:rPr>
          <w:rFonts w:eastAsia="Calibri"/>
        </w:rPr>
        <w:t>5</w:t>
      </w:r>
      <w:r w:rsidR="009D234C">
        <w:rPr>
          <w:rFonts w:eastAsia="Calibri"/>
        </w:rPr>
        <w:t> </w:t>
      </w:r>
      <w:r w:rsidR="006E3C7C" w:rsidRPr="006E3C7C">
        <w:rPr>
          <w:rFonts w:eastAsia="Calibri"/>
        </w:rPr>
        <w:t>milliárd forinttal, 10,1%-kal halad</w:t>
      </w:r>
      <w:r w:rsidR="009D234C">
        <w:rPr>
          <w:rFonts w:eastAsia="Calibri"/>
        </w:rPr>
        <w:t>t</w:t>
      </w:r>
      <w:r w:rsidR="00741FC1">
        <w:rPr>
          <w:rFonts w:eastAsia="Calibri"/>
        </w:rPr>
        <w:t>a</w:t>
      </w:r>
      <w:r w:rsidR="009D234C">
        <w:rPr>
          <w:rFonts w:eastAsia="Calibri"/>
        </w:rPr>
        <w:t xml:space="preserve"> meg</w:t>
      </w:r>
      <w:r w:rsidR="006E3C7C" w:rsidRPr="006E3C7C">
        <w:rPr>
          <w:rFonts w:eastAsia="Calibri"/>
        </w:rPr>
        <w:t xml:space="preserve">. A </w:t>
      </w:r>
      <w:proofErr w:type="spellStart"/>
      <w:r w:rsidR="006E3C7C" w:rsidRPr="006E3C7C">
        <w:rPr>
          <w:rFonts w:eastAsia="Calibri"/>
        </w:rPr>
        <w:t>bevételnövekedés</w:t>
      </w:r>
      <w:proofErr w:type="spellEnd"/>
      <w:r w:rsidR="006E3C7C" w:rsidRPr="006E3C7C">
        <w:rPr>
          <w:rFonts w:eastAsia="Calibri"/>
        </w:rPr>
        <w:t xml:space="preserve"> oka az átlagkereset</w:t>
      </w:r>
      <w:r w:rsidR="00294309">
        <w:rPr>
          <w:rFonts w:eastAsia="Calibri"/>
        </w:rPr>
        <w:t xml:space="preserve"> </w:t>
      </w:r>
      <w:r w:rsidR="006E3C7C" w:rsidRPr="006E3C7C">
        <w:rPr>
          <w:rFonts w:eastAsia="Calibri"/>
        </w:rPr>
        <w:t>növekedése</w:t>
      </w:r>
      <w:r w:rsidRPr="0FCC8A84">
        <w:rPr>
          <w:rFonts w:eastAsia="Calibri"/>
        </w:rPr>
        <w:t>.</w:t>
      </w:r>
    </w:p>
    <w:p w14:paraId="69FF0E89" w14:textId="45E24F78" w:rsidR="02DE402C" w:rsidRDefault="0FCC8A84" w:rsidP="02DE402C">
      <w:r w:rsidRPr="0FCC8A84">
        <w:rPr>
          <w:rFonts w:eastAsia="Calibri"/>
          <w:b/>
          <w:bCs/>
        </w:rPr>
        <w:t xml:space="preserve">Az Egészségbiztosítási Alap költségvetési </w:t>
      </w:r>
      <w:r w:rsidR="00532499">
        <w:rPr>
          <w:rFonts w:eastAsia="Calibri"/>
          <w:b/>
          <w:bCs/>
        </w:rPr>
        <w:t xml:space="preserve">hozzájárulásai </w:t>
      </w:r>
      <w:r w:rsidR="00532499" w:rsidRPr="00532499">
        <w:rPr>
          <w:rFonts w:eastAsia="Calibri"/>
          <w:bCs/>
        </w:rPr>
        <w:t>a</w:t>
      </w:r>
      <w:r w:rsidR="00AD6468" w:rsidRPr="00532499">
        <w:rPr>
          <w:rFonts w:eastAsia="Calibri"/>
        </w:rPr>
        <w:t xml:space="preserve"> </w:t>
      </w:r>
      <w:r w:rsidRPr="0FCC8A84">
        <w:rPr>
          <w:rFonts w:eastAsia="Calibri"/>
        </w:rPr>
        <w:t>2021.</w:t>
      </w:r>
      <w:r w:rsidR="00AD6468">
        <w:rPr>
          <w:rFonts w:eastAsia="Calibri"/>
        </w:rPr>
        <w:t xml:space="preserve"> év</w:t>
      </w:r>
      <w:r w:rsidRPr="0FCC8A84">
        <w:rPr>
          <w:rFonts w:eastAsia="Calibri"/>
        </w:rPr>
        <w:t xml:space="preserve"> I</w:t>
      </w:r>
      <w:r w:rsidR="00AD6468">
        <w:rPr>
          <w:rFonts w:eastAsia="Calibri"/>
        </w:rPr>
        <w:noBreakHyphen/>
      </w:r>
      <w:r w:rsidRPr="0FCC8A84">
        <w:rPr>
          <w:rFonts w:eastAsia="Calibri"/>
        </w:rPr>
        <w:t>V.</w:t>
      </w:r>
      <w:r w:rsidR="00AD6468">
        <w:rPr>
          <w:rFonts w:eastAsia="Calibri"/>
        </w:rPr>
        <w:t> </w:t>
      </w:r>
      <w:r w:rsidRPr="0FCC8A84">
        <w:rPr>
          <w:rFonts w:eastAsia="Calibri"/>
        </w:rPr>
        <w:t>hónapjában összesen 299,5</w:t>
      </w:r>
      <w:r w:rsidR="00E41F2A">
        <w:rPr>
          <w:rFonts w:eastAsia="Calibri"/>
        </w:rPr>
        <w:t> </w:t>
      </w:r>
      <w:r w:rsidRPr="0FCC8A84">
        <w:rPr>
          <w:rFonts w:eastAsia="Calibri"/>
        </w:rPr>
        <w:t>milliárd forintot tett</w:t>
      </w:r>
      <w:r w:rsidR="00532499">
        <w:rPr>
          <w:rFonts w:eastAsia="Calibri"/>
        </w:rPr>
        <w:t>e</w:t>
      </w:r>
      <w:r w:rsidRPr="0FCC8A84">
        <w:rPr>
          <w:rFonts w:eastAsia="Calibri"/>
        </w:rPr>
        <w:t>k ki, amely 55,1</w:t>
      </w:r>
      <w:r w:rsidR="00E41F2A">
        <w:rPr>
          <w:rFonts w:eastAsia="Calibri"/>
        </w:rPr>
        <w:t> </w:t>
      </w:r>
      <w:r w:rsidRPr="0FCC8A84">
        <w:rPr>
          <w:rFonts w:eastAsia="Calibri"/>
        </w:rPr>
        <w:t>milliárd forinttal magasabb, mint az előző év azonos időszakában átutalt összeg. Az I-V. hónapban az Egészségbiztosítási Alap járulék címen átvett pénzeszközként 198,9</w:t>
      </w:r>
      <w:r w:rsidR="00E41F2A">
        <w:rPr>
          <w:rFonts w:eastAsia="Calibri"/>
        </w:rPr>
        <w:t> </w:t>
      </w:r>
      <w:r w:rsidRPr="0FCC8A84">
        <w:rPr>
          <w:rFonts w:eastAsia="Calibri"/>
        </w:rPr>
        <w:t xml:space="preserve">milliárd </w:t>
      </w:r>
      <w:proofErr w:type="gramStart"/>
      <w:r w:rsidRPr="0FCC8A84">
        <w:rPr>
          <w:rFonts w:eastAsia="Calibri"/>
        </w:rPr>
        <w:t>forint támogatást</w:t>
      </w:r>
      <w:proofErr w:type="gramEnd"/>
      <w:r w:rsidRPr="0FCC8A84">
        <w:rPr>
          <w:rFonts w:eastAsia="Calibri"/>
        </w:rPr>
        <w:t xml:space="preserve"> kapott, szemben a tavalyi év azonos időszakában átutalt 193,1</w:t>
      </w:r>
      <w:r w:rsidR="00E41F2A">
        <w:rPr>
          <w:rFonts w:eastAsia="Calibri"/>
        </w:rPr>
        <w:t> </w:t>
      </w:r>
      <w:r w:rsidRPr="0FCC8A84">
        <w:rPr>
          <w:rFonts w:eastAsia="Calibri"/>
        </w:rPr>
        <w:t>milliárd forintos összeggel. Az alap kiadás</w:t>
      </w:r>
      <w:r w:rsidR="00E41F2A">
        <w:rPr>
          <w:rFonts w:eastAsia="Calibri"/>
        </w:rPr>
        <w:t>ainak</w:t>
      </w:r>
      <w:r w:rsidRPr="0FCC8A84">
        <w:rPr>
          <w:rFonts w:eastAsia="Calibri"/>
        </w:rPr>
        <w:t xml:space="preserve"> támogatására szolgáló tervezett pénzeszközátvétel és az egészségügyi feladatok ellátásával kapcsolatos hozzájárulás együttes összege </w:t>
      </w:r>
      <w:r w:rsidR="00AB7608">
        <w:rPr>
          <w:rFonts w:eastAsia="Calibri"/>
        </w:rPr>
        <w:t xml:space="preserve">a </w:t>
      </w:r>
      <w:r w:rsidRPr="0FCC8A84">
        <w:rPr>
          <w:rFonts w:eastAsia="Calibri"/>
        </w:rPr>
        <w:t>2021.</w:t>
      </w:r>
      <w:r w:rsidR="00AB7608">
        <w:rPr>
          <w:rFonts w:eastAsia="Calibri"/>
        </w:rPr>
        <w:t xml:space="preserve"> év</w:t>
      </w:r>
      <w:r w:rsidRPr="0FCC8A84">
        <w:rPr>
          <w:rFonts w:eastAsia="Calibri"/>
        </w:rPr>
        <w:t xml:space="preserve"> I</w:t>
      </w:r>
      <w:r w:rsidR="00AB7608">
        <w:rPr>
          <w:rFonts w:eastAsia="Calibri"/>
        </w:rPr>
        <w:noBreakHyphen/>
      </w:r>
      <w:r w:rsidRPr="0FCC8A84">
        <w:rPr>
          <w:rFonts w:eastAsia="Calibri"/>
        </w:rPr>
        <w:t>V. hónapjában 100,6</w:t>
      </w:r>
      <w:r w:rsidR="00AB7608">
        <w:rPr>
          <w:rFonts w:eastAsia="Calibri"/>
        </w:rPr>
        <w:t> </w:t>
      </w:r>
      <w:r w:rsidRPr="0FCC8A84">
        <w:rPr>
          <w:rFonts w:eastAsia="Calibri"/>
        </w:rPr>
        <w:t>milliárd forintot tett ki, amely 49,3</w:t>
      </w:r>
      <w:r w:rsidR="00AB7608">
        <w:rPr>
          <w:rFonts w:eastAsia="Calibri"/>
        </w:rPr>
        <w:t> </w:t>
      </w:r>
      <w:r w:rsidRPr="0FCC8A84">
        <w:rPr>
          <w:rFonts w:eastAsia="Calibri"/>
        </w:rPr>
        <w:t>milliárd forinttal haladta meg a tavalyi év azonos időszakában átutalt összeget.</w:t>
      </w:r>
    </w:p>
    <w:p w14:paraId="54374D71" w14:textId="77777777" w:rsidR="00C253EA" w:rsidRDefault="00C253EA" w:rsidP="007D2EE4">
      <w:pPr>
        <w:rPr>
          <w:b/>
          <w:bCs/>
          <w:smallCaps/>
        </w:rPr>
      </w:pPr>
    </w:p>
    <w:p w14:paraId="6B5F607E" w14:textId="057A0D67" w:rsidR="0077720B" w:rsidRDefault="0077720B" w:rsidP="007D2EE4">
      <w:pPr>
        <w:rPr>
          <w:b/>
          <w:bCs/>
          <w:smallCaps/>
        </w:rPr>
      </w:pPr>
      <w:r>
        <w:rPr>
          <w:b/>
          <w:bCs/>
          <w:smallCaps/>
        </w:rPr>
        <w:br w:type="page"/>
      </w:r>
    </w:p>
    <w:p w14:paraId="5D4F02CB" w14:textId="5640B4D4" w:rsidR="006E4EA6" w:rsidRDefault="0FCC8A84" w:rsidP="0FCC8A84">
      <w:pPr>
        <w:pStyle w:val="Cmsor3"/>
        <w:numPr>
          <w:ilvl w:val="0"/>
          <w:numId w:val="8"/>
        </w:numPr>
        <w:spacing w:before="0" w:after="120"/>
        <w:jc w:val="left"/>
        <w:rPr>
          <w:sz w:val="26"/>
          <w:szCs w:val="26"/>
        </w:rPr>
      </w:pPr>
      <w:r w:rsidRPr="0FCC8A84">
        <w:rPr>
          <w:sz w:val="26"/>
          <w:szCs w:val="26"/>
        </w:rPr>
        <w:lastRenderedPageBreak/>
        <w:t xml:space="preserve">A főbb kiadások </w:t>
      </w:r>
    </w:p>
    <w:p w14:paraId="66A0F3A1" w14:textId="77777777" w:rsidR="00953258" w:rsidRDefault="00953258" w:rsidP="00953258">
      <w:pPr>
        <w:rPr>
          <w:b/>
        </w:rPr>
      </w:pPr>
    </w:p>
    <w:p w14:paraId="7681CC15" w14:textId="54848892" w:rsidR="00C927B1" w:rsidRPr="00C927B1" w:rsidRDefault="0FCC8A84" w:rsidP="0FCC8A84">
      <w:pPr>
        <w:rPr>
          <w:b/>
          <w:bCs/>
        </w:rPr>
      </w:pPr>
      <w:r w:rsidRPr="0FCC8A84">
        <w:rPr>
          <w:b/>
          <w:bCs/>
        </w:rPr>
        <w:t xml:space="preserve">A központi alrendszer 2021. május végi 11 042,9 milliárd forint összegű kiadásai 951,4 milliárd forinttal, 9,4%-kal haladták meg az előző év azonos időszakának teljesítését. Magasabban teljesültek az egy évvel korábbi összeghez képest </w:t>
      </w:r>
      <w:r w:rsidRPr="0FCC8A84">
        <w:rPr>
          <w:rFonts w:cs="Tahoma"/>
          <w:b/>
          <w:bCs/>
        </w:rPr>
        <w:t xml:space="preserve">– többek között – </w:t>
      </w:r>
      <w:r w:rsidRPr="0FCC8A84">
        <w:rPr>
          <w:b/>
          <w:bCs/>
        </w:rPr>
        <w:t xml:space="preserve">a szakmai fejezeti kezelésű előirányzatok kiadásai, a helyi önkormányzatok támogatásai, az állami vagyonnal kapcsolatos kiadások, az EU költségvetéséhez történő hozzájárulás, a nyugellátásokra és a gyógyító-megelőző ellátásra fordított összegek is. Alacsonyabban teljesültek viszont az előző évi első </w:t>
      </w:r>
      <w:proofErr w:type="spellStart"/>
      <w:r w:rsidRPr="0FCC8A84">
        <w:rPr>
          <w:b/>
          <w:bCs/>
        </w:rPr>
        <w:t>öthavi</w:t>
      </w:r>
      <w:proofErr w:type="spellEnd"/>
      <w:r w:rsidRPr="0FCC8A84">
        <w:rPr>
          <w:b/>
          <w:bCs/>
        </w:rPr>
        <w:t xml:space="preserve"> kifizetéshez képest – többek között </w:t>
      </w:r>
      <w:r w:rsidRPr="0FCC8A84">
        <w:rPr>
          <w:rFonts w:cs="Tahoma"/>
          <w:b/>
          <w:bCs/>
        </w:rPr>
        <w:t xml:space="preserve">– az egyedi és normatív támogatások, a költségvetési szervek kiadásai, valamint </w:t>
      </w:r>
      <w:r w:rsidRPr="0FCC8A84">
        <w:rPr>
          <w:b/>
          <w:bCs/>
        </w:rPr>
        <w:t>az uniós kiadások is.</w:t>
      </w:r>
    </w:p>
    <w:p w14:paraId="2107952F" w14:textId="77777777" w:rsidR="004E2AAE" w:rsidRDefault="004E2AAE" w:rsidP="002109F5"/>
    <w:p w14:paraId="7735E4D3" w14:textId="34F61F58" w:rsidR="00B34889" w:rsidRDefault="00ED3652" w:rsidP="002109F5">
      <w:r>
        <w:rPr>
          <w:noProof/>
        </w:rPr>
        <w:drawing>
          <wp:inline distT="0" distB="0" distL="0" distR="0" wp14:anchorId="611D5233" wp14:editId="79C3DF42">
            <wp:extent cx="5940425" cy="2146935"/>
            <wp:effectExtent l="0" t="0" r="3175" b="5715"/>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iadás_megoszlás.png"/>
                    <pic:cNvPicPr/>
                  </pic:nvPicPr>
                  <pic:blipFill>
                    <a:blip r:embed="rId16">
                      <a:extLst>
                        <a:ext uri="{28A0092B-C50C-407E-A947-70E740481C1C}">
                          <a14:useLocalDpi xmlns:a14="http://schemas.microsoft.com/office/drawing/2010/main" val="0"/>
                        </a:ext>
                      </a:extLst>
                    </a:blip>
                    <a:stretch>
                      <a:fillRect/>
                    </a:stretch>
                  </pic:blipFill>
                  <pic:spPr>
                    <a:xfrm>
                      <a:off x="0" y="0"/>
                      <a:ext cx="5940425" cy="2146935"/>
                    </a:xfrm>
                    <a:prstGeom prst="rect">
                      <a:avLst/>
                    </a:prstGeom>
                  </pic:spPr>
                </pic:pic>
              </a:graphicData>
            </a:graphic>
          </wp:inline>
        </w:drawing>
      </w:r>
    </w:p>
    <w:p w14:paraId="2A719843" w14:textId="77777777" w:rsidR="00E42F7A" w:rsidRDefault="00E42F7A" w:rsidP="002109F5"/>
    <w:p w14:paraId="3D6E6567" w14:textId="0A7532A9" w:rsidR="00E90DDA" w:rsidRPr="00E90DDA" w:rsidRDefault="0FCC8A84" w:rsidP="0FCC8A84">
      <w:pPr>
        <w:rPr>
          <w:rFonts w:eastAsia="Calibri"/>
        </w:rPr>
      </w:pPr>
      <w:r w:rsidRPr="0FCC8A84">
        <w:rPr>
          <w:rFonts w:eastAsia="Calibri"/>
        </w:rPr>
        <w:t xml:space="preserve">Az </w:t>
      </w:r>
      <w:r w:rsidRPr="0FCC8A84">
        <w:rPr>
          <w:rFonts w:eastAsia="Calibri"/>
          <w:b/>
          <w:bCs/>
        </w:rPr>
        <w:t>egyedi és normatív támogatásokra</w:t>
      </w:r>
      <w:r w:rsidRPr="0FCC8A84">
        <w:rPr>
          <w:rFonts w:eastAsia="Calibri"/>
        </w:rPr>
        <w:t xml:space="preserve"> fordított kiadások május végéig 206,5 milliárd forintot tettek ki, amely 21,5 milliárd forinttal maradt el az előző év azonos időszakának teljesítésétől. Az eltérést döntő részben az magyarázza, hogy a helyközi személyszállítás támogatására 33,6 milliárd forinttal kevesebb kifizetés történt az év első öt hónapjában az előző év azonos időszakához képest. A részleteket az alábbi diagram mutatja be:</w:t>
      </w:r>
    </w:p>
    <w:p w14:paraId="1DF993AB" w14:textId="05B7D3B4" w:rsidR="00C673C3" w:rsidRDefault="00F935EA" w:rsidP="3887197A">
      <w:r>
        <w:rPr>
          <w:noProof/>
        </w:rPr>
        <w:lastRenderedPageBreak/>
        <w:drawing>
          <wp:inline distT="0" distB="0" distL="0" distR="0" wp14:anchorId="78415F54" wp14:editId="35921A29">
            <wp:extent cx="5940425" cy="3543300"/>
            <wp:effectExtent l="0" t="0" r="3175"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gyedi_és_normatív_tám.png"/>
                    <pic:cNvPicPr/>
                  </pic:nvPicPr>
                  <pic:blipFill>
                    <a:blip r:embed="rId17">
                      <a:extLst>
                        <a:ext uri="{28A0092B-C50C-407E-A947-70E740481C1C}">
                          <a14:useLocalDpi xmlns:a14="http://schemas.microsoft.com/office/drawing/2010/main" val="0"/>
                        </a:ext>
                      </a:extLst>
                    </a:blip>
                    <a:stretch>
                      <a:fillRect/>
                    </a:stretch>
                  </pic:blipFill>
                  <pic:spPr>
                    <a:xfrm>
                      <a:off x="0" y="0"/>
                      <a:ext cx="5940425" cy="3543300"/>
                    </a:xfrm>
                    <a:prstGeom prst="rect">
                      <a:avLst/>
                    </a:prstGeom>
                  </pic:spPr>
                </pic:pic>
              </a:graphicData>
            </a:graphic>
          </wp:inline>
        </w:drawing>
      </w:r>
    </w:p>
    <w:p w14:paraId="4102584F" w14:textId="77777777" w:rsidR="00F935EA" w:rsidRDefault="00F935EA" w:rsidP="3887197A"/>
    <w:p w14:paraId="44628DA7" w14:textId="60B02247" w:rsidR="232765E4" w:rsidRDefault="0FCC8A84" w:rsidP="30891728">
      <w:r>
        <w:t xml:space="preserve">A </w:t>
      </w:r>
      <w:r w:rsidRPr="0FCC8A84">
        <w:rPr>
          <w:b/>
          <w:bCs/>
        </w:rPr>
        <w:t>lakásépítési támogatásokra</w:t>
      </w:r>
      <w:r>
        <w:t xml:space="preserve"> fordított kiadások összege május végéig 97,6 milliárd forint volt, mely az előző év azonos időszakához viszonyítva 10,6 milliárd forinttal teljesült alacsonyabban. Az eltérés elsősorban az elszámolási szabályok miatti 2019 decemberében benyújtott igénylések 2020. januárra áthúzódó kifizetésére vezethető vissza. Emellett az árfolyam- és a referenciahozamok, valamint a további </w:t>
      </w:r>
      <w:proofErr w:type="gramStart"/>
      <w:r>
        <w:t>konstrukciókat</w:t>
      </w:r>
      <w:proofErr w:type="gramEnd"/>
      <w:r>
        <w:t xml:space="preserve"> igénybe vevők létszámának alakulása is befolyásolta a kifizetéseket. Az idei évi elszámolásokban szerepet játszik a 2021. január 1-jétől bevezetett </w:t>
      </w:r>
      <w:proofErr w:type="spellStart"/>
      <w:r>
        <w:t>otthonfelújítási</w:t>
      </w:r>
      <w:proofErr w:type="spellEnd"/>
      <w:r>
        <w:t xml:space="preserve"> támogatás és az ehhez februártól kapcsolódó kölcsön meghirdetése, valamint egyes meglévő </w:t>
      </w:r>
      <w:proofErr w:type="gramStart"/>
      <w:r>
        <w:t>konstrukciók</w:t>
      </w:r>
      <w:proofErr w:type="gramEnd"/>
      <w:r>
        <w:t xml:space="preserve">, a családi otthonteremtési kedvezmény, </w:t>
      </w:r>
      <w:proofErr w:type="spellStart"/>
      <w:r>
        <w:t>adóvisszatérítési</w:t>
      </w:r>
      <w:proofErr w:type="spellEnd"/>
      <w:r>
        <w:t xml:space="preserve"> támogatás és a többgyermekes családok lakáscélú jelzáloghitel-tartozásának csökkentésére nyújtott támogatás igénybe vételi lehetőségeinek további kiszélesítése, ezen felül pedig a falusi támogatások esetében az érintett preferált kistelepülések körének kibővítése.</w:t>
      </w:r>
    </w:p>
    <w:p w14:paraId="6FC65ACB" w14:textId="0456CD80" w:rsidR="00083873" w:rsidRDefault="0FCC8A84" w:rsidP="51CD5D50">
      <w:r w:rsidRPr="0FCC8A84">
        <w:rPr>
          <w:rFonts w:cs="Tahoma"/>
          <w:color w:val="000000" w:themeColor="text1"/>
        </w:rPr>
        <w:t xml:space="preserve">A </w:t>
      </w:r>
      <w:r w:rsidRPr="0FCC8A84">
        <w:rPr>
          <w:rFonts w:cs="Tahoma"/>
          <w:b/>
          <w:bCs/>
          <w:color w:val="000000" w:themeColor="text1"/>
        </w:rPr>
        <w:t>Nemzeti Család- és Szociálpolitikai Alap</w:t>
      </w:r>
      <w:r w:rsidRPr="0FCC8A84">
        <w:rPr>
          <w:rFonts w:cs="Tahoma"/>
          <w:color w:val="000000" w:themeColor="text1"/>
        </w:rPr>
        <w:t xml:space="preserve"> a családi támogatásokat, a korhatár alatti ellátásokat, a jövedelempótló és jövedelemkiegészítő szociális támogatásokat, </w:t>
      </w:r>
      <w:r>
        <w:t>valamint a különféle jogcímen adott térítéseket tartalmazza. A főbb támogatásokat a következő táblázat részletezi:</w:t>
      </w:r>
      <w:r w:rsidR="6B0A3B39">
        <w:br w:type="page"/>
      </w:r>
    </w:p>
    <w:tbl>
      <w:tblPr>
        <w:tblW w:w="7520" w:type="dxa"/>
        <w:tblInd w:w="75" w:type="dxa"/>
        <w:tblCellMar>
          <w:left w:w="70" w:type="dxa"/>
          <w:right w:w="70" w:type="dxa"/>
        </w:tblCellMar>
        <w:tblLook w:val="04A0" w:firstRow="1" w:lastRow="0" w:firstColumn="1" w:lastColumn="0" w:noHBand="0" w:noVBand="1"/>
      </w:tblPr>
      <w:tblGrid>
        <w:gridCol w:w="4180"/>
        <w:gridCol w:w="980"/>
        <w:gridCol w:w="960"/>
        <w:gridCol w:w="807"/>
        <w:gridCol w:w="593"/>
      </w:tblGrid>
      <w:tr w:rsidR="007E02A2" w:rsidRPr="007E02A2" w14:paraId="242161F8" w14:textId="77777777" w:rsidTr="0FCC8A84">
        <w:trPr>
          <w:trHeight w:val="270"/>
        </w:trPr>
        <w:tc>
          <w:tcPr>
            <w:tcW w:w="4180" w:type="dxa"/>
            <w:vMerge w:val="restart"/>
            <w:tcBorders>
              <w:top w:val="single" w:sz="4" w:space="0" w:color="auto"/>
              <w:left w:val="single" w:sz="4" w:space="0" w:color="auto"/>
              <w:bottom w:val="single" w:sz="4" w:space="0" w:color="000000" w:themeColor="text1"/>
              <w:right w:val="single" w:sz="4" w:space="0" w:color="auto"/>
            </w:tcBorders>
            <w:shd w:val="clear" w:color="auto" w:fill="auto"/>
            <w:noWrap/>
            <w:vAlign w:val="center"/>
            <w:hideMark/>
          </w:tcPr>
          <w:p w14:paraId="0E6B6024" w14:textId="77777777" w:rsidR="007E02A2" w:rsidRPr="007E02A2" w:rsidRDefault="0FCC8A84" w:rsidP="0FCC8A84">
            <w:pPr>
              <w:spacing w:after="0"/>
              <w:jc w:val="center"/>
              <w:rPr>
                <w:b/>
                <w:bCs/>
                <w:color w:val="000000" w:themeColor="text1"/>
                <w:sz w:val="14"/>
                <w:szCs w:val="14"/>
              </w:rPr>
            </w:pPr>
            <w:r w:rsidRPr="0FCC8A84">
              <w:rPr>
                <w:b/>
                <w:bCs/>
                <w:color w:val="000000" w:themeColor="text1"/>
                <w:sz w:val="14"/>
                <w:szCs w:val="14"/>
              </w:rPr>
              <w:lastRenderedPageBreak/>
              <w:t>Megnevezés</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5408AA" w14:textId="77777777" w:rsidR="007E02A2" w:rsidRPr="007E02A2" w:rsidRDefault="0FCC8A84" w:rsidP="0FCC8A84">
            <w:pPr>
              <w:spacing w:after="0"/>
              <w:jc w:val="center"/>
              <w:rPr>
                <w:b/>
                <w:bCs/>
                <w:color w:val="000000" w:themeColor="text1"/>
                <w:sz w:val="14"/>
                <w:szCs w:val="14"/>
              </w:rPr>
            </w:pPr>
            <w:r w:rsidRPr="0FCC8A84">
              <w:rPr>
                <w:b/>
                <w:bCs/>
                <w:color w:val="000000" w:themeColor="text1"/>
                <w:sz w:val="14"/>
                <w:szCs w:val="14"/>
              </w:rPr>
              <w:t xml:space="preserve">2020. </w:t>
            </w:r>
            <w:r w:rsidR="007E02A2">
              <w:br/>
            </w:r>
            <w:r w:rsidRPr="0FCC8A84">
              <w:rPr>
                <w:b/>
                <w:bCs/>
                <w:color w:val="000000" w:themeColor="text1"/>
                <w:sz w:val="14"/>
                <w:szCs w:val="14"/>
              </w:rPr>
              <w:t>I-V. hó</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DD3574" w14:textId="77777777" w:rsidR="007E02A2" w:rsidRPr="007E02A2" w:rsidRDefault="0FCC8A84" w:rsidP="0FCC8A84">
            <w:pPr>
              <w:spacing w:after="0"/>
              <w:jc w:val="center"/>
              <w:rPr>
                <w:b/>
                <w:bCs/>
                <w:color w:val="000000" w:themeColor="text1"/>
                <w:sz w:val="14"/>
                <w:szCs w:val="14"/>
              </w:rPr>
            </w:pPr>
            <w:r w:rsidRPr="0FCC8A84">
              <w:rPr>
                <w:b/>
                <w:bCs/>
                <w:color w:val="000000" w:themeColor="text1"/>
                <w:sz w:val="14"/>
                <w:szCs w:val="14"/>
              </w:rPr>
              <w:t>2021.</w:t>
            </w:r>
            <w:r w:rsidR="007E02A2">
              <w:br/>
            </w:r>
            <w:r w:rsidRPr="0FCC8A84">
              <w:rPr>
                <w:b/>
                <w:bCs/>
                <w:color w:val="000000" w:themeColor="text1"/>
                <w:sz w:val="14"/>
                <w:szCs w:val="14"/>
              </w:rPr>
              <w:t>I-V. hó</w:t>
            </w:r>
          </w:p>
        </w:tc>
        <w:tc>
          <w:tcPr>
            <w:tcW w:w="14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5878DB" w14:textId="77777777" w:rsidR="007E02A2" w:rsidRPr="007E02A2" w:rsidRDefault="0FCC8A84" w:rsidP="0FCC8A84">
            <w:pPr>
              <w:spacing w:after="0"/>
              <w:jc w:val="center"/>
              <w:rPr>
                <w:b/>
                <w:bCs/>
                <w:color w:val="000000" w:themeColor="text1"/>
                <w:sz w:val="14"/>
                <w:szCs w:val="14"/>
              </w:rPr>
            </w:pPr>
            <w:r w:rsidRPr="0FCC8A84">
              <w:rPr>
                <w:b/>
                <w:bCs/>
                <w:color w:val="000000" w:themeColor="text1"/>
                <w:sz w:val="14"/>
                <w:szCs w:val="14"/>
              </w:rPr>
              <w:t>Eltérés</w:t>
            </w:r>
          </w:p>
        </w:tc>
      </w:tr>
      <w:tr w:rsidR="007E02A2" w:rsidRPr="007E02A2" w14:paraId="774BFF21" w14:textId="77777777" w:rsidTr="0FCC8A84">
        <w:trPr>
          <w:trHeight w:val="225"/>
        </w:trPr>
        <w:tc>
          <w:tcPr>
            <w:tcW w:w="4180" w:type="dxa"/>
            <w:vMerge/>
            <w:tcBorders>
              <w:top w:val="single" w:sz="4" w:space="0" w:color="auto"/>
              <w:left w:val="single" w:sz="4" w:space="0" w:color="auto"/>
              <w:bottom w:val="single" w:sz="4" w:space="0" w:color="000000"/>
              <w:right w:val="single" w:sz="4" w:space="0" w:color="auto"/>
            </w:tcBorders>
            <w:vAlign w:val="center"/>
            <w:hideMark/>
          </w:tcPr>
          <w:p w14:paraId="2FB83D0A" w14:textId="77777777" w:rsidR="007E02A2" w:rsidRPr="007E02A2" w:rsidRDefault="007E02A2" w:rsidP="007E02A2">
            <w:pPr>
              <w:spacing w:after="0"/>
              <w:jc w:val="left"/>
              <w:rPr>
                <w:b/>
                <w:bCs/>
                <w:color w:val="000000"/>
                <w:sz w:val="14"/>
                <w:szCs w:val="14"/>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4A0A6939" w14:textId="77777777" w:rsidR="007E02A2" w:rsidRPr="007E02A2" w:rsidRDefault="007E02A2" w:rsidP="007E02A2">
            <w:pPr>
              <w:spacing w:after="0"/>
              <w:jc w:val="left"/>
              <w:rPr>
                <w:b/>
                <w:bCs/>
                <w:color w:val="000000"/>
                <w:sz w:val="14"/>
                <w:szCs w:val="1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C737937" w14:textId="77777777" w:rsidR="007E02A2" w:rsidRPr="007E02A2" w:rsidRDefault="007E02A2" w:rsidP="007E02A2">
            <w:pPr>
              <w:spacing w:after="0"/>
              <w:jc w:val="left"/>
              <w:rPr>
                <w:b/>
                <w:bCs/>
                <w:color w:val="000000"/>
                <w:sz w:val="14"/>
                <w:szCs w:val="14"/>
              </w:rPr>
            </w:pPr>
          </w:p>
        </w:tc>
        <w:tc>
          <w:tcPr>
            <w:tcW w:w="807" w:type="dxa"/>
            <w:tcBorders>
              <w:top w:val="nil"/>
              <w:left w:val="nil"/>
              <w:bottom w:val="single" w:sz="4" w:space="0" w:color="auto"/>
              <w:right w:val="single" w:sz="4" w:space="0" w:color="auto"/>
            </w:tcBorders>
            <w:shd w:val="clear" w:color="auto" w:fill="auto"/>
            <w:noWrap/>
            <w:vAlign w:val="bottom"/>
            <w:hideMark/>
          </w:tcPr>
          <w:p w14:paraId="44FDEDB9" w14:textId="77777777" w:rsidR="007E02A2" w:rsidRPr="007E02A2" w:rsidRDefault="0FCC8A84" w:rsidP="0FCC8A84">
            <w:pPr>
              <w:spacing w:after="0"/>
              <w:jc w:val="center"/>
              <w:rPr>
                <w:b/>
                <w:bCs/>
                <w:color w:val="000000" w:themeColor="text1"/>
                <w:sz w:val="14"/>
                <w:szCs w:val="14"/>
              </w:rPr>
            </w:pPr>
            <w:r w:rsidRPr="0FCC8A84">
              <w:rPr>
                <w:b/>
                <w:bCs/>
                <w:color w:val="000000" w:themeColor="text1"/>
                <w:sz w:val="14"/>
                <w:szCs w:val="14"/>
              </w:rPr>
              <w:t>Mrd Ft</w:t>
            </w:r>
          </w:p>
        </w:tc>
        <w:tc>
          <w:tcPr>
            <w:tcW w:w="593" w:type="dxa"/>
            <w:tcBorders>
              <w:top w:val="nil"/>
              <w:left w:val="nil"/>
              <w:bottom w:val="single" w:sz="4" w:space="0" w:color="auto"/>
              <w:right w:val="single" w:sz="4" w:space="0" w:color="auto"/>
            </w:tcBorders>
            <w:shd w:val="clear" w:color="auto" w:fill="auto"/>
            <w:noWrap/>
            <w:vAlign w:val="bottom"/>
            <w:hideMark/>
          </w:tcPr>
          <w:p w14:paraId="5C95BBA1" w14:textId="77777777" w:rsidR="007E02A2" w:rsidRPr="007E02A2" w:rsidRDefault="0FCC8A84" w:rsidP="0FCC8A84">
            <w:pPr>
              <w:spacing w:after="0"/>
              <w:jc w:val="center"/>
              <w:rPr>
                <w:b/>
                <w:bCs/>
                <w:color w:val="000000" w:themeColor="text1"/>
                <w:sz w:val="14"/>
                <w:szCs w:val="14"/>
              </w:rPr>
            </w:pPr>
            <w:r w:rsidRPr="0FCC8A84">
              <w:rPr>
                <w:b/>
                <w:bCs/>
                <w:color w:val="000000" w:themeColor="text1"/>
                <w:sz w:val="14"/>
                <w:szCs w:val="14"/>
              </w:rPr>
              <w:t>%</w:t>
            </w:r>
          </w:p>
        </w:tc>
      </w:tr>
      <w:tr w:rsidR="007E02A2" w:rsidRPr="007E02A2" w14:paraId="17AF35A3" w14:textId="77777777" w:rsidTr="0FCC8A84">
        <w:trPr>
          <w:trHeight w:val="21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3987878E" w14:textId="77777777" w:rsidR="007E02A2" w:rsidRPr="007E02A2" w:rsidRDefault="0FCC8A84" w:rsidP="0FCC8A84">
            <w:pPr>
              <w:spacing w:after="0"/>
              <w:jc w:val="left"/>
              <w:rPr>
                <w:b/>
                <w:bCs/>
                <w:color w:val="000000" w:themeColor="text1"/>
                <w:sz w:val="14"/>
                <w:szCs w:val="14"/>
              </w:rPr>
            </w:pPr>
            <w:r w:rsidRPr="0FCC8A84">
              <w:rPr>
                <w:b/>
                <w:bCs/>
                <w:color w:val="000000" w:themeColor="text1"/>
                <w:sz w:val="14"/>
                <w:szCs w:val="14"/>
              </w:rPr>
              <w:t>Családi támogatások</w:t>
            </w:r>
          </w:p>
        </w:tc>
        <w:tc>
          <w:tcPr>
            <w:tcW w:w="980" w:type="dxa"/>
            <w:tcBorders>
              <w:top w:val="nil"/>
              <w:left w:val="nil"/>
              <w:bottom w:val="single" w:sz="4" w:space="0" w:color="auto"/>
              <w:right w:val="single" w:sz="4" w:space="0" w:color="auto"/>
            </w:tcBorders>
            <w:shd w:val="clear" w:color="auto" w:fill="auto"/>
            <w:noWrap/>
            <w:vAlign w:val="bottom"/>
            <w:hideMark/>
          </w:tcPr>
          <w:p w14:paraId="1F682216" w14:textId="77777777" w:rsidR="007E02A2" w:rsidRPr="007E02A2" w:rsidRDefault="0FCC8A84" w:rsidP="0FCC8A84">
            <w:pPr>
              <w:spacing w:after="0"/>
              <w:jc w:val="right"/>
              <w:rPr>
                <w:b/>
                <w:bCs/>
                <w:sz w:val="14"/>
                <w:szCs w:val="14"/>
              </w:rPr>
            </w:pPr>
            <w:r w:rsidRPr="0FCC8A84">
              <w:rPr>
                <w:b/>
                <w:bCs/>
                <w:sz w:val="14"/>
                <w:szCs w:val="14"/>
              </w:rPr>
              <w:t>167,7</w:t>
            </w:r>
          </w:p>
        </w:tc>
        <w:tc>
          <w:tcPr>
            <w:tcW w:w="960" w:type="dxa"/>
            <w:tcBorders>
              <w:top w:val="nil"/>
              <w:left w:val="nil"/>
              <w:bottom w:val="single" w:sz="4" w:space="0" w:color="auto"/>
              <w:right w:val="single" w:sz="4" w:space="0" w:color="auto"/>
            </w:tcBorders>
            <w:shd w:val="clear" w:color="auto" w:fill="auto"/>
            <w:noWrap/>
            <w:vAlign w:val="bottom"/>
            <w:hideMark/>
          </w:tcPr>
          <w:p w14:paraId="78F0751D" w14:textId="77777777" w:rsidR="007E02A2" w:rsidRPr="007E02A2" w:rsidRDefault="0FCC8A84" w:rsidP="0FCC8A84">
            <w:pPr>
              <w:spacing w:after="0"/>
              <w:jc w:val="right"/>
              <w:rPr>
                <w:b/>
                <w:bCs/>
                <w:sz w:val="14"/>
                <w:szCs w:val="14"/>
              </w:rPr>
            </w:pPr>
            <w:r w:rsidRPr="0FCC8A84">
              <w:rPr>
                <w:b/>
                <w:bCs/>
                <w:sz w:val="14"/>
                <w:szCs w:val="14"/>
              </w:rPr>
              <w:t>168,2</w:t>
            </w:r>
          </w:p>
        </w:tc>
        <w:tc>
          <w:tcPr>
            <w:tcW w:w="807" w:type="dxa"/>
            <w:tcBorders>
              <w:top w:val="nil"/>
              <w:left w:val="nil"/>
              <w:bottom w:val="single" w:sz="4" w:space="0" w:color="auto"/>
              <w:right w:val="single" w:sz="4" w:space="0" w:color="auto"/>
            </w:tcBorders>
            <w:shd w:val="clear" w:color="auto" w:fill="auto"/>
            <w:noWrap/>
            <w:vAlign w:val="bottom"/>
            <w:hideMark/>
          </w:tcPr>
          <w:p w14:paraId="3BC9D28C" w14:textId="77777777" w:rsidR="007E02A2" w:rsidRPr="007E02A2" w:rsidRDefault="0FCC8A84" w:rsidP="0FCC8A84">
            <w:pPr>
              <w:spacing w:after="0"/>
              <w:jc w:val="right"/>
              <w:rPr>
                <w:b/>
                <w:bCs/>
                <w:sz w:val="14"/>
                <w:szCs w:val="14"/>
              </w:rPr>
            </w:pPr>
            <w:r w:rsidRPr="0FCC8A84">
              <w:rPr>
                <w:b/>
                <w:bCs/>
                <w:sz w:val="14"/>
                <w:szCs w:val="14"/>
              </w:rPr>
              <w:t>0,5</w:t>
            </w:r>
          </w:p>
        </w:tc>
        <w:tc>
          <w:tcPr>
            <w:tcW w:w="593" w:type="dxa"/>
            <w:tcBorders>
              <w:top w:val="nil"/>
              <w:left w:val="nil"/>
              <w:bottom w:val="single" w:sz="4" w:space="0" w:color="auto"/>
              <w:right w:val="single" w:sz="4" w:space="0" w:color="auto"/>
            </w:tcBorders>
            <w:shd w:val="clear" w:color="auto" w:fill="auto"/>
            <w:noWrap/>
            <w:vAlign w:val="bottom"/>
            <w:hideMark/>
          </w:tcPr>
          <w:p w14:paraId="489F05D2" w14:textId="77777777" w:rsidR="007E02A2" w:rsidRPr="007E02A2" w:rsidRDefault="0FCC8A84" w:rsidP="0FCC8A84">
            <w:pPr>
              <w:spacing w:after="0"/>
              <w:jc w:val="right"/>
              <w:rPr>
                <w:b/>
                <w:bCs/>
                <w:sz w:val="14"/>
                <w:szCs w:val="14"/>
              </w:rPr>
            </w:pPr>
            <w:r w:rsidRPr="0FCC8A84">
              <w:rPr>
                <w:b/>
                <w:bCs/>
                <w:sz w:val="14"/>
                <w:szCs w:val="14"/>
              </w:rPr>
              <w:t>100,3</w:t>
            </w:r>
          </w:p>
        </w:tc>
      </w:tr>
      <w:tr w:rsidR="007E02A2" w:rsidRPr="007E02A2" w14:paraId="03E91684" w14:textId="77777777" w:rsidTr="0FCC8A84">
        <w:trPr>
          <w:trHeight w:val="21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37A97AB8" w14:textId="77777777" w:rsidR="007E02A2" w:rsidRPr="007E02A2" w:rsidRDefault="0FCC8A84" w:rsidP="0FCC8A84">
            <w:pPr>
              <w:spacing w:after="0"/>
              <w:ind w:firstLineChars="100" w:firstLine="140"/>
              <w:jc w:val="left"/>
              <w:rPr>
                <w:i/>
                <w:iCs/>
                <w:color w:val="000000" w:themeColor="text1"/>
                <w:sz w:val="14"/>
                <w:szCs w:val="14"/>
              </w:rPr>
            </w:pPr>
            <w:r w:rsidRPr="0FCC8A84">
              <w:rPr>
                <w:i/>
                <w:iCs/>
                <w:color w:val="000000" w:themeColor="text1"/>
                <w:sz w:val="14"/>
                <w:szCs w:val="14"/>
              </w:rPr>
              <w:t>Ebből:</w:t>
            </w:r>
          </w:p>
        </w:tc>
        <w:tc>
          <w:tcPr>
            <w:tcW w:w="980" w:type="dxa"/>
            <w:tcBorders>
              <w:top w:val="nil"/>
              <w:left w:val="nil"/>
              <w:bottom w:val="single" w:sz="4" w:space="0" w:color="auto"/>
              <w:right w:val="single" w:sz="4" w:space="0" w:color="auto"/>
            </w:tcBorders>
            <w:shd w:val="clear" w:color="auto" w:fill="auto"/>
            <w:noWrap/>
            <w:vAlign w:val="bottom"/>
            <w:hideMark/>
          </w:tcPr>
          <w:p w14:paraId="7BD5A9C6" w14:textId="77777777" w:rsidR="007E02A2" w:rsidRPr="007E02A2" w:rsidRDefault="0FCC8A84" w:rsidP="0FCC8A84">
            <w:pPr>
              <w:spacing w:after="0"/>
              <w:jc w:val="right"/>
              <w:rPr>
                <w:sz w:val="14"/>
                <w:szCs w:val="14"/>
              </w:rPr>
            </w:pPr>
            <w:r w:rsidRPr="0FCC8A84">
              <w:rPr>
                <w:sz w:val="14"/>
                <w:szCs w:val="14"/>
              </w:rPr>
              <w:t> </w:t>
            </w:r>
          </w:p>
        </w:tc>
        <w:tc>
          <w:tcPr>
            <w:tcW w:w="960" w:type="dxa"/>
            <w:tcBorders>
              <w:top w:val="nil"/>
              <w:left w:val="nil"/>
              <w:bottom w:val="single" w:sz="4" w:space="0" w:color="auto"/>
              <w:right w:val="single" w:sz="4" w:space="0" w:color="auto"/>
            </w:tcBorders>
            <w:shd w:val="clear" w:color="auto" w:fill="auto"/>
            <w:noWrap/>
            <w:vAlign w:val="bottom"/>
            <w:hideMark/>
          </w:tcPr>
          <w:p w14:paraId="4EDF1554" w14:textId="77777777" w:rsidR="007E02A2" w:rsidRPr="007E02A2" w:rsidRDefault="0FCC8A84" w:rsidP="0FCC8A84">
            <w:pPr>
              <w:spacing w:after="0"/>
              <w:jc w:val="right"/>
              <w:rPr>
                <w:sz w:val="14"/>
                <w:szCs w:val="14"/>
              </w:rPr>
            </w:pPr>
            <w:r w:rsidRPr="0FCC8A84">
              <w:rPr>
                <w:sz w:val="14"/>
                <w:szCs w:val="14"/>
              </w:rPr>
              <w:t> </w:t>
            </w:r>
          </w:p>
        </w:tc>
        <w:tc>
          <w:tcPr>
            <w:tcW w:w="807" w:type="dxa"/>
            <w:tcBorders>
              <w:top w:val="nil"/>
              <w:left w:val="nil"/>
              <w:bottom w:val="single" w:sz="4" w:space="0" w:color="auto"/>
              <w:right w:val="single" w:sz="4" w:space="0" w:color="auto"/>
            </w:tcBorders>
            <w:shd w:val="clear" w:color="auto" w:fill="auto"/>
            <w:noWrap/>
            <w:vAlign w:val="bottom"/>
            <w:hideMark/>
          </w:tcPr>
          <w:p w14:paraId="5F420FDB" w14:textId="77777777" w:rsidR="007E02A2" w:rsidRPr="007E02A2" w:rsidRDefault="0FCC8A84" w:rsidP="0FCC8A84">
            <w:pPr>
              <w:spacing w:after="0"/>
              <w:jc w:val="right"/>
              <w:rPr>
                <w:sz w:val="14"/>
                <w:szCs w:val="14"/>
              </w:rPr>
            </w:pPr>
            <w:r w:rsidRPr="0FCC8A84">
              <w:rPr>
                <w:sz w:val="14"/>
                <w:szCs w:val="14"/>
              </w:rPr>
              <w:t> </w:t>
            </w:r>
          </w:p>
        </w:tc>
        <w:tc>
          <w:tcPr>
            <w:tcW w:w="593" w:type="dxa"/>
            <w:tcBorders>
              <w:top w:val="nil"/>
              <w:left w:val="nil"/>
              <w:bottom w:val="single" w:sz="4" w:space="0" w:color="auto"/>
              <w:right w:val="single" w:sz="4" w:space="0" w:color="auto"/>
            </w:tcBorders>
            <w:shd w:val="clear" w:color="auto" w:fill="auto"/>
            <w:noWrap/>
            <w:vAlign w:val="bottom"/>
            <w:hideMark/>
          </w:tcPr>
          <w:p w14:paraId="04672452" w14:textId="77777777" w:rsidR="007E02A2" w:rsidRPr="007E02A2" w:rsidRDefault="0FCC8A84" w:rsidP="0FCC8A84">
            <w:pPr>
              <w:spacing w:after="0"/>
              <w:jc w:val="right"/>
              <w:rPr>
                <w:sz w:val="14"/>
                <w:szCs w:val="14"/>
              </w:rPr>
            </w:pPr>
            <w:r w:rsidRPr="0FCC8A84">
              <w:rPr>
                <w:sz w:val="14"/>
                <w:szCs w:val="14"/>
              </w:rPr>
              <w:t> </w:t>
            </w:r>
          </w:p>
        </w:tc>
      </w:tr>
      <w:tr w:rsidR="007E02A2" w:rsidRPr="007E02A2" w14:paraId="3B9D82B3" w14:textId="77777777" w:rsidTr="0FCC8A84">
        <w:trPr>
          <w:trHeight w:val="21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20116653" w14:textId="77777777" w:rsidR="007E02A2" w:rsidRPr="007E02A2" w:rsidRDefault="0FCC8A84" w:rsidP="0FCC8A84">
            <w:pPr>
              <w:spacing w:after="0"/>
              <w:ind w:firstLineChars="400" w:firstLine="560"/>
              <w:jc w:val="left"/>
              <w:rPr>
                <w:i/>
                <w:iCs/>
                <w:color w:val="000000" w:themeColor="text1"/>
                <w:sz w:val="14"/>
                <w:szCs w:val="14"/>
              </w:rPr>
            </w:pPr>
            <w:r w:rsidRPr="0FCC8A84">
              <w:rPr>
                <w:i/>
                <w:iCs/>
                <w:color w:val="000000" w:themeColor="text1"/>
                <w:sz w:val="14"/>
                <w:szCs w:val="14"/>
              </w:rPr>
              <w:t>családi pótlék</w:t>
            </w:r>
          </w:p>
        </w:tc>
        <w:tc>
          <w:tcPr>
            <w:tcW w:w="980" w:type="dxa"/>
            <w:tcBorders>
              <w:top w:val="nil"/>
              <w:left w:val="nil"/>
              <w:bottom w:val="single" w:sz="4" w:space="0" w:color="auto"/>
              <w:right w:val="single" w:sz="4" w:space="0" w:color="auto"/>
            </w:tcBorders>
            <w:shd w:val="clear" w:color="auto" w:fill="auto"/>
            <w:noWrap/>
            <w:vAlign w:val="bottom"/>
            <w:hideMark/>
          </w:tcPr>
          <w:p w14:paraId="568F439C" w14:textId="77777777" w:rsidR="007E02A2" w:rsidRPr="007E02A2" w:rsidRDefault="0FCC8A84" w:rsidP="0FCC8A84">
            <w:pPr>
              <w:spacing w:after="0"/>
              <w:jc w:val="right"/>
              <w:rPr>
                <w:sz w:val="14"/>
                <w:szCs w:val="14"/>
              </w:rPr>
            </w:pPr>
            <w:r w:rsidRPr="0FCC8A84">
              <w:rPr>
                <w:sz w:val="14"/>
                <w:szCs w:val="14"/>
              </w:rPr>
              <w:t>128,9</w:t>
            </w:r>
          </w:p>
        </w:tc>
        <w:tc>
          <w:tcPr>
            <w:tcW w:w="960" w:type="dxa"/>
            <w:tcBorders>
              <w:top w:val="nil"/>
              <w:left w:val="nil"/>
              <w:bottom w:val="single" w:sz="4" w:space="0" w:color="auto"/>
              <w:right w:val="single" w:sz="4" w:space="0" w:color="auto"/>
            </w:tcBorders>
            <w:shd w:val="clear" w:color="auto" w:fill="auto"/>
            <w:noWrap/>
            <w:vAlign w:val="bottom"/>
            <w:hideMark/>
          </w:tcPr>
          <w:p w14:paraId="5121A01F" w14:textId="77777777" w:rsidR="007E02A2" w:rsidRPr="007E02A2" w:rsidRDefault="0FCC8A84" w:rsidP="0FCC8A84">
            <w:pPr>
              <w:spacing w:after="0"/>
              <w:jc w:val="right"/>
              <w:rPr>
                <w:sz w:val="14"/>
                <w:szCs w:val="14"/>
              </w:rPr>
            </w:pPr>
            <w:r w:rsidRPr="0FCC8A84">
              <w:rPr>
                <w:sz w:val="14"/>
                <w:szCs w:val="14"/>
              </w:rPr>
              <w:t>129,3</w:t>
            </w:r>
          </w:p>
        </w:tc>
        <w:tc>
          <w:tcPr>
            <w:tcW w:w="807" w:type="dxa"/>
            <w:tcBorders>
              <w:top w:val="nil"/>
              <w:left w:val="nil"/>
              <w:bottom w:val="single" w:sz="4" w:space="0" w:color="auto"/>
              <w:right w:val="single" w:sz="4" w:space="0" w:color="auto"/>
            </w:tcBorders>
            <w:shd w:val="clear" w:color="auto" w:fill="auto"/>
            <w:noWrap/>
            <w:vAlign w:val="bottom"/>
            <w:hideMark/>
          </w:tcPr>
          <w:p w14:paraId="1208A70C" w14:textId="77777777" w:rsidR="007E02A2" w:rsidRPr="007E02A2" w:rsidRDefault="0FCC8A84" w:rsidP="0FCC8A84">
            <w:pPr>
              <w:spacing w:after="0"/>
              <w:jc w:val="right"/>
              <w:rPr>
                <w:sz w:val="14"/>
                <w:szCs w:val="14"/>
              </w:rPr>
            </w:pPr>
            <w:r w:rsidRPr="0FCC8A84">
              <w:rPr>
                <w:sz w:val="14"/>
                <w:szCs w:val="14"/>
              </w:rPr>
              <w:t>0,4</w:t>
            </w:r>
          </w:p>
        </w:tc>
        <w:tc>
          <w:tcPr>
            <w:tcW w:w="593" w:type="dxa"/>
            <w:tcBorders>
              <w:top w:val="nil"/>
              <w:left w:val="nil"/>
              <w:bottom w:val="single" w:sz="4" w:space="0" w:color="auto"/>
              <w:right w:val="single" w:sz="4" w:space="0" w:color="auto"/>
            </w:tcBorders>
            <w:shd w:val="clear" w:color="auto" w:fill="auto"/>
            <w:noWrap/>
            <w:vAlign w:val="bottom"/>
            <w:hideMark/>
          </w:tcPr>
          <w:p w14:paraId="70FD2C68" w14:textId="77777777" w:rsidR="007E02A2" w:rsidRPr="007E02A2" w:rsidRDefault="0FCC8A84" w:rsidP="0FCC8A84">
            <w:pPr>
              <w:spacing w:after="0"/>
              <w:jc w:val="right"/>
              <w:rPr>
                <w:sz w:val="14"/>
                <w:szCs w:val="14"/>
              </w:rPr>
            </w:pPr>
            <w:r w:rsidRPr="0FCC8A84">
              <w:rPr>
                <w:sz w:val="14"/>
                <w:szCs w:val="14"/>
              </w:rPr>
              <w:t>100,3</w:t>
            </w:r>
          </w:p>
        </w:tc>
      </w:tr>
      <w:tr w:rsidR="007E02A2" w:rsidRPr="007E02A2" w14:paraId="4EE29724" w14:textId="77777777" w:rsidTr="0FCC8A84">
        <w:trPr>
          <w:trHeight w:val="21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24ABDCAE" w14:textId="77777777" w:rsidR="007E02A2" w:rsidRPr="007E02A2" w:rsidRDefault="0FCC8A84" w:rsidP="0FCC8A84">
            <w:pPr>
              <w:spacing w:after="0"/>
              <w:ind w:firstLineChars="400" w:firstLine="560"/>
              <w:jc w:val="left"/>
              <w:rPr>
                <w:i/>
                <w:iCs/>
                <w:color w:val="000000" w:themeColor="text1"/>
                <w:sz w:val="14"/>
                <w:szCs w:val="14"/>
              </w:rPr>
            </w:pPr>
            <w:r w:rsidRPr="0FCC8A84">
              <w:rPr>
                <w:i/>
                <w:iCs/>
                <w:color w:val="000000" w:themeColor="text1"/>
                <w:sz w:val="14"/>
                <w:szCs w:val="14"/>
              </w:rPr>
              <w:t>anyasági támogatás</w:t>
            </w:r>
          </w:p>
        </w:tc>
        <w:tc>
          <w:tcPr>
            <w:tcW w:w="980" w:type="dxa"/>
            <w:tcBorders>
              <w:top w:val="nil"/>
              <w:left w:val="nil"/>
              <w:bottom w:val="single" w:sz="4" w:space="0" w:color="auto"/>
              <w:right w:val="single" w:sz="4" w:space="0" w:color="auto"/>
            </w:tcBorders>
            <w:shd w:val="clear" w:color="auto" w:fill="auto"/>
            <w:noWrap/>
            <w:vAlign w:val="bottom"/>
            <w:hideMark/>
          </w:tcPr>
          <w:p w14:paraId="703DB5E8" w14:textId="77777777" w:rsidR="007E02A2" w:rsidRPr="007E02A2" w:rsidRDefault="0FCC8A84" w:rsidP="0FCC8A84">
            <w:pPr>
              <w:spacing w:after="0"/>
              <w:jc w:val="right"/>
              <w:rPr>
                <w:sz w:val="14"/>
                <w:szCs w:val="14"/>
              </w:rPr>
            </w:pPr>
            <w:r w:rsidRPr="0FCC8A84">
              <w:rPr>
                <w:sz w:val="14"/>
                <w:szCs w:val="14"/>
              </w:rPr>
              <w:t>2,9</w:t>
            </w:r>
          </w:p>
        </w:tc>
        <w:tc>
          <w:tcPr>
            <w:tcW w:w="960" w:type="dxa"/>
            <w:tcBorders>
              <w:top w:val="nil"/>
              <w:left w:val="nil"/>
              <w:bottom w:val="single" w:sz="4" w:space="0" w:color="auto"/>
              <w:right w:val="single" w:sz="4" w:space="0" w:color="auto"/>
            </w:tcBorders>
            <w:shd w:val="clear" w:color="auto" w:fill="auto"/>
            <w:noWrap/>
            <w:vAlign w:val="bottom"/>
            <w:hideMark/>
          </w:tcPr>
          <w:p w14:paraId="0A78760D" w14:textId="77777777" w:rsidR="007E02A2" w:rsidRPr="007E02A2" w:rsidRDefault="0FCC8A84" w:rsidP="0FCC8A84">
            <w:pPr>
              <w:spacing w:after="0"/>
              <w:jc w:val="right"/>
              <w:rPr>
                <w:sz w:val="14"/>
                <w:szCs w:val="14"/>
              </w:rPr>
            </w:pPr>
            <w:r w:rsidRPr="0FCC8A84">
              <w:rPr>
                <w:sz w:val="14"/>
                <w:szCs w:val="14"/>
              </w:rPr>
              <w:t>2,7</w:t>
            </w:r>
          </w:p>
        </w:tc>
        <w:tc>
          <w:tcPr>
            <w:tcW w:w="807" w:type="dxa"/>
            <w:tcBorders>
              <w:top w:val="nil"/>
              <w:left w:val="nil"/>
              <w:bottom w:val="single" w:sz="4" w:space="0" w:color="auto"/>
              <w:right w:val="single" w:sz="4" w:space="0" w:color="auto"/>
            </w:tcBorders>
            <w:shd w:val="clear" w:color="auto" w:fill="auto"/>
            <w:noWrap/>
            <w:vAlign w:val="bottom"/>
            <w:hideMark/>
          </w:tcPr>
          <w:p w14:paraId="4A55926F" w14:textId="77777777" w:rsidR="007E02A2" w:rsidRPr="007E02A2" w:rsidRDefault="0FCC8A84" w:rsidP="0FCC8A84">
            <w:pPr>
              <w:spacing w:after="0"/>
              <w:jc w:val="right"/>
              <w:rPr>
                <w:sz w:val="14"/>
                <w:szCs w:val="14"/>
              </w:rPr>
            </w:pPr>
            <w:r w:rsidRPr="0FCC8A84">
              <w:rPr>
                <w:sz w:val="14"/>
                <w:szCs w:val="14"/>
              </w:rPr>
              <w:t>-0,2</w:t>
            </w:r>
          </w:p>
        </w:tc>
        <w:tc>
          <w:tcPr>
            <w:tcW w:w="593" w:type="dxa"/>
            <w:tcBorders>
              <w:top w:val="nil"/>
              <w:left w:val="nil"/>
              <w:bottom w:val="single" w:sz="4" w:space="0" w:color="auto"/>
              <w:right w:val="single" w:sz="4" w:space="0" w:color="auto"/>
            </w:tcBorders>
            <w:shd w:val="clear" w:color="auto" w:fill="auto"/>
            <w:noWrap/>
            <w:vAlign w:val="bottom"/>
            <w:hideMark/>
          </w:tcPr>
          <w:p w14:paraId="4FDF91A0" w14:textId="77777777" w:rsidR="007E02A2" w:rsidRPr="007E02A2" w:rsidRDefault="0FCC8A84" w:rsidP="0FCC8A84">
            <w:pPr>
              <w:spacing w:after="0"/>
              <w:jc w:val="right"/>
              <w:rPr>
                <w:sz w:val="14"/>
                <w:szCs w:val="14"/>
              </w:rPr>
            </w:pPr>
            <w:r w:rsidRPr="0FCC8A84">
              <w:rPr>
                <w:sz w:val="14"/>
                <w:szCs w:val="14"/>
              </w:rPr>
              <w:t>93,1</w:t>
            </w:r>
          </w:p>
        </w:tc>
      </w:tr>
      <w:tr w:rsidR="007E02A2" w:rsidRPr="007E02A2" w14:paraId="0D0B7E17" w14:textId="77777777" w:rsidTr="0FCC8A84">
        <w:trPr>
          <w:trHeight w:val="21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5CD2F1F" w14:textId="77777777" w:rsidR="007E02A2" w:rsidRPr="007E02A2" w:rsidRDefault="0FCC8A84" w:rsidP="0FCC8A84">
            <w:pPr>
              <w:spacing w:after="0"/>
              <w:ind w:firstLineChars="400" w:firstLine="560"/>
              <w:jc w:val="left"/>
              <w:rPr>
                <w:i/>
                <w:iCs/>
                <w:color w:val="000000" w:themeColor="text1"/>
                <w:sz w:val="14"/>
                <w:szCs w:val="14"/>
              </w:rPr>
            </w:pPr>
            <w:r w:rsidRPr="0FCC8A84">
              <w:rPr>
                <w:i/>
                <w:iCs/>
                <w:color w:val="000000" w:themeColor="text1"/>
                <w:sz w:val="14"/>
                <w:szCs w:val="14"/>
              </w:rPr>
              <w:t>gyermekgondozást segítő ellátás</w:t>
            </w:r>
          </w:p>
        </w:tc>
        <w:tc>
          <w:tcPr>
            <w:tcW w:w="980" w:type="dxa"/>
            <w:tcBorders>
              <w:top w:val="nil"/>
              <w:left w:val="nil"/>
              <w:bottom w:val="single" w:sz="4" w:space="0" w:color="auto"/>
              <w:right w:val="single" w:sz="4" w:space="0" w:color="auto"/>
            </w:tcBorders>
            <w:shd w:val="clear" w:color="auto" w:fill="auto"/>
            <w:noWrap/>
            <w:vAlign w:val="bottom"/>
            <w:hideMark/>
          </w:tcPr>
          <w:p w14:paraId="0B959972" w14:textId="77777777" w:rsidR="007E02A2" w:rsidRPr="007E02A2" w:rsidRDefault="0FCC8A84" w:rsidP="0FCC8A84">
            <w:pPr>
              <w:spacing w:after="0"/>
              <w:jc w:val="right"/>
              <w:rPr>
                <w:sz w:val="14"/>
                <w:szCs w:val="14"/>
              </w:rPr>
            </w:pPr>
            <w:r w:rsidRPr="0FCC8A84">
              <w:rPr>
                <w:sz w:val="14"/>
                <w:szCs w:val="14"/>
              </w:rPr>
              <w:t>23,9</w:t>
            </w:r>
          </w:p>
        </w:tc>
        <w:tc>
          <w:tcPr>
            <w:tcW w:w="960" w:type="dxa"/>
            <w:tcBorders>
              <w:top w:val="nil"/>
              <w:left w:val="nil"/>
              <w:bottom w:val="single" w:sz="4" w:space="0" w:color="auto"/>
              <w:right w:val="single" w:sz="4" w:space="0" w:color="auto"/>
            </w:tcBorders>
            <w:shd w:val="clear" w:color="auto" w:fill="auto"/>
            <w:noWrap/>
            <w:vAlign w:val="bottom"/>
            <w:hideMark/>
          </w:tcPr>
          <w:p w14:paraId="052C7472" w14:textId="77777777" w:rsidR="007E02A2" w:rsidRPr="007E02A2" w:rsidRDefault="0FCC8A84" w:rsidP="0FCC8A84">
            <w:pPr>
              <w:spacing w:after="0"/>
              <w:jc w:val="right"/>
              <w:rPr>
                <w:sz w:val="14"/>
                <w:szCs w:val="14"/>
              </w:rPr>
            </w:pPr>
            <w:r w:rsidRPr="0FCC8A84">
              <w:rPr>
                <w:sz w:val="14"/>
                <w:szCs w:val="14"/>
              </w:rPr>
              <w:t>23,6</w:t>
            </w:r>
          </w:p>
        </w:tc>
        <w:tc>
          <w:tcPr>
            <w:tcW w:w="807" w:type="dxa"/>
            <w:tcBorders>
              <w:top w:val="nil"/>
              <w:left w:val="nil"/>
              <w:bottom w:val="single" w:sz="4" w:space="0" w:color="auto"/>
              <w:right w:val="single" w:sz="4" w:space="0" w:color="auto"/>
            </w:tcBorders>
            <w:shd w:val="clear" w:color="auto" w:fill="auto"/>
            <w:noWrap/>
            <w:vAlign w:val="bottom"/>
            <w:hideMark/>
          </w:tcPr>
          <w:p w14:paraId="157BFE93" w14:textId="77777777" w:rsidR="007E02A2" w:rsidRPr="007E02A2" w:rsidRDefault="0FCC8A84" w:rsidP="0FCC8A84">
            <w:pPr>
              <w:spacing w:after="0"/>
              <w:jc w:val="right"/>
              <w:rPr>
                <w:sz w:val="14"/>
                <w:szCs w:val="14"/>
              </w:rPr>
            </w:pPr>
            <w:r w:rsidRPr="0FCC8A84">
              <w:rPr>
                <w:sz w:val="14"/>
                <w:szCs w:val="14"/>
              </w:rPr>
              <w:t>-0,3</w:t>
            </w:r>
          </w:p>
        </w:tc>
        <w:tc>
          <w:tcPr>
            <w:tcW w:w="593" w:type="dxa"/>
            <w:tcBorders>
              <w:top w:val="nil"/>
              <w:left w:val="nil"/>
              <w:bottom w:val="single" w:sz="4" w:space="0" w:color="auto"/>
              <w:right w:val="single" w:sz="4" w:space="0" w:color="auto"/>
            </w:tcBorders>
            <w:shd w:val="clear" w:color="auto" w:fill="auto"/>
            <w:noWrap/>
            <w:vAlign w:val="bottom"/>
            <w:hideMark/>
          </w:tcPr>
          <w:p w14:paraId="50E219FA" w14:textId="77777777" w:rsidR="007E02A2" w:rsidRPr="007E02A2" w:rsidRDefault="0FCC8A84" w:rsidP="0FCC8A84">
            <w:pPr>
              <w:spacing w:after="0"/>
              <w:jc w:val="right"/>
              <w:rPr>
                <w:sz w:val="14"/>
                <w:szCs w:val="14"/>
              </w:rPr>
            </w:pPr>
            <w:r w:rsidRPr="0FCC8A84">
              <w:rPr>
                <w:sz w:val="14"/>
                <w:szCs w:val="14"/>
              </w:rPr>
              <w:t>98,7</w:t>
            </w:r>
          </w:p>
        </w:tc>
      </w:tr>
      <w:tr w:rsidR="007E02A2" w:rsidRPr="007E02A2" w14:paraId="6DC2F81A" w14:textId="77777777" w:rsidTr="0FCC8A84">
        <w:trPr>
          <w:trHeight w:val="21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0CF0EBE9" w14:textId="77777777" w:rsidR="007E02A2" w:rsidRPr="007E02A2" w:rsidRDefault="0FCC8A84" w:rsidP="0FCC8A84">
            <w:pPr>
              <w:spacing w:after="0"/>
              <w:ind w:firstLineChars="400" w:firstLine="560"/>
              <w:jc w:val="left"/>
              <w:rPr>
                <w:i/>
                <w:iCs/>
                <w:color w:val="000000" w:themeColor="text1"/>
                <w:sz w:val="14"/>
                <w:szCs w:val="14"/>
              </w:rPr>
            </w:pPr>
            <w:r w:rsidRPr="0FCC8A84">
              <w:rPr>
                <w:i/>
                <w:iCs/>
                <w:color w:val="000000" w:themeColor="text1"/>
                <w:sz w:val="14"/>
                <w:szCs w:val="14"/>
              </w:rPr>
              <w:t>gyermeknevelési támogatás</w:t>
            </w:r>
          </w:p>
        </w:tc>
        <w:tc>
          <w:tcPr>
            <w:tcW w:w="980" w:type="dxa"/>
            <w:tcBorders>
              <w:top w:val="nil"/>
              <w:left w:val="nil"/>
              <w:bottom w:val="single" w:sz="4" w:space="0" w:color="auto"/>
              <w:right w:val="single" w:sz="4" w:space="0" w:color="auto"/>
            </w:tcBorders>
            <w:shd w:val="clear" w:color="auto" w:fill="auto"/>
            <w:noWrap/>
            <w:vAlign w:val="bottom"/>
            <w:hideMark/>
          </w:tcPr>
          <w:p w14:paraId="1196FBED" w14:textId="77777777" w:rsidR="007E02A2" w:rsidRPr="007E02A2" w:rsidRDefault="0FCC8A84" w:rsidP="0FCC8A84">
            <w:pPr>
              <w:spacing w:after="0"/>
              <w:jc w:val="right"/>
              <w:rPr>
                <w:sz w:val="14"/>
                <w:szCs w:val="14"/>
              </w:rPr>
            </w:pPr>
            <w:r w:rsidRPr="0FCC8A84">
              <w:rPr>
                <w:sz w:val="14"/>
                <w:szCs w:val="14"/>
              </w:rPr>
              <w:t>4,9</w:t>
            </w:r>
          </w:p>
        </w:tc>
        <w:tc>
          <w:tcPr>
            <w:tcW w:w="960" w:type="dxa"/>
            <w:tcBorders>
              <w:top w:val="nil"/>
              <w:left w:val="nil"/>
              <w:bottom w:val="single" w:sz="4" w:space="0" w:color="auto"/>
              <w:right w:val="single" w:sz="4" w:space="0" w:color="auto"/>
            </w:tcBorders>
            <w:shd w:val="clear" w:color="auto" w:fill="auto"/>
            <w:noWrap/>
            <w:vAlign w:val="bottom"/>
            <w:hideMark/>
          </w:tcPr>
          <w:p w14:paraId="684B6200" w14:textId="77777777" w:rsidR="007E02A2" w:rsidRPr="007E02A2" w:rsidRDefault="0FCC8A84" w:rsidP="0FCC8A84">
            <w:pPr>
              <w:spacing w:after="0"/>
              <w:jc w:val="right"/>
              <w:rPr>
                <w:sz w:val="14"/>
                <w:szCs w:val="14"/>
              </w:rPr>
            </w:pPr>
            <w:r w:rsidRPr="0FCC8A84">
              <w:rPr>
                <w:sz w:val="14"/>
                <w:szCs w:val="14"/>
              </w:rPr>
              <w:t>4,6</w:t>
            </w:r>
          </w:p>
        </w:tc>
        <w:tc>
          <w:tcPr>
            <w:tcW w:w="807" w:type="dxa"/>
            <w:tcBorders>
              <w:top w:val="nil"/>
              <w:left w:val="nil"/>
              <w:bottom w:val="single" w:sz="4" w:space="0" w:color="auto"/>
              <w:right w:val="single" w:sz="4" w:space="0" w:color="auto"/>
            </w:tcBorders>
            <w:shd w:val="clear" w:color="auto" w:fill="auto"/>
            <w:noWrap/>
            <w:vAlign w:val="bottom"/>
            <w:hideMark/>
          </w:tcPr>
          <w:p w14:paraId="2EFB8EF7" w14:textId="77777777" w:rsidR="007E02A2" w:rsidRPr="007E02A2" w:rsidRDefault="0FCC8A84" w:rsidP="0FCC8A84">
            <w:pPr>
              <w:spacing w:after="0"/>
              <w:jc w:val="right"/>
              <w:rPr>
                <w:sz w:val="14"/>
                <w:szCs w:val="14"/>
              </w:rPr>
            </w:pPr>
            <w:r w:rsidRPr="0FCC8A84">
              <w:rPr>
                <w:sz w:val="14"/>
                <w:szCs w:val="14"/>
              </w:rPr>
              <w:t>-0,3</w:t>
            </w:r>
          </w:p>
        </w:tc>
        <w:tc>
          <w:tcPr>
            <w:tcW w:w="593" w:type="dxa"/>
            <w:tcBorders>
              <w:top w:val="nil"/>
              <w:left w:val="nil"/>
              <w:bottom w:val="single" w:sz="4" w:space="0" w:color="auto"/>
              <w:right w:val="single" w:sz="4" w:space="0" w:color="auto"/>
            </w:tcBorders>
            <w:shd w:val="clear" w:color="auto" w:fill="auto"/>
            <w:noWrap/>
            <w:vAlign w:val="bottom"/>
            <w:hideMark/>
          </w:tcPr>
          <w:p w14:paraId="03A861F7" w14:textId="77777777" w:rsidR="007E02A2" w:rsidRPr="007E02A2" w:rsidRDefault="0FCC8A84" w:rsidP="0FCC8A84">
            <w:pPr>
              <w:spacing w:after="0"/>
              <w:jc w:val="right"/>
              <w:rPr>
                <w:sz w:val="14"/>
                <w:szCs w:val="14"/>
              </w:rPr>
            </w:pPr>
            <w:r w:rsidRPr="0FCC8A84">
              <w:rPr>
                <w:sz w:val="14"/>
                <w:szCs w:val="14"/>
              </w:rPr>
              <w:t>93,9</w:t>
            </w:r>
          </w:p>
        </w:tc>
      </w:tr>
      <w:tr w:rsidR="007E02A2" w:rsidRPr="007E02A2" w14:paraId="7695F877" w14:textId="77777777" w:rsidTr="0FCC8A84">
        <w:trPr>
          <w:trHeight w:val="21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BB4E033" w14:textId="77777777" w:rsidR="007E02A2" w:rsidRPr="007E02A2" w:rsidRDefault="0FCC8A84" w:rsidP="0FCC8A84">
            <w:pPr>
              <w:spacing w:after="0"/>
              <w:ind w:firstLineChars="400" w:firstLine="560"/>
              <w:jc w:val="left"/>
              <w:rPr>
                <w:i/>
                <w:iCs/>
                <w:color w:val="000000" w:themeColor="text1"/>
                <w:sz w:val="14"/>
                <w:szCs w:val="14"/>
              </w:rPr>
            </w:pPr>
            <w:r w:rsidRPr="0FCC8A84">
              <w:rPr>
                <w:i/>
                <w:iCs/>
                <w:color w:val="000000" w:themeColor="text1"/>
                <w:sz w:val="14"/>
                <w:szCs w:val="14"/>
              </w:rPr>
              <w:t>gyermekek születésével kapcsolatos szabadság megtérítése</w:t>
            </w:r>
          </w:p>
        </w:tc>
        <w:tc>
          <w:tcPr>
            <w:tcW w:w="980" w:type="dxa"/>
            <w:tcBorders>
              <w:top w:val="nil"/>
              <w:left w:val="nil"/>
              <w:bottom w:val="single" w:sz="4" w:space="0" w:color="auto"/>
              <w:right w:val="single" w:sz="4" w:space="0" w:color="auto"/>
            </w:tcBorders>
            <w:shd w:val="clear" w:color="auto" w:fill="auto"/>
            <w:noWrap/>
            <w:vAlign w:val="bottom"/>
            <w:hideMark/>
          </w:tcPr>
          <w:p w14:paraId="1509EDF4" w14:textId="77777777" w:rsidR="007E02A2" w:rsidRPr="007E02A2" w:rsidRDefault="0FCC8A84" w:rsidP="0FCC8A84">
            <w:pPr>
              <w:spacing w:after="0"/>
              <w:jc w:val="right"/>
              <w:rPr>
                <w:sz w:val="14"/>
                <w:szCs w:val="14"/>
              </w:rPr>
            </w:pPr>
            <w:r w:rsidRPr="0FCC8A84">
              <w:rPr>
                <w:sz w:val="14"/>
                <w:szCs w:val="14"/>
              </w:rPr>
              <w:t>1,7</w:t>
            </w:r>
          </w:p>
        </w:tc>
        <w:tc>
          <w:tcPr>
            <w:tcW w:w="960" w:type="dxa"/>
            <w:tcBorders>
              <w:top w:val="nil"/>
              <w:left w:val="nil"/>
              <w:bottom w:val="single" w:sz="4" w:space="0" w:color="auto"/>
              <w:right w:val="single" w:sz="4" w:space="0" w:color="auto"/>
            </w:tcBorders>
            <w:shd w:val="clear" w:color="auto" w:fill="auto"/>
            <w:noWrap/>
            <w:vAlign w:val="bottom"/>
            <w:hideMark/>
          </w:tcPr>
          <w:p w14:paraId="38FA72FF" w14:textId="77777777" w:rsidR="007E02A2" w:rsidRPr="007E02A2" w:rsidRDefault="0FCC8A84" w:rsidP="0FCC8A84">
            <w:pPr>
              <w:spacing w:after="0"/>
              <w:jc w:val="right"/>
              <w:rPr>
                <w:sz w:val="14"/>
                <w:szCs w:val="14"/>
              </w:rPr>
            </w:pPr>
            <w:r w:rsidRPr="0FCC8A84">
              <w:rPr>
                <w:sz w:val="14"/>
                <w:szCs w:val="14"/>
              </w:rPr>
              <w:t>1,9</w:t>
            </w:r>
          </w:p>
        </w:tc>
        <w:tc>
          <w:tcPr>
            <w:tcW w:w="807" w:type="dxa"/>
            <w:tcBorders>
              <w:top w:val="nil"/>
              <w:left w:val="nil"/>
              <w:bottom w:val="single" w:sz="4" w:space="0" w:color="auto"/>
              <w:right w:val="single" w:sz="4" w:space="0" w:color="auto"/>
            </w:tcBorders>
            <w:shd w:val="clear" w:color="auto" w:fill="auto"/>
            <w:noWrap/>
            <w:vAlign w:val="bottom"/>
            <w:hideMark/>
          </w:tcPr>
          <w:p w14:paraId="7B1A73CE" w14:textId="77777777" w:rsidR="007E02A2" w:rsidRPr="007E02A2" w:rsidRDefault="0FCC8A84" w:rsidP="0FCC8A84">
            <w:pPr>
              <w:spacing w:after="0"/>
              <w:jc w:val="right"/>
              <w:rPr>
                <w:sz w:val="14"/>
                <w:szCs w:val="14"/>
              </w:rPr>
            </w:pPr>
            <w:r w:rsidRPr="0FCC8A84">
              <w:rPr>
                <w:sz w:val="14"/>
                <w:szCs w:val="14"/>
              </w:rPr>
              <w:t>0,2</w:t>
            </w:r>
          </w:p>
        </w:tc>
        <w:tc>
          <w:tcPr>
            <w:tcW w:w="593" w:type="dxa"/>
            <w:tcBorders>
              <w:top w:val="nil"/>
              <w:left w:val="nil"/>
              <w:bottom w:val="single" w:sz="4" w:space="0" w:color="auto"/>
              <w:right w:val="single" w:sz="4" w:space="0" w:color="auto"/>
            </w:tcBorders>
            <w:shd w:val="clear" w:color="auto" w:fill="auto"/>
            <w:noWrap/>
            <w:vAlign w:val="bottom"/>
            <w:hideMark/>
          </w:tcPr>
          <w:p w14:paraId="40D99781" w14:textId="77777777" w:rsidR="007E02A2" w:rsidRPr="007E02A2" w:rsidRDefault="0FCC8A84" w:rsidP="0FCC8A84">
            <w:pPr>
              <w:spacing w:after="0"/>
              <w:jc w:val="right"/>
              <w:rPr>
                <w:sz w:val="14"/>
                <w:szCs w:val="14"/>
              </w:rPr>
            </w:pPr>
            <w:r w:rsidRPr="0FCC8A84">
              <w:rPr>
                <w:sz w:val="14"/>
                <w:szCs w:val="14"/>
              </w:rPr>
              <w:t>111,8</w:t>
            </w:r>
          </w:p>
        </w:tc>
      </w:tr>
      <w:tr w:rsidR="007E02A2" w:rsidRPr="007E02A2" w14:paraId="1187E781" w14:textId="77777777" w:rsidTr="0FCC8A84">
        <w:trPr>
          <w:trHeight w:val="21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7269EDCE" w14:textId="77777777" w:rsidR="007E02A2" w:rsidRPr="007E02A2" w:rsidRDefault="0FCC8A84" w:rsidP="0FCC8A84">
            <w:pPr>
              <w:spacing w:after="0"/>
              <w:ind w:firstLineChars="400" w:firstLine="560"/>
              <w:jc w:val="left"/>
              <w:rPr>
                <w:i/>
                <w:iCs/>
                <w:color w:val="000000" w:themeColor="text1"/>
                <w:sz w:val="14"/>
                <w:szCs w:val="14"/>
              </w:rPr>
            </w:pPr>
            <w:r w:rsidRPr="0FCC8A84">
              <w:rPr>
                <w:i/>
                <w:iCs/>
                <w:color w:val="000000" w:themeColor="text1"/>
                <w:sz w:val="14"/>
                <w:szCs w:val="14"/>
              </w:rPr>
              <w:t>életkezdési támogatás</w:t>
            </w:r>
          </w:p>
        </w:tc>
        <w:tc>
          <w:tcPr>
            <w:tcW w:w="980" w:type="dxa"/>
            <w:tcBorders>
              <w:top w:val="nil"/>
              <w:left w:val="nil"/>
              <w:bottom w:val="single" w:sz="4" w:space="0" w:color="auto"/>
              <w:right w:val="single" w:sz="4" w:space="0" w:color="auto"/>
            </w:tcBorders>
            <w:shd w:val="clear" w:color="auto" w:fill="auto"/>
            <w:noWrap/>
            <w:vAlign w:val="bottom"/>
            <w:hideMark/>
          </w:tcPr>
          <w:p w14:paraId="64D4EC59" w14:textId="77777777" w:rsidR="007E02A2" w:rsidRPr="007E02A2" w:rsidRDefault="0FCC8A84" w:rsidP="0FCC8A84">
            <w:pPr>
              <w:spacing w:after="0"/>
              <w:jc w:val="right"/>
              <w:rPr>
                <w:sz w:val="14"/>
                <w:szCs w:val="14"/>
              </w:rPr>
            </w:pPr>
            <w:r w:rsidRPr="0FCC8A84">
              <w:rPr>
                <w:sz w:val="14"/>
                <w:szCs w:val="14"/>
              </w:rPr>
              <w:t>5,2</w:t>
            </w:r>
          </w:p>
        </w:tc>
        <w:tc>
          <w:tcPr>
            <w:tcW w:w="960" w:type="dxa"/>
            <w:tcBorders>
              <w:top w:val="nil"/>
              <w:left w:val="nil"/>
              <w:bottom w:val="single" w:sz="4" w:space="0" w:color="auto"/>
              <w:right w:val="single" w:sz="4" w:space="0" w:color="auto"/>
            </w:tcBorders>
            <w:shd w:val="clear" w:color="auto" w:fill="auto"/>
            <w:noWrap/>
            <w:vAlign w:val="bottom"/>
            <w:hideMark/>
          </w:tcPr>
          <w:p w14:paraId="577BFD8E" w14:textId="77777777" w:rsidR="007E02A2" w:rsidRPr="007E02A2" w:rsidRDefault="0FCC8A84" w:rsidP="0FCC8A84">
            <w:pPr>
              <w:spacing w:after="0"/>
              <w:jc w:val="right"/>
              <w:rPr>
                <w:sz w:val="14"/>
                <w:szCs w:val="14"/>
              </w:rPr>
            </w:pPr>
            <w:r w:rsidRPr="0FCC8A84">
              <w:rPr>
                <w:sz w:val="14"/>
                <w:szCs w:val="14"/>
              </w:rPr>
              <w:t>6,0</w:t>
            </w:r>
          </w:p>
        </w:tc>
        <w:tc>
          <w:tcPr>
            <w:tcW w:w="807" w:type="dxa"/>
            <w:tcBorders>
              <w:top w:val="nil"/>
              <w:left w:val="nil"/>
              <w:bottom w:val="single" w:sz="4" w:space="0" w:color="auto"/>
              <w:right w:val="single" w:sz="4" w:space="0" w:color="auto"/>
            </w:tcBorders>
            <w:shd w:val="clear" w:color="auto" w:fill="auto"/>
            <w:noWrap/>
            <w:vAlign w:val="bottom"/>
            <w:hideMark/>
          </w:tcPr>
          <w:p w14:paraId="4ABB07A7" w14:textId="77777777" w:rsidR="007E02A2" w:rsidRPr="007E02A2" w:rsidRDefault="0FCC8A84" w:rsidP="0FCC8A84">
            <w:pPr>
              <w:spacing w:after="0"/>
              <w:jc w:val="right"/>
              <w:rPr>
                <w:sz w:val="14"/>
                <w:szCs w:val="14"/>
              </w:rPr>
            </w:pPr>
            <w:r w:rsidRPr="0FCC8A84">
              <w:rPr>
                <w:sz w:val="14"/>
                <w:szCs w:val="14"/>
              </w:rPr>
              <w:t>0,8</w:t>
            </w:r>
          </w:p>
        </w:tc>
        <w:tc>
          <w:tcPr>
            <w:tcW w:w="593" w:type="dxa"/>
            <w:tcBorders>
              <w:top w:val="nil"/>
              <w:left w:val="nil"/>
              <w:bottom w:val="single" w:sz="4" w:space="0" w:color="auto"/>
              <w:right w:val="single" w:sz="4" w:space="0" w:color="auto"/>
            </w:tcBorders>
            <w:shd w:val="clear" w:color="auto" w:fill="auto"/>
            <w:noWrap/>
            <w:vAlign w:val="bottom"/>
            <w:hideMark/>
          </w:tcPr>
          <w:p w14:paraId="04216E0F" w14:textId="77777777" w:rsidR="007E02A2" w:rsidRPr="007E02A2" w:rsidRDefault="0FCC8A84" w:rsidP="0FCC8A84">
            <w:pPr>
              <w:spacing w:after="0"/>
              <w:jc w:val="right"/>
              <w:rPr>
                <w:sz w:val="14"/>
                <w:szCs w:val="14"/>
              </w:rPr>
            </w:pPr>
            <w:r w:rsidRPr="0FCC8A84">
              <w:rPr>
                <w:sz w:val="14"/>
                <w:szCs w:val="14"/>
              </w:rPr>
              <w:t>115,4</w:t>
            </w:r>
          </w:p>
        </w:tc>
      </w:tr>
      <w:tr w:rsidR="007E02A2" w:rsidRPr="007E02A2" w14:paraId="0BF01489" w14:textId="77777777" w:rsidTr="0FCC8A84">
        <w:trPr>
          <w:trHeight w:val="21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25C9003B" w14:textId="77777777" w:rsidR="007E02A2" w:rsidRPr="007E02A2" w:rsidRDefault="0FCC8A84" w:rsidP="0FCC8A84">
            <w:pPr>
              <w:spacing w:after="0"/>
              <w:jc w:val="left"/>
              <w:rPr>
                <w:b/>
                <w:bCs/>
                <w:color w:val="000000" w:themeColor="text1"/>
                <w:sz w:val="14"/>
                <w:szCs w:val="14"/>
              </w:rPr>
            </w:pPr>
            <w:r w:rsidRPr="0FCC8A84">
              <w:rPr>
                <w:b/>
                <w:bCs/>
                <w:color w:val="000000" w:themeColor="text1"/>
                <w:sz w:val="14"/>
                <w:szCs w:val="14"/>
              </w:rPr>
              <w:t>Korhatár alatti ellátások</w:t>
            </w:r>
          </w:p>
        </w:tc>
        <w:tc>
          <w:tcPr>
            <w:tcW w:w="980" w:type="dxa"/>
            <w:tcBorders>
              <w:top w:val="nil"/>
              <w:left w:val="nil"/>
              <w:bottom w:val="single" w:sz="4" w:space="0" w:color="auto"/>
              <w:right w:val="single" w:sz="4" w:space="0" w:color="auto"/>
            </w:tcBorders>
            <w:shd w:val="clear" w:color="auto" w:fill="auto"/>
            <w:noWrap/>
            <w:vAlign w:val="bottom"/>
            <w:hideMark/>
          </w:tcPr>
          <w:p w14:paraId="2B1A8C09" w14:textId="77777777" w:rsidR="007E02A2" w:rsidRPr="007E02A2" w:rsidRDefault="0FCC8A84" w:rsidP="0FCC8A84">
            <w:pPr>
              <w:spacing w:after="0"/>
              <w:jc w:val="right"/>
              <w:rPr>
                <w:b/>
                <w:bCs/>
                <w:sz w:val="14"/>
                <w:szCs w:val="14"/>
              </w:rPr>
            </w:pPr>
            <w:r w:rsidRPr="0FCC8A84">
              <w:rPr>
                <w:b/>
                <w:bCs/>
                <w:sz w:val="14"/>
                <w:szCs w:val="14"/>
              </w:rPr>
              <w:t>38,2</w:t>
            </w:r>
          </w:p>
        </w:tc>
        <w:tc>
          <w:tcPr>
            <w:tcW w:w="960" w:type="dxa"/>
            <w:tcBorders>
              <w:top w:val="nil"/>
              <w:left w:val="nil"/>
              <w:bottom w:val="single" w:sz="4" w:space="0" w:color="auto"/>
              <w:right w:val="single" w:sz="4" w:space="0" w:color="auto"/>
            </w:tcBorders>
            <w:shd w:val="clear" w:color="auto" w:fill="auto"/>
            <w:noWrap/>
            <w:vAlign w:val="bottom"/>
            <w:hideMark/>
          </w:tcPr>
          <w:p w14:paraId="347AFC61" w14:textId="77777777" w:rsidR="007E02A2" w:rsidRPr="007E02A2" w:rsidRDefault="0FCC8A84" w:rsidP="0FCC8A84">
            <w:pPr>
              <w:spacing w:after="0"/>
              <w:jc w:val="right"/>
              <w:rPr>
                <w:b/>
                <w:bCs/>
                <w:sz w:val="14"/>
                <w:szCs w:val="14"/>
              </w:rPr>
            </w:pPr>
            <w:r w:rsidRPr="0FCC8A84">
              <w:rPr>
                <w:b/>
                <w:bCs/>
                <w:sz w:val="14"/>
                <w:szCs w:val="14"/>
              </w:rPr>
              <w:t>41,0</w:t>
            </w:r>
          </w:p>
        </w:tc>
        <w:tc>
          <w:tcPr>
            <w:tcW w:w="807" w:type="dxa"/>
            <w:tcBorders>
              <w:top w:val="nil"/>
              <w:left w:val="nil"/>
              <w:bottom w:val="single" w:sz="4" w:space="0" w:color="auto"/>
              <w:right w:val="single" w:sz="4" w:space="0" w:color="auto"/>
            </w:tcBorders>
            <w:shd w:val="clear" w:color="auto" w:fill="auto"/>
            <w:noWrap/>
            <w:vAlign w:val="bottom"/>
            <w:hideMark/>
          </w:tcPr>
          <w:p w14:paraId="6D30D72C" w14:textId="77777777" w:rsidR="007E02A2" w:rsidRPr="007E02A2" w:rsidRDefault="0FCC8A84" w:rsidP="0FCC8A84">
            <w:pPr>
              <w:spacing w:after="0"/>
              <w:jc w:val="right"/>
              <w:rPr>
                <w:b/>
                <w:bCs/>
                <w:sz w:val="14"/>
                <w:szCs w:val="14"/>
              </w:rPr>
            </w:pPr>
            <w:r w:rsidRPr="0FCC8A84">
              <w:rPr>
                <w:b/>
                <w:bCs/>
                <w:sz w:val="14"/>
                <w:szCs w:val="14"/>
              </w:rPr>
              <w:t>2,8</w:t>
            </w:r>
          </w:p>
        </w:tc>
        <w:tc>
          <w:tcPr>
            <w:tcW w:w="593" w:type="dxa"/>
            <w:tcBorders>
              <w:top w:val="nil"/>
              <w:left w:val="nil"/>
              <w:bottom w:val="single" w:sz="4" w:space="0" w:color="auto"/>
              <w:right w:val="single" w:sz="4" w:space="0" w:color="auto"/>
            </w:tcBorders>
            <w:shd w:val="clear" w:color="auto" w:fill="auto"/>
            <w:noWrap/>
            <w:vAlign w:val="bottom"/>
            <w:hideMark/>
          </w:tcPr>
          <w:p w14:paraId="05BBAD32" w14:textId="77777777" w:rsidR="007E02A2" w:rsidRPr="007E02A2" w:rsidRDefault="0FCC8A84" w:rsidP="0FCC8A84">
            <w:pPr>
              <w:spacing w:after="0"/>
              <w:jc w:val="right"/>
              <w:rPr>
                <w:b/>
                <w:bCs/>
                <w:sz w:val="14"/>
                <w:szCs w:val="14"/>
              </w:rPr>
            </w:pPr>
            <w:r w:rsidRPr="0FCC8A84">
              <w:rPr>
                <w:b/>
                <w:bCs/>
                <w:sz w:val="14"/>
                <w:szCs w:val="14"/>
              </w:rPr>
              <w:t>107,3</w:t>
            </w:r>
          </w:p>
        </w:tc>
      </w:tr>
      <w:tr w:rsidR="007E02A2" w:rsidRPr="007E02A2" w14:paraId="0CD066A7" w14:textId="77777777" w:rsidTr="0FCC8A84">
        <w:trPr>
          <w:trHeight w:val="21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1450762F" w14:textId="77777777" w:rsidR="007E02A2" w:rsidRPr="007E02A2" w:rsidRDefault="0FCC8A84" w:rsidP="0FCC8A84">
            <w:pPr>
              <w:spacing w:after="0"/>
              <w:jc w:val="left"/>
              <w:rPr>
                <w:b/>
                <w:bCs/>
                <w:color w:val="000000" w:themeColor="text1"/>
                <w:sz w:val="14"/>
                <w:szCs w:val="14"/>
              </w:rPr>
            </w:pPr>
            <w:r w:rsidRPr="0FCC8A84">
              <w:rPr>
                <w:b/>
                <w:bCs/>
                <w:color w:val="000000" w:themeColor="text1"/>
                <w:sz w:val="14"/>
                <w:szCs w:val="14"/>
              </w:rPr>
              <w:t>Jövedelempótló és jövedelemkiegészítő szociális támogatások</w:t>
            </w:r>
          </w:p>
        </w:tc>
        <w:tc>
          <w:tcPr>
            <w:tcW w:w="980" w:type="dxa"/>
            <w:tcBorders>
              <w:top w:val="nil"/>
              <w:left w:val="nil"/>
              <w:bottom w:val="single" w:sz="4" w:space="0" w:color="auto"/>
              <w:right w:val="single" w:sz="4" w:space="0" w:color="auto"/>
            </w:tcBorders>
            <w:shd w:val="clear" w:color="auto" w:fill="auto"/>
            <w:noWrap/>
            <w:vAlign w:val="bottom"/>
            <w:hideMark/>
          </w:tcPr>
          <w:p w14:paraId="6DD29534" w14:textId="77777777" w:rsidR="007E02A2" w:rsidRPr="007E02A2" w:rsidRDefault="0FCC8A84" w:rsidP="0FCC8A84">
            <w:pPr>
              <w:spacing w:after="0"/>
              <w:jc w:val="right"/>
              <w:rPr>
                <w:b/>
                <w:bCs/>
                <w:sz w:val="14"/>
                <w:szCs w:val="14"/>
              </w:rPr>
            </w:pPr>
            <w:r w:rsidRPr="0FCC8A84">
              <w:rPr>
                <w:b/>
                <w:bCs/>
                <w:sz w:val="14"/>
                <w:szCs w:val="14"/>
              </w:rPr>
              <w:t>58,2</w:t>
            </w:r>
          </w:p>
        </w:tc>
        <w:tc>
          <w:tcPr>
            <w:tcW w:w="960" w:type="dxa"/>
            <w:tcBorders>
              <w:top w:val="nil"/>
              <w:left w:val="nil"/>
              <w:bottom w:val="single" w:sz="4" w:space="0" w:color="auto"/>
              <w:right w:val="single" w:sz="4" w:space="0" w:color="auto"/>
            </w:tcBorders>
            <w:shd w:val="clear" w:color="auto" w:fill="auto"/>
            <w:noWrap/>
            <w:vAlign w:val="bottom"/>
            <w:hideMark/>
          </w:tcPr>
          <w:p w14:paraId="42B2EB92" w14:textId="77777777" w:rsidR="007E02A2" w:rsidRPr="007E02A2" w:rsidRDefault="0FCC8A84" w:rsidP="0FCC8A84">
            <w:pPr>
              <w:spacing w:after="0"/>
              <w:jc w:val="right"/>
              <w:rPr>
                <w:b/>
                <w:bCs/>
                <w:sz w:val="14"/>
                <w:szCs w:val="14"/>
              </w:rPr>
            </w:pPr>
            <w:r w:rsidRPr="0FCC8A84">
              <w:rPr>
                <w:b/>
                <w:bCs/>
                <w:sz w:val="14"/>
                <w:szCs w:val="14"/>
              </w:rPr>
              <w:t>63,5</w:t>
            </w:r>
          </w:p>
        </w:tc>
        <w:tc>
          <w:tcPr>
            <w:tcW w:w="807" w:type="dxa"/>
            <w:tcBorders>
              <w:top w:val="nil"/>
              <w:left w:val="nil"/>
              <w:bottom w:val="single" w:sz="4" w:space="0" w:color="auto"/>
              <w:right w:val="single" w:sz="4" w:space="0" w:color="auto"/>
            </w:tcBorders>
            <w:shd w:val="clear" w:color="auto" w:fill="auto"/>
            <w:noWrap/>
            <w:vAlign w:val="bottom"/>
            <w:hideMark/>
          </w:tcPr>
          <w:p w14:paraId="6504074B" w14:textId="77777777" w:rsidR="007E02A2" w:rsidRPr="007E02A2" w:rsidRDefault="0FCC8A84" w:rsidP="0FCC8A84">
            <w:pPr>
              <w:spacing w:after="0"/>
              <w:jc w:val="right"/>
              <w:rPr>
                <w:b/>
                <w:bCs/>
                <w:sz w:val="14"/>
                <w:szCs w:val="14"/>
              </w:rPr>
            </w:pPr>
            <w:r w:rsidRPr="0FCC8A84">
              <w:rPr>
                <w:b/>
                <w:bCs/>
                <w:sz w:val="14"/>
                <w:szCs w:val="14"/>
              </w:rPr>
              <w:t>5,3</w:t>
            </w:r>
          </w:p>
        </w:tc>
        <w:tc>
          <w:tcPr>
            <w:tcW w:w="593" w:type="dxa"/>
            <w:tcBorders>
              <w:top w:val="nil"/>
              <w:left w:val="nil"/>
              <w:bottom w:val="single" w:sz="4" w:space="0" w:color="auto"/>
              <w:right w:val="single" w:sz="4" w:space="0" w:color="auto"/>
            </w:tcBorders>
            <w:shd w:val="clear" w:color="auto" w:fill="auto"/>
            <w:noWrap/>
            <w:vAlign w:val="bottom"/>
            <w:hideMark/>
          </w:tcPr>
          <w:p w14:paraId="6698BE7B" w14:textId="77777777" w:rsidR="007E02A2" w:rsidRPr="007E02A2" w:rsidRDefault="0FCC8A84" w:rsidP="0FCC8A84">
            <w:pPr>
              <w:spacing w:after="0"/>
              <w:jc w:val="right"/>
              <w:rPr>
                <w:b/>
                <w:bCs/>
                <w:sz w:val="14"/>
                <w:szCs w:val="14"/>
              </w:rPr>
            </w:pPr>
            <w:r w:rsidRPr="0FCC8A84">
              <w:rPr>
                <w:b/>
                <w:bCs/>
                <w:sz w:val="14"/>
                <w:szCs w:val="14"/>
              </w:rPr>
              <w:t>109,1</w:t>
            </w:r>
          </w:p>
        </w:tc>
      </w:tr>
      <w:tr w:rsidR="007E02A2" w:rsidRPr="007E02A2" w14:paraId="0FB224F1" w14:textId="77777777" w:rsidTr="0FCC8A84">
        <w:trPr>
          <w:trHeight w:val="21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31FED2B6" w14:textId="77777777" w:rsidR="007E02A2" w:rsidRPr="007E02A2" w:rsidRDefault="0FCC8A84" w:rsidP="0FCC8A84">
            <w:pPr>
              <w:spacing w:after="0"/>
              <w:ind w:firstLineChars="100" w:firstLine="140"/>
              <w:jc w:val="left"/>
              <w:rPr>
                <w:i/>
                <w:iCs/>
                <w:color w:val="000000" w:themeColor="text1"/>
                <w:sz w:val="14"/>
                <w:szCs w:val="14"/>
              </w:rPr>
            </w:pPr>
            <w:r w:rsidRPr="0FCC8A84">
              <w:rPr>
                <w:i/>
                <w:iCs/>
                <w:color w:val="000000" w:themeColor="text1"/>
                <w:sz w:val="14"/>
                <w:szCs w:val="14"/>
              </w:rPr>
              <w:t>Ebből:</w:t>
            </w:r>
          </w:p>
        </w:tc>
        <w:tc>
          <w:tcPr>
            <w:tcW w:w="980" w:type="dxa"/>
            <w:tcBorders>
              <w:top w:val="nil"/>
              <w:left w:val="nil"/>
              <w:bottom w:val="single" w:sz="4" w:space="0" w:color="auto"/>
              <w:right w:val="single" w:sz="4" w:space="0" w:color="auto"/>
            </w:tcBorders>
            <w:shd w:val="clear" w:color="auto" w:fill="auto"/>
            <w:noWrap/>
            <w:vAlign w:val="bottom"/>
            <w:hideMark/>
          </w:tcPr>
          <w:p w14:paraId="17E652E2" w14:textId="77777777" w:rsidR="007E02A2" w:rsidRPr="007E02A2" w:rsidRDefault="0FCC8A84" w:rsidP="0FCC8A84">
            <w:pPr>
              <w:spacing w:after="0"/>
              <w:jc w:val="right"/>
              <w:rPr>
                <w:sz w:val="14"/>
                <w:szCs w:val="14"/>
              </w:rPr>
            </w:pPr>
            <w:r w:rsidRPr="0FCC8A84">
              <w:rPr>
                <w:sz w:val="14"/>
                <w:szCs w:val="14"/>
              </w:rPr>
              <w:t> </w:t>
            </w:r>
          </w:p>
        </w:tc>
        <w:tc>
          <w:tcPr>
            <w:tcW w:w="960" w:type="dxa"/>
            <w:tcBorders>
              <w:top w:val="nil"/>
              <w:left w:val="nil"/>
              <w:bottom w:val="single" w:sz="4" w:space="0" w:color="auto"/>
              <w:right w:val="single" w:sz="4" w:space="0" w:color="auto"/>
            </w:tcBorders>
            <w:shd w:val="clear" w:color="auto" w:fill="auto"/>
            <w:noWrap/>
            <w:vAlign w:val="bottom"/>
            <w:hideMark/>
          </w:tcPr>
          <w:p w14:paraId="7A065581" w14:textId="77777777" w:rsidR="007E02A2" w:rsidRPr="007E02A2" w:rsidRDefault="0FCC8A84" w:rsidP="0FCC8A84">
            <w:pPr>
              <w:spacing w:after="0"/>
              <w:jc w:val="right"/>
              <w:rPr>
                <w:sz w:val="14"/>
                <w:szCs w:val="14"/>
              </w:rPr>
            </w:pPr>
            <w:r w:rsidRPr="0FCC8A84">
              <w:rPr>
                <w:sz w:val="14"/>
                <w:szCs w:val="14"/>
              </w:rPr>
              <w:t> </w:t>
            </w:r>
          </w:p>
        </w:tc>
        <w:tc>
          <w:tcPr>
            <w:tcW w:w="807" w:type="dxa"/>
            <w:tcBorders>
              <w:top w:val="nil"/>
              <w:left w:val="nil"/>
              <w:bottom w:val="single" w:sz="4" w:space="0" w:color="auto"/>
              <w:right w:val="single" w:sz="4" w:space="0" w:color="auto"/>
            </w:tcBorders>
            <w:shd w:val="clear" w:color="auto" w:fill="auto"/>
            <w:noWrap/>
            <w:vAlign w:val="bottom"/>
            <w:hideMark/>
          </w:tcPr>
          <w:p w14:paraId="600B38E9" w14:textId="77777777" w:rsidR="007E02A2" w:rsidRPr="007E02A2" w:rsidRDefault="0FCC8A84" w:rsidP="0FCC8A84">
            <w:pPr>
              <w:spacing w:after="0"/>
              <w:jc w:val="right"/>
              <w:rPr>
                <w:sz w:val="14"/>
                <w:szCs w:val="14"/>
              </w:rPr>
            </w:pPr>
            <w:r w:rsidRPr="0FCC8A84">
              <w:rPr>
                <w:sz w:val="14"/>
                <w:szCs w:val="14"/>
              </w:rPr>
              <w:t> </w:t>
            </w:r>
          </w:p>
        </w:tc>
        <w:tc>
          <w:tcPr>
            <w:tcW w:w="593" w:type="dxa"/>
            <w:tcBorders>
              <w:top w:val="nil"/>
              <w:left w:val="nil"/>
              <w:bottom w:val="single" w:sz="4" w:space="0" w:color="auto"/>
              <w:right w:val="single" w:sz="4" w:space="0" w:color="auto"/>
            </w:tcBorders>
            <w:shd w:val="clear" w:color="auto" w:fill="auto"/>
            <w:noWrap/>
            <w:vAlign w:val="bottom"/>
            <w:hideMark/>
          </w:tcPr>
          <w:p w14:paraId="29933703" w14:textId="77777777" w:rsidR="007E02A2" w:rsidRPr="007E02A2" w:rsidRDefault="0FCC8A84" w:rsidP="0FCC8A84">
            <w:pPr>
              <w:spacing w:after="0"/>
              <w:jc w:val="right"/>
              <w:rPr>
                <w:b/>
                <w:bCs/>
                <w:sz w:val="14"/>
                <w:szCs w:val="14"/>
              </w:rPr>
            </w:pPr>
            <w:r w:rsidRPr="0FCC8A84">
              <w:rPr>
                <w:b/>
                <w:bCs/>
                <w:sz w:val="14"/>
                <w:szCs w:val="14"/>
              </w:rPr>
              <w:t> </w:t>
            </w:r>
          </w:p>
        </w:tc>
      </w:tr>
      <w:tr w:rsidR="007E02A2" w:rsidRPr="007E02A2" w14:paraId="7CBF503E" w14:textId="77777777" w:rsidTr="0FCC8A84">
        <w:trPr>
          <w:trHeight w:val="21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14:paraId="403FE387" w14:textId="77777777" w:rsidR="007E02A2" w:rsidRPr="007E02A2" w:rsidRDefault="0FCC8A84" w:rsidP="0FCC8A84">
            <w:pPr>
              <w:spacing w:after="0"/>
              <w:ind w:firstLineChars="400" w:firstLine="560"/>
              <w:jc w:val="left"/>
              <w:rPr>
                <w:i/>
                <w:iCs/>
                <w:color w:val="000000" w:themeColor="text1"/>
                <w:sz w:val="14"/>
                <w:szCs w:val="14"/>
              </w:rPr>
            </w:pPr>
            <w:r w:rsidRPr="0FCC8A84">
              <w:rPr>
                <w:i/>
                <w:iCs/>
                <w:color w:val="000000" w:themeColor="text1"/>
                <w:sz w:val="14"/>
                <w:szCs w:val="14"/>
              </w:rPr>
              <w:t>Jövedelempótló és jövedelemkiegészítő ellátások</w:t>
            </w:r>
          </w:p>
        </w:tc>
        <w:tc>
          <w:tcPr>
            <w:tcW w:w="980" w:type="dxa"/>
            <w:tcBorders>
              <w:top w:val="nil"/>
              <w:left w:val="nil"/>
              <w:bottom w:val="single" w:sz="4" w:space="0" w:color="auto"/>
              <w:right w:val="single" w:sz="4" w:space="0" w:color="auto"/>
            </w:tcBorders>
            <w:shd w:val="clear" w:color="auto" w:fill="auto"/>
            <w:noWrap/>
            <w:vAlign w:val="bottom"/>
            <w:hideMark/>
          </w:tcPr>
          <w:p w14:paraId="6E0891CD" w14:textId="77777777" w:rsidR="007E02A2" w:rsidRPr="007E02A2" w:rsidRDefault="0FCC8A84" w:rsidP="0FCC8A84">
            <w:pPr>
              <w:spacing w:after="0"/>
              <w:jc w:val="right"/>
              <w:rPr>
                <w:sz w:val="14"/>
                <w:szCs w:val="14"/>
              </w:rPr>
            </w:pPr>
            <w:r w:rsidRPr="0FCC8A84">
              <w:rPr>
                <w:sz w:val="14"/>
                <w:szCs w:val="14"/>
              </w:rPr>
              <w:t>24,5</w:t>
            </w:r>
          </w:p>
        </w:tc>
        <w:tc>
          <w:tcPr>
            <w:tcW w:w="960" w:type="dxa"/>
            <w:tcBorders>
              <w:top w:val="nil"/>
              <w:left w:val="nil"/>
              <w:bottom w:val="single" w:sz="4" w:space="0" w:color="auto"/>
              <w:right w:val="single" w:sz="4" w:space="0" w:color="auto"/>
            </w:tcBorders>
            <w:shd w:val="clear" w:color="auto" w:fill="auto"/>
            <w:noWrap/>
            <w:vAlign w:val="bottom"/>
            <w:hideMark/>
          </w:tcPr>
          <w:p w14:paraId="59CE448E" w14:textId="77777777" w:rsidR="007E02A2" w:rsidRPr="007E02A2" w:rsidRDefault="0FCC8A84" w:rsidP="0FCC8A84">
            <w:pPr>
              <w:spacing w:after="0"/>
              <w:jc w:val="right"/>
              <w:rPr>
                <w:sz w:val="14"/>
                <w:szCs w:val="14"/>
              </w:rPr>
            </w:pPr>
            <w:r w:rsidRPr="0FCC8A84">
              <w:rPr>
                <w:sz w:val="14"/>
                <w:szCs w:val="14"/>
              </w:rPr>
              <w:t>24,8</w:t>
            </w:r>
          </w:p>
        </w:tc>
        <w:tc>
          <w:tcPr>
            <w:tcW w:w="807" w:type="dxa"/>
            <w:tcBorders>
              <w:top w:val="nil"/>
              <w:left w:val="nil"/>
              <w:bottom w:val="single" w:sz="4" w:space="0" w:color="auto"/>
              <w:right w:val="single" w:sz="4" w:space="0" w:color="auto"/>
            </w:tcBorders>
            <w:shd w:val="clear" w:color="auto" w:fill="auto"/>
            <w:noWrap/>
            <w:vAlign w:val="bottom"/>
            <w:hideMark/>
          </w:tcPr>
          <w:p w14:paraId="5928E8C1" w14:textId="77777777" w:rsidR="007E02A2" w:rsidRPr="007E02A2" w:rsidRDefault="0FCC8A84" w:rsidP="0FCC8A84">
            <w:pPr>
              <w:spacing w:after="0"/>
              <w:jc w:val="right"/>
              <w:rPr>
                <w:sz w:val="14"/>
                <w:szCs w:val="14"/>
              </w:rPr>
            </w:pPr>
            <w:r w:rsidRPr="0FCC8A84">
              <w:rPr>
                <w:sz w:val="14"/>
                <w:szCs w:val="14"/>
              </w:rPr>
              <w:t>0,3</w:t>
            </w:r>
          </w:p>
        </w:tc>
        <w:tc>
          <w:tcPr>
            <w:tcW w:w="593" w:type="dxa"/>
            <w:tcBorders>
              <w:top w:val="nil"/>
              <w:left w:val="nil"/>
              <w:bottom w:val="single" w:sz="4" w:space="0" w:color="auto"/>
              <w:right w:val="single" w:sz="4" w:space="0" w:color="auto"/>
            </w:tcBorders>
            <w:shd w:val="clear" w:color="auto" w:fill="auto"/>
            <w:noWrap/>
            <w:vAlign w:val="bottom"/>
            <w:hideMark/>
          </w:tcPr>
          <w:p w14:paraId="117626E8" w14:textId="77777777" w:rsidR="007E02A2" w:rsidRPr="007E02A2" w:rsidRDefault="0FCC8A84" w:rsidP="0FCC8A84">
            <w:pPr>
              <w:spacing w:after="0"/>
              <w:jc w:val="right"/>
              <w:rPr>
                <w:sz w:val="14"/>
                <w:szCs w:val="14"/>
              </w:rPr>
            </w:pPr>
            <w:r w:rsidRPr="0FCC8A84">
              <w:rPr>
                <w:sz w:val="14"/>
                <w:szCs w:val="14"/>
              </w:rPr>
              <w:t>101,2</w:t>
            </w:r>
          </w:p>
        </w:tc>
      </w:tr>
      <w:tr w:rsidR="007E02A2" w:rsidRPr="007E02A2" w14:paraId="75933C8D" w14:textId="77777777" w:rsidTr="0FCC8A84">
        <w:trPr>
          <w:trHeight w:val="21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14:paraId="5276630B" w14:textId="77777777" w:rsidR="007E02A2" w:rsidRPr="007E02A2" w:rsidRDefault="0FCC8A84" w:rsidP="0FCC8A84">
            <w:pPr>
              <w:spacing w:after="0"/>
              <w:ind w:firstLineChars="400" w:firstLine="560"/>
              <w:jc w:val="left"/>
              <w:rPr>
                <w:i/>
                <w:iCs/>
                <w:color w:val="000000" w:themeColor="text1"/>
                <w:sz w:val="14"/>
                <w:szCs w:val="14"/>
              </w:rPr>
            </w:pPr>
            <w:r w:rsidRPr="0FCC8A84">
              <w:rPr>
                <w:i/>
                <w:iCs/>
                <w:color w:val="000000" w:themeColor="text1"/>
                <w:sz w:val="14"/>
                <w:szCs w:val="14"/>
              </w:rPr>
              <w:t>Járási szociális feladatok ellátása</w:t>
            </w:r>
          </w:p>
        </w:tc>
        <w:tc>
          <w:tcPr>
            <w:tcW w:w="980" w:type="dxa"/>
            <w:tcBorders>
              <w:top w:val="nil"/>
              <w:left w:val="nil"/>
              <w:bottom w:val="single" w:sz="4" w:space="0" w:color="auto"/>
              <w:right w:val="single" w:sz="4" w:space="0" w:color="auto"/>
            </w:tcBorders>
            <w:shd w:val="clear" w:color="auto" w:fill="auto"/>
            <w:noWrap/>
            <w:vAlign w:val="bottom"/>
            <w:hideMark/>
          </w:tcPr>
          <w:p w14:paraId="22C2750A" w14:textId="77777777" w:rsidR="007E02A2" w:rsidRPr="007E02A2" w:rsidRDefault="0FCC8A84" w:rsidP="0FCC8A84">
            <w:pPr>
              <w:spacing w:after="0"/>
              <w:jc w:val="right"/>
              <w:rPr>
                <w:sz w:val="14"/>
                <w:szCs w:val="14"/>
              </w:rPr>
            </w:pPr>
            <w:r w:rsidRPr="0FCC8A84">
              <w:rPr>
                <w:sz w:val="14"/>
                <w:szCs w:val="14"/>
              </w:rPr>
              <w:t>33,7</w:t>
            </w:r>
          </w:p>
        </w:tc>
        <w:tc>
          <w:tcPr>
            <w:tcW w:w="960" w:type="dxa"/>
            <w:tcBorders>
              <w:top w:val="nil"/>
              <w:left w:val="nil"/>
              <w:bottom w:val="single" w:sz="4" w:space="0" w:color="auto"/>
              <w:right w:val="single" w:sz="4" w:space="0" w:color="auto"/>
            </w:tcBorders>
            <w:shd w:val="clear" w:color="auto" w:fill="auto"/>
            <w:noWrap/>
            <w:vAlign w:val="bottom"/>
            <w:hideMark/>
          </w:tcPr>
          <w:p w14:paraId="1910C485" w14:textId="77777777" w:rsidR="007E02A2" w:rsidRPr="007E02A2" w:rsidRDefault="0FCC8A84" w:rsidP="0FCC8A84">
            <w:pPr>
              <w:spacing w:after="0"/>
              <w:jc w:val="right"/>
              <w:rPr>
                <w:sz w:val="14"/>
                <w:szCs w:val="14"/>
              </w:rPr>
            </w:pPr>
            <w:r w:rsidRPr="0FCC8A84">
              <w:rPr>
                <w:sz w:val="14"/>
                <w:szCs w:val="14"/>
              </w:rPr>
              <w:t>38,7</w:t>
            </w:r>
          </w:p>
        </w:tc>
        <w:tc>
          <w:tcPr>
            <w:tcW w:w="807" w:type="dxa"/>
            <w:tcBorders>
              <w:top w:val="nil"/>
              <w:left w:val="nil"/>
              <w:bottom w:val="single" w:sz="4" w:space="0" w:color="auto"/>
              <w:right w:val="single" w:sz="4" w:space="0" w:color="auto"/>
            </w:tcBorders>
            <w:shd w:val="clear" w:color="auto" w:fill="auto"/>
            <w:noWrap/>
            <w:vAlign w:val="bottom"/>
            <w:hideMark/>
          </w:tcPr>
          <w:p w14:paraId="334FEB86" w14:textId="77777777" w:rsidR="007E02A2" w:rsidRPr="007E02A2" w:rsidRDefault="0FCC8A84" w:rsidP="0FCC8A84">
            <w:pPr>
              <w:spacing w:after="0"/>
              <w:jc w:val="right"/>
              <w:rPr>
                <w:sz w:val="14"/>
                <w:szCs w:val="14"/>
              </w:rPr>
            </w:pPr>
            <w:r w:rsidRPr="0FCC8A84">
              <w:rPr>
                <w:sz w:val="14"/>
                <w:szCs w:val="14"/>
              </w:rPr>
              <w:t>5,0</w:t>
            </w:r>
          </w:p>
        </w:tc>
        <w:tc>
          <w:tcPr>
            <w:tcW w:w="593" w:type="dxa"/>
            <w:tcBorders>
              <w:top w:val="nil"/>
              <w:left w:val="nil"/>
              <w:bottom w:val="single" w:sz="4" w:space="0" w:color="auto"/>
              <w:right w:val="single" w:sz="4" w:space="0" w:color="auto"/>
            </w:tcBorders>
            <w:shd w:val="clear" w:color="auto" w:fill="auto"/>
            <w:noWrap/>
            <w:vAlign w:val="bottom"/>
            <w:hideMark/>
          </w:tcPr>
          <w:p w14:paraId="1C0B38EA" w14:textId="77777777" w:rsidR="007E02A2" w:rsidRPr="007E02A2" w:rsidRDefault="0FCC8A84" w:rsidP="0FCC8A84">
            <w:pPr>
              <w:spacing w:after="0"/>
              <w:jc w:val="right"/>
              <w:rPr>
                <w:sz w:val="14"/>
                <w:szCs w:val="14"/>
              </w:rPr>
            </w:pPr>
            <w:r w:rsidRPr="0FCC8A84">
              <w:rPr>
                <w:sz w:val="14"/>
                <w:szCs w:val="14"/>
              </w:rPr>
              <w:t>114,8</w:t>
            </w:r>
          </w:p>
        </w:tc>
      </w:tr>
      <w:tr w:rsidR="007E02A2" w:rsidRPr="007E02A2" w14:paraId="1EB48134" w14:textId="77777777" w:rsidTr="0FCC8A84">
        <w:trPr>
          <w:trHeight w:val="21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2C86DB5E" w14:textId="77777777" w:rsidR="007E02A2" w:rsidRPr="007E02A2" w:rsidRDefault="0FCC8A84" w:rsidP="0FCC8A84">
            <w:pPr>
              <w:spacing w:after="0"/>
              <w:jc w:val="left"/>
              <w:rPr>
                <w:b/>
                <w:bCs/>
                <w:color w:val="000000" w:themeColor="text1"/>
                <w:sz w:val="14"/>
                <w:szCs w:val="14"/>
              </w:rPr>
            </w:pPr>
            <w:r w:rsidRPr="0FCC8A84">
              <w:rPr>
                <w:b/>
                <w:bCs/>
                <w:color w:val="000000" w:themeColor="text1"/>
                <w:sz w:val="14"/>
                <w:szCs w:val="14"/>
              </w:rPr>
              <w:t>Különféle jogcímen adott térítések</w:t>
            </w:r>
          </w:p>
        </w:tc>
        <w:tc>
          <w:tcPr>
            <w:tcW w:w="980" w:type="dxa"/>
            <w:tcBorders>
              <w:top w:val="nil"/>
              <w:left w:val="nil"/>
              <w:bottom w:val="single" w:sz="4" w:space="0" w:color="auto"/>
              <w:right w:val="single" w:sz="4" w:space="0" w:color="auto"/>
            </w:tcBorders>
            <w:shd w:val="clear" w:color="auto" w:fill="auto"/>
            <w:noWrap/>
            <w:vAlign w:val="bottom"/>
            <w:hideMark/>
          </w:tcPr>
          <w:p w14:paraId="4C9A7F96" w14:textId="77777777" w:rsidR="007E02A2" w:rsidRPr="007E02A2" w:rsidRDefault="0FCC8A84" w:rsidP="0FCC8A84">
            <w:pPr>
              <w:spacing w:after="0"/>
              <w:jc w:val="right"/>
              <w:rPr>
                <w:b/>
                <w:bCs/>
                <w:sz w:val="14"/>
                <w:szCs w:val="14"/>
              </w:rPr>
            </w:pPr>
            <w:r w:rsidRPr="0FCC8A84">
              <w:rPr>
                <w:b/>
                <w:bCs/>
                <w:sz w:val="14"/>
                <w:szCs w:val="14"/>
              </w:rPr>
              <w:t>10,1</w:t>
            </w:r>
          </w:p>
        </w:tc>
        <w:tc>
          <w:tcPr>
            <w:tcW w:w="960" w:type="dxa"/>
            <w:tcBorders>
              <w:top w:val="nil"/>
              <w:left w:val="nil"/>
              <w:bottom w:val="single" w:sz="4" w:space="0" w:color="auto"/>
              <w:right w:val="single" w:sz="4" w:space="0" w:color="auto"/>
            </w:tcBorders>
            <w:shd w:val="clear" w:color="auto" w:fill="auto"/>
            <w:noWrap/>
            <w:vAlign w:val="bottom"/>
            <w:hideMark/>
          </w:tcPr>
          <w:p w14:paraId="5E1D808C" w14:textId="77777777" w:rsidR="007E02A2" w:rsidRPr="007E02A2" w:rsidRDefault="0FCC8A84" w:rsidP="0FCC8A84">
            <w:pPr>
              <w:spacing w:after="0"/>
              <w:jc w:val="right"/>
              <w:rPr>
                <w:b/>
                <w:bCs/>
                <w:sz w:val="14"/>
                <w:szCs w:val="14"/>
              </w:rPr>
            </w:pPr>
            <w:r w:rsidRPr="0FCC8A84">
              <w:rPr>
                <w:b/>
                <w:bCs/>
                <w:sz w:val="14"/>
                <w:szCs w:val="14"/>
              </w:rPr>
              <w:t>10,3</w:t>
            </w:r>
          </w:p>
        </w:tc>
        <w:tc>
          <w:tcPr>
            <w:tcW w:w="807" w:type="dxa"/>
            <w:tcBorders>
              <w:top w:val="nil"/>
              <w:left w:val="nil"/>
              <w:bottom w:val="single" w:sz="4" w:space="0" w:color="auto"/>
              <w:right w:val="single" w:sz="4" w:space="0" w:color="auto"/>
            </w:tcBorders>
            <w:shd w:val="clear" w:color="auto" w:fill="auto"/>
            <w:noWrap/>
            <w:vAlign w:val="bottom"/>
            <w:hideMark/>
          </w:tcPr>
          <w:p w14:paraId="2CD959A5" w14:textId="77777777" w:rsidR="007E02A2" w:rsidRPr="007E02A2" w:rsidRDefault="0FCC8A84" w:rsidP="0FCC8A84">
            <w:pPr>
              <w:spacing w:after="0"/>
              <w:jc w:val="right"/>
              <w:rPr>
                <w:b/>
                <w:bCs/>
                <w:sz w:val="14"/>
                <w:szCs w:val="14"/>
              </w:rPr>
            </w:pPr>
            <w:r w:rsidRPr="0FCC8A84">
              <w:rPr>
                <w:b/>
                <w:bCs/>
                <w:sz w:val="14"/>
                <w:szCs w:val="14"/>
              </w:rPr>
              <w:t>0,2</w:t>
            </w:r>
          </w:p>
        </w:tc>
        <w:tc>
          <w:tcPr>
            <w:tcW w:w="593" w:type="dxa"/>
            <w:tcBorders>
              <w:top w:val="nil"/>
              <w:left w:val="nil"/>
              <w:bottom w:val="single" w:sz="4" w:space="0" w:color="auto"/>
              <w:right w:val="single" w:sz="4" w:space="0" w:color="auto"/>
            </w:tcBorders>
            <w:shd w:val="clear" w:color="auto" w:fill="auto"/>
            <w:noWrap/>
            <w:vAlign w:val="bottom"/>
            <w:hideMark/>
          </w:tcPr>
          <w:p w14:paraId="2950E02A" w14:textId="77777777" w:rsidR="007E02A2" w:rsidRPr="007E02A2" w:rsidRDefault="0FCC8A84" w:rsidP="0FCC8A84">
            <w:pPr>
              <w:spacing w:after="0"/>
              <w:jc w:val="right"/>
              <w:rPr>
                <w:b/>
                <w:bCs/>
                <w:sz w:val="14"/>
                <w:szCs w:val="14"/>
              </w:rPr>
            </w:pPr>
            <w:r w:rsidRPr="0FCC8A84">
              <w:rPr>
                <w:b/>
                <w:bCs/>
                <w:sz w:val="14"/>
                <w:szCs w:val="14"/>
              </w:rPr>
              <w:t>102,0</w:t>
            </w:r>
          </w:p>
        </w:tc>
      </w:tr>
      <w:tr w:rsidR="007E02A2" w:rsidRPr="007E02A2" w14:paraId="695E4FA8" w14:textId="77777777" w:rsidTr="0FCC8A84">
        <w:trPr>
          <w:trHeight w:val="21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0DCD687B" w14:textId="77777777" w:rsidR="007E02A2" w:rsidRPr="007E02A2" w:rsidRDefault="0FCC8A84" w:rsidP="0FCC8A84">
            <w:pPr>
              <w:spacing w:after="0"/>
              <w:ind w:firstLineChars="100" w:firstLine="140"/>
              <w:jc w:val="left"/>
              <w:rPr>
                <w:i/>
                <w:iCs/>
                <w:color w:val="000000" w:themeColor="text1"/>
                <w:sz w:val="14"/>
                <w:szCs w:val="14"/>
              </w:rPr>
            </w:pPr>
            <w:r w:rsidRPr="0FCC8A84">
              <w:rPr>
                <w:i/>
                <w:iCs/>
                <w:color w:val="000000" w:themeColor="text1"/>
                <w:sz w:val="14"/>
                <w:szCs w:val="14"/>
              </w:rPr>
              <w:t xml:space="preserve">Ebből: </w:t>
            </w:r>
          </w:p>
        </w:tc>
        <w:tc>
          <w:tcPr>
            <w:tcW w:w="980" w:type="dxa"/>
            <w:tcBorders>
              <w:top w:val="nil"/>
              <w:left w:val="nil"/>
              <w:bottom w:val="single" w:sz="4" w:space="0" w:color="auto"/>
              <w:right w:val="single" w:sz="4" w:space="0" w:color="auto"/>
            </w:tcBorders>
            <w:shd w:val="clear" w:color="auto" w:fill="auto"/>
            <w:noWrap/>
            <w:vAlign w:val="bottom"/>
            <w:hideMark/>
          </w:tcPr>
          <w:p w14:paraId="1C2E0031" w14:textId="77777777" w:rsidR="007E02A2" w:rsidRPr="007E02A2" w:rsidRDefault="0FCC8A84" w:rsidP="0FCC8A84">
            <w:pPr>
              <w:spacing w:after="0"/>
              <w:jc w:val="right"/>
              <w:rPr>
                <w:sz w:val="14"/>
                <w:szCs w:val="14"/>
              </w:rPr>
            </w:pPr>
            <w:r w:rsidRPr="0FCC8A84">
              <w:rPr>
                <w:sz w:val="14"/>
                <w:szCs w:val="14"/>
              </w:rPr>
              <w:t> </w:t>
            </w:r>
          </w:p>
        </w:tc>
        <w:tc>
          <w:tcPr>
            <w:tcW w:w="960" w:type="dxa"/>
            <w:tcBorders>
              <w:top w:val="nil"/>
              <w:left w:val="nil"/>
              <w:bottom w:val="single" w:sz="4" w:space="0" w:color="auto"/>
              <w:right w:val="single" w:sz="4" w:space="0" w:color="auto"/>
            </w:tcBorders>
            <w:shd w:val="clear" w:color="auto" w:fill="auto"/>
            <w:noWrap/>
            <w:vAlign w:val="bottom"/>
            <w:hideMark/>
          </w:tcPr>
          <w:p w14:paraId="2BCA128C" w14:textId="77777777" w:rsidR="007E02A2" w:rsidRPr="007E02A2" w:rsidRDefault="0FCC8A84" w:rsidP="0FCC8A84">
            <w:pPr>
              <w:spacing w:after="0"/>
              <w:jc w:val="right"/>
              <w:rPr>
                <w:sz w:val="14"/>
                <w:szCs w:val="14"/>
              </w:rPr>
            </w:pPr>
            <w:r w:rsidRPr="0FCC8A84">
              <w:rPr>
                <w:sz w:val="14"/>
                <w:szCs w:val="14"/>
              </w:rPr>
              <w:t> </w:t>
            </w:r>
          </w:p>
        </w:tc>
        <w:tc>
          <w:tcPr>
            <w:tcW w:w="807" w:type="dxa"/>
            <w:tcBorders>
              <w:top w:val="nil"/>
              <w:left w:val="nil"/>
              <w:bottom w:val="single" w:sz="4" w:space="0" w:color="auto"/>
              <w:right w:val="single" w:sz="4" w:space="0" w:color="auto"/>
            </w:tcBorders>
            <w:shd w:val="clear" w:color="auto" w:fill="auto"/>
            <w:noWrap/>
            <w:vAlign w:val="bottom"/>
            <w:hideMark/>
          </w:tcPr>
          <w:p w14:paraId="023647ED" w14:textId="77777777" w:rsidR="007E02A2" w:rsidRPr="007E02A2" w:rsidRDefault="0FCC8A84" w:rsidP="0FCC8A84">
            <w:pPr>
              <w:spacing w:after="0"/>
              <w:jc w:val="right"/>
              <w:rPr>
                <w:sz w:val="14"/>
                <w:szCs w:val="14"/>
              </w:rPr>
            </w:pPr>
            <w:r w:rsidRPr="0FCC8A84">
              <w:rPr>
                <w:sz w:val="14"/>
                <w:szCs w:val="14"/>
              </w:rPr>
              <w:t> </w:t>
            </w:r>
          </w:p>
        </w:tc>
        <w:tc>
          <w:tcPr>
            <w:tcW w:w="593" w:type="dxa"/>
            <w:tcBorders>
              <w:top w:val="nil"/>
              <w:left w:val="nil"/>
              <w:bottom w:val="single" w:sz="4" w:space="0" w:color="auto"/>
              <w:right w:val="single" w:sz="4" w:space="0" w:color="auto"/>
            </w:tcBorders>
            <w:shd w:val="clear" w:color="auto" w:fill="auto"/>
            <w:noWrap/>
            <w:vAlign w:val="bottom"/>
            <w:hideMark/>
          </w:tcPr>
          <w:p w14:paraId="7771F203" w14:textId="77777777" w:rsidR="007E02A2" w:rsidRPr="007E02A2" w:rsidRDefault="0FCC8A84" w:rsidP="0FCC8A84">
            <w:pPr>
              <w:spacing w:after="0"/>
              <w:jc w:val="right"/>
              <w:rPr>
                <w:sz w:val="14"/>
                <w:szCs w:val="14"/>
              </w:rPr>
            </w:pPr>
            <w:r w:rsidRPr="0FCC8A84">
              <w:rPr>
                <w:sz w:val="14"/>
                <w:szCs w:val="14"/>
              </w:rPr>
              <w:t> </w:t>
            </w:r>
          </w:p>
        </w:tc>
      </w:tr>
      <w:tr w:rsidR="007E02A2" w:rsidRPr="007E02A2" w14:paraId="1DF8FE80" w14:textId="77777777" w:rsidTr="0FCC8A84">
        <w:trPr>
          <w:trHeight w:val="21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6222C675" w14:textId="77777777" w:rsidR="007E02A2" w:rsidRPr="007E02A2" w:rsidRDefault="0FCC8A84" w:rsidP="0FCC8A84">
            <w:pPr>
              <w:spacing w:after="0"/>
              <w:ind w:firstLineChars="400" w:firstLine="560"/>
              <w:jc w:val="left"/>
              <w:rPr>
                <w:i/>
                <w:iCs/>
                <w:color w:val="000000" w:themeColor="text1"/>
                <w:sz w:val="14"/>
                <w:szCs w:val="14"/>
              </w:rPr>
            </w:pPr>
            <w:r w:rsidRPr="0FCC8A84">
              <w:rPr>
                <w:i/>
                <w:iCs/>
                <w:color w:val="000000" w:themeColor="text1"/>
                <w:sz w:val="14"/>
                <w:szCs w:val="14"/>
              </w:rPr>
              <w:t>közgyógyellátás</w:t>
            </w:r>
          </w:p>
        </w:tc>
        <w:tc>
          <w:tcPr>
            <w:tcW w:w="980" w:type="dxa"/>
            <w:tcBorders>
              <w:top w:val="nil"/>
              <w:left w:val="nil"/>
              <w:bottom w:val="single" w:sz="4" w:space="0" w:color="auto"/>
              <w:right w:val="single" w:sz="4" w:space="0" w:color="auto"/>
            </w:tcBorders>
            <w:shd w:val="clear" w:color="auto" w:fill="auto"/>
            <w:noWrap/>
            <w:vAlign w:val="bottom"/>
            <w:hideMark/>
          </w:tcPr>
          <w:p w14:paraId="6B245BF4" w14:textId="77777777" w:rsidR="007E02A2" w:rsidRPr="007E02A2" w:rsidRDefault="0FCC8A84" w:rsidP="0FCC8A84">
            <w:pPr>
              <w:spacing w:after="0"/>
              <w:jc w:val="right"/>
              <w:rPr>
                <w:sz w:val="14"/>
                <w:szCs w:val="14"/>
              </w:rPr>
            </w:pPr>
            <w:r w:rsidRPr="0FCC8A84">
              <w:rPr>
                <w:sz w:val="14"/>
                <w:szCs w:val="14"/>
              </w:rPr>
              <w:t>7,1</w:t>
            </w:r>
          </w:p>
        </w:tc>
        <w:tc>
          <w:tcPr>
            <w:tcW w:w="960" w:type="dxa"/>
            <w:tcBorders>
              <w:top w:val="nil"/>
              <w:left w:val="nil"/>
              <w:bottom w:val="single" w:sz="4" w:space="0" w:color="auto"/>
              <w:right w:val="single" w:sz="4" w:space="0" w:color="auto"/>
            </w:tcBorders>
            <w:shd w:val="clear" w:color="auto" w:fill="auto"/>
            <w:noWrap/>
            <w:vAlign w:val="bottom"/>
            <w:hideMark/>
          </w:tcPr>
          <w:p w14:paraId="6CE89D98" w14:textId="77777777" w:rsidR="007E02A2" w:rsidRPr="007E02A2" w:rsidRDefault="0FCC8A84" w:rsidP="0FCC8A84">
            <w:pPr>
              <w:spacing w:after="0"/>
              <w:jc w:val="right"/>
              <w:rPr>
                <w:sz w:val="14"/>
                <w:szCs w:val="14"/>
              </w:rPr>
            </w:pPr>
            <w:r w:rsidRPr="0FCC8A84">
              <w:rPr>
                <w:sz w:val="14"/>
                <w:szCs w:val="14"/>
              </w:rPr>
              <w:t>7,2</w:t>
            </w:r>
          </w:p>
        </w:tc>
        <w:tc>
          <w:tcPr>
            <w:tcW w:w="807" w:type="dxa"/>
            <w:tcBorders>
              <w:top w:val="nil"/>
              <w:left w:val="nil"/>
              <w:bottom w:val="single" w:sz="4" w:space="0" w:color="auto"/>
              <w:right w:val="single" w:sz="4" w:space="0" w:color="auto"/>
            </w:tcBorders>
            <w:shd w:val="clear" w:color="auto" w:fill="auto"/>
            <w:noWrap/>
            <w:vAlign w:val="bottom"/>
            <w:hideMark/>
          </w:tcPr>
          <w:p w14:paraId="32F2B719" w14:textId="77777777" w:rsidR="007E02A2" w:rsidRPr="007E02A2" w:rsidRDefault="0FCC8A84" w:rsidP="0FCC8A84">
            <w:pPr>
              <w:spacing w:after="0"/>
              <w:jc w:val="right"/>
              <w:rPr>
                <w:sz w:val="14"/>
                <w:szCs w:val="14"/>
              </w:rPr>
            </w:pPr>
            <w:r w:rsidRPr="0FCC8A84">
              <w:rPr>
                <w:sz w:val="14"/>
                <w:szCs w:val="14"/>
              </w:rPr>
              <w:t>0,1</w:t>
            </w:r>
          </w:p>
        </w:tc>
        <w:tc>
          <w:tcPr>
            <w:tcW w:w="593" w:type="dxa"/>
            <w:tcBorders>
              <w:top w:val="nil"/>
              <w:left w:val="nil"/>
              <w:bottom w:val="single" w:sz="4" w:space="0" w:color="auto"/>
              <w:right w:val="single" w:sz="4" w:space="0" w:color="auto"/>
            </w:tcBorders>
            <w:shd w:val="clear" w:color="auto" w:fill="auto"/>
            <w:noWrap/>
            <w:vAlign w:val="bottom"/>
            <w:hideMark/>
          </w:tcPr>
          <w:p w14:paraId="2466FCB2" w14:textId="77777777" w:rsidR="007E02A2" w:rsidRPr="007E02A2" w:rsidRDefault="0FCC8A84" w:rsidP="0FCC8A84">
            <w:pPr>
              <w:spacing w:after="0"/>
              <w:jc w:val="right"/>
              <w:rPr>
                <w:sz w:val="14"/>
                <w:szCs w:val="14"/>
              </w:rPr>
            </w:pPr>
            <w:r w:rsidRPr="0FCC8A84">
              <w:rPr>
                <w:sz w:val="14"/>
                <w:szCs w:val="14"/>
              </w:rPr>
              <w:t>101,4</w:t>
            </w:r>
          </w:p>
        </w:tc>
      </w:tr>
      <w:tr w:rsidR="007E02A2" w:rsidRPr="007E02A2" w14:paraId="0927DE03" w14:textId="77777777" w:rsidTr="0FCC8A84">
        <w:trPr>
          <w:trHeight w:val="21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74483310" w14:textId="77777777" w:rsidR="007E02A2" w:rsidRPr="007E02A2" w:rsidRDefault="0FCC8A84" w:rsidP="0FCC8A84">
            <w:pPr>
              <w:spacing w:after="0"/>
              <w:jc w:val="left"/>
              <w:rPr>
                <w:b/>
                <w:bCs/>
                <w:color w:val="000000" w:themeColor="text1"/>
                <w:sz w:val="14"/>
                <w:szCs w:val="14"/>
              </w:rPr>
            </w:pPr>
            <w:r w:rsidRPr="0FCC8A84">
              <w:rPr>
                <w:b/>
                <w:bCs/>
                <w:color w:val="000000" w:themeColor="text1"/>
                <w:sz w:val="14"/>
                <w:szCs w:val="14"/>
              </w:rPr>
              <w:t>Összesen</w:t>
            </w:r>
          </w:p>
        </w:tc>
        <w:tc>
          <w:tcPr>
            <w:tcW w:w="980" w:type="dxa"/>
            <w:tcBorders>
              <w:top w:val="nil"/>
              <w:left w:val="nil"/>
              <w:bottom w:val="single" w:sz="4" w:space="0" w:color="auto"/>
              <w:right w:val="single" w:sz="4" w:space="0" w:color="auto"/>
            </w:tcBorders>
            <w:shd w:val="clear" w:color="auto" w:fill="auto"/>
            <w:noWrap/>
            <w:vAlign w:val="bottom"/>
            <w:hideMark/>
          </w:tcPr>
          <w:p w14:paraId="10DBE05B" w14:textId="77777777" w:rsidR="007E02A2" w:rsidRPr="007E02A2" w:rsidRDefault="0FCC8A84" w:rsidP="0FCC8A84">
            <w:pPr>
              <w:spacing w:after="0"/>
              <w:jc w:val="right"/>
              <w:rPr>
                <w:b/>
                <w:bCs/>
                <w:sz w:val="14"/>
                <w:szCs w:val="14"/>
              </w:rPr>
            </w:pPr>
            <w:r w:rsidRPr="0FCC8A84">
              <w:rPr>
                <w:b/>
                <w:bCs/>
                <w:sz w:val="14"/>
                <w:szCs w:val="14"/>
              </w:rPr>
              <w:t>274,2</w:t>
            </w:r>
          </w:p>
        </w:tc>
        <w:tc>
          <w:tcPr>
            <w:tcW w:w="960" w:type="dxa"/>
            <w:tcBorders>
              <w:top w:val="nil"/>
              <w:left w:val="nil"/>
              <w:bottom w:val="single" w:sz="4" w:space="0" w:color="auto"/>
              <w:right w:val="single" w:sz="4" w:space="0" w:color="auto"/>
            </w:tcBorders>
            <w:shd w:val="clear" w:color="auto" w:fill="auto"/>
            <w:noWrap/>
            <w:vAlign w:val="bottom"/>
            <w:hideMark/>
          </w:tcPr>
          <w:p w14:paraId="5E3ABA21" w14:textId="77777777" w:rsidR="007E02A2" w:rsidRPr="007E02A2" w:rsidRDefault="0FCC8A84" w:rsidP="0FCC8A84">
            <w:pPr>
              <w:spacing w:after="0"/>
              <w:jc w:val="right"/>
              <w:rPr>
                <w:b/>
                <w:bCs/>
                <w:sz w:val="14"/>
                <w:szCs w:val="14"/>
              </w:rPr>
            </w:pPr>
            <w:r w:rsidRPr="0FCC8A84">
              <w:rPr>
                <w:b/>
                <w:bCs/>
                <w:sz w:val="14"/>
                <w:szCs w:val="14"/>
              </w:rPr>
              <w:t>283,0</w:t>
            </w:r>
          </w:p>
        </w:tc>
        <w:tc>
          <w:tcPr>
            <w:tcW w:w="807" w:type="dxa"/>
            <w:tcBorders>
              <w:top w:val="nil"/>
              <w:left w:val="nil"/>
              <w:bottom w:val="single" w:sz="4" w:space="0" w:color="auto"/>
              <w:right w:val="single" w:sz="4" w:space="0" w:color="auto"/>
            </w:tcBorders>
            <w:shd w:val="clear" w:color="auto" w:fill="auto"/>
            <w:noWrap/>
            <w:vAlign w:val="bottom"/>
            <w:hideMark/>
          </w:tcPr>
          <w:p w14:paraId="0E03713D" w14:textId="77777777" w:rsidR="007E02A2" w:rsidRPr="007E02A2" w:rsidRDefault="0FCC8A84" w:rsidP="0FCC8A84">
            <w:pPr>
              <w:spacing w:after="0"/>
              <w:jc w:val="right"/>
              <w:rPr>
                <w:b/>
                <w:bCs/>
                <w:sz w:val="14"/>
                <w:szCs w:val="14"/>
              </w:rPr>
            </w:pPr>
            <w:r w:rsidRPr="0FCC8A84">
              <w:rPr>
                <w:b/>
                <w:bCs/>
                <w:sz w:val="14"/>
                <w:szCs w:val="14"/>
              </w:rPr>
              <w:t>8,</w:t>
            </w:r>
            <w:proofErr w:type="spellStart"/>
            <w:r w:rsidRPr="0FCC8A84">
              <w:rPr>
                <w:b/>
                <w:bCs/>
                <w:sz w:val="14"/>
                <w:szCs w:val="14"/>
              </w:rPr>
              <w:t>8</w:t>
            </w:r>
            <w:proofErr w:type="spellEnd"/>
          </w:p>
        </w:tc>
        <w:tc>
          <w:tcPr>
            <w:tcW w:w="593" w:type="dxa"/>
            <w:tcBorders>
              <w:top w:val="nil"/>
              <w:left w:val="nil"/>
              <w:bottom w:val="single" w:sz="4" w:space="0" w:color="auto"/>
              <w:right w:val="single" w:sz="4" w:space="0" w:color="auto"/>
            </w:tcBorders>
            <w:shd w:val="clear" w:color="auto" w:fill="auto"/>
            <w:noWrap/>
            <w:vAlign w:val="bottom"/>
            <w:hideMark/>
          </w:tcPr>
          <w:p w14:paraId="351BDE31" w14:textId="77777777" w:rsidR="007E02A2" w:rsidRPr="007E02A2" w:rsidRDefault="0FCC8A84" w:rsidP="0FCC8A84">
            <w:pPr>
              <w:spacing w:after="0"/>
              <w:jc w:val="right"/>
              <w:rPr>
                <w:b/>
                <w:bCs/>
                <w:sz w:val="14"/>
                <w:szCs w:val="14"/>
              </w:rPr>
            </w:pPr>
            <w:r w:rsidRPr="0FCC8A84">
              <w:rPr>
                <w:b/>
                <w:bCs/>
                <w:sz w:val="14"/>
                <w:szCs w:val="14"/>
              </w:rPr>
              <w:t>103,2</w:t>
            </w:r>
          </w:p>
        </w:tc>
      </w:tr>
    </w:tbl>
    <w:p w14:paraId="536EC8DD" w14:textId="5F2AD1B2" w:rsidR="00355772" w:rsidRDefault="00355772" w:rsidP="008B3AE4">
      <w:pPr>
        <w:ind w:left="426" w:hanging="426"/>
        <w:rPr>
          <w:rFonts w:cs="Tahoma"/>
          <w:color w:val="000000" w:themeColor="text1"/>
        </w:rPr>
      </w:pPr>
    </w:p>
    <w:p w14:paraId="71DD3586" w14:textId="77777777" w:rsidR="00CF7695" w:rsidRPr="00CF7695" w:rsidRDefault="0FCC8A84" w:rsidP="0FCC8A84">
      <w:pPr>
        <w:rPr>
          <w:rFonts w:cs="Tahoma"/>
          <w:color w:val="000000" w:themeColor="text1"/>
        </w:rPr>
      </w:pPr>
      <w:r w:rsidRPr="0FCC8A84">
        <w:rPr>
          <w:rFonts w:cs="Tahoma"/>
          <w:color w:val="000000" w:themeColor="text1"/>
        </w:rPr>
        <w:t xml:space="preserve">A </w:t>
      </w:r>
      <w:r w:rsidRPr="0FCC8A84">
        <w:rPr>
          <w:rFonts w:cs="Tahoma"/>
          <w:b/>
          <w:bCs/>
          <w:color w:val="000000" w:themeColor="text1"/>
        </w:rPr>
        <w:t>családi támogatásokra</w:t>
      </w:r>
      <w:r w:rsidRPr="0FCC8A84">
        <w:rPr>
          <w:rFonts w:cs="Tahoma"/>
          <w:color w:val="000000" w:themeColor="text1"/>
        </w:rPr>
        <w:t xml:space="preserve"> 2021. május végéig összesen 168,2 milliárd forintot fizettek ki, melyből a legnagyobb összeget, 129,3 milliárd forintot a családi pótlékra fordították. Ebbe a körbe tartoznak még a táblában felsoroltak mellett a pénzbeli és természetbeni gyermekvédelmi támogatások, valamint a gyermektartásdíj megelőlegezése is. A 2021. évi első </w:t>
      </w:r>
      <w:proofErr w:type="spellStart"/>
      <w:r w:rsidRPr="0FCC8A84">
        <w:rPr>
          <w:rFonts w:cs="Tahoma"/>
          <w:color w:val="000000" w:themeColor="text1"/>
        </w:rPr>
        <w:t>öthavi</w:t>
      </w:r>
      <w:proofErr w:type="spellEnd"/>
      <w:r w:rsidRPr="0FCC8A84">
        <w:rPr>
          <w:rFonts w:cs="Tahoma"/>
          <w:color w:val="000000" w:themeColor="text1"/>
        </w:rPr>
        <w:t xml:space="preserve"> kiadás 0,5 milliárd forinttal haladta meg az előző év azonos időszakának teljesítését. Ez meghatározó részben annak a következménye, hogy az életkezdési támogatás 0,8 milliárd forinttal magasabb volt az előző évi május végi összegnél. Ennek oka az, hogy az életkezdési letéti számlákon nyilvántartott követelés összege, amelyre tekintettel kamatot kellett fizetni, magasabb volt a tavalyihoz képest, továbbá 2021-ben a hétévesek mellett már a tizennégy éves rendszeres gyermekvédelmi kedvezményben részesülő és nevelésbe vett gyermekek is részesültek a 44 600 forintos összegű életkezdési támogatásban. Kisebb növekmény látható még a családi pótlék esetében is.</w:t>
      </w:r>
    </w:p>
    <w:p w14:paraId="4E5B3EF4" w14:textId="77777777" w:rsidR="00CF7695" w:rsidRPr="00CF7695" w:rsidRDefault="0FCC8A84" w:rsidP="0FCC8A84">
      <w:pPr>
        <w:rPr>
          <w:rFonts w:cs="Tahoma"/>
          <w:color w:val="000000" w:themeColor="text1"/>
        </w:rPr>
      </w:pPr>
      <w:r w:rsidRPr="0FCC8A84">
        <w:rPr>
          <w:rFonts w:cs="Tahoma"/>
          <w:color w:val="000000" w:themeColor="text1"/>
        </w:rPr>
        <w:t xml:space="preserve">A </w:t>
      </w:r>
      <w:r w:rsidRPr="0FCC8A84">
        <w:rPr>
          <w:rFonts w:cs="Tahoma"/>
          <w:b/>
          <w:bCs/>
          <w:color w:val="000000" w:themeColor="text1"/>
        </w:rPr>
        <w:t>korhatár alatti ellátásokra</w:t>
      </w:r>
      <w:r w:rsidRPr="0FCC8A84">
        <w:rPr>
          <w:rFonts w:cs="Tahoma"/>
          <w:color w:val="000000" w:themeColor="text1"/>
        </w:rPr>
        <w:t xml:space="preserve"> idén május végéig 41,0 milliárd forintot folyósítottak, amely 2,8 milliárd forinttal magasabb az előző év azonos időszakában e célra kifizetett összegnél. Az előirányzat tartalmazza a szolgálati járandóság, valamint a korhatár előtti ellátás és a táncművészeti járadék forrását. A kifizetett összeget növeli, hogy az ellátások januártól a nyugdíjemelés mértékének megfelelően, 3%-kal emelkedtek. A 13. havi nyugdíjhoz hasonlóan ezen ellátásban részesülő személyek is részesültek 13. havi ellátásban, így a kifizetett összeg tartalmazza az ezzel kapcsolatosan folyósított összeget (a januári ellátás 25%-a) is. A szolgálati járandóság esetében új megállapításra már nem kerülhet sor, a korhatár előtti ellátásban részesülők közül viszont azok, akik 2014. december 31-e előtt korkedvezményre szereztek jogosultságot, még új belépőként jelenhetnek meg a korhatár előtti ellátásra jogosultak körében. A jogosultak létszámát mindkét ellátás esetén csökkenti, hogy azok, akik elérik a nyugdíjkorhatárt, öregségi nyugdíjra válnak jogosulttá. </w:t>
      </w:r>
    </w:p>
    <w:p w14:paraId="1D8AF86D" w14:textId="2D44125C" w:rsidR="00CF7695" w:rsidRPr="00CF7695" w:rsidRDefault="0FCC8A84" w:rsidP="0FCC8A84">
      <w:pPr>
        <w:rPr>
          <w:rFonts w:cs="Tahoma"/>
          <w:color w:val="000000" w:themeColor="text1"/>
        </w:rPr>
      </w:pPr>
      <w:r w:rsidRPr="0FCC8A84">
        <w:rPr>
          <w:rFonts w:cs="Tahoma"/>
          <w:color w:val="000000" w:themeColor="text1"/>
        </w:rPr>
        <w:t xml:space="preserve">2021. május végéig a </w:t>
      </w:r>
      <w:r w:rsidRPr="0FCC8A84">
        <w:rPr>
          <w:rFonts w:cs="Tahoma"/>
          <w:b/>
          <w:bCs/>
          <w:color w:val="000000" w:themeColor="text1"/>
        </w:rPr>
        <w:t>jövedelempótló és jövedelemkiegészítő szociális támogatásokra</w:t>
      </w:r>
      <w:r w:rsidRPr="0FCC8A84">
        <w:rPr>
          <w:rFonts w:cs="Tahoma"/>
          <w:color w:val="000000" w:themeColor="text1"/>
        </w:rPr>
        <w:t xml:space="preserve"> 63,5 milliárd forintot fizettek ki, mely 5,3 milliárd forinttal haladta meg az egy évvel korábbi kiadást. A jövedelempótló és jövedelemkiegészítő szociális támogatásokon belül a járási szociális feladatok ellátására (gyermekek otthongondozási díja, ápolási díj, időskorúak járadéka, foglalkoztatást helyettesítő támogatás, egészségkárosodási és </w:t>
      </w:r>
      <w:r w:rsidRPr="0FCC8A84">
        <w:rPr>
          <w:rFonts w:cs="Tahoma"/>
          <w:color w:val="000000" w:themeColor="text1"/>
        </w:rPr>
        <w:lastRenderedPageBreak/>
        <w:t>gyermekfelügyeleti támogatás) 38,7 milliárd forintot fordítottak, mely 5,0 milliárd forinttal magasabb az előző évi május végi adatnál. Ennek oka, hogy 2021 januárjától a gyermekek otthongondozási díjának összege a minimálbér 77%-áról annak 88%</w:t>
      </w:r>
      <w:r w:rsidR="00795C9A">
        <w:rPr>
          <w:rFonts w:cs="Tahoma"/>
          <w:color w:val="000000" w:themeColor="text1"/>
        </w:rPr>
        <w:t>-</w:t>
      </w:r>
      <w:r w:rsidRPr="0FCC8A84">
        <w:rPr>
          <w:rFonts w:cs="Tahoma"/>
          <w:color w:val="000000" w:themeColor="text1"/>
        </w:rPr>
        <w:t>ára emelkedett (januártól 141 680 forintra, majd a minimálbér februártól hatályos emelése következtében februártól 147 315 forintra), az ápolási díj összege pedig 5%-kal nőtt. A „Jövedelempótló és jövedelemkiegészítő ellátások” előirányzat tartalmazza a fogyatékossági támogatás, a vakok személyi járadéka, az átmeneti bányászjáradék és számos további, jellemzően kifutó jellegű ellátás (pl. mezőgazdasági járadék, politikai rehabilitációs és más nyugdíj-kiegészítések, házastársi pótlék) forrását. A jövedelempótló és jövedelemkiegészítő ellátásokra 24,8 milliárd forintot fizettek ki, mely 0,3 milliárd forinttal magasabb az előző évi azonos időszaki kifizetésnél. Az adatok tartalmazzák egyes ellátások januárban végrehajtott 3%-os emelésének hatását, illetve egyes ellátásoknál a 13.</w:t>
      </w:r>
      <w:r w:rsidR="002B22F8">
        <w:rPr>
          <w:rFonts w:cs="Tahoma"/>
          <w:color w:val="000000" w:themeColor="text1"/>
        </w:rPr>
        <w:t> </w:t>
      </w:r>
      <w:r w:rsidRPr="0FCC8A84">
        <w:rPr>
          <w:rFonts w:cs="Tahoma"/>
          <w:color w:val="000000" w:themeColor="text1"/>
        </w:rPr>
        <w:t>havi ellátás (idén a januári ellátás 25%-a) kifizetése következtében folyósított összeget is.</w:t>
      </w:r>
    </w:p>
    <w:p w14:paraId="776922A5" w14:textId="77777777" w:rsidR="00CF7695" w:rsidRPr="00CF7695" w:rsidRDefault="0FCC8A84" w:rsidP="0FCC8A84">
      <w:pPr>
        <w:rPr>
          <w:rFonts w:cs="Tahoma"/>
          <w:color w:val="000000" w:themeColor="text1"/>
        </w:rPr>
      </w:pPr>
      <w:r w:rsidRPr="0FCC8A84">
        <w:rPr>
          <w:rFonts w:cs="Tahoma"/>
          <w:color w:val="000000" w:themeColor="text1"/>
        </w:rPr>
        <w:t xml:space="preserve">A </w:t>
      </w:r>
      <w:r w:rsidRPr="0FCC8A84">
        <w:rPr>
          <w:rFonts w:cs="Tahoma"/>
          <w:b/>
          <w:bCs/>
          <w:color w:val="000000" w:themeColor="text1"/>
        </w:rPr>
        <w:t>különféle jogcímen adott térítések</w:t>
      </w:r>
      <w:r w:rsidRPr="0FCC8A84">
        <w:rPr>
          <w:rFonts w:cs="Tahoma"/>
          <w:color w:val="000000" w:themeColor="text1"/>
        </w:rPr>
        <w:t xml:space="preserve"> 2021. évi első </w:t>
      </w:r>
      <w:proofErr w:type="spellStart"/>
      <w:r w:rsidRPr="0FCC8A84">
        <w:rPr>
          <w:rFonts w:cs="Tahoma"/>
          <w:color w:val="000000" w:themeColor="text1"/>
        </w:rPr>
        <w:t>öthavi</w:t>
      </w:r>
      <w:proofErr w:type="spellEnd"/>
      <w:r w:rsidRPr="0FCC8A84">
        <w:rPr>
          <w:rFonts w:cs="Tahoma"/>
          <w:color w:val="000000" w:themeColor="text1"/>
        </w:rPr>
        <w:t xml:space="preserve"> összege nagyságrendjében hasonló volt az előző év azonos időszakához viszonyítva. A térítéseken belül a legnagyobb összeget, 7,2 milliárd forintot a közgyógyellátásra fizették ki.</w:t>
      </w:r>
    </w:p>
    <w:p w14:paraId="3F556F6C" w14:textId="5D5055C9" w:rsidR="00647A5A" w:rsidRDefault="0FCC8A84" w:rsidP="00647A5A">
      <w:r>
        <w:t xml:space="preserve">A </w:t>
      </w:r>
      <w:r w:rsidRPr="0FCC8A84">
        <w:rPr>
          <w:b/>
          <w:bCs/>
        </w:rPr>
        <w:t>helyi önkormányzatok</w:t>
      </w:r>
      <w:r>
        <w:t xml:space="preserve"> 2021. évi feladataihoz a költségvetési törvény </w:t>
      </w:r>
      <w:r w:rsidR="0042486F">
        <w:t xml:space="preserve">eredetileg </w:t>
      </w:r>
      <w:r>
        <w:t xml:space="preserve">864,8 milliárd forint állami </w:t>
      </w:r>
      <w:r w:rsidRPr="0FCC8A84">
        <w:rPr>
          <w:b/>
          <w:bCs/>
        </w:rPr>
        <w:t>támogatást</w:t>
      </w:r>
      <w:r>
        <w:t xml:space="preserve"> biztosít, ami a 2020. évi 739,0 milliárd forintos törvényi előirányzatnál 125,8 milliárd forinttal magasabb. Az emelkedést alapvetően két tényező okozza: egyrészt a szolidaritási hozzájárulás átalakításával összefüggésben a beszámítás megszüntetése miatt az általános működési támogatás megemelése, másrészt a 2020-2021. évi ágazati bérintézkedések beépítése. Míg az előbbi 94,9 milliárd forinttal, az utóbbi 52,2 milliárd forinttal növelte meg a IX. Helyi önkormányzatok támogatásai fejezet előirányzatát. Az emelkedés mellett 21,3 milliárd forint egyéb működési és fejlesztési előirányzat-csökkentés történt egyes ágazati intézkedések, továbbá egyes fejlesztési előirányzatok kifutása következtében.</w:t>
      </w:r>
    </w:p>
    <w:p w14:paraId="14F80CAD" w14:textId="6E6972F7" w:rsidR="00E739A2" w:rsidRDefault="0FCC8A84" w:rsidP="00647A5A">
      <w:r>
        <w:t>A jelentősebb tételek alakulását a következő táblázat mutatja:</w:t>
      </w:r>
    </w:p>
    <w:p w14:paraId="146E8177" w14:textId="7A8EEF40" w:rsidR="00A450B1" w:rsidRDefault="00A450B1" w:rsidP="00647A5A">
      <w:r>
        <w:br w:type="page"/>
      </w:r>
    </w:p>
    <w:tbl>
      <w:tblPr>
        <w:tblW w:w="8261" w:type="dxa"/>
        <w:jc w:val="center"/>
        <w:tblCellMar>
          <w:left w:w="0" w:type="dxa"/>
          <w:right w:w="0" w:type="dxa"/>
        </w:tblCellMar>
        <w:tblLook w:val="04A0" w:firstRow="1" w:lastRow="0" w:firstColumn="1" w:lastColumn="0" w:noHBand="0" w:noVBand="1"/>
      </w:tblPr>
      <w:tblGrid>
        <w:gridCol w:w="4406"/>
        <w:gridCol w:w="1124"/>
        <w:gridCol w:w="1110"/>
        <w:gridCol w:w="888"/>
        <w:gridCol w:w="733"/>
      </w:tblGrid>
      <w:tr w:rsidR="00D82E5C" w:rsidRPr="00D82E5C" w14:paraId="3BBCFB07" w14:textId="77777777" w:rsidTr="0FCC8A84">
        <w:trPr>
          <w:trHeight w:val="300"/>
          <w:jc w:val="center"/>
        </w:trPr>
        <w:tc>
          <w:tcPr>
            <w:tcW w:w="8261" w:type="dxa"/>
            <w:gridSpan w:val="5"/>
            <w:tcBorders>
              <w:bottom w:val="single" w:sz="8" w:space="0" w:color="auto"/>
            </w:tcBorders>
            <w:noWrap/>
            <w:tcMar>
              <w:top w:w="0" w:type="dxa"/>
              <w:left w:w="70" w:type="dxa"/>
              <w:bottom w:w="0" w:type="dxa"/>
              <w:right w:w="70" w:type="dxa"/>
            </w:tcMar>
            <w:vAlign w:val="bottom"/>
            <w:hideMark/>
          </w:tcPr>
          <w:p w14:paraId="0ACB7E67" w14:textId="77777777" w:rsidR="00D82E5C" w:rsidRPr="00D82E5C" w:rsidRDefault="0FCC8A84" w:rsidP="0FCC8A84">
            <w:pPr>
              <w:spacing w:line="276" w:lineRule="auto"/>
              <w:jc w:val="center"/>
              <w:rPr>
                <w:rFonts w:eastAsiaTheme="minorEastAsia"/>
                <w:b/>
                <w:bCs/>
                <w:color w:val="000000" w:themeColor="text1"/>
                <w:sz w:val="20"/>
                <w:lang w:eastAsia="en-US"/>
              </w:rPr>
            </w:pPr>
            <w:r w:rsidRPr="0FCC8A84">
              <w:rPr>
                <w:b/>
                <w:bCs/>
                <w:color w:val="000000" w:themeColor="text1"/>
                <w:sz w:val="20"/>
              </w:rPr>
              <w:lastRenderedPageBreak/>
              <w:t>A helyi önkormányzatok támogatásának alakulása (milliárd forint)</w:t>
            </w:r>
          </w:p>
        </w:tc>
      </w:tr>
      <w:tr w:rsidR="00D82E5C" w:rsidRPr="00D82E5C" w14:paraId="4798FC5E" w14:textId="77777777" w:rsidTr="0FCC8A84">
        <w:trPr>
          <w:trHeight w:val="300"/>
          <w:jc w:val="center"/>
        </w:trPr>
        <w:tc>
          <w:tcPr>
            <w:tcW w:w="4406" w:type="dxa"/>
            <w:vMerge w:val="restart"/>
            <w:tcBorders>
              <w:top w:val="single" w:sz="8" w:space="0" w:color="auto"/>
              <w:left w:val="single" w:sz="8" w:space="0" w:color="auto"/>
              <w:bottom w:val="single" w:sz="8" w:space="0" w:color="000000" w:themeColor="text1"/>
              <w:right w:val="single" w:sz="8" w:space="0" w:color="auto"/>
            </w:tcBorders>
            <w:noWrap/>
            <w:tcMar>
              <w:top w:w="0" w:type="dxa"/>
              <w:left w:w="70" w:type="dxa"/>
              <w:bottom w:w="0" w:type="dxa"/>
              <w:right w:w="70" w:type="dxa"/>
            </w:tcMar>
            <w:vAlign w:val="center"/>
            <w:hideMark/>
          </w:tcPr>
          <w:p w14:paraId="5BF70B91" w14:textId="77777777" w:rsidR="00D82E5C" w:rsidRPr="00D82E5C" w:rsidRDefault="0FCC8A84" w:rsidP="0FCC8A84">
            <w:pPr>
              <w:spacing w:line="276" w:lineRule="auto"/>
              <w:jc w:val="center"/>
              <w:rPr>
                <w:rFonts w:eastAsiaTheme="minorEastAsia"/>
                <w:b/>
                <w:bCs/>
                <w:color w:val="000000" w:themeColor="text1"/>
                <w:sz w:val="20"/>
                <w:lang w:eastAsia="en-US"/>
              </w:rPr>
            </w:pPr>
            <w:r w:rsidRPr="0FCC8A84">
              <w:rPr>
                <w:b/>
                <w:bCs/>
                <w:color w:val="000000" w:themeColor="text1"/>
                <w:sz w:val="20"/>
              </w:rPr>
              <w:t>Megnevezés</w:t>
            </w:r>
          </w:p>
        </w:tc>
        <w:tc>
          <w:tcPr>
            <w:tcW w:w="1124"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F839337" w14:textId="091B462E" w:rsidR="00D82E5C" w:rsidRPr="00D82E5C" w:rsidRDefault="0FCC8A84" w:rsidP="0FCC8A84">
            <w:pPr>
              <w:jc w:val="center"/>
              <w:rPr>
                <w:b/>
                <w:bCs/>
                <w:color w:val="000000" w:themeColor="text1"/>
                <w:sz w:val="20"/>
              </w:rPr>
            </w:pPr>
            <w:r w:rsidRPr="0FCC8A84">
              <w:rPr>
                <w:b/>
                <w:bCs/>
                <w:color w:val="000000" w:themeColor="text1"/>
                <w:sz w:val="20"/>
              </w:rPr>
              <w:t xml:space="preserve">2020. </w:t>
            </w:r>
            <w:r w:rsidR="6B0A3B39">
              <w:br/>
            </w:r>
            <w:r w:rsidRPr="0FCC8A84">
              <w:rPr>
                <w:b/>
                <w:bCs/>
                <w:color w:val="000000" w:themeColor="text1"/>
                <w:sz w:val="20"/>
              </w:rPr>
              <w:t>I-V. hó</w:t>
            </w:r>
          </w:p>
        </w:tc>
        <w:tc>
          <w:tcPr>
            <w:tcW w:w="111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5B38124" w14:textId="785C909E" w:rsidR="00D82E5C" w:rsidRPr="00D82E5C" w:rsidRDefault="0FCC8A84" w:rsidP="0FCC8A84">
            <w:pPr>
              <w:jc w:val="center"/>
              <w:rPr>
                <w:b/>
                <w:bCs/>
                <w:color w:val="000000" w:themeColor="text1"/>
                <w:sz w:val="20"/>
              </w:rPr>
            </w:pPr>
            <w:r w:rsidRPr="0FCC8A84">
              <w:rPr>
                <w:b/>
                <w:bCs/>
                <w:color w:val="000000" w:themeColor="text1"/>
                <w:sz w:val="20"/>
              </w:rPr>
              <w:t>2021.</w:t>
            </w:r>
            <w:r w:rsidR="6B0A3B39">
              <w:br/>
            </w:r>
            <w:r w:rsidRPr="0FCC8A84">
              <w:rPr>
                <w:b/>
                <w:bCs/>
                <w:color w:val="000000" w:themeColor="text1"/>
                <w:sz w:val="20"/>
              </w:rPr>
              <w:t>I-V. hó</w:t>
            </w:r>
          </w:p>
        </w:tc>
        <w:tc>
          <w:tcPr>
            <w:tcW w:w="1621"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14:paraId="326E2BF4" w14:textId="77777777" w:rsidR="00D82E5C" w:rsidRPr="00D82E5C" w:rsidRDefault="0FCC8A84" w:rsidP="0FCC8A84">
            <w:pPr>
              <w:jc w:val="center"/>
              <w:rPr>
                <w:b/>
                <w:bCs/>
                <w:color w:val="000000" w:themeColor="text1"/>
                <w:sz w:val="20"/>
              </w:rPr>
            </w:pPr>
            <w:r w:rsidRPr="0FCC8A84">
              <w:rPr>
                <w:b/>
                <w:bCs/>
                <w:color w:val="000000" w:themeColor="text1"/>
                <w:sz w:val="20"/>
              </w:rPr>
              <w:t>Eltérés</w:t>
            </w:r>
          </w:p>
        </w:tc>
      </w:tr>
      <w:tr w:rsidR="00D82E5C" w:rsidRPr="00D82E5C" w14:paraId="4F308A3A" w14:textId="77777777" w:rsidTr="0FCC8A84">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3167BFD" w14:textId="77777777" w:rsidR="00D82E5C" w:rsidRPr="00D82E5C" w:rsidRDefault="00D82E5C" w:rsidP="00D82E5C">
            <w:pPr>
              <w:rPr>
                <w:rFonts w:eastAsiaTheme="minorHAnsi"/>
                <w:b/>
                <w:bCs/>
                <w:color w:val="000000"/>
                <w:sz w:val="20"/>
                <w:lang w:eastAsia="en-US"/>
              </w:rPr>
            </w:pPr>
          </w:p>
        </w:tc>
        <w:tc>
          <w:tcPr>
            <w:tcW w:w="0" w:type="auto"/>
            <w:vMerge/>
            <w:tcBorders>
              <w:top w:val="single" w:sz="8" w:space="0" w:color="auto"/>
              <w:left w:val="nil"/>
              <w:bottom w:val="single" w:sz="8" w:space="0" w:color="auto"/>
              <w:right w:val="single" w:sz="8" w:space="0" w:color="auto"/>
            </w:tcBorders>
            <w:vAlign w:val="center"/>
          </w:tcPr>
          <w:p w14:paraId="209F6A96" w14:textId="77777777" w:rsidR="00D82E5C" w:rsidRPr="00D82E5C" w:rsidRDefault="00D82E5C" w:rsidP="00D82E5C">
            <w:pPr>
              <w:jc w:val="center"/>
              <w:rPr>
                <w:rFonts w:eastAsiaTheme="minorHAnsi"/>
                <w:b/>
                <w:bCs/>
                <w:color w:val="000000"/>
                <w:sz w:val="20"/>
                <w:lang w:eastAsia="en-US"/>
              </w:rPr>
            </w:pPr>
          </w:p>
        </w:tc>
        <w:tc>
          <w:tcPr>
            <w:tcW w:w="0" w:type="auto"/>
            <w:vMerge/>
            <w:tcBorders>
              <w:top w:val="single" w:sz="8" w:space="0" w:color="auto"/>
              <w:left w:val="nil"/>
              <w:bottom w:val="single" w:sz="8" w:space="0" w:color="auto"/>
              <w:right w:val="single" w:sz="8" w:space="0" w:color="auto"/>
            </w:tcBorders>
            <w:vAlign w:val="center"/>
          </w:tcPr>
          <w:p w14:paraId="1EC8AF85" w14:textId="77777777" w:rsidR="00D82E5C" w:rsidRPr="00D82E5C" w:rsidRDefault="00D82E5C" w:rsidP="00D82E5C">
            <w:pPr>
              <w:jc w:val="center"/>
              <w:rPr>
                <w:rFonts w:eastAsiaTheme="minorHAnsi"/>
                <w:b/>
                <w:bCs/>
                <w:color w:val="000000"/>
                <w:sz w:val="20"/>
                <w:lang w:eastAsia="en-US"/>
              </w:rPr>
            </w:pPr>
          </w:p>
        </w:tc>
        <w:tc>
          <w:tcPr>
            <w:tcW w:w="88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4024F8B" w14:textId="77777777" w:rsidR="00D82E5C" w:rsidRPr="00D82E5C" w:rsidRDefault="0FCC8A84" w:rsidP="0FCC8A84">
            <w:pPr>
              <w:spacing w:line="276" w:lineRule="auto"/>
              <w:jc w:val="center"/>
              <w:rPr>
                <w:rFonts w:eastAsiaTheme="minorEastAsia"/>
                <w:b/>
                <w:bCs/>
                <w:color w:val="000000" w:themeColor="text1"/>
                <w:sz w:val="20"/>
                <w:lang w:eastAsia="en-US"/>
              </w:rPr>
            </w:pPr>
            <w:r w:rsidRPr="0FCC8A84">
              <w:rPr>
                <w:b/>
                <w:bCs/>
                <w:color w:val="000000" w:themeColor="text1"/>
                <w:sz w:val="20"/>
              </w:rPr>
              <w:t>Mrd Ft</w:t>
            </w:r>
          </w:p>
        </w:tc>
        <w:tc>
          <w:tcPr>
            <w:tcW w:w="733"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7B25340" w14:textId="77777777" w:rsidR="00D82E5C" w:rsidRPr="00D82E5C" w:rsidRDefault="0FCC8A84" w:rsidP="0FCC8A84">
            <w:pPr>
              <w:spacing w:line="276" w:lineRule="auto"/>
              <w:jc w:val="center"/>
              <w:rPr>
                <w:rFonts w:eastAsiaTheme="minorEastAsia"/>
                <w:b/>
                <w:bCs/>
                <w:color w:val="000000" w:themeColor="text1"/>
                <w:sz w:val="20"/>
                <w:lang w:eastAsia="en-US"/>
              </w:rPr>
            </w:pPr>
            <w:r w:rsidRPr="0FCC8A84">
              <w:rPr>
                <w:b/>
                <w:bCs/>
                <w:color w:val="000000" w:themeColor="text1"/>
                <w:sz w:val="20"/>
              </w:rPr>
              <w:t>%</w:t>
            </w:r>
          </w:p>
        </w:tc>
      </w:tr>
      <w:tr w:rsidR="001C3B09" w:rsidRPr="00D82E5C" w14:paraId="4918B5EB" w14:textId="77777777" w:rsidTr="0FCC8A84">
        <w:trPr>
          <w:trHeight w:val="575"/>
          <w:jc w:val="center"/>
        </w:trPr>
        <w:tc>
          <w:tcPr>
            <w:tcW w:w="44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33B3F5" w14:textId="3D9B772B" w:rsidR="001C3B09" w:rsidRPr="00D82E5C" w:rsidRDefault="0FCC8A84" w:rsidP="0FCC8A84">
            <w:pPr>
              <w:spacing w:after="0"/>
              <w:jc w:val="left"/>
              <w:rPr>
                <w:rFonts w:eastAsiaTheme="minorEastAsia"/>
                <w:b/>
                <w:bCs/>
                <w:color w:val="000000" w:themeColor="text1"/>
                <w:sz w:val="20"/>
              </w:rPr>
            </w:pPr>
            <w:r w:rsidRPr="0FCC8A84">
              <w:rPr>
                <w:rFonts w:eastAsiaTheme="minorEastAsia"/>
                <w:b/>
                <w:bCs/>
                <w:color w:val="000000" w:themeColor="text1"/>
                <w:sz w:val="20"/>
              </w:rPr>
              <w:t>A helyi önkormányzatok általános működésének és ágazati feladatainak támogatása</w:t>
            </w:r>
          </w:p>
        </w:tc>
        <w:tc>
          <w:tcPr>
            <w:tcW w:w="1124" w:type="dxa"/>
            <w:tcBorders>
              <w:top w:val="single" w:sz="8" w:space="0" w:color="auto"/>
              <w:left w:val="single" w:sz="4"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1E8B6C29" w14:textId="0256367F" w:rsidR="001C3B09" w:rsidRPr="00D82E5C" w:rsidRDefault="0FCC8A84" w:rsidP="0FCC8A84">
            <w:pPr>
              <w:jc w:val="right"/>
              <w:rPr>
                <w:b/>
                <w:bCs/>
                <w:color w:val="000000" w:themeColor="text1"/>
                <w:sz w:val="20"/>
              </w:rPr>
            </w:pPr>
            <w:r w:rsidRPr="0FCC8A84">
              <w:rPr>
                <w:b/>
                <w:bCs/>
                <w:color w:val="000000" w:themeColor="text1"/>
                <w:sz w:val="20"/>
              </w:rPr>
              <w:t>271,4</w:t>
            </w:r>
          </w:p>
        </w:tc>
        <w:tc>
          <w:tcPr>
            <w:tcW w:w="1110"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65C13689" w14:textId="6F5DC054" w:rsidR="001C3B09" w:rsidRPr="00D82E5C" w:rsidRDefault="0FCC8A84" w:rsidP="0FCC8A84">
            <w:pPr>
              <w:jc w:val="right"/>
              <w:rPr>
                <w:b/>
                <w:bCs/>
                <w:color w:val="000000" w:themeColor="text1"/>
                <w:sz w:val="20"/>
              </w:rPr>
            </w:pPr>
            <w:r w:rsidRPr="0FCC8A84">
              <w:rPr>
                <w:b/>
                <w:bCs/>
                <w:color w:val="000000" w:themeColor="text1"/>
                <w:sz w:val="20"/>
              </w:rPr>
              <w:t>329,6</w:t>
            </w:r>
          </w:p>
        </w:tc>
        <w:tc>
          <w:tcPr>
            <w:tcW w:w="888"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40561736" w14:textId="2766FEC4" w:rsidR="001C3B09" w:rsidRPr="00D82E5C" w:rsidRDefault="0FCC8A84" w:rsidP="0FCC8A84">
            <w:pPr>
              <w:jc w:val="right"/>
              <w:rPr>
                <w:b/>
                <w:bCs/>
                <w:color w:val="000000" w:themeColor="text1"/>
                <w:sz w:val="20"/>
              </w:rPr>
            </w:pPr>
            <w:r w:rsidRPr="0FCC8A84">
              <w:rPr>
                <w:b/>
                <w:bCs/>
                <w:color w:val="000000" w:themeColor="text1"/>
                <w:sz w:val="20"/>
              </w:rPr>
              <w:t>58,2</w:t>
            </w:r>
          </w:p>
        </w:tc>
        <w:tc>
          <w:tcPr>
            <w:tcW w:w="733"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41C54C9B" w14:textId="3886A2F2" w:rsidR="001C3B09" w:rsidRPr="00D82E5C" w:rsidRDefault="0FCC8A84" w:rsidP="0FCC8A84">
            <w:pPr>
              <w:jc w:val="right"/>
              <w:rPr>
                <w:b/>
                <w:bCs/>
                <w:color w:val="000000" w:themeColor="text1"/>
                <w:sz w:val="20"/>
              </w:rPr>
            </w:pPr>
            <w:r w:rsidRPr="0FCC8A84">
              <w:rPr>
                <w:b/>
                <w:bCs/>
                <w:color w:val="000000" w:themeColor="text1"/>
                <w:sz w:val="20"/>
              </w:rPr>
              <w:t>121,4</w:t>
            </w:r>
          </w:p>
        </w:tc>
      </w:tr>
      <w:tr w:rsidR="001C3B09" w:rsidRPr="00D82E5C" w14:paraId="2F56FEDB" w14:textId="77777777" w:rsidTr="0FCC8A84">
        <w:trPr>
          <w:trHeight w:val="507"/>
          <w:jc w:val="center"/>
        </w:trPr>
        <w:tc>
          <w:tcPr>
            <w:tcW w:w="44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407C984" w14:textId="72D577DD" w:rsidR="001C3B09" w:rsidRPr="00D82E5C" w:rsidRDefault="0FCC8A84" w:rsidP="0FCC8A84">
            <w:pPr>
              <w:spacing w:after="0"/>
              <w:ind w:left="284"/>
              <w:jc w:val="left"/>
              <w:rPr>
                <w:rFonts w:eastAsiaTheme="minorEastAsia"/>
                <w:i/>
                <w:iCs/>
                <w:color w:val="000000" w:themeColor="text1"/>
                <w:sz w:val="20"/>
              </w:rPr>
            </w:pPr>
            <w:r w:rsidRPr="0FCC8A84">
              <w:rPr>
                <w:rFonts w:eastAsiaTheme="minorEastAsia"/>
                <w:i/>
                <w:iCs/>
                <w:color w:val="000000" w:themeColor="text1"/>
                <w:sz w:val="20"/>
              </w:rPr>
              <w:t>A helyi önkormányzatok működésének általános támogatása</w:t>
            </w:r>
          </w:p>
        </w:tc>
        <w:tc>
          <w:tcPr>
            <w:tcW w:w="1124" w:type="dxa"/>
            <w:tcBorders>
              <w:top w:val="single" w:sz="8" w:space="0" w:color="auto"/>
              <w:left w:val="single" w:sz="4"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49CAC24A" w14:textId="6AD541D6" w:rsidR="001C3B09" w:rsidRPr="00F3470D" w:rsidRDefault="0FCC8A84" w:rsidP="0FCC8A84">
            <w:pPr>
              <w:jc w:val="right"/>
              <w:rPr>
                <w:sz w:val="20"/>
              </w:rPr>
            </w:pPr>
            <w:r w:rsidRPr="0FCC8A84">
              <w:rPr>
                <w:color w:val="000000" w:themeColor="text1"/>
                <w:sz w:val="20"/>
              </w:rPr>
              <w:t>75,6</w:t>
            </w:r>
          </w:p>
        </w:tc>
        <w:tc>
          <w:tcPr>
            <w:tcW w:w="1110"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028C7BF6" w14:textId="79AEEC3F" w:rsidR="001C3B09" w:rsidRPr="00F3470D" w:rsidRDefault="0FCC8A84" w:rsidP="0FCC8A84">
            <w:pPr>
              <w:jc w:val="right"/>
              <w:rPr>
                <w:sz w:val="20"/>
              </w:rPr>
            </w:pPr>
            <w:r w:rsidRPr="0FCC8A84">
              <w:rPr>
                <w:color w:val="000000" w:themeColor="text1"/>
                <w:sz w:val="20"/>
              </w:rPr>
              <w:t>116,0</w:t>
            </w:r>
          </w:p>
        </w:tc>
        <w:tc>
          <w:tcPr>
            <w:tcW w:w="888"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627C2F22" w14:textId="0AF22D46" w:rsidR="001C3B09" w:rsidRPr="00F3470D" w:rsidRDefault="0FCC8A84" w:rsidP="0FCC8A84">
            <w:pPr>
              <w:jc w:val="right"/>
              <w:rPr>
                <w:sz w:val="20"/>
              </w:rPr>
            </w:pPr>
            <w:r w:rsidRPr="0FCC8A84">
              <w:rPr>
                <w:color w:val="000000" w:themeColor="text1"/>
                <w:sz w:val="20"/>
              </w:rPr>
              <w:t>40,4</w:t>
            </w:r>
          </w:p>
        </w:tc>
        <w:tc>
          <w:tcPr>
            <w:tcW w:w="733"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51290FFB" w14:textId="5AE671C5" w:rsidR="001C3B09" w:rsidRPr="00F3470D" w:rsidRDefault="0FCC8A84" w:rsidP="0FCC8A84">
            <w:pPr>
              <w:jc w:val="right"/>
              <w:rPr>
                <w:sz w:val="20"/>
              </w:rPr>
            </w:pPr>
            <w:r w:rsidRPr="0FCC8A84">
              <w:rPr>
                <w:color w:val="000000" w:themeColor="text1"/>
                <w:sz w:val="20"/>
              </w:rPr>
              <w:t>153,4</w:t>
            </w:r>
          </w:p>
        </w:tc>
      </w:tr>
      <w:tr w:rsidR="001C3B09" w:rsidRPr="00D82E5C" w14:paraId="6F1B6DC5" w14:textId="77777777" w:rsidTr="0FCC8A84">
        <w:trPr>
          <w:trHeight w:val="515"/>
          <w:jc w:val="center"/>
        </w:trPr>
        <w:tc>
          <w:tcPr>
            <w:tcW w:w="44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77BD5E6" w14:textId="17D8EADD" w:rsidR="001C3B09" w:rsidRPr="00D82E5C" w:rsidRDefault="0FCC8A84" w:rsidP="0FCC8A84">
            <w:pPr>
              <w:spacing w:after="0"/>
              <w:ind w:left="284"/>
              <w:jc w:val="left"/>
              <w:rPr>
                <w:rFonts w:eastAsiaTheme="minorEastAsia"/>
                <w:i/>
                <w:iCs/>
                <w:color w:val="000000" w:themeColor="text1"/>
                <w:sz w:val="20"/>
              </w:rPr>
            </w:pPr>
            <w:r w:rsidRPr="0FCC8A84">
              <w:rPr>
                <w:rFonts w:eastAsiaTheme="minorEastAsia"/>
                <w:i/>
                <w:iCs/>
                <w:color w:val="000000" w:themeColor="text1"/>
                <w:sz w:val="20"/>
              </w:rPr>
              <w:t>A települési önkormányzatok egyes köznevelési feladatainak támogatása</w:t>
            </w:r>
          </w:p>
        </w:tc>
        <w:tc>
          <w:tcPr>
            <w:tcW w:w="1124" w:type="dxa"/>
            <w:tcBorders>
              <w:top w:val="single" w:sz="8" w:space="0" w:color="auto"/>
              <w:left w:val="single" w:sz="4"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24C9B731" w14:textId="150A6B88" w:rsidR="001C3B09" w:rsidRPr="00F3470D" w:rsidRDefault="0FCC8A84" w:rsidP="0FCC8A84">
            <w:pPr>
              <w:jc w:val="right"/>
              <w:rPr>
                <w:sz w:val="20"/>
              </w:rPr>
            </w:pPr>
            <w:r w:rsidRPr="0FCC8A84">
              <w:rPr>
                <w:color w:val="000000" w:themeColor="text1"/>
                <w:sz w:val="20"/>
              </w:rPr>
              <w:t>82,6</w:t>
            </w:r>
          </w:p>
        </w:tc>
        <w:tc>
          <w:tcPr>
            <w:tcW w:w="1110"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69859616" w14:textId="6B018F24" w:rsidR="001C3B09" w:rsidRPr="00F3470D" w:rsidRDefault="0FCC8A84" w:rsidP="0FCC8A84">
            <w:pPr>
              <w:jc w:val="right"/>
              <w:rPr>
                <w:sz w:val="20"/>
              </w:rPr>
            </w:pPr>
            <w:r w:rsidRPr="0FCC8A84">
              <w:rPr>
                <w:color w:val="000000" w:themeColor="text1"/>
                <w:sz w:val="20"/>
              </w:rPr>
              <w:t>90,5</w:t>
            </w:r>
          </w:p>
        </w:tc>
        <w:tc>
          <w:tcPr>
            <w:tcW w:w="888"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44DBA82D" w14:textId="058E0AFB" w:rsidR="001C3B09" w:rsidRPr="00F3470D" w:rsidRDefault="0FCC8A84" w:rsidP="0FCC8A84">
            <w:pPr>
              <w:jc w:val="right"/>
              <w:rPr>
                <w:sz w:val="20"/>
              </w:rPr>
            </w:pPr>
            <w:r w:rsidRPr="0FCC8A84">
              <w:rPr>
                <w:color w:val="000000" w:themeColor="text1"/>
                <w:sz w:val="20"/>
              </w:rPr>
              <w:t>7,9</w:t>
            </w:r>
          </w:p>
        </w:tc>
        <w:tc>
          <w:tcPr>
            <w:tcW w:w="733"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39CFAC8D" w14:textId="257420B7" w:rsidR="001C3B09" w:rsidRPr="00F3470D" w:rsidRDefault="0FCC8A84" w:rsidP="0FCC8A84">
            <w:pPr>
              <w:jc w:val="right"/>
              <w:rPr>
                <w:sz w:val="20"/>
              </w:rPr>
            </w:pPr>
            <w:r w:rsidRPr="0FCC8A84">
              <w:rPr>
                <w:color w:val="000000" w:themeColor="text1"/>
                <w:sz w:val="20"/>
              </w:rPr>
              <w:t>109,6</w:t>
            </w:r>
          </w:p>
        </w:tc>
      </w:tr>
      <w:tr w:rsidR="001C3B09" w:rsidRPr="00D82E5C" w14:paraId="60C34464" w14:textId="77777777" w:rsidTr="0FCC8A84">
        <w:trPr>
          <w:trHeight w:val="821"/>
          <w:jc w:val="center"/>
        </w:trPr>
        <w:tc>
          <w:tcPr>
            <w:tcW w:w="44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4F0286" w14:textId="42B22336" w:rsidR="001C3B09" w:rsidRPr="00D82E5C" w:rsidRDefault="0FCC8A84" w:rsidP="0FCC8A84">
            <w:pPr>
              <w:spacing w:after="0"/>
              <w:ind w:left="284"/>
              <w:jc w:val="left"/>
              <w:rPr>
                <w:rFonts w:eastAsiaTheme="minorEastAsia"/>
                <w:i/>
                <w:iCs/>
                <w:color w:val="000000" w:themeColor="text1"/>
                <w:sz w:val="20"/>
              </w:rPr>
            </w:pPr>
            <w:r w:rsidRPr="0FCC8A84">
              <w:rPr>
                <w:rFonts w:eastAsiaTheme="minorEastAsia"/>
                <w:i/>
                <w:iCs/>
                <w:color w:val="000000" w:themeColor="text1"/>
                <w:sz w:val="20"/>
              </w:rPr>
              <w:t>A települési önkormányzatok egyes szociális, gyermekjóléti és gyermekétkeztetési feladatainak támogatása</w:t>
            </w:r>
          </w:p>
        </w:tc>
        <w:tc>
          <w:tcPr>
            <w:tcW w:w="1124" w:type="dxa"/>
            <w:tcBorders>
              <w:top w:val="single" w:sz="8" w:space="0" w:color="auto"/>
              <w:left w:val="single" w:sz="4"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14208E26" w14:textId="718AC768" w:rsidR="001C3B09" w:rsidRPr="00F3470D" w:rsidRDefault="0FCC8A84" w:rsidP="0FCC8A84">
            <w:pPr>
              <w:jc w:val="right"/>
              <w:rPr>
                <w:sz w:val="20"/>
              </w:rPr>
            </w:pPr>
            <w:r w:rsidRPr="0FCC8A84">
              <w:rPr>
                <w:color w:val="000000" w:themeColor="text1"/>
                <w:sz w:val="20"/>
              </w:rPr>
              <w:t>106,7</w:t>
            </w:r>
          </w:p>
        </w:tc>
        <w:tc>
          <w:tcPr>
            <w:tcW w:w="1110"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3FF9F583" w14:textId="43639A06" w:rsidR="001C3B09" w:rsidRPr="00F3470D" w:rsidRDefault="0FCC8A84" w:rsidP="0FCC8A84">
            <w:pPr>
              <w:jc w:val="right"/>
              <w:rPr>
                <w:sz w:val="20"/>
              </w:rPr>
            </w:pPr>
            <w:r w:rsidRPr="0FCC8A84">
              <w:rPr>
                <w:color w:val="000000" w:themeColor="text1"/>
                <w:sz w:val="20"/>
              </w:rPr>
              <w:t>113,3</w:t>
            </w:r>
          </w:p>
        </w:tc>
        <w:tc>
          <w:tcPr>
            <w:tcW w:w="888"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734C74C9" w14:textId="4F9AD0B2" w:rsidR="001C3B09" w:rsidRPr="00F3470D" w:rsidRDefault="0FCC8A84" w:rsidP="0FCC8A84">
            <w:pPr>
              <w:jc w:val="right"/>
              <w:rPr>
                <w:sz w:val="20"/>
              </w:rPr>
            </w:pPr>
            <w:r w:rsidRPr="0FCC8A84">
              <w:rPr>
                <w:color w:val="000000" w:themeColor="text1"/>
                <w:sz w:val="20"/>
              </w:rPr>
              <w:t>6,</w:t>
            </w:r>
            <w:proofErr w:type="spellStart"/>
            <w:r w:rsidRPr="0FCC8A84">
              <w:rPr>
                <w:color w:val="000000" w:themeColor="text1"/>
                <w:sz w:val="20"/>
              </w:rPr>
              <w:t>6</w:t>
            </w:r>
            <w:proofErr w:type="spellEnd"/>
          </w:p>
        </w:tc>
        <w:tc>
          <w:tcPr>
            <w:tcW w:w="733"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572926D3" w14:textId="55F83C71" w:rsidR="001C3B09" w:rsidRPr="00F3470D" w:rsidRDefault="0FCC8A84" w:rsidP="0FCC8A84">
            <w:pPr>
              <w:jc w:val="right"/>
              <w:rPr>
                <w:sz w:val="20"/>
              </w:rPr>
            </w:pPr>
            <w:r w:rsidRPr="0FCC8A84">
              <w:rPr>
                <w:color w:val="000000" w:themeColor="text1"/>
                <w:sz w:val="20"/>
              </w:rPr>
              <w:t>106,2</w:t>
            </w:r>
          </w:p>
        </w:tc>
      </w:tr>
      <w:tr w:rsidR="001C3B09" w:rsidRPr="00D82E5C" w14:paraId="595F2618" w14:textId="77777777" w:rsidTr="0FCC8A84">
        <w:trPr>
          <w:trHeight w:val="549"/>
          <w:jc w:val="center"/>
        </w:trPr>
        <w:tc>
          <w:tcPr>
            <w:tcW w:w="44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E23A511" w14:textId="3DB255AC" w:rsidR="001C3B09" w:rsidRPr="00D82E5C" w:rsidRDefault="0FCC8A84" w:rsidP="0FCC8A84">
            <w:pPr>
              <w:spacing w:after="0"/>
              <w:ind w:left="284"/>
              <w:jc w:val="left"/>
              <w:rPr>
                <w:rFonts w:eastAsiaTheme="minorEastAsia"/>
                <w:i/>
                <w:iCs/>
                <w:color w:val="000000" w:themeColor="text1"/>
                <w:sz w:val="20"/>
              </w:rPr>
            </w:pPr>
            <w:r w:rsidRPr="0FCC8A84">
              <w:rPr>
                <w:rFonts w:eastAsiaTheme="minorEastAsia"/>
                <w:i/>
                <w:iCs/>
                <w:color w:val="000000" w:themeColor="text1"/>
                <w:sz w:val="20"/>
              </w:rPr>
              <w:t>A települési önkormányzatok kulturális feladatainak támogatása</w:t>
            </w:r>
          </w:p>
        </w:tc>
        <w:tc>
          <w:tcPr>
            <w:tcW w:w="1124" w:type="dxa"/>
            <w:tcBorders>
              <w:top w:val="single" w:sz="8" w:space="0" w:color="auto"/>
              <w:left w:val="single" w:sz="4"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788056DD" w14:textId="6CD79E70" w:rsidR="001C3B09" w:rsidRPr="00F3470D" w:rsidRDefault="0FCC8A84" w:rsidP="0FCC8A84">
            <w:pPr>
              <w:jc w:val="right"/>
              <w:rPr>
                <w:sz w:val="20"/>
              </w:rPr>
            </w:pPr>
            <w:r w:rsidRPr="0FCC8A84">
              <w:rPr>
                <w:color w:val="000000" w:themeColor="text1"/>
                <w:sz w:val="20"/>
              </w:rPr>
              <w:t>6,5</w:t>
            </w:r>
          </w:p>
        </w:tc>
        <w:tc>
          <w:tcPr>
            <w:tcW w:w="1110"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6E914662" w14:textId="6770D4D9" w:rsidR="001C3B09" w:rsidRPr="00F3470D" w:rsidRDefault="0FCC8A84" w:rsidP="0FCC8A84">
            <w:pPr>
              <w:jc w:val="right"/>
              <w:rPr>
                <w:sz w:val="20"/>
              </w:rPr>
            </w:pPr>
            <w:r w:rsidRPr="0FCC8A84">
              <w:rPr>
                <w:color w:val="000000" w:themeColor="text1"/>
                <w:sz w:val="20"/>
              </w:rPr>
              <w:t>9,8</w:t>
            </w:r>
          </w:p>
        </w:tc>
        <w:tc>
          <w:tcPr>
            <w:tcW w:w="888"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5645FF3B" w14:textId="67B5C663" w:rsidR="001C3B09" w:rsidRPr="00F3470D" w:rsidRDefault="0FCC8A84" w:rsidP="0FCC8A84">
            <w:pPr>
              <w:jc w:val="right"/>
              <w:rPr>
                <w:sz w:val="20"/>
              </w:rPr>
            </w:pPr>
            <w:r w:rsidRPr="0FCC8A84">
              <w:rPr>
                <w:color w:val="000000" w:themeColor="text1"/>
                <w:sz w:val="20"/>
              </w:rPr>
              <w:t>3,</w:t>
            </w:r>
            <w:proofErr w:type="spellStart"/>
            <w:r w:rsidRPr="0FCC8A84">
              <w:rPr>
                <w:color w:val="000000" w:themeColor="text1"/>
                <w:sz w:val="20"/>
              </w:rPr>
              <w:t>3</w:t>
            </w:r>
            <w:proofErr w:type="spellEnd"/>
          </w:p>
        </w:tc>
        <w:tc>
          <w:tcPr>
            <w:tcW w:w="733"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565D6E59" w14:textId="6C56EB48" w:rsidR="001C3B09" w:rsidRPr="00F3470D" w:rsidRDefault="0FCC8A84" w:rsidP="0FCC8A84">
            <w:pPr>
              <w:jc w:val="right"/>
              <w:rPr>
                <w:sz w:val="20"/>
              </w:rPr>
            </w:pPr>
            <w:r w:rsidRPr="0FCC8A84">
              <w:rPr>
                <w:color w:val="000000" w:themeColor="text1"/>
                <w:sz w:val="20"/>
              </w:rPr>
              <w:t>150,8</w:t>
            </w:r>
          </w:p>
        </w:tc>
      </w:tr>
      <w:tr w:rsidR="001C3B09" w:rsidRPr="00D82E5C" w14:paraId="1EEE8222" w14:textId="77777777" w:rsidTr="0FCC8A84">
        <w:trPr>
          <w:trHeight w:val="289"/>
          <w:jc w:val="center"/>
        </w:trPr>
        <w:tc>
          <w:tcPr>
            <w:tcW w:w="44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4557C9" w14:textId="2F9DC39A" w:rsidR="001C3B09" w:rsidRPr="00D82E5C" w:rsidRDefault="0FCC8A84" w:rsidP="0FCC8A84">
            <w:pPr>
              <w:spacing w:after="0"/>
              <w:jc w:val="left"/>
              <w:rPr>
                <w:rFonts w:eastAsiaTheme="minorEastAsia"/>
                <w:b/>
                <w:bCs/>
                <w:color w:val="000000" w:themeColor="text1"/>
                <w:sz w:val="20"/>
              </w:rPr>
            </w:pPr>
            <w:r w:rsidRPr="0FCC8A84">
              <w:rPr>
                <w:rFonts w:eastAsiaTheme="minorEastAsia"/>
                <w:b/>
                <w:bCs/>
                <w:color w:val="000000" w:themeColor="text1"/>
                <w:sz w:val="20"/>
              </w:rPr>
              <w:t>Helyi önkormányzatok kiegészítő támogatása</w:t>
            </w:r>
          </w:p>
        </w:tc>
        <w:tc>
          <w:tcPr>
            <w:tcW w:w="1124" w:type="dxa"/>
            <w:tcBorders>
              <w:top w:val="single" w:sz="8" w:space="0" w:color="auto"/>
              <w:left w:val="single" w:sz="4"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29459788" w14:textId="06B5B702" w:rsidR="001C3B09" w:rsidRPr="00D82E5C" w:rsidRDefault="0FCC8A84" w:rsidP="0FCC8A84">
            <w:pPr>
              <w:jc w:val="right"/>
              <w:rPr>
                <w:b/>
                <w:bCs/>
                <w:color w:val="000000" w:themeColor="text1"/>
                <w:sz w:val="20"/>
              </w:rPr>
            </w:pPr>
            <w:r w:rsidRPr="0FCC8A84">
              <w:rPr>
                <w:b/>
                <w:bCs/>
                <w:color w:val="000000" w:themeColor="text1"/>
                <w:sz w:val="20"/>
              </w:rPr>
              <w:t>20,9</w:t>
            </w:r>
          </w:p>
        </w:tc>
        <w:tc>
          <w:tcPr>
            <w:tcW w:w="1110"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6DD30A41" w14:textId="50F47E50" w:rsidR="001C3B09" w:rsidRPr="00D82E5C" w:rsidRDefault="0FCC8A84" w:rsidP="0FCC8A84">
            <w:pPr>
              <w:jc w:val="right"/>
              <w:rPr>
                <w:b/>
                <w:bCs/>
                <w:color w:val="000000" w:themeColor="text1"/>
                <w:sz w:val="20"/>
              </w:rPr>
            </w:pPr>
            <w:r w:rsidRPr="0FCC8A84">
              <w:rPr>
                <w:b/>
                <w:bCs/>
                <w:color w:val="000000" w:themeColor="text1"/>
                <w:sz w:val="20"/>
              </w:rPr>
              <w:t>26,3</w:t>
            </w:r>
          </w:p>
        </w:tc>
        <w:tc>
          <w:tcPr>
            <w:tcW w:w="888"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543D5540" w14:textId="3934D637" w:rsidR="001C3B09" w:rsidRPr="00D82E5C" w:rsidRDefault="0FCC8A84" w:rsidP="0FCC8A84">
            <w:pPr>
              <w:jc w:val="right"/>
              <w:rPr>
                <w:b/>
                <w:bCs/>
                <w:color w:val="000000" w:themeColor="text1"/>
                <w:sz w:val="20"/>
              </w:rPr>
            </w:pPr>
            <w:r w:rsidRPr="0FCC8A84">
              <w:rPr>
                <w:b/>
                <w:bCs/>
                <w:color w:val="000000" w:themeColor="text1"/>
                <w:sz w:val="20"/>
              </w:rPr>
              <w:t>5,4</w:t>
            </w:r>
          </w:p>
        </w:tc>
        <w:tc>
          <w:tcPr>
            <w:tcW w:w="733"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4FFC58FB" w14:textId="29664EB7" w:rsidR="001C3B09" w:rsidRPr="00D82E5C" w:rsidRDefault="0FCC8A84" w:rsidP="0FCC8A84">
            <w:pPr>
              <w:jc w:val="right"/>
              <w:rPr>
                <w:b/>
                <w:bCs/>
                <w:color w:val="000000" w:themeColor="text1"/>
                <w:sz w:val="20"/>
              </w:rPr>
            </w:pPr>
            <w:r w:rsidRPr="0FCC8A84">
              <w:rPr>
                <w:b/>
                <w:bCs/>
                <w:color w:val="000000" w:themeColor="text1"/>
                <w:sz w:val="20"/>
              </w:rPr>
              <w:t>125,8</w:t>
            </w:r>
          </w:p>
        </w:tc>
      </w:tr>
      <w:tr w:rsidR="001C3B09" w:rsidRPr="00D82E5C" w14:paraId="6960911B" w14:textId="77777777" w:rsidTr="0FCC8A84">
        <w:trPr>
          <w:trHeight w:val="270"/>
          <w:jc w:val="center"/>
        </w:trPr>
        <w:tc>
          <w:tcPr>
            <w:tcW w:w="44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0309E0" w14:textId="30A1286B" w:rsidR="001C3B09" w:rsidRPr="00D82E5C" w:rsidRDefault="0FCC8A84" w:rsidP="0FCC8A84">
            <w:pPr>
              <w:spacing w:after="0"/>
              <w:jc w:val="left"/>
              <w:rPr>
                <w:rFonts w:eastAsiaTheme="minorEastAsia"/>
                <w:b/>
                <w:bCs/>
                <w:color w:val="000000" w:themeColor="text1"/>
                <w:sz w:val="20"/>
              </w:rPr>
            </w:pPr>
            <w:r w:rsidRPr="0FCC8A84">
              <w:rPr>
                <w:rFonts w:eastAsiaTheme="minorEastAsia"/>
                <w:b/>
                <w:bCs/>
                <w:color w:val="000000" w:themeColor="text1"/>
                <w:sz w:val="20"/>
              </w:rPr>
              <w:t>Év közben létrejött új jogcímek kiadásai</w:t>
            </w:r>
          </w:p>
        </w:tc>
        <w:tc>
          <w:tcPr>
            <w:tcW w:w="1124" w:type="dxa"/>
            <w:tcBorders>
              <w:top w:val="single" w:sz="8" w:space="0" w:color="auto"/>
              <w:left w:val="single" w:sz="4"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729EA0B3" w14:textId="28E062D3" w:rsidR="001C3B09" w:rsidRPr="00D82E5C" w:rsidRDefault="0FCC8A84" w:rsidP="0FCC8A84">
            <w:pPr>
              <w:jc w:val="right"/>
              <w:rPr>
                <w:b/>
                <w:bCs/>
                <w:color w:val="000000" w:themeColor="text1"/>
                <w:sz w:val="20"/>
              </w:rPr>
            </w:pPr>
            <w:r w:rsidRPr="0FCC8A84">
              <w:rPr>
                <w:b/>
                <w:bCs/>
                <w:color w:val="000000" w:themeColor="text1"/>
                <w:sz w:val="20"/>
              </w:rPr>
              <w:t>7,4</w:t>
            </w:r>
          </w:p>
        </w:tc>
        <w:tc>
          <w:tcPr>
            <w:tcW w:w="1110"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4A87FA6C" w14:textId="6E908C21" w:rsidR="001C3B09" w:rsidRPr="00D82E5C" w:rsidRDefault="0FCC8A84" w:rsidP="0FCC8A84">
            <w:pPr>
              <w:jc w:val="right"/>
              <w:rPr>
                <w:b/>
                <w:bCs/>
                <w:color w:val="000000" w:themeColor="text1"/>
                <w:sz w:val="20"/>
              </w:rPr>
            </w:pPr>
            <w:r w:rsidRPr="0FCC8A84">
              <w:rPr>
                <w:b/>
                <w:bCs/>
                <w:color w:val="000000" w:themeColor="text1"/>
                <w:sz w:val="20"/>
              </w:rPr>
              <w:t>5,9</w:t>
            </w:r>
          </w:p>
        </w:tc>
        <w:tc>
          <w:tcPr>
            <w:tcW w:w="888"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5D9EE3C3" w14:textId="1408EEDE" w:rsidR="001C3B09" w:rsidRPr="00D82E5C" w:rsidRDefault="0FCC8A84" w:rsidP="0FCC8A84">
            <w:pPr>
              <w:jc w:val="right"/>
              <w:rPr>
                <w:b/>
                <w:bCs/>
                <w:color w:val="000000" w:themeColor="text1"/>
                <w:sz w:val="20"/>
              </w:rPr>
            </w:pPr>
            <w:r w:rsidRPr="0FCC8A84">
              <w:rPr>
                <w:b/>
                <w:bCs/>
                <w:color w:val="000000" w:themeColor="text1"/>
                <w:sz w:val="20"/>
              </w:rPr>
              <w:t>-1,5</w:t>
            </w:r>
          </w:p>
        </w:tc>
        <w:tc>
          <w:tcPr>
            <w:tcW w:w="733"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3394AA93" w14:textId="30FD426E" w:rsidR="001C3B09" w:rsidRPr="00D82E5C" w:rsidRDefault="0FCC8A84" w:rsidP="0FCC8A84">
            <w:pPr>
              <w:jc w:val="right"/>
              <w:rPr>
                <w:b/>
                <w:bCs/>
                <w:color w:val="000000" w:themeColor="text1"/>
                <w:sz w:val="20"/>
              </w:rPr>
            </w:pPr>
            <w:r w:rsidRPr="0FCC8A84">
              <w:rPr>
                <w:b/>
                <w:bCs/>
                <w:color w:val="000000" w:themeColor="text1"/>
                <w:sz w:val="20"/>
              </w:rPr>
              <w:t>79,7</w:t>
            </w:r>
          </w:p>
        </w:tc>
      </w:tr>
      <w:tr w:rsidR="001C3B09" w:rsidRPr="00D82E5C" w14:paraId="587DB3EC" w14:textId="77777777" w:rsidTr="0FCC8A84">
        <w:trPr>
          <w:trHeight w:val="333"/>
          <w:jc w:val="center"/>
        </w:trPr>
        <w:tc>
          <w:tcPr>
            <w:tcW w:w="44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ABB27E" w14:textId="4DEB3310" w:rsidR="001C3B09" w:rsidRPr="00D82E5C" w:rsidRDefault="0FCC8A84" w:rsidP="0FCC8A84">
            <w:pPr>
              <w:spacing w:after="0"/>
              <w:jc w:val="left"/>
              <w:rPr>
                <w:rFonts w:eastAsiaTheme="minorEastAsia"/>
                <w:b/>
                <w:bCs/>
                <w:color w:val="000000" w:themeColor="text1"/>
                <w:sz w:val="20"/>
              </w:rPr>
            </w:pPr>
            <w:r w:rsidRPr="0FCC8A84">
              <w:rPr>
                <w:rFonts w:eastAsiaTheme="minorEastAsia"/>
                <w:b/>
                <w:bCs/>
                <w:color w:val="000000" w:themeColor="text1"/>
                <w:sz w:val="20"/>
              </w:rPr>
              <w:t>Összesen</w:t>
            </w:r>
          </w:p>
        </w:tc>
        <w:tc>
          <w:tcPr>
            <w:tcW w:w="1124" w:type="dxa"/>
            <w:tcBorders>
              <w:top w:val="single" w:sz="8" w:space="0" w:color="auto"/>
              <w:left w:val="single" w:sz="4"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2DEB6504" w14:textId="7B77BA80" w:rsidR="001C3B09" w:rsidRPr="00D82E5C" w:rsidRDefault="0FCC8A84" w:rsidP="0FCC8A84">
            <w:pPr>
              <w:jc w:val="right"/>
              <w:rPr>
                <w:b/>
                <w:bCs/>
                <w:color w:val="000000" w:themeColor="text1"/>
                <w:sz w:val="20"/>
              </w:rPr>
            </w:pPr>
            <w:r w:rsidRPr="0FCC8A84">
              <w:rPr>
                <w:b/>
                <w:bCs/>
                <w:color w:val="000000" w:themeColor="text1"/>
                <w:sz w:val="20"/>
              </w:rPr>
              <w:t>299,7</w:t>
            </w:r>
          </w:p>
        </w:tc>
        <w:tc>
          <w:tcPr>
            <w:tcW w:w="1110"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3A8F0ABE" w14:textId="5467B485" w:rsidR="001C3B09" w:rsidRPr="00D82E5C" w:rsidRDefault="0FCC8A84" w:rsidP="0FCC8A84">
            <w:pPr>
              <w:jc w:val="right"/>
              <w:rPr>
                <w:b/>
                <w:bCs/>
                <w:color w:val="000000" w:themeColor="text1"/>
                <w:sz w:val="20"/>
              </w:rPr>
            </w:pPr>
            <w:r w:rsidRPr="0FCC8A84">
              <w:rPr>
                <w:b/>
                <w:bCs/>
                <w:color w:val="000000" w:themeColor="text1"/>
                <w:sz w:val="20"/>
              </w:rPr>
              <w:t>361,8</w:t>
            </w:r>
          </w:p>
        </w:tc>
        <w:tc>
          <w:tcPr>
            <w:tcW w:w="888"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1C9BEF05" w14:textId="781DC81E" w:rsidR="001C3B09" w:rsidRPr="00D82E5C" w:rsidRDefault="0FCC8A84" w:rsidP="0FCC8A84">
            <w:pPr>
              <w:jc w:val="right"/>
              <w:rPr>
                <w:b/>
                <w:bCs/>
                <w:color w:val="000000" w:themeColor="text1"/>
                <w:sz w:val="20"/>
              </w:rPr>
            </w:pPr>
            <w:r w:rsidRPr="0FCC8A84">
              <w:rPr>
                <w:b/>
                <w:bCs/>
                <w:color w:val="000000" w:themeColor="text1"/>
                <w:sz w:val="20"/>
              </w:rPr>
              <w:t>62,1</w:t>
            </w:r>
          </w:p>
        </w:tc>
        <w:tc>
          <w:tcPr>
            <w:tcW w:w="733"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252D5E0C" w14:textId="0D69C0F5" w:rsidR="001C3B09" w:rsidRPr="00D82E5C" w:rsidRDefault="0FCC8A84" w:rsidP="0FCC8A84">
            <w:pPr>
              <w:jc w:val="right"/>
              <w:rPr>
                <w:b/>
                <w:bCs/>
                <w:color w:val="000000" w:themeColor="text1"/>
                <w:sz w:val="20"/>
              </w:rPr>
            </w:pPr>
            <w:r w:rsidRPr="0FCC8A84">
              <w:rPr>
                <w:b/>
                <w:bCs/>
                <w:color w:val="000000" w:themeColor="text1"/>
                <w:sz w:val="20"/>
              </w:rPr>
              <w:t>120,7</w:t>
            </w:r>
          </w:p>
        </w:tc>
      </w:tr>
    </w:tbl>
    <w:p w14:paraId="648D49E2" w14:textId="77777777" w:rsidR="00A567A5" w:rsidRDefault="00A567A5" w:rsidP="51CD5D50">
      <w:pPr>
        <w:spacing w:before="240"/>
        <w:rPr>
          <w:sz w:val="24"/>
          <w:szCs w:val="24"/>
        </w:rPr>
      </w:pPr>
    </w:p>
    <w:p w14:paraId="18DA3640" w14:textId="5C9AA326" w:rsidR="1788F76D" w:rsidRDefault="1788F76D" w:rsidP="1788F76D">
      <w:r w:rsidRPr="1788F76D">
        <w:rPr>
          <w:szCs w:val="26"/>
        </w:rPr>
        <w:t>Az „</w:t>
      </w:r>
      <w:r w:rsidRPr="1788F76D">
        <w:rPr>
          <w:b/>
          <w:bCs/>
          <w:szCs w:val="26"/>
        </w:rPr>
        <w:t>Uniós programok kiadásai”</w:t>
      </w:r>
      <w:r w:rsidRPr="1788F76D">
        <w:rPr>
          <w:i/>
          <w:iCs/>
          <w:szCs w:val="26"/>
        </w:rPr>
        <w:t xml:space="preserve"> </w:t>
      </w:r>
      <w:r w:rsidRPr="1788F76D">
        <w:rPr>
          <w:szCs w:val="26"/>
        </w:rPr>
        <w:t>mérlegsoron 2021. május végéig 837,6</w:t>
      </w:r>
      <w:r w:rsidR="007856CC">
        <w:rPr>
          <w:szCs w:val="26"/>
        </w:rPr>
        <w:t> </w:t>
      </w:r>
      <w:r w:rsidRPr="1788F76D">
        <w:rPr>
          <w:szCs w:val="26"/>
        </w:rPr>
        <w:t xml:space="preserve">milliárd forint összegű kifizetés történt, amely az éves </w:t>
      </w:r>
      <w:r w:rsidR="007856CC">
        <w:rPr>
          <w:szCs w:val="26"/>
        </w:rPr>
        <w:t>eredeti törvényi e</w:t>
      </w:r>
      <w:r w:rsidRPr="1788F76D">
        <w:rPr>
          <w:szCs w:val="26"/>
        </w:rPr>
        <w:t>lőirányzat (1600,9</w:t>
      </w:r>
      <w:r w:rsidR="00620119">
        <w:rPr>
          <w:szCs w:val="26"/>
        </w:rPr>
        <w:t> </w:t>
      </w:r>
      <w:r w:rsidRPr="1788F76D">
        <w:rPr>
          <w:szCs w:val="26"/>
        </w:rPr>
        <w:t>milliárd forint) 52,3%-os teljesítését jelenti. A felmerült kiadások túlnyomó részét a 2014-2020-as programozási időszak kohéziós operatív programjai adták, összesen 700,4</w:t>
      </w:r>
      <w:r w:rsidR="00620119">
        <w:rPr>
          <w:szCs w:val="26"/>
        </w:rPr>
        <w:t> </w:t>
      </w:r>
      <w:r w:rsidRPr="1788F76D">
        <w:rPr>
          <w:szCs w:val="26"/>
        </w:rPr>
        <w:t>milliárd forint</w:t>
      </w:r>
      <w:r w:rsidR="00620119">
        <w:rPr>
          <w:szCs w:val="26"/>
        </w:rPr>
        <w:t>os</w:t>
      </w:r>
      <w:r w:rsidRPr="1788F76D">
        <w:rPr>
          <w:szCs w:val="26"/>
        </w:rPr>
        <w:t xml:space="preserve"> értékben. </w:t>
      </w:r>
      <w:r w:rsidR="00620119">
        <w:rPr>
          <w:szCs w:val="26"/>
        </w:rPr>
        <w:t>Ebből m</w:t>
      </w:r>
      <w:r w:rsidRPr="1788F76D">
        <w:rPr>
          <w:szCs w:val="26"/>
        </w:rPr>
        <w:t>ájus végéig a legjobban teljesítő operatív programok: a Gazdaságfejlesztés és Innovációs Operatív Program 282,8</w:t>
      </w:r>
      <w:r w:rsidR="00F65B2F">
        <w:rPr>
          <w:szCs w:val="26"/>
        </w:rPr>
        <w:t> </w:t>
      </w:r>
      <w:r w:rsidRPr="1788F76D">
        <w:rPr>
          <w:szCs w:val="26"/>
        </w:rPr>
        <w:t>milliárd forint, az Integrált Közlekedésfejlesztési Operatív Program 152,7</w:t>
      </w:r>
      <w:r w:rsidR="00F65B2F">
        <w:rPr>
          <w:szCs w:val="26"/>
        </w:rPr>
        <w:t> </w:t>
      </w:r>
      <w:r w:rsidRPr="1788F76D">
        <w:rPr>
          <w:szCs w:val="26"/>
        </w:rPr>
        <w:t>milliárd forint, valamint a Terület- és Településfejlesztési Operatív Program 116,9</w:t>
      </w:r>
      <w:r w:rsidR="00F65B2F">
        <w:rPr>
          <w:szCs w:val="26"/>
        </w:rPr>
        <w:t> </w:t>
      </w:r>
      <w:r w:rsidRPr="1788F76D">
        <w:rPr>
          <w:szCs w:val="26"/>
        </w:rPr>
        <w:t>milliárd forint kifizetéssel.</w:t>
      </w:r>
    </w:p>
    <w:p w14:paraId="70B9CD3B" w14:textId="0905F2A9" w:rsidR="7A495620" w:rsidRDefault="78955726" w:rsidP="78955726">
      <w:pPr>
        <w:rPr>
          <w:szCs w:val="26"/>
        </w:rPr>
      </w:pPr>
      <w:r>
        <w:t xml:space="preserve">Az </w:t>
      </w:r>
      <w:r w:rsidRPr="78955726">
        <w:rPr>
          <w:b/>
          <w:bCs/>
        </w:rPr>
        <w:t>állami vagyonnal kapcsolatos kiadások</w:t>
      </w:r>
      <w:r>
        <w:t xml:space="preserve"> </w:t>
      </w:r>
      <w:r w:rsidRPr="78955726">
        <w:rPr>
          <w:szCs w:val="26"/>
        </w:rPr>
        <w:t>május végi összege 270,9 milliárd forint volt, ennek fő tételei a Kiemelt Kormányzati Magasépítési Beruházásokkal összefüggő 79,8</w:t>
      </w:r>
      <w:r w:rsidR="00A94993">
        <w:rPr>
          <w:szCs w:val="26"/>
        </w:rPr>
        <w:t> </w:t>
      </w:r>
      <w:r w:rsidRPr="78955726">
        <w:rPr>
          <w:szCs w:val="26"/>
        </w:rPr>
        <w:t>milliárd forintos, a Liget Budapest projekttel összefüggő 61,2</w:t>
      </w:r>
      <w:r w:rsidR="00A94993">
        <w:rPr>
          <w:szCs w:val="26"/>
        </w:rPr>
        <w:t> </w:t>
      </w:r>
      <w:r w:rsidRPr="78955726">
        <w:rPr>
          <w:szCs w:val="26"/>
        </w:rPr>
        <w:t xml:space="preserve">milliárd forintos és a Paks II. Atomerőmű </w:t>
      </w:r>
      <w:proofErr w:type="spellStart"/>
      <w:r w:rsidRPr="78955726">
        <w:rPr>
          <w:szCs w:val="26"/>
        </w:rPr>
        <w:t>Zrt</w:t>
      </w:r>
      <w:proofErr w:type="spellEnd"/>
      <w:r w:rsidRPr="78955726">
        <w:rPr>
          <w:szCs w:val="26"/>
        </w:rPr>
        <w:t>. tőkeemelésével kapcsolatos 44,6</w:t>
      </w:r>
      <w:r w:rsidR="00A94993">
        <w:rPr>
          <w:szCs w:val="26"/>
        </w:rPr>
        <w:t> </w:t>
      </w:r>
      <w:r w:rsidRPr="78955726">
        <w:rPr>
          <w:szCs w:val="26"/>
        </w:rPr>
        <w:t>milliárd forintos kiadás. Összetételüket az alábbi diagram mutatja be:</w:t>
      </w:r>
    </w:p>
    <w:p w14:paraId="52DDBE1C" w14:textId="25E81841" w:rsidR="28C51222" w:rsidRDefault="0012535B" w:rsidP="28C51222">
      <w:r>
        <w:rPr>
          <w:noProof/>
        </w:rPr>
        <w:lastRenderedPageBreak/>
        <w:drawing>
          <wp:inline distT="0" distB="0" distL="0" distR="0" wp14:anchorId="53F73BE5" wp14:editId="661D913C">
            <wp:extent cx="5940425" cy="3733800"/>
            <wp:effectExtent l="0" t="0" r="3175"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agyon_kiadások.png"/>
                    <pic:cNvPicPr/>
                  </pic:nvPicPr>
                  <pic:blipFill>
                    <a:blip r:embed="rId18">
                      <a:extLst>
                        <a:ext uri="{28A0092B-C50C-407E-A947-70E740481C1C}">
                          <a14:useLocalDpi xmlns:a14="http://schemas.microsoft.com/office/drawing/2010/main" val="0"/>
                        </a:ext>
                      </a:extLst>
                    </a:blip>
                    <a:stretch>
                      <a:fillRect/>
                    </a:stretch>
                  </pic:blipFill>
                  <pic:spPr>
                    <a:xfrm>
                      <a:off x="0" y="0"/>
                      <a:ext cx="5940425" cy="3733800"/>
                    </a:xfrm>
                    <a:prstGeom prst="rect">
                      <a:avLst/>
                    </a:prstGeom>
                  </pic:spPr>
                </pic:pic>
              </a:graphicData>
            </a:graphic>
          </wp:inline>
        </w:drawing>
      </w:r>
    </w:p>
    <w:p w14:paraId="1759A7EE" w14:textId="77777777" w:rsidR="0012535B" w:rsidRDefault="0012535B" w:rsidP="28C51222"/>
    <w:p w14:paraId="33A8CA25" w14:textId="12096E08" w:rsidR="1788F76D" w:rsidRDefault="1788F76D" w:rsidP="1788F76D">
      <w:r w:rsidRPr="1788F76D">
        <w:rPr>
          <w:szCs w:val="26"/>
        </w:rPr>
        <w:t>A „</w:t>
      </w:r>
      <w:r w:rsidRPr="1788F76D">
        <w:rPr>
          <w:b/>
          <w:bCs/>
          <w:szCs w:val="26"/>
        </w:rPr>
        <w:t>Hozzájárulás az EU költségvetéséhez</w:t>
      </w:r>
      <w:r w:rsidRPr="1788F76D">
        <w:rPr>
          <w:szCs w:val="26"/>
        </w:rPr>
        <w:t>” mérlegsoron 2021. május végéig 244,4</w:t>
      </w:r>
      <w:r w:rsidR="00DF423A">
        <w:rPr>
          <w:szCs w:val="26"/>
        </w:rPr>
        <w:t> </w:t>
      </w:r>
      <w:r w:rsidRPr="1788F76D">
        <w:rPr>
          <w:szCs w:val="26"/>
        </w:rPr>
        <w:t xml:space="preserve">milliárd forint kiadás teljesült, ami az éves </w:t>
      </w:r>
      <w:r w:rsidR="00DF423A">
        <w:rPr>
          <w:szCs w:val="26"/>
        </w:rPr>
        <w:t xml:space="preserve">eredeti törvényi </w:t>
      </w:r>
      <w:r w:rsidRPr="1788F76D">
        <w:rPr>
          <w:szCs w:val="26"/>
        </w:rPr>
        <w:t>előirányzat 54,3%-</w:t>
      </w:r>
      <w:proofErr w:type="gramStart"/>
      <w:r w:rsidRPr="1788F76D">
        <w:rPr>
          <w:szCs w:val="26"/>
        </w:rPr>
        <w:t>a.</w:t>
      </w:r>
      <w:proofErr w:type="gramEnd"/>
      <w:r w:rsidRPr="1788F76D">
        <w:rPr>
          <w:szCs w:val="26"/>
        </w:rPr>
        <w:t xml:space="preserve"> E</w:t>
      </w:r>
      <w:r w:rsidR="004C029F">
        <w:rPr>
          <w:szCs w:val="26"/>
        </w:rPr>
        <w:t xml:space="preserve"> hozzájárulás</w:t>
      </w:r>
      <w:r w:rsidRPr="1788F76D">
        <w:rPr>
          <w:szCs w:val="26"/>
        </w:rPr>
        <w:t xml:space="preserve"> 35,3</w:t>
      </w:r>
      <w:r w:rsidR="004C029F">
        <w:rPr>
          <w:szCs w:val="26"/>
        </w:rPr>
        <w:t> </w:t>
      </w:r>
      <w:r w:rsidRPr="1788F76D">
        <w:rPr>
          <w:szCs w:val="26"/>
        </w:rPr>
        <w:t>milliárd forinttal halad</w:t>
      </w:r>
      <w:r w:rsidR="004C029F">
        <w:rPr>
          <w:szCs w:val="26"/>
        </w:rPr>
        <w:t>t</w:t>
      </w:r>
      <w:r w:rsidRPr="1788F76D">
        <w:rPr>
          <w:szCs w:val="26"/>
        </w:rPr>
        <w:t>a meg a 2020. év azonos időszakában teljesített kiadást.</w:t>
      </w:r>
    </w:p>
    <w:p w14:paraId="32FDCE7F" w14:textId="50471173" w:rsidR="00CF1A67" w:rsidRPr="00CF1A67" w:rsidRDefault="00CF1A67" w:rsidP="00CF1A67">
      <w:pPr>
        <w:spacing w:before="120"/>
      </w:pPr>
      <w:r w:rsidRPr="00CF1A67">
        <w:rPr>
          <w:b/>
        </w:rPr>
        <w:t>A Nemzeti Kutatási, Fejlesztési és Innovációs Alapból</w:t>
      </w:r>
      <w:r w:rsidRPr="00CF1A67">
        <w:t xml:space="preserve"> (NKFI Alap) az alaprészeken május végéig együttesen 33,1 milliárd forint kiadás teljesült, melyből 19,6 milliárd forint Kutatási Alaprészen, 13,5 milliárd forint pedig az Innovációs Alaprészen keresztül valósult meg. Az NKFI Alapba az innovációs járulékból 43,3 milliárd forint folyt be, ami az éves előirányzat 50,8%-</w:t>
      </w:r>
      <w:proofErr w:type="gramStart"/>
      <w:r w:rsidRPr="00CF1A67">
        <w:t>a.</w:t>
      </w:r>
      <w:proofErr w:type="gramEnd"/>
      <w:r w:rsidRPr="00CF1A67">
        <w:t xml:space="preserve"> Az NKFI Alap rendelkezésére álló forrásokat 15,4 milliárd forint költségvetési támogatás egészítette ki.</w:t>
      </w:r>
    </w:p>
    <w:p w14:paraId="49D52E2B" w14:textId="16695C5B" w:rsidR="00CF1A67" w:rsidRPr="00CF1A67" w:rsidRDefault="00CF1A67" w:rsidP="00CF1A67">
      <w:pPr>
        <w:spacing w:before="120"/>
      </w:pPr>
      <w:r w:rsidRPr="00CF1A67">
        <w:rPr>
          <w:b/>
        </w:rPr>
        <w:t>A Gazdaságvédelmi Foglalkoztatási Alap</w:t>
      </w:r>
      <w:r w:rsidRPr="00CF1A67">
        <w:t xml:space="preserve"> (GFA) kiadásai estében a Startmunka-programra május végéig 67,6 milliárd forint</w:t>
      </w:r>
      <w:r w:rsidR="00353F37">
        <w:t>ot fizettek ki</w:t>
      </w:r>
      <w:r w:rsidRPr="00CF1A67">
        <w:t xml:space="preserve">, mely 12,3 milliárd forinttal haladta meg az előző évi azonos időszaki összeget. A Munkahely-megtartási program keretében jelentős összeget, 87,0 milliárd forintot </w:t>
      </w:r>
      <w:r w:rsidR="009B6FD1">
        <w:t>fordítottak</w:t>
      </w:r>
      <w:r w:rsidR="00022BAE">
        <w:t xml:space="preserve"> </w:t>
      </w:r>
      <w:r w:rsidRPr="00CF1A67">
        <w:t>bértámogatásra</w:t>
      </w:r>
      <w:r w:rsidR="00022BAE">
        <w:t xml:space="preserve"> </w:t>
      </w:r>
      <w:r w:rsidR="00022BAE" w:rsidRPr="00CF1A67">
        <w:t>a GFA-ból</w:t>
      </w:r>
      <w:r w:rsidRPr="00CF1A67">
        <w:t xml:space="preserve">. A bevételi oldalon összesen 185,6 milliárd forint </w:t>
      </w:r>
      <w:proofErr w:type="gramStart"/>
      <w:r w:rsidRPr="00CF1A67">
        <w:t>realizálódott</w:t>
      </w:r>
      <w:proofErr w:type="gramEnd"/>
      <w:r w:rsidRPr="00CF1A67">
        <w:t>, döntő részben a szakképzési hozzájárulásból és a társadalombiztosítási járulék GFA-t megillető részéből, melyeknek együttes összege 149,2 milliárd forint.</w:t>
      </w:r>
    </w:p>
    <w:p w14:paraId="7E1DC091" w14:textId="0945B07B" w:rsidR="00CF1A67" w:rsidRPr="00CF1A67" w:rsidRDefault="00CF1A67" w:rsidP="00CF1A67">
      <w:r w:rsidRPr="00CF1A67">
        <w:rPr>
          <w:b/>
        </w:rPr>
        <w:t>A Bethlen Gábor Alap</w:t>
      </w:r>
      <w:r w:rsidRPr="00CF1A67">
        <w:t xml:space="preserve"> (BGA) kiadásaiból az I-V</w:t>
      </w:r>
      <w:r w:rsidR="00A73FBD">
        <w:t>.</w:t>
      </w:r>
      <w:r w:rsidRPr="00CF1A67">
        <w:t xml:space="preserve"> hónapokban nemzetpolitikai célokra 5,4 milliárd forintot fordítottak, az alapból nyújtott támogatások a BGA irányítását ellátó Bizottság döntései alapján, ütemezetten kerültek kifizetésre</w:t>
      </w:r>
      <w:r w:rsidR="00B44D89">
        <w:t>.</w:t>
      </w:r>
    </w:p>
    <w:p w14:paraId="42C60C8F" w14:textId="58962B18" w:rsidR="00824CE5" w:rsidRDefault="0FCC8A84" w:rsidP="00C6699D">
      <w:pPr>
        <w:spacing w:before="120"/>
      </w:pPr>
      <w:r>
        <w:t xml:space="preserve">A 2021. év I-V. havi </w:t>
      </w:r>
      <w:r w:rsidRPr="0FCC8A84">
        <w:rPr>
          <w:b/>
          <w:bCs/>
        </w:rPr>
        <w:t>nyugdíjkiadásai</w:t>
      </w:r>
      <w:r>
        <w:t xml:space="preserve"> 1657,4 milliárd forintban teljesültek, ami 154,2 milliárd forinttal haladta meg az előző év első öt hónapjának kiadásait. Az előző év azonos időszakához viszonyított kiadásnövekedésből 7</w:t>
      </w:r>
      <w:r w:rsidR="00A549FD">
        <w:t>8,0</w:t>
      </w:r>
      <w:r>
        <w:t xml:space="preserve"> milliárd forintot tett ki a 13. havi nyugellátások február havi kifizetése, a fennmaradó többletkiadást az év elején </w:t>
      </w:r>
      <w:r>
        <w:lastRenderedPageBreak/>
        <w:t xml:space="preserve">végrehajtott 3,0%-os nyugdíjemelés, a tavaly év végén végrehajtott 1,2%-os kiegészítő nyugdíjemelés, valamint a létszámváltozás és a cserélődési hatás együttes eredményeként jelentkező ellátási átlagok növekedése okozta. </w:t>
      </w:r>
    </w:p>
    <w:p w14:paraId="298E7517" w14:textId="4ACC2AAC" w:rsidR="004C1493" w:rsidRDefault="00D52629" w:rsidP="00C6699D">
      <w:pPr>
        <w:spacing w:before="120"/>
      </w:pPr>
      <w:r>
        <w:rPr>
          <w:noProof/>
        </w:rPr>
        <w:drawing>
          <wp:inline distT="0" distB="0" distL="0" distR="0" wp14:anchorId="158DF369" wp14:editId="72596097">
            <wp:extent cx="5940425" cy="2225675"/>
            <wp:effectExtent l="0" t="0" r="3175" b="3175"/>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yugellatasi_kiadasok.png"/>
                    <pic:cNvPicPr/>
                  </pic:nvPicPr>
                  <pic:blipFill>
                    <a:blip r:embed="rId19">
                      <a:extLst>
                        <a:ext uri="{28A0092B-C50C-407E-A947-70E740481C1C}">
                          <a14:useLocalDpi xmlns:a14="http://schemas.microsoft.com/office/drawing/2010/main" val="0"/>
                        </a:ext>
                      </a:extLst>
                    </a:blip>
                    <a:stretch>
                      <a:fillRect/>
                    </a:stretch>
                  </pic:blipFill>
                  <pic:spPr>
                    <a:xfrm>
                      <a:off x="0" y="0"/>
                      <a:ext cx="5940425" cy="2225675"/>
                    </a:xfrm>
                    <a:prstGeom prst="rect">
                      <a:avLst/>
                    </a:prstGeom>
                  </pic:spPr>
                </pic:pic>
              </a:graphicData>
            </a:graphic>
          </wp:inline>
        </w:drawing>
      </w:r>
    </w:p>
    <w:p w14:paraId="69DB7EF5" w14:textId="77777777" w:rsidR="00D52629" w:rsidRDefault="00D52629" w:rsidP="00C6699D">
      <w:pPr>
        <w:spacing w:before="120"/>
      </w:pPr>
    </w:p>
    <w:p w14:paraId="35A21E15" w14:textId="328BB9DB" w:rsidR="00A85E31" w:rsidRDefault="0FCC8A84" w:rsidP="00C6699D">
      <w:pPr>
        <w:spacing w:before="120"/>
      </w:pPr>
      <w:r>
        <w:t>A nyugellátási kiadásokon belül a korbetöltött öregségi nyugellátások 4,8%-kal, a nők 40</w:t>
      </w:r>
      <w:r w:rsidR="0066483B">
        <w:t> </w:t>
      </w:r>
      <w:r>
        <w:t>éves jogosultsági idejével igénybe vehető korhatár alatti ellátások (nők40) pedig 9,3%</w:t>
      </w:r>
      <w:r w:rsidR="0066483B">
        <w:t> </w:t>
      </w:r>
      <w:proofErr w:type="spellStart"/>
      <w:r w:rsidR="0066483B">
        <w:noBreakHyphen/>
      </w:r>
      <w:r>
        <w:t>kal</w:t>
      </w:r>
      <w:proofErr w:type="spellEnd"/>
      <w:r>
        <w:t xml:space="preserve"> haladták meg a tavalyi év azonos időszakának kiadásait. A kiadásnövekedés eltérő mértékének magyarázata az, hogy a 2020. évben az öregségi nyugdíjkorhatár 64,5 évre emelkedett, így az 1956-ban születettek csak a tavalyi év második felétől váltak jogosulttá öregségi nyugellátásra, aminek következtében a korbetöltöttek létszáma 2021.</w:t>
      </w:r>
      <w:r w:rsidR="00542C18">
        <w:t> </w:t>
      </w:r>
      <w:r>
        <w:t>május hónapban 15974 fővel lett alacsonyabb az előző év májusi létszámánál. A korbetöltött ellátások esetében a létszámcsökkenés részben ellensúlyozza a nyugdíjemelés és a cserélődés kiadásnövelő hatását.</w:t>
      </w:r>
    </w:p>
    <w:p w14:paraId="02FA5432" w14:textId="33E7E68C" w:rsidR="003F0C86" w:rsidRDefault="0FCC8A84" w:rsidP="00BE684B">
      <w:r>
        <w:t xml:space="preserve">A nők 40 éves jogosultsági idejével igénybe vehető korhatár alatti ellátások megállapítására a korhatáremelésnek nincs szüneteltető hatása, így az ezen a jogcímen igénybe vett korhatár alatti ellátások létszáma kisebb mértékben csökkent, 6964 fővel lett alacsonyabb az előző évi májusi létszámadatnál. </w:t>
      </w:r>
    </w:p>
    <w:p w14:paraId="0B2E60C7" w14:textId="77777777" w:rsidR="008C0808" w:rsidRDefault="008C0808" w:rsidP="00D93DBE">
      <w:r>
        <w:rPr>
          <w:noProof/>
        </w:rPr>
        <w:lastRenderedPageBreak/>
        <w:drawing>
          <wp:inline distT="0" distB="0" distL="0" distR="0" wp14:anchorId="5B8C0C39" wp14:editId="37623029">
            <wp:extent cx="5940425" cy="3658235"/>
            <wp:effectExtent l="0" t="0" r="3175"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regsegi_nyugdij_letszam.PNG"/>
                    <pic:cNvPicPr/>
                  </pic:nvPicPr>
                  <pic:blipFill>
                    <a:blip r:embed="rId20">
                      <a:extLst>
                        <a:ext uri="{28A0092B-C50C-407E-A947-70E740481C1C}">
                          <a14:useLocalDpi xmlns:a14="http://schemas.microsoft.com/office/drawing/2010/main" val="0"/>
                        </a:ext>
                      </a:extLst>
                    </a:blip>
                    <a:stretch>
                      <a:fillRect/>
                    </a:stretch>
                  </pic:blipFill>
                  <pic:spPr>
                    <a:xfrm>
                      <a:off x="0" y="0"/>
                      <a:ext cx="5940425" cy="3658235"/>
                    </a:xfrm>
                    <a:prstGeom prst="rect">
                      <a:avLst/>
                    </a:prstGeom>
                  </pic:spPr>
                </pic:pic>
              </a:graphicData>
            </a:graphic>
          </wp:inline>
        </w:drawing>
      </w:r>
    </w:p>
    <w:p w14:paraId="533CEF73" w14:textId="0D435750" w:rsidR="00EC73CD" w:rsidRDefault="0FCC8A84" w:rsidP="00D93DBE">
      <w:r>
        <w:t>A korhatáremelés szabályai alapján az 1956-ban születettek korosztálya 2020. július 1</w:t>
      </w:r>
      <w:r w:rsidR="00A47A24">
        <w:noBreakHyphen/>
      </w:r>
      <w:r>
        <w:t xml:space="preserve">jétől 2021. június 30-áig tölti be az öregségi nyugellátásra előírt korhatárt, amelynek következtében az öregségi nyugellátásra jogosultak létszáma a tárgyév közepéig várhatóan folyamatosan növekszik. A nők40 jogcímen jogosultak közül a korhatárt betöltők az év közepéig folyamatosan kerülnek át az öregségi </w:t>
      </w:r>
      <w:proofErr w:type="spellStart"/>
      <w:r>
        <w:t>nyugellátottak</w:t>
      </w:r>
      <w:proofErr w:type="spellEnd"/>
      <w:r>
        <w:t xml:space="preserve"> közé, ami ugyancsak tovább növeli a korbetöltött létszámot, és várhatóan a második félévtől kezdve folyamatosan csökkenti a nők40 ellátási jogcímen jogosultak létszámát. </w:t>
      </w:r>
    </w:p>
    <w:p w14:paraId="24C239F1" w14:textId="77777777" w:rsidR="0080719D" w:rsidRDefault="0FCC8A84" w:rsidP="00D93DBE">
      <w:r w:rsidRPr="0FCC8A84">
        <w:rPr>
          <w:b/>
          <w:bCs/>
        </w:rPr>
        <w:t>Az Egészségbiztosítási Alap kiadásainak</w:t>
      </w:r>
      <w:r>
        <w:t xml:space="preserve"> összetételét a következő ábra mutatja be:</w:t>
      </w:r>
    </w:p>
    <w:p w14:paraId="042EBC27" w14:textId="2E0B114B" w:rsidR="00347761" w:rsidRDefault="0095388A" w:rsidP="00D93DBE">
      <w:r>
        <w:rPr>
          <w:noProof/>
        </w:rPr>
        <w:drawing>
          <wp:inline distT="0" distB="0" distL="0" distR="0" wp14:anchorId="79A33AF1" wp14:editId="141D1BA5">
            <wp:extent cx="5940425" cy="2400300"/>
            <wp:effectExtent l="0" t="0" r="3175"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Alap_kiadásai.png"/>
                    <pic:cNvPicPr/>
                  </pic:nvPicPr>
                  <pic:blipFill>
                    <a:blip r:embed="rId21">
                      <a:extLst>
                        <a:ext uri="{28A0092B-C50C-407E-A947-70E740481C1C}">
                          <a14:useLocalDpi xmlns:a14="http://schemas.microsoft.com/office/drawing/2010/main" val="0"/>
                        </a:ext>
                      </a:extLst>
                    </a:blip>
                    <a:stretch>
                      <a:fillRect/>
                    </a:stretch>
                  </pic:blipFill>
                  <pic:spPr>
                    <a:xfrm>
                      <a:off x="0" y="0"/>
                      <a:ext cx="5940425" cy="2400300"/>
                    </a:xfrm>
                    <a:prstGeom prst="rect">
                      <a:avLst/>
                    </a:prstGeom>
                  </pic:spPr>
                </pic:pic>
              </a:graphicData>
            </a:graphic>
          </wp:inline>
        </w:drawing>
      </w:r>
    </w:p>
    <w:p w14:paraId="3BBA42C9" w14:textId="77777777" w:rsidR="0095388A" w:rsidRDefault="0095388A" w:rsidP="00D93DBE"/>
    <w:p w14:paraId="3BAB8216" w14:textId="619FC486" w:rsidR="008A4FFB" w:rsidRDefault="0FCC8A84" w:rsidP="0FCC8A84">
      <w:pPr>
        <w:rPr>
          <w:rFonts w:eastAsia="Calibri"/>
        </w:rPr>
      </w:pPr>
      <w:r w:rsidRPr="0FCC8A84">
        <w:rPr>
          <w:rFonts w:eastAsia="Calibri"/>
        </w:rPr>
        <w:t xml:space="preserve">Az Egészségbiztosítási Alap összes kiadásának 26,2%-át a </w:t>
      </w:r>
      <w:r w:rsidRPr="0FCC8A84">
        <w:rPr>
          <w:rFonts w:eastAsia="Calibri"/>
          <w:b/>
          <w:bCs/>
        </w:rPr>
        <w:t>pénzbeli ellátásokra</w:t>
      </w:r>
      <w:r w:rsidRPr="0FCC8A84">
        <w:rPr>
          <w:rFonts w:eastAsia="Calibri"/>
        </w:rPr>
        <w:t xml:space="preserve"> fordított összeg adta. Az ellátások részletes bemutatását a következő táblázat tartalmazza: </w:t>
      </w:r>
      <w:r w:rsidR="008A4FFB">
        <w:rPr>
          <w:rFonts w:eastAsia="Calibri"/>
        </w:rPr>
        <w:br w:type="page"/>
      </w:r>
    </w:p>
    <w:tbl>
      <w:tblPr>
        <w:tblW w:w="8733" w:type="dxa"/>
        <w:tblInd w:w="354" w:type="dxa"/>
        <w:tblCellMar>
          <w:left w:w="0" w:type="dxa"/>
          <w:right w:w="0" w:type="dxa"/>
        </w:tblCellMar>
        <w:tblLook w:val="04A0" w:firstRow="1" w:lastRow="0" w:firstColumn="1" w:lastColumn="0" w:noHBand="0" w:noVBand="1"/>
      </w:tblPr>
      <w:tblGrid>
        <w:gridCol w:w="4183"/>
        <w:gridCol w:w="1912"/>
        <w:gridCol w:w="967"/>
        <w:gridCol w:w="753"/>
        <w:gridCol w:w="918"/>
      </w:tblGrid>
      <w:tr w:rsidR="00717B8C" w:rsidRPr="00717B8C" w14:paraId="01E30E00" w14:textId="77777777" w:rsidTr="0FCC8A84">
        <w:trPr>
          <w:trHeight w:val="227"/>
        </w:trPr>
        <w:tc>
          <w:tcPr>
            <w:tcW w:w="8733" w:type="dxa"/>
            <w:gridSpan w:val="5"/>
            <w:tcMar>
              <w:top w:w="0" w:type="dxa"/>
              <w:left w:w="70" w:type="dxa"/>
              <w:bottom w:w="0" w:type="dxa"/>
              <w:right w:w="70" w:type="dxa"/>
            </w:tcMar>
            <w:vAlign w:val="center"/>
            <w:hideMark/>
          </w:tcPr>
          <w:p w14:paraId="24FFBC2F" w14:textId="77777777" w:rsidR="00717B8C" w:rsidRPr="00717B8C" w:rsidRDefault="0FCC8A84" w:rsidP="0FCC8A84">
            <w:pPr>
              <w:spacing w:line="276" w:lineRule="auto"/>
              <w:jc w:val="center"/>
              <w:rPr>
                <w:rFonts w:eastAsiaTheme="minorEastAsia"/>
                <w:b/>
                <w:bCs/>
                <w:color w:val="000000" w:themeColor="text1"/>
                <w:sz w:val="20"/>
                <w:lang w:eastAsia="en-US"/>
              </w:rPr>
            </w:pPr>
            <w:r w:rsidRPr="0FCC8A84">
              <w:rPr>
                <w:rFonts w:eastAsiaTheme="minorEastAsia"/>
                <w:b/>
                <w:bCs/>
                <w:color w:val="000000" w:themeColor="text1"/>
                <w:sz w:val="20"/>
                <w:lang w:eastAsia="en-US"/>
              </w:rPr>
              <w:lastRenderedPageBreak/>
              <w:t>Az Egészségbiztosítási Alap pénzbeli ellátásokra fordított kiadásainak alakulása (milliárd forint)</w:t>
            </w:r>
          </w:p>
        </w:tc>
      </w:tr>
      <w:tr w:rsidR="00717B8C" w:rsidRPr="00717B8C" w14:paraId="11F347AC" w14:textId="77777777" w:rsidTr="0FCC8A84">
        <w:trPr>
          <w:trHeight w:val="306"/>
        </w:trPr>
        <w:tc>
          <w:tcPr>
            <w:tcW w:w="4183" w:type="dxa"/>
            <w:vMerge w:val="restart"/>
            <w:tcBorders>
              <w:top w:val="single" w:sz="8" w:space="0" w:color="auto"/>
              <w:left w:val="single" w:sz="8" w:space="0" w:color="auto"/>
              <w:bottom w:val="single" w:sz="8" w:space="0" w:color="000000" w:themeColor="text1"/>
              <w:right w:val="single" w:sz="8" w:space="0" w:color="auto"/>
            </w:tcBorders>
            <w:noWrap/>
            <w:tcMar>
              <w:top w:w="0" w:type="dxa"/>
              <w:left w:w="70" w:type="dxa"/>
              <w:bottom w:w="0" w:type="dxa"/>
              <w:right w:w="70" w:type="dxa"/>
            </w:tcMar>
            <w:vAlign w:val="center"/>
            <w:hideMark/>
          </w:tcPr>
          <w:p w14:paraId="7E9CCEF1" w14:textId="77777777" w:rsidR="00717B8C" w:rsidRPr="00717B8C" w:rsidRDefault="0FCC8A84" w:rsidP="0FCC8A84">
            <w:pPr>
              <w:spacing w:after="0" w:line="276" w:lineRule="auto"/>
              <w:jc w:val="center"/>
              <w:rPr>
                <w:rFonts w:eastAsiaTheme="minorEastAsia"/>
                <w:b/>
                <w:bCs/>
                <w:sz w:val="20"/>
                <w:lang w:eastAsia="en-US"/>
              </w:rPr>
            </w:pPr>
            <w:r w:rsidRPr="0FCC8A84">
              <w:rPr>
                <w:rFonts w:eastAsiaTheme="minorEastAsia"/>
                <w:b/>
                <w:bCs/>
                <w:sz w:val="20"/>
                <w:lang w:eastAsia="en-US"/>
              </w:rPr>
              <w:t>Megnevezés</w:t>
            </w:r>
          </w:p>
        </w:tc>
        <w:tc>
          <w:tcPr>
            <w:tcW w:w="1912"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0BBF58D" w14:textId="77777777" w:rsidR="00717B8C" w:rsidRPr="00717B8C" w:rsidRDefault="0FCC8A84" w:rsidP="0FCC8A84">
            <w:pPr>
              <w:spacing w:after="0" w:line="276" w:lineRule="auto"/>
              <w:jc w:val="center"/>
              <w:rPr>
                <w:rFonts w:eastAsiaTheme="minorEastAsia"/>
                <w:b/>
                <w:bCs/>
                <w:sz w:val="20"/>
                <w:lang w:eastAsia="en-US"/>
              </w:rPr>
            </w:pPr>
            <w:r w:rsidRPr="0FCC8A84">
              <w:rPr>
                <w:rFonts w:eastAsiaTheme="minorEastAsia"/>
                <w:b/>
                <w:bCs/>
                <w:sz w:val="20"/>
                <w:lang w:eastAsia="en-US"/>
              </w:rPr>
              <w:t xml:space="preserve">2020. </w:t>
            </w:r>
            <w:r w:rsidR="00717B8C">
              <w:br/>
            </w:r>
            <w:r w:rsidRPr="0FCC8A84">
              <w:rPr>
                <w:rFonts w:eastAsiaTheme="minorEastAsia"/>
                <w:b/>
                <w:bCs/>
                <w:sz w:val="20"/>
                <w:lang w:eastAsia="en-US"/>
              </w:rPr>
              <w:t>I-V. hó</w:t>
            </w:r>
          </w:p>
        </w:tc>
        <w:tc>
          <w:tcPr>
            <w:tcW w:w="967"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5C818B0" w14:textId="77777777" w:rsidR="00717B8C" w:rsidRPr="00717B8C" w:rsidRDefault="0FCC8A84" w:rsidP="0FCC8A84">
            <w:pPr>
              <w:spacing w:after="0" w:line="276" w:lineRule="auto"/>
              <w:jc w:val="center"/>
              <w:rPr>
                <w:rFonts w:eastAsiaTheme="minorEastAsia"/>
                <w:b/>
                <w:bCs/>
                <w:sz w:val="20"/>
                <w:lang w:eastAsia="en-US"/>
              </w:rPr>
            </w:pPr>
            <w:r w:rsidRPr="0FCC8A84">
              <w:rPr>
                <w:rFonts w:eastAsiaTheme="minorEastAsia"/>
                <w:b/>
                <w:bCs/>
                <w:sz w:val="20"/>
                <w:lang w:eastAsia="en-US"/>
              </w:rPr>
              <w:t>2021.</w:t>
            </w:r>
            <w:r w:rsidR="00717B8C">
              <w:br/>
            </w:r>
            <w:r w:rsidRPr="0FCC8A84">
              <w:rPr>
                <w:rFonts w:eastAsiaTheme="minorEastAsia"/>
                <w:b/>
                <w:bCs/>
                <w:sz w:val="20"/>
                <w:lang w:eastAsia="en-US"/>
              </w:rPr>
              <w:t>I-V. hó</w:t>
            </w:r>
          </w:p>
        </w:tc>
        <w:tc>
          <w:tcPr>
            <w:tcW w:w="1671" w:type="dxa"/>
            <w:gridSpan w:val="2"/>
            <w:tcBorders>
              <w:top w:val="single" w:sz="8" w:space="0" w:color="auto"/>
              <w:left w:val="nil"/>
              <w:bottom w:val="single" w:sz="8" w:space="0" w:color="auto"/>
              <w:right w:val="single" w:sz="8" w:space="0" w:color="000000" w:themeColor="text1"/>
            </w:tcBorders>
            <w:noWrap/>
            <w:tcMar>
              <w:top w:w="0" w:type="dxa"/>
              <w:left w:w="70" w:type="dxa"/>
              <w:bottom w:w="0" w:type="dxa"/>
              <w:right w:w="70" w:type="dxa"/>
            </w:tcMar>
            <w:vAlign w:val="center"/>
            <w:hideMark/>
          </w:tcPr>
          <w:p w14:paraId="0867D216" w14:textId="77777777" w:rsidR="00717B8C" w:rsidRPr="00717B8C" w:rsidRDefault="0FCC8A84" w:rsidP="0FCC8A84">
            <w:pPr>
              <w:spacing w:after="0" w:line="276" w:lineRule="auto"/>
              <w:jc w:val="center"/>
              <w:rPr>
                <w:rFonts w:eastAsiaTheme="minorEastAsia"/>
                <w:b/>
                <w:bCs/>
                <w:sz w:val="20"/>
                <w:lang w:eastAsia="en-US"/>
              </w:rPr>
            </w:pPr>
            <w:r w:rsidRPr="0FCC8A84">
              <w:rPr>
                <w:rFonts w:eastAsiaTheme="minorEastAsia"/>
                <w:b/>
                <w:bCs/>
                <w:sz w:val="20"/>
                <w:lang w:eastAsia="en-US"/>
              </w:rPr>
              <w:t>Eltérés</w:t>
            </w:r>
          </w:p>
        </w:tc>
      </w:tr>
      <w:tr w:rsidR="00717B8C" w:rsidRPr="00717B8C" w14:paraId="59ACB142" w14:textId="77777777" w:rsidTr="0FCC8A84">
        <w:trPr>
          <w:trHeight w:val="306"/>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D11555F" w14:textId="77777777" w:rsidR="00717B8C" w:rsidRPr="00717B8C" w:rsidRDefault="00717B8C" w:rsidP="00717B8C">
            <w:pPr>
              <w:spacing w:after="0"/>
              <w:jc w:val="left"/>
              <w:rPr>
                <w:rFonts w:eastAsiaTheme="minorHAnsi"/>
                <w:b/>
                <w:bCs/>
                <w:sz w:val="20"/>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5D04E6B7" w14:textId="77777777" w:rsidR="00717B8C" w:rsidRPr="00717B8C" w:rsidRDefault="00717B8C" w:rsidP="00717B8C">
            <w:pPr>
              <w:spacing w:after="0"/>
              <w:jc w:val="left"/>
              <w:rPr>
                <w:rFonts w:eastAsiaTheme="minorHAnsi"/>
                <w:b/>
                <w:bCs/>
                <w:sz w:val="20"/>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2013E614" w14:textId="77777777" w:rsidR="00717B8C" w:rsidRPr="00717B8C" w:rsidRDefault="00717B8C" w:rsidP="00717B8C">
            <w:pPr>
              <w:spacing w:after="0"/>
              <w:jc w:val="left"/>
              <w:rPr>
                <w:rFonts w:eastAsiaTheme="minorHAnsi"/>
                <w:b/>
                <w:bCs/>
                <w:sz w:val="20"/>
                <w:lang w:eastAsia="en-US"/>
              </w:rPr>
            </w:pPr>
          </w:p>
        </w:tc>
        <w:tc>
          <w:tcPr>
            <w:tcW w:w="75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6E60D0" w14:textId="77777777" w:rsidR="00717B8C" w:rsidRPr="00717B8C" w:rsidRDefault="0FCC8A84" w:rsidP="0FCC8A84">
            <w:pPr>
              <w:spacing w:after="0" w:line="276" w:lineRule="auto"/>
              <w:jc w:val="center"/>
              <w:rPr>
                <w:rFonts w:eastAsiaTheme="minorEastAsia"/>
                <w:b/>
                <w:bCs/>
                <w:sz w:val="20"/>
                <w:lang w:eastAsia="en-US"/>
              </w:rPr>
            </w:pPr>
            <w:r w:rsidRPr="0FCC8A84">
              <w:rPr>
                <w:rFonts w:eastAsiaTheme="minorEastAsia"/>
                <w:b/>
                <w:bCs/>
                <w:sz w:val="20"/>
                <w:lang w:eastAsia="en-US"/>
              </w:rPr>
              <w:t>Mrd Ft</w:t>
            </w:r>
          </w:p>
        </w:tc>
        <w:tc>
          <w:tcPr>
            <w:tcW w:w="9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84D358" w14:textId="77777777" w:rsidR="00717B8C" w:rsidRPr="00717B8C" w:rsidRDefault="0FCC8A84" w:rsidP="0FCC8A84">
            <w:pPr>
              <w:spacing w:after="0" w:line="276" w:lineRule="auto"/>
              <w:jc w:val="center"/>
              <w:rPr>
                <w:rFonts w:eastAsiaTheme="minorEastAsia"/>
                <w:b/>
                <w:bCs/>
                <w:sz w:val="20"/>
                <w:lang w:eastAsia="en-US"/>
              </w:rPr>
            </w:pPr>
            <w:r w:rsidRPr="0FCC8A84">
              <w:rPr>
                <w:rFonts w:eastAsiaTheme="minorEastAsia"/>
                <w:b/>
                <w:bCs/>
                <w:sz w:val="20"/>
                <w:lang w:eastAsia="en-US"/>
              </w:rPr>
              <w:t>%</w:t>
            </w:r>
          </w:p>
        </w:tc>
      </w:tr>
      <w:tr w:rsidR="00717B8C" w:rsidRPr="00717B8C" w14:paraId="6F601463" w14:textId="77777777" w:rsidTr="0FCC8A84">
        <w:trPr>
          <w:trHeight w:val="306"/>
        </w:trPr>
        <w:tc>
          <w:tcPr>
            <w:tcW w:w="41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1190618" w14:textId="77777777" w:rsidR="00717B8C" w:rsidRPr="00717B8C" w:rsidRDefault="0FCC8A84" w:rsidP="0FCC8A84">
            <w:pPr>
              <w:spacing w:after="0" w:line="276" w:lineRule="auto"/>
              <w:jc w:val="left"/>
              <w:rPr>
                <w:rFonts w:eastAsiaTheme="minorEastAsia"/>
                <w:b/>
                <w:bCs/>
                <w:sz w:val="20"/>
                <w:lang w:eastAsia="en-US"/>
              </w:rPr>
            </w:pPr>
            <w:r w:rsidRPr="0FCC8A84">
              <w:rPr>
                <w:rFonts w:eastAsiaTheme="minorEastAsia"/>
                <w:b/>
                <w:bCs/>
                <w:sz w:val="20"/>
                <w:lang w:eastAsia="en-US"/>
              </w:rPr>
              <w:t>Pénzbeli ellátások</w:t>
            </w:r>
          </w:p>
        </w:tc>
        <w:tc>
          <w:tcPr>
            <w:tcW w:w="1912"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80BADBF" w14:textId="77777777" w:rsidR="00717B8C" w:rsidRPr="00717B8C" w:rsidRDefault="0FCC8A84" w:rsidP="0FCC8A84">
            <w:pPr>
              <w:spacing w:after="0" w:line="276" w:lineRule="auto"/>
              <w:jc w:val="right"/>
              <w:rPr>
                <w:rFonts w:eastAsiaTheme="minorEastAsia"/>
                <w:b/>
                <w:bCs/>
                <w:sz w:val="20"/>
                <w:lang w:eastAsia="en-US"/>
              </w:rPr>
            </w:pPr>
            <w:r w:rsidRPr="0FCC8A84">
              <w:rPr>
                <w:rFonts w:eastAsiaTheme="minorEastAsia"/>
                <w:b/>
                <w:bCs/>
                <w:sz w:val="20"/>
                <w:lang w:eastAsia="en-US"/>
              </w:rPr>
              <w:t>301,7</w:t>
            </w:r>
          </w:p>
        </w:tc>
        <w:tc>
          <w:tcPr>
            <w:tcW w:w="967"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031548DD" w14:textId="77777777" w:rsidR="00717B8C" w:rsidRPr="00717B8C" w:rsidRDefault="0FCC8A84" w:rsidP="0FCC8A84">
            <w:pPr>
              <w:spacing w:after="0" w:line="276" w:lineRule="auto"/>
              <w:jc w:val="right"/>
              <w:rPr>
                <w:rFonts w:eastAsiaTheme="minorEastAsia"/>
                <w:b/>
                <w:bCs/>
                <w:sz w:val="20"/>
                <w:lang w:eastAsia="en-US"/>
              </w:rPr>
            </w:pPr>
            <w:r w:rsidRPr="0FCC8A84">
              <w:rPr>
                <w:rFonts w:eastAsiaTheme="minorEastAsia"/>
                <w:b/>
                <w:bCs/>
                <w:sz w:val="20"/>
                <w:lang w:eastAsia="en-US"/>
              </w:rPr>
              <w:t>330,1</w:t>
            </w:r>
          </w:p>
        </w:tc>
        <w:tc>
          <w:tcPr>
            <w:tcW w:w="75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98FCE8" w14:textId="77777777" w:rsidR="00717B8C" w:rsidRPr="00717B8C" w:rsidRDefault="0FCC8A84" w:rsidP="0FCC8A84">
            <w:pPr>
              <w:spacing w:after="0" w:line="276" w:lineRule="auto"/>
              <w:jc w:val="right"/>
              <w:rPr>
                <w:rFonts w:eastAsiaTheme="minorEastAsia"/>
                <w:b/>
                <w:bCs/>
                <w:sz w:val="20"/>
                <w:lang w:eastAsia="en-US"/>
              </w:rPr>
            </w:pPr>
            <w:r w:rsidRPr="0FCC8A84">
              <w:rPr>
                <w:rFonts w:eastAsiaTheme="minorEastAsia"/>
                <w:b/>
                <w:bCs/>
                <w:sz w:val="20"/>
                <w:lang w:eastAsia="en-US"/>
              </w:rPr>
              <w:t>28,4</w:t>
            </w:r>
          </w:p>
        </w:tc>
        <w:tc>
          <w:tcPr>
            <w:tcW w:w="9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2B3A16" w14:textId="77777777" w:rsidR="00717B8C" w:rsidRPr="00717B8C" w:rsidRDefault="0FCC8A84" w:rsidP="0FCC8A84">
            <w:pPr>
              <w:spacing w:after="0" w:line="276" w:lineRule="auto"/>
              <w:jc w:val="right"/>
              <w:rPr>
                <w:rFonts w:eastAsiaTheme="minorEastAsia"/>
                <w:b/>
                <w:bCs/>
                <w:sz w:val="20"/>
                <w:lang w:eastAsia="en-US"/>
              </w:rPr>
            </w:pPr>
            <w:r w:rsidRPr="0FCC8A84">
              <w:rPr>
                <w:rFonts w:eastAsiaTheme="minorEastAsia"/>
                <w:b/>
                <w:bCs/>
                <w:sz w:val="20"/>
                <w:lang w:eastAsia="en-US"/>
              </w:rPr>
              <w:t>109,4</w:t>
            </w:r>
          </w:p>
        </w:tc>
      </w:tr>
      <w:tr w:rsidR="00717B8C" w:rsidRPr="00717B8C" w14:paraId="14885A5C" w14:textId="77777777" w:rsidTr="0FCC8A84">
        <w:trPr>
          <w:trHeight w:val="306"/>
        </w:trPr>
        <w:tc>
          <w:tcPr>
            <w:tcW w:w="41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FB1539" w14:textId="77777777" w:rsidR="00717B8C" w:rsidRPr="00717B8C" w:rsidRDefault="0FCC8A84" w:rsidP="0FCC8A84">
            <w:pPr>
              <w:spacing w:after="0" w:line="276" w:lineRule="auto"/>
              <w:ind w:firstLine="285"/>
              <w:jc w:val="left"/>
              <w:rPr>
                <w:rFonts w:eastAsiaTheme="minorEastAsia"/>
                <w:i/>
                <w:iCs/>
                <w:sz w:val="20"/>
                <w:lang w:eastAsia="en-US"/>
              </w:rPr>
            </w:pPr>
            <w:r w:rsidRPr="0FCC8A84">
              <w:rPr>
                <w:rFonts w:eastAsiaTheme="minorEastAsia"/>
                <w:i/>
                <w:iCs/>
                <w:sz w:val="20"/>
                <w:lang w:eastAsia="en-US"/>
              </w:rPr>
              <w:t>Ebből:</w:t>
            </w:r>
          </w:p>
        </w:tc>
        <w:tc>
          <w:tcPr>
            <w:tcW w:w="191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69FDE7" w14:textId="77777777" w:rsidR="00717B8C" w:rsidRPr="00717B8C" w:rsidRDefault="0FCC8A84" w:rsidP="0FCC8A84">
            <w:pPr>
              <w:spacing w:after="0" w:line="276" w:lineRule="auto"/>
              <w:jc w:val="center"/>
              <w:rPr>
                <w:rFonts w:eastAsiaTheme="minorEastAsia"/>
                <w:b/>
                <w:bCs/>
                <w:sz w:val="20"/>
                <w:lang w:eastAsia="en-US"/>
              </w:rPr>
            </w:pPr>
            <w:r w:rsidRPr="0FCC8A84">
              <w:rPr>
                <w:rFonts w:eastAsiaTheme="minorEastAsia"/>
                <w:b/>
                <w:bCs/>
                <w:sz w:val="20"/>
                <w:lang w:eastAsia="en-US"/>
              </w:rPr>
              <w:t> </w:t>
            </w:r>
          </w:p>
        </w:tc>
        <w:tc>
          <w:tcPr>
            <w:tcW w:w="9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3E6ABA" w14:textId="77777777" w:rsidR="00717B8C" w:rsidRPr="00717B8C" w:rsidRDefault="0FCC8A84" w:rsidP="0FCC8A84">
            <w:pPr>
              <w:spacing w:after="0" w:line="276" w:lineRule="auto"/>
              <w:jc w:val="center"/>
              <w:rPr>
                <w:rFonts w:eastAsiaTheme="minorEastAsia"/>
                <w:b/>
                <w:bCs/>
                <w:sz w:val="20"/>
                <w:lang w:eastAsia="en-US"/>
              </w:rPr>
            </w:pPr>
            <w:r w:rsidRPr="0FCC8A84">
              <w:rPr>
                <w:rFonts w:eastAsiaTheme="minorEastAsia"/>
                <w:b/>
                <w:bCs/>
                <w:sz w:val="20"/>
                <w:lang w:eastAsia="en-US"/>
              </w:rPr>
              <w:t> </w:t>
            </w:r>
          </w:p>
        </w:tc>
        <w:tc>
          <w:tcPr>
            <w:tcW w:w="75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9112F3" w14:textId="77777777" w:rsidR="00717B8C" w:rsidRPr="00717B8C" w:rsidRDefault="0FCC8A84" w:rsidP="0FCC8A84">
            <w:pPr>
              <w:spacing w:after="0" w:line="276" w:lineRule="auto"/>
              <w:jc w:val="right"/>
              <w:rPr>
                <w:rFonts w:eastAsiaTheme="minorEastAsia"/>
                <w:sz w:val="20"/>
                <w:lang w:eastAsia="en-US"/>
              </w:rPr>
            </w:pPr>
            <w:r w:rsidRPr="0FCC8A84">
              <w:rPr>
                <w:rFonts w:eastAsiaTheme="minorEastAsia"/>
                <w:sz w:val="20"/>
                <w:lang w:eastAsia="en-US"/>
              </w:rPr>
              <w:t> </w:t>
            </w:r>
          </w:p>
        </w:tc>
        <w:tc>
          <w:tcPr>
            <w:tcW w:w="9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90C2A6" w14:textId="77777777" w:rsidR="00717B8C" w:rsidRPr="00717B8C" w:rsidRDefault="0FCC8A84" w:rsidP="0FCC8A84">
            <w:pPr>
              <w:spacing w:after="0" w:line="276" w:lineRule="auto"/>
              <w:jc w:val="right"/>
              <w:rPr>
                <w:rFonts w:eastAsiaTheme="minorEastAsia"/>
                <w:sz w:val="20"/>
                <w:lang w:eastAsia="en-US"/>
              </w:rPr>
            </w:pPr>
            <w:r w:rsidRPr="0FCC8A84">
              <w:rPr>
                <w:rFonts w:eastAsiaTheme="minorEastAsia"/>
                <w:sz w:val="20"/>
                <w:lang w:eastAsia="en-US"/>
              </w:rPr>
              <w:t> </w:t>
            </w:r>
          </w:p>
        </w:tc>
      </w:tr>
      <w:tr w:rsidR="00717B8C" w:rsidRPr="00717B8C" w14:paraId="1E10DE94" w14:textId="77777777" w:rsidTr="0FCC8A84">
        <w:trPr>
          <w:trHeight w:val="306"/>
        </w:trPr>
        <w:tc>
          <w:tcPr>
            <w:tcW w:w="41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DFF3F28" w14:textId="77777777" w:rsidR="00717B8C" w:rsidRPr="00717B8C" w:rsidRDefault="0FCC8A84" w:rsidP="0FCC8A84">
            <w:pPr>
              <w:spacing w:after="0" w:line="276" w:lineRule="auto"/>
              <w:ind w:firstLine="568"/>
              <w:jc w:val="left"/>
              <w:rPr>
                <w:rFonts w:eastAsiaTheme="minorEastAsia"/>
                <w:i/>
                <w:iCs/>
                <w:sz w:val="20"/>
                <w:lang w:eastAsia="en-US"/>
              </w:rPr>
            </w:pPr>
            <w:r w:rsidRPr="0FCC8A84">
              <w:rPr>
                <w:rFonts w:eastAsiaTheme="minorEastAsia"/>
                <w:i/>
                <w:iCs/>
                <w:sz w:val="20"/>
                <w:lang w:eastAsia="en-US"/>
              </w:rPr>
              <w:t>Rokkantsági, rehabilitációs ellátások</w:t>
            </w:r>
          </w:p>
        </w:tc>
        <w:tc>
          <w:tcPr>
            <w:tcW w:w="19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26C329" w14:textId="77777777" w:rsidR="00717B8C" w:rsidRPr="00717B8C" w:rsidRDefault="0FCC8A84" w:rsidP="0FCC8A84">
            <w:pPr>
              <w:spacing w:after="0" w:line="276" w:lineRule="auto"/>
              <w:jc w:val="right"/>
              <w:rPr>
                <w:rFonts w:eastAsiaTheme="minorEastAsia"/>
                <w:sz w:val="20"/>
                <w:lang w:eastAsia="en-US"/>
              </w:rPr>
            </w:pPr>
            <w:r w:rsidRPr="0FCC8A84">
              <w:rPr>
                <w:rFonts w:eastAsiaTheme="minorEastAsia"/>
                <w:sz w:val="20"/>
                <w:lang w:eastAsia="en-US"/>
              </w:rPr>
              <w:t>114,3</w:t>
            </w:r>
          </w:p>
        </w:tc>
        <w:tc>
          <w:tcPr>
            <w:tcW w:w="9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19EFBB" w14:textId="77777777" w:rsidR="00717B8C" w:rsidRPr="00717B8C" w:rsidRDefault="0FCC8A84" w:rsidP="0FCC8A84">
            <w:pPr>
              <w:spacing w:after="0" w:line="276" w:lineRule="auto"/>
              <w:jc w:val="right"/>
              <w:rPr>
                <w:rFonts w:eastAsiaTheme="minorEastAsia"/>
                <w:sz w:val="20"/>
                <w:lang w:eastAsia="en-US"/>
              </w:rPr>
            </w:pPr>
            <w:r w:rsidRPr="0FCC8A84">
              <w:rPr>
                <w:rFonts w:eastAsiaTheme="minorEastAsia"/>
                <w:sz w:val="20"/>
                <w:lang w:eastAsia="en-US"/>
              </w:rPr>
              <w:t>120,9</w:t>
            </w:r>
          </w:p>
        </w:tc>
        <w:tc>
          <w:tcPr>
            <w:tcW w:w="75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0ED217" w14:textId="77777777" w:rsidR="00717B8C" w:rsidRPr="00717B8C" w:rsidRDefault="0FCC8A84" w:rsidP="0FCC8A84">
            <w:pPr>
              <w:spacing w:after="0" w:line="276" w:lineRule="auto"/>
              <w:jc w:val="right"/>
              <w:rPr>
                <w:rFonts w:eastAsiaTheme="minorEastAsia"/>
                <w:sz w:val="20"/>
                <w:lang w:eastAsia="en-US"/>
              </w:rPr>
            </w:pPr>
            <w:r w:rsidRPr="0FCC8A84">
              <w:rPr>
                <w:rFonts w:eastAsiaTheme="minorEastAsia"/>
                <w:sz w:val="20"/>
                <w:lang w:eastAsia="en-US"/>
              </w:rPr>
              <w:t>6,</w:t>
            </w:r>
            <w:proofErr w:type="spellStart"/>
            <w:r w:rsidRPr="0FCC8A84">
              <w:rPr>
                <w:rFonts w:eastAsiaTheme="minorEastAsia"/>
                <w:sz w:val="20"/>
                <w:lang w:eastAsia="en-US"/>
              </w:rPr>
              <w:t>6</w:t>
            </w:r>
            <w:proofErr w:type="spellEnd"/>
            <w:r w:rsidRPr="0FCC8A84">
              <w:rPr>
                <w:rFonts w:eastAsiaTheme="minorEastAsia"/>
                <w:sz w:val="20"/>
                <w:lang w:eastAsia="en-US"/>
              </w:rPr>
              <w:t xml:space="preserve"> </w:t>
            </w:r>
          </w:p>
        </w:tc>
        <w:tc>
          <w:tcPr>
            <w:tcW w:w="9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9EB19D" w14:textId="77777777" w:rsidR="00717B8C" w:rsidRPr="00717B8C" w:rsidRDefault="0FCC8A84" w:rsidP="0FCC8A84">
            <w:pPr>
              <w:spacing w:after="0" w:line="276" w:lineRule="auto"/>
              <w:jc w:val="right"/>
              <w:rPr>
                <w:rFonts w:eastAsiaTheme="minorEastAsia"/>
                <w:sz w:val="20"/>
                <w:lang w:eastAsia="en-US"/>
              </w:rPr>
            </w:pPr>
            <w:r w:rsidRPr="0FCC8A84">
              <w:rPr>
                <w:rFonts w:eastAsiaTheme="minorEastAsia"/>
                <w:sz w:val="20"/>
                <w:lang w:eastAsia="en-US"/>
              </w:rPr>
              <w:t>105,8</w:t>
            </w:r>
          </w:p>
        </w:tc>
      </w:tr>
      <w:tr w:rsidR="00717B8C" w:rsidRPr="00717B8C" w14:paraId="49302A6D" w14:textId="77777777" w:rsidTr="0FCC8A84">
        <w:trPr>
          <w:trHeight w:val="306"/>
        </w:trPr>
        <w:tc>
          <w:tcPr>
            <w:tcW w:w="41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837A810" w14:textId="77777777" w:rsidR="00717B8C" w:rsidRPr="00717B8C" w:rsidRDefault="0FCC8A84" w:rsidP="0FCC8A84">
            <w:pPr>
              <w:spacing w:after="0" w:line="276" w:lineRule="auto"/>
              <w:ind w:firstLine="568"/>
              <w:jc w:val="left"/>
              <w:rPr>
                <w:rFonts w:eastAsiaTheme="minorEastAsia"/>
                <w:i/>
                <w:iCs/>
                <w:sz w:val="20"/>
                <w:lang w:eastAsia="en-US"/>
              </w:rPr>
            </w:pPr>
            <w:r w:rsidRPr="0FCC8A84">
              <w:rPr>
                <w:rFonts w:eastAsiaTheme="minorEastAsia"/>
                <w:i/>
                <w:iCs/>
                <w:sz w:val="20"/>
                <w:lang w:eastAsia="en-US"/>
              </w:rPr>
              <w:t>Gyermekgondozási díj</w:t>
            </w:r>
          </w:p>
        </w:tc>
        <w:tc>
          <w:tcPr>
            <w:tcW w:w="19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372E8D" w14:textId="79E00540" w:rsidR="00717B8C" w:rsidRPr="00717B8C" w:rsidRDefault="00891A44" w:rsidP="00891A44">
            <w:pPr>
              <w:spacing w:after="0" w:line="276" w:lineRule="auto"/>
              <w:jc w:val="right"/>
              <w:rPr>
                <w:rFonts w:eastAsiaTheme="minorEastAsia"/>
                <w:sz w:val="20"/>
                <w:lang w:eastAsia="en-US"/>
              </w:rPr>
            </w:pPr>
            <w:r>
              <w:rPr>
                <w:rFonts w:eastAsiaTheme="minorEastAsia"/>
                <w:sz w:val="20"/>
                <w:lang w:eastAsia="en-US"/>
              </w:rPr>
              <w:t>90,0</w:t>
            </w:r>
          </w:p>
        </w:tc>
        <w:tc>
          <w:tcPr>
            <w:tcW w:w="9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01AEAB" w14:textId="77777777" w:rsidR="00717B8C" w:rsidRPr="00717B8C" w:rsidRDefault="0FCC8A84" w:rsidP="0FCC8A84">
            <w:pPr>
              <w:spacing w:after="0" w:line="276" w:lineRule="auto"/>
              <w:jc w:val="right"/>
              <w:rPr>
                <w:rFonts w:eastAsiaTheme="minorEastAsia"/>
                <w:sz w:val="20"/>
                <w:lang w:eastAsia="en-US"/>
              </w:rPr>
            </w:pPr>
            <w:r w:rsidRPr="0FCC8A84">
              <w:rPr>
                <w:rFonts w:eastAsiaTheme="minorEastAsia"/>
                <w:sz w:val="20"/>
                <w:lang w:eastAsia="en-US"/>
              </w:rPr>
              <w:t>100,1</w:t>
            </w:r>
          </w:p>
        </w:tc>
        <w:tc>
          <w:tcPr>
            <w:tcW w:w="75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96889F" w14:textId="2825B2E8" w:rsidR="00717B8C" w:rsidRPr="00717B8C" w:rsidRDefault="0FCC8A84" w:rsidP="006174C8">
            <w:pPr>
              <w:spacing w:after="0" w:line="276" w:lineRule="auto"/>
              <w:jc w:val="right"/>
              <w:rPr>
                <w:rFonts w:eastAsiaTheme="minorEastAsia"/>
                <w:sz w:val="20"/>
                <w:lang w:eastAsia="en-US"/>
              </w:rPr>
            </w:pPr>
            <w:r w:rsidRPr="0FCC8A84">
              <w:rPr>
                <w:rFonts w:eastAsiaTheme="minorEastAsia"/>
                <w:sz w:val="20"/>
                <w:lang w:eastAsia="en-US"/>
              </w:rPr>
              <w:t>10,</w:t>
            </w:r>
            <w:r w:rsidR="006174C8">
              <w:rPr>
                <w:rFonts w:eastAsiaTheme="minorEastAsia"/>
                <w:sz w:val="20"/>
                <w:lang w:eastAsia="en-US"/>
              </w:rPr>
              <w:t>1</w:t>
            </w:r>
          </w:p>
        </w:tc>
        <w:tc>
          <w:tcPr>
            <w:tcW w:w="9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0425EF" w14:textId="172AB900" w:rsidR="00717B8C" w:rsidRPr="00717B8C" w:rsidRDefault="0FCC8A84" w:rsidP="005B2161">
            <w:pPr>
              <w:spacing w:after="0" w:line="276" w:lineRule="auto"/>
              <w:jc w:val="right"/>
              <w:rPr>
                <w:rFonts w:eastAsiaTheme="minorEastAsia"/>
                <w:sz w:val="20"/>
                <w:lang w:eastAsia="en-US"/>
              </w:rPr>
            </w:pPr>
            <w:r w:rsidRPr="0FCC8A84">
              <w:rPr>
                <w:rFonts w:eastAsiaTheme="minorEastAsia"/>
                <w:sz w:val="20"/>
                <w:lang w:eastAsia="en-US"/>
              </w:rPr>
              <w:t>111,</w:t>
            </w:r>
            <w:r w:rsidR="005B2161">
              <w:rPr>
                <w:rFonts w:eastAsiaTheme="minorEastAsia"/>
                <w:sz w:val="20"/>
                <w:lang w:eastAsia="en-US"/>
              </w:rPr>
              <w:t>2</w:t>
            </w:r>
          </w:p>
        </w:tc>
      </w:tr>
      <w:tr w:rsidR="00717B8C" w:rsidRPr="00717B8C" w14:paraId="7649BA46" w14:textId="77777777" w:rsidTr="0FCC8A84">
        <w:trPr>
          <w:trHeight w:val="306"/>
        </w:trPr>
        <w:tc>
          <w:tcPr>
            <w:tcW w:w="418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D860F4" w14:textId="77777777" w:rsidR="00717B8C" w:rsidRPr="00717B8C" w:rsidRDefault="0FCC8A84" w:rsidP="0FCC8A84">
            <w:pPr>
              <w:spacing w:after="0" w:line="276" w:lineRule="auto"/>
              <w:ind w:firstLine="568"/>
              <w:jc w:val="left"/>
              <w:rPr>
                <w:rFonts w:eastAsiaTheme="minorEastAsia"/>
                <w:i/>
                <w:iCs/>
                <w:sz w:val="20"/>
                <w:lang w:eastAsia="en-US"/>
              </w:rPr>
            </w:pPr>
            <w:r w:rsidRPr="0FCC8A84">
              <w:rPr>
                <w:rFonts w:eastAsiaTheme="minorEastAsia"/>
                <w:i/>
                <w:iCs/>
                <w:sz w:val="20"/>
                <w:lang w:eastAsia="en-US"/>
              </w:rPr>
              <w:t>Táppénz</w:t>
            </w:r>
          </w:p>
        </w:tc>
        <w:tc>
          <w:tcPr>
            <w:tcW w:w="19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0C43D0" w14:textId="77777777" w:rsidR="00717B8C" w:rsidRPr="00717B8C" w:rsidRDefault="0FCC8A84" w:rsidP="0FCC8A84">
            <w:pPr>
              <w:spacing w:after="0" w:line="276" w:lineRule="auto"/>
              <w:jc w:val="right"/>
              <w:rPr>
                <w:rFonts w:eastAsiaTheme="minorEastAsia"/>
                <w:sz w:val="20"/>
                <w:lang w:eastAsia="en-US"/>
              </w:rPr>
            </w:pPr>
            <w:r w:rsidRPr="0FCC8A84">
              <w:rPr>
                <w:rFonts w:eastAsiaTheme="minorEastAsia"/>
                <w:sz w:val="20"/>
                <w:lang w:eastAsia="en-US"/>
              </w:rPr>
              <w:t>62,7</w:t>
            </w:r>
          </w:p>
        </w:tc>
        <w:tc>
          <w:tcPr>
            <w:tcW w:w="9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924DDE" w14:textId="77777777" w:rsidR="00717B8C" w:rsidRPr="00717B8C" w:rsidRDefault="0FCC8A84" w:rsidP="0FCC8A84">
            <w:pPr>
              <w:spacing w:after="0" w:line="276" w:lineRule="auto"/>
              <w:jc w:val="right"/>
              <w:rPr>
                <w:rFonts w:eastAsiaTheme="minorEastAsia"/>
                <w:sz w:val="20"/>
                <w:lang w:eastAsia="en-US"/>
              </w:rPr>
            </w:pPr>
            <w:r w:rsidRPr="0FCC8A84">
              <w:rPr>
                <w:rFonts w:eastAsiaTheme="minorEastAsia"/>
                <w:sz w:val="20"/>
                <w:lang w:eastAsia="en-US"/>
              </w:rPr>
              <w:t>72,3</w:t>
            </w:r>
          </w:p>
        </w:tc>
        <w:tc>
          <w:tcPr>
            <w:tcW w:w="75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C2062F" w14:textId="77777777" w:rsidR="00717B8C" w:rsidRPr="00717B8C" w:rsidRDefault="0FCC8A84" w:rsidP="0FCC8A84">
            <w:pPr>
              <w:spacing w:after="0" w:line="276" w:lineRule="auto"/>
              <w:jc w:val="right"/>
              <w:rPr>
                <w:rFonts w:eastAsiaTheme="minorEastAsia"/>
                <w:sz w:val="20"/>
                <w:lang w:eastAsia="en-US"/>
              </w:rPr>
            </w:pPr>
            <w:r w:rsidRPr="0FCC8A84">
              <w:rPr>
                <w:rFonts w:eastAsiaTheme="minorEastAsia"/>
                <w:sz w:val="20"/>
                <w:lang w:eastAsia="en-US"/>
              </w:rPr>
              <w:t>9,6</w:t>
            </w:r>
          </w:p>
        </w:tc>
        <w:tc>
          <w:tcPr>
            <w:tcW w:w="9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73E5F5" w14:textId="77777777" w:rsidR="00717B8C" w:rsidRPr="00717B8C" w:rsidRDefault="0FCC8A84" w:rsidP="0FCC8A84">
            <w:pPr>
              <w:spacing w:after="0" w:line="276" w:lineRule="auto"/>
              <w:jc w:val="right"/>
              <w:rPr>
                <w:rFonts w:eastAsiaTheme="minorEastAsia"/>
                <w:sz w:val="20"/>
                <w:lang w:eastAsia="en-US"/>
              </w:rPr>
            </w:pPr>
            <w:r w:rsidRPr="0FCC8A84">
              <w:rPr>
                <w:rFonts w:eastAsiaTheme="minorEastAsia"/>
                <w:sz w:val="20"/>
                <w:lang w:eastAsia="en-US"/>
              </w:rPr>
              <w:t>115,3</w:t>
            </w:r>
          </w:p>
        </w:tc>
      </w:tr>
    </w:tbl>
    <w:p w14:paraId="581775F6" w14:textId="77777777" w:rsidR="00D339FF" w:rsidRPr="00717B8C" w:rsidRDefault="00D339FF" w:rsidP="1CC825AF"/>
    <w:p w14:paraId="23B6ED41" w14:textId="130AA479" w:rsidR="00717B8C" w:rsidRDefault="0FCC8A84" w:rsidP="00717B8C">
      <w:r>
        <w:t xml:space="preserve">A </w:t>
      </w:r>
      <w:r w:rsidRPr="0FCC8A84">
        <w:rPr>
          <w:b/>
          <w:bCs/>
        </w:rPr>
        <w:t>gyógyító-megelőző ellátásokra</w:t>
      </w:r>
      <w:r>
        <w:t xml:space="preserve"> fordított kiadás </w:t>
      </w:r>
      <w:r w:rsidR="00BA7CE0">
        <w:t xml:space="preserve">a </w:t>
      </w:r>
      <w:r>
        <w:t>2021.</w:t>
      </w:r>
      <w:r w:rsidR="00BA7CE0">
        <w:t xml:space="preserve"> év</w:t>
      </w:r>
      <w:r>
        <w:t xml:space="preserve"> I-V. hónapjában 722,2</w:t>
      </w:r>
      <w:r w:rsidR="00BA7CE0">
        <w:t> </w:t>
      </w:r>
      <w:r>
        <w:t>milliárd forintot tett ki a 2020. azonos időszaki 635,3</w:t>
      </w:r>
      <w:r w:rsidR="00BA7CE0">
        <w:t> </w:t>
      </w:r>
      <w:r>
        <w:t xml:space="preserve">milliárd forinttal szemben. Az előző évhez viszonyított magasabb összegű kiadás jelentős részben a célelőirányzatoknál (a 2020. novemberi 20%-os, 2018. évi bérhez viszonyított egészségügyi szakdolgozói béremeléssel, valamint a 2021. januártól bevezetett, az állami és önkormányzati fekvő- és </w:t>
      </w:r>
      <w:proofErr w:type="spellStart"/>
      <w:r>
        <w:t>járóbeteg</w:t>
      </w:r>
      <w:proofErr w:type="spellEnd"/>
      <w:r>
        <w:t xml:space="preserve"> ellátásban dolgozó orvosok béremelésével összefüggően), valamint a háziorvosok, fogorvosok és szakdolgozóik bértámogatásával kapcsolatosan, továbbá a </w:t>
      </w:r>
      <w:r w:rsidR="009A0576">
        <w:t>„</w:t>
      </w:r>
      <w:proofErr w:type="spellStart"/>
      <w:r>
        <w:t>Nagyértékű</w:t>
      </w:r>
      <w:proofErr w:type="spellEnd"/>
      <w:r>
        <w:t xml:space="preserve"> gyógyszer</w:t>
      </w:r>
      <w:r w:rsidR="009A0576">
        <w:t>-</w:t>
      </w:r>
      <w:r>
        <w:t>finanszírozásnál</w:t>
      </w:r>
      <w:r w:rsidR="009A0576">
        <w:t>”</w:t>
      </w:r>
      <w:r>
        <w:t xml:space="preserve"> jelentkezik.</w:t>
      </w:r>
    </w:p>
    <w:p w14:paraId="195D74C7" w14:textId="7DFB32A7" w:rsidR="00496FF5" w:rsidRDefault="0FCC8A84" w:rsidP="18D595FA">
      <w:r w:rsidRPr="0FCC8A84">
        <w:rPr>
          <w:b/>
          <w:bCs/>
        </w:rPr>
        <w:t>Gyógyszertámogatásra</w:t>
      </w:r>
      <w:r>
        <w:t xml:space="preserve"> </w:t>
      </w:r>
      <w:r w:rsidR="00291B73">
        <w:t xml:space="preserve">a </w:t>
      </w:r>
      <w:r>
        <w:t>2021.</w:t>
      </w:r>
      <w:r w:rsidR="00291B73">
        <w:t xml:space="preserve"> év</w:t>
      </w:r>
      <w:r>
        <w:t xml:space="preserve"> I-V. hónapjában 166,9</w:t>
      </w:r>
      <w:r w:rsidR="00291B73">
        <w:t> </w:t>
      </w:r>
      <w:r>
        <w:t>milliárd forintot fordítottak, amely 5,4</w:t>
      </w:r>
      <w:r w:rsidR="00291B73">
        <w:t> </w:t>
      </w:r>
      <w:r>
        <w:t>milliárd forinttal marad</w:t>
      </w:r>
      <w:r w:rsidR="00291B73">
        <w:t>t el</w:t>
      </w:r>
      <w:r>
        <w:t xml:space="preserve"> az előző év azonos időszakában kifizetett össz</w:t>
      </w:r>
      <w:r w:rsidR="002B4693">
        <w:t>eg</w:t>
      </w:r>
      <w:r w:rsidR="00291B73">
        <w:t>től</w:t>
      </w:r>
      <w:r w:rsidR="002B4693">
        <w:t>.</w:t>
      </w:r>
      <w:r w:rsidR="00496FF5">
        <w:br w:type="page"/>
      </w:r>
    </w:p>
    <w:p w14:paraId="5D4F03CB" w14:textId="6C116392" w:rsidR="003E5ED6" w:rsidRDefault="0FCC8A84" w:rsidP="0FCC8A84">
      <w:pPr>
        <w:pStyle w:val="Cmsor3"/>
        <w:numPr>
          <w:ilvl w:val="0"/>
          <w:numId w:val="8"/>
        </w:numPr>
        <w:spacing w:before="0" w:after="120"/>
        <w:jc w:val="left"/>
        <w:rPr>
          <w:sz w:val="26"/>
          <w:szCs w:val="26"/>
        </w:rPr>
      </w:pPr>
      <w:r w:rsidRPr="0FCC8A84">
        <w:rPr>
          <w:sz w:val="26"/>
          <w:szCs w:val="26"/>
        </w:rPr>
        <w:lastRenderedPageBreak/>
        <w:t xml:space="preserve">A költségvetési szervek és fejezeti kezelésű előirányzatok alakulása </w:t>
      </w:r>
    </w:p>
    <w:p w14:paraId="2972818C" w14:textId="77777777" w:rsidR="00953258" w:rsidRPr="00953258" w:rsidRDefault="00953258" w:rsidP="00953258"/>
    <w:p w14:paraId="061035F1" w14:textId="2BBF1CB0" w:rsidR="006875A7" w:rsidRDefault="00733497" w:rsidP="00733497">
      <w:r>
        <w:t xml:space="preserve">2021 első öt hónapjában a </w:t>
      </w:r>
      <w:r w:rsidRPr="0FCC8A84">
        <w:rPr>
          <w:b/>
          <w:bCs/>
        </w:rPr>
        <w:t>költségvetési szervek bevételei</w:t>
      </w:r>
      <w:r>
        <w:t xml:space="preserve"> összesen </w:t>
      </w:r>
      <w:r w:rsidR="006875A7">
        <w:t>855,5</w:t>
      </w:r>
      <w:r w:rsidR="0005486C">
        <w:t> </w:t>
      </w:r>
      <w:r w:rsidR="006875A7">
        <w:t>milliárd forintot tettek ki, amely 1,3%-kal alacsonyabb az előző év azonos időszakához képest. Az intézmények bevételei közül a következő jelentősebb tételek emelhetők ki: 489,1</w:t>
      </w:r>
      <w:r w:rsidR="0005486C">
        <w:t> </w:t>
      </w:r>
      <w:r w:rsidR="006875A7">
        <w:t>milliárd forint a Nemzeti Egészségbiztosítási Alapkezelő által az egészségügyi intézményeknek utalt támogatás, valamint 88,7</w:t>
      </w:r>
      <w:r w:rsidR="0005486C">
        <w:t> </w:t>
      </w:r>
      <w:r w:rsidR="006875A7">
        <w:t>milliárd forint a 2014-2020 közötti kohéziós politikai operatív programok előirányzat-felhasználási számlájáról közvetlenül érkezett bevétel, több intézmény részére, különböző projektek támogatási előlegeként.</w:t>
      </w:r>
    </w:p>
    <w:p w14:paraId="1115C152" w14:textId="5E80DEEE" w:rsidR="00EA4155" w:rsidRDefault="00EA4155" w:rsidP="00EA4155">
      <w:r>
        <w:t xml:space="preserve">A </w:t>
      </w:r>
      <w:r w:rsidRPr="0FCC8A84">
        <w:rPr>
          <w:b/>
          <w:bCs/>
        </w:rPr>
        <w:t>szakmai fejezeti kezelésű előirányzatok saját bevétele</w:t>
      </w:r>
      <w:r>
        <w:t xml:space="preserve"> mérlegsoron 2021 első </w:t>
      </w:r>
      <w:r w:rsidR="006B5B42">
        <w:t>öt</w:t>
      </w:r>
      <w:r>
        <w:t xml:space="preserve"> hónapjában 272,9</w:t>
      </w:r>
      <w:r w:rsidR="007E3FE6">
        <w:t> </w:t>
      </w:r>
      <w:r>
        <w:t>milliárd forint bevétel keletkezett, mely 28,3</w:t>
      </w:r>
      <w:r w:rsidR="007E3FE6">
        <w:t> </w:t>
      </w:r>
      <w:r>
        <w:t>milliárd forinttal magasabb az előző év azonos időszakának bevételeihez képest. A bevételek meghatározó részét (155,3</w:t>
      </w:r>
      <w:r w:rsidR="007E3FE6">
        <w:t> </w:t>
      </w:r>
      <w:r>
        <w:t>milliárd forint) az „Alapok alapja GINOP pénzügyi eszközök” törvényi sora teszi ki, mely nem uniós bevételként jóváírt tétel.</w:t>
      </w:r>
    </w:p>
    <w:p w14:paraId="7341921A" w14:textId="44720A7B" w:rsidR="00B654A9" w:rsidRDefault="0FCC8A84" w:rsidP="007D6662">
      <w:pPr>
        <w:spacing w:before="120"/>
      </w:pPr>
      <w:r w:rsidRPr="0FCC8A84">
        <w:rPr>
          <w:b/>
          <w:bCs/>
        </w:rPr>
        <w:t>A 2021. május végi, több mint 1128 milliárd forint összegű bevételek</w:t>
      </w:r>
      <w:r>
        <w:t xml:space="preserve"> megoszlását a következő grafikon szemlélteti:</w:t>
      </w:r>
    </w:p>
    <w:p w14:paraId="65BDCAB2" w14:textId="22D0507E" w:rsidR="0038494D" w:rsidRDefault="007A7A42" w:rsidP="00A83A7D">
      <w:pPr>
        <w:rPr>
          <w:szCs w:val="26"/>
        </w:rPr>
      </w:pPr>
      <w:r>
        <w:rPr>
          <w:noProof/>
          <w:szCs w:val="26"/>
        </w:rPr>
        <w:drawing>
          <wp:inline distT="0" distB="0" distL="0" distR="0" wp14:anchorId="2CACA8C6" wp14:editId="0F4B824B">
            <wp:extent cx="5940425" cy="3137535"/>
            <wp:effectExtent l="0" t="0" r="3175" b="5715"/>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zervek_fejkezek_bevételei.png"/>
                    <pic:cNvPicPr/>
                  </pic:nvPicPr>
                  <pic:blipFill>
                    <a:blip r:embed="rId22">
                      <a:extLst>
                        <a:ext uri="{28A0092B-C50C-407E-A947-70E740481C1C}">
                          <a14:useLocalDpi xmlns:a14="http://schemas.microsoft.com/office/drawing/2010/main" val="0"/>
                        </a:ext>
                      </a:extLst>
                    </a:blip>
                    <a:stretch>
                      <a:fillRect/>
                    </a:stretch>
                  </pic:blipFill>
                  <pic:spPr>
                    <a:xfrm>
                      <a:off x="0" y="0"/>
                      <a:ext cx="5940425" cy="3137535"/>
                    </a:xfrm>
                    <a:prstGeom prst="rect">
                      <a:avLst/>
                    </a:prstGeom>
                  </pic:spPr>
                </pic:pic>
              </a:graphicData>
            </a:graphic>
          </wp:inline>
        </w:drawing>
      </w:r>
    </w:p>
    <w:p w14:paraId="36191587" w14:textId="3249EA9E" w:rsidR="00F12457" w:rsidRDefault="00F12457" w:rsidP="00A83A7D">
      <w:pPr>
        <w:rPr>
          <w:szCs w:val="26"/>
        </w:rPr>
      </w:pPr>
      <w:r>
        <w:rPr>
          <w:szCs w:val="26"/>
        </w:rPr>
        <w:br w:type="page"/>
      </w:r>
    </w:p>
    <w:p w14:paraId="3C9B8626" w14:textId="47068BDD" w:rsidR="002235F8" w:rsidRDefault="0FCC8A84" w:rsidP="002235F8">
      <w:r>
        <w:lastRenderedPageBreak/>
        <w:t>A</w:t>
      </w:r>
      <w:r w:rsidRPr="0FCC8A84">
        <w:rPr>
          <w:b/>
          <w:bCs/>
        </w:rPr>
        <w:t xml:space="preserve"> </w:t>
      </w:r>
      <w:r>
        <w:t>„</w:t>
      </w:r>
      <w:r w:rsidRPr="0FCC8A84">
        <w:rPr>
          <w:b/>
          <w:bCs/>
        </w:rPr>
        <w:t>Költségvetési szervek kiadásai</w:t>
      </w:r>
      <w:r>
        <w:t xml:space="preserve">” mérlegsoron 2021 első </w:t>
      </w:r>
      <w:r w:rsidR="008970DB">
        <w:t>öt</w:t>
      </w:r>
      <w:r>
        <w:t xml:space="preserve"> hónapjában 2</w:t>
      </w:r>
      <w:r w:rsidR="008970DB">
        <w:t>769,6</w:t>
      </w:r>
      <w:r>
        <w:t xml:space="preserve"> milliárd forint kiadás teljesült, mely </w:t>
      </w:r>
      <w:r w:rsidR="008970DB">
        <w:t>8,4</w:t>
      </w:r>
      <w:r>
        <w:t>%-kal volt alacsonyabb, mint az előző év azonos időszakának a kiadása. Az intézmények forgalmából 1</w:t>
      </w:r>
      <w:r w:rsidR="008970DB">
        <w:t>549,4</w:t>
      </w:r>
      <w:r>
        <w:t xml:space="preserve"> milliárd forintot tett ki a személyi juttatásokra és munkaadókat terhelő járulékokra kifizetett összeg, mely </w:t>
      </w:r>
      <w:r w:rsidR="008970DB">
        <w:t>144,7</w:t>
      </w:r>
      <w:r>
        <w:t xml:space="preserve"> milliárd forinttal magasabb, mint az előző év azonos időszakának kiadása. </w:t>
      </w:r>
      <w:proofErr w:type="gramStart"/>
      <w:r>
        <w:t>Ezenkívül</w:t>
      </w:r>
      <w:proofErr w:type="gramEnd"/>
      <w:r>
        <w:t xml:space="preserve"> az alábbi nagyobb összegű kifizetések történtek: </w:t>
      </w:r>
    </w:p>
    <w:p w14:paraId="3306FAE9" w14:textId="77777777" w:rsidR="00CC7C80" w:rsidRPr="00CC7C80" w:rsidRDefault="0FCC8A84" w:rsidP="0FCC8A84">
      <w:pPr>
        <w:spacing w:before="120"/>
        <w:jc w:val="right"/>
        <w:rPr>
          <w:i/>
          <w:iCs/>
          <w:sz w:val="20"/>
        </w:rPr>
      </w:pPr>
      <w:proofErr w:type="gramStart"/>
      <w:r w:rsidRPr="0FCC8A84">
        <w:rPr>
          <w:i/>
          <w:iCs/>
          <w:sz w:val="20"/>
        </w:rPr>
        <w:t>milliárd</w:t>
      </w:r>
      <w:proofErr w:type="gramEnd"/>
      <w:r w:rsidRPr="0FCC8A84">
        <w:rPr>
          <w:i/>
          <w:iCs/>
          <w:sz w:val="20"/>
        </w:rPr>
        <w:t xml:space="preserve"> forint</w:t>
      </w:r>
    </w:p>
    <w:tbl>
      <w:tblPr>
        <w:tblStyle w:val="Rcsostblzat"/>
        <w:tblW w:w="0" w:type="auto"/>
        <w:tblLook w:val="04A0" w:firstRow="1" w:lastRow="0" w:firstColumn="1" w:lastColumn="0" w:noHBand="0" w:noVBand="1"/>
      </w:tblPr>
      <w:tblGrid>
        <w:gridCol w:w="3300"/>
        <w:gridCol w:w="5274"/>
        <w:gridCol w:w="771"/>
      </w:tblGrid>
      <w:tr w:rsidR="00CC7C80" w:rsidRPr="00CC7C80" w14:paraId="405A761B" w14:textId="77777777" w:rsidTr="0FCC8A84">
        <w:tc>
          <w:tcPr>
            <w:tcW w:w="3369" w:type="dxa"/>
          </w:tcPr>
          <w:p w14:paraId="2DD48879" w14:textId="77777777" w:rsidR="00CC7C80" w:rsidRPr="00CC7C80" w:rsidRDefault="0FCC8A84" w:rsidP="0FCC8A84">
            <w:pPr>
              <w:spacing w:before="60" w:after="60"/>
              <w:jc w:val="left"/>
              <w:rPr>
                <w:sz w:val="20"/>
              </w:rPr>
            </w:pPr>
            <w:r w:rsidRPr="0FCC8A84">
              <w:rPr>
                <w:sz w:val="20"/>
              </w:rPr>
              <w:t>Honvédelmi Minisztérium Védelemgazdasági Hivatal Anyagellátó Raktárbázis Központ</w:t>
            </w:r>
          </w:p>
        </w:tc>
        <w:tc>
          <w:tcPr>
            <w:tcW w:w="5426" w:type="dxa"/>
          </w:tcPr>
          <w:p w14:paraId="4D845CE7" w14:textId="166363AD" w:rsidR="00CC7C80" w:rsidRPr="00CC7C80" w:rsidRDefault="0FCC8A84" w:rsidP="0FCC8A84">
            <w:pPr>
              <w:spacing w:before="60" w:after="60"/>
              <w:jc w:val="left"/>
              <w:rPr>
                <w:sz w:val="20"/>
              </w:rPr>
            </w:pPr>
            <w:r w:rsidRPr="0FCC8A84">
              <w:rPr>
                <w:sz w:val="20"/>
              </w:rPr>
              <w:t xml:space="preserve">Döntő részben </w:t>
            </w:r>
            <w:proofErr w:type="spellStart"/>
            <w:r w:rsidRPr="0FCC8A84">
              <w:rPr>
                <w:sz w:val="20"/>
              </w:rPr>
              <w:t>helikopterbeszerzés</w:t>
            </w:r>
            <w:proofErr w:type="spellEnd"/>
            <w:r w:rsidRPr="0FCC8A84">
              <w:rPr>
                <w:sz w:val="20"/>
              </w:rPr>
              <w:t xml:space="preserve"> és </w:t>
            </w:r>
            <w:proofErr w:type="spellStart"/>
            <w:r w:rsidRPr="0FCC8A84">
              <w:rPr>
                <w:sz w:val="20"/>
              </w:rPr>
              <w:t>Lynx</w:t>
            </w:r>
            <w:proofErr w:type="spellEnd"/>
            <w:r w:rsidRPr="0FCC8A84">
              <w:rPr>
                <w:sz w:val="20"/>
              </w:rPr>
              <w:t xml:space="preserve"> Program (gyalogsági </w:t>
            </w:r>
            <w:proofErr w:type="spellStart"/>
            <w:r w:rsidRPr="0FCC8A84">
              <w:rPr>
                <w:sz w:val="20"/>
              </w:rPr>
              <w:t>harcjárműcsalád</w:t>
            </w:r>
            <w:proofErr w:type="spellEnd"/>
            <w:r w:rsidRPr="0FCC8A84">
              <w:rPr>
                <w:sz w:val="20"/>
              </w:rPr>
              <w:t>)</w:t>
            </w:r>
          </w:p>
        </w:tc>
        <w:tc>
          <w:tcPr>
            <w:tcW w:w="776" w:type="dxa"/>
          </w:tcPr>
          <w:p w14:paraId="69ECE6AD" w14:textId="7E09A789" w:rsidR="00CC7C80" w:rsidRPr="00CC7C80" w:rsidRDefault="0FCC8A84" w:rsidP="0FCC8A84">
            <w:pPr>
              <w:spacing w:before="60" w:after="60"/>
              <w:jc w:val="right"/>
              <w:rPr>
                <w:sz w:val="20"/>
              </w:rPr>
            </w:pPr>
            <w:r w:rsidRPr="0FCC8A84">
              <w:rPr>
                <w:sz w:val="20"/>
              </w:rPr>
              <w:t>140,6</w:t>
            </w:r>
          </w:p>
        </w:tc>
      </w:tr>
      <w:tr w:rsidR="00CC7C80" w:rsidRPr="00CC7C80" w14:paraId="7C5D78F4" w14:textId="77777777" w:rsidTr="0FCC8A84">
        <w:tc>
          <w:tcPr>
            <w:tcW w:w="3369" w:type="dxa"/>
          </w:tcPr>
          <w:p w14:paraId="6971BBEE" w14:textId="77777777" w:rsidR="00CC7C80" w:rsidRPr="00CC7C80" w:rsidRDefault="0FCC8A84" w:rsidP="0FCC8A84">
            <w:pPr>
              <w:spacing w:before="60" w:after="60"/>
              <w:jc w:val="left"/>
              <w:rPr>
                <w:sz w:val="20"/>
              </w:rPr>
            </w:pPr>
            <w:r w:rsidRPr="0FCC8A84">
              <w:rPr>
                <w:sz w:val="20"/>
              </w:rPr>
              <w:t>Nemzeti Népegészségügyi Központ</w:t>
            </w:r>
          </w:p>
        </w:tc>
        <w:tc>
          <w:tcPr>
            <w:tcW w:w="5426" w:type="dxa"/>
          </w:tcPr>
          <w:p w14:paraId="4B43764C" w14:textId="77777777" w:rsidR="00CC7C80" w:rsidRPr="00CC7C80" w:rsidRDefault="0FCC8A84" w:rsidP="0FCC8A84">
            <w:pPr>
              <w:spacing w:before="60" w:after="60"/>
              <w:jc w:val="left"/>
              <w:rPr>
                <w:sz w:val="20"/>
              </w:rPr>
            </w:pPr>
            <w:r w:rsidRPr="0FCC8A84">
              <w:rPr>
                <w:sz w:val="20"/>
              </w:rPr>
              <w:t>Főként a koronavírus-járványhoz kapcsolódó oltóanyag beszerzése</w:t>
            </w:r>
          </w:p>
        </w:tc>
        <w:tc>
          <w:tcPr>
            <w:tcW w:w="776" w:type="dxa"/>
          </w:tcPr>
          <w:p w14:paraId="761E1D78" w14:textId="04806DF9" w:rsidR="00CC7C80" w:rsidRPr="00CC7C80" w:rsidRDefault="0FCC8A84" w:rsidP="00AB2D04">
            <w:pPr>
              <w:spacing w:before="60" w:after="60"/>
              <w:jc w:val="right"/>
              <w:rPr>
                <w:sz w:val="20"/>
              </w:rPr>
            </w:pPr>
            <w:r w:rsidRPr="0FCC8A84">
              <w:rPr>
                <w:sz w:val="20"/>
              </w:rPr>
              <w:t>7</w:t>
            </w:r>
            <w:r w:rsidR="00AB2D04">
              <w:rPr>
                <w:sz w:val="20"/>
              </w:rPr>
              <w:t>2,2</w:t>
            </w:r>
          </w:p>
        </w:tc>
      </w:tr>
      <w:tr w:rsidR="00CC7C80" w:rsidRPr="00CC7C80" w14:paraId="42E99B09" w14:textId="77777777" w:rsidTr="0FCC8A84">
        <w:tc>
          <w:tcPr>
            <w:tcW w:w="3369" w:type="dxa"/>
          </w:tcPr>
          <w:p w14:paraId="28F62C4B" w14:textId="77777777" w:rsidR="00CC7C80" w:rsidRPr="00CC7C80" w:rsidRDefault="0FCC8A84" w:rsidP="0FCC8A84">
            <w:pPr>
              <w:spacing w:before="60" w:after="60"/>
              <w:jc w:val="left"/>
              <w:rPr>
                <w:sz w:val="20"/>
              </w:rPr>
            </w:pPr>
            <w:r w:rsidRPr="0FCC8A84">
              <w:rPr>
                <w:sz w:val="20"/>
              </w:rPr>
              <w:t xml:space="preserve">Országos Kórházi Főigazgatóság </w:t>
            </w:r>
          </w:p>
        </w:tc>
        <w:tc>
          <w:tcPr>
            <w:tcW w:w="5426" w:type="dxa"/>
          </w:tcPr>
          <w:p w14:paraId="070DF245" w14:textId="77777777" w:rsidR="00CC7C80" w:rsidRPr="00CC7C80" w:rsidRDefault="0FCC8A84" w:rsidP="0FCC8A84">
            <w:pPr>
              <w:spacing w:before="60" w:after="60"/>
              <w:jc w:val="left"/>
              <w:rPr>
                <w:sz w:val="20"/>
              </w:rPr>
            </w:pPr>
            <w:r w:rsidRPr="0FCC8A84">
              <w:rPr>
                <w:sz w:val="20"/>
              </w:rPr>
              <w:t>Elsősorban a koronavírus-járványhoz kapcsolódó, valamint egyéb egészségügyi eszközbeszerzések</w:t>
            </w:r>
          </w:p>
        </w:tc>
        <w:tc>
          <w:tcPr>
            <w:tcW w:w="776" w:type="dxa"/>
          </w:tcPr>
          <w:p w14:paraId="3D13FD4F" w14:textId="6D8DBEA0" w:rsidR="00CC7C80" w:rsidRPr="00CC7C80" w:rsidRDefault="00AB2D04" w:rsidP="00AB2D04">
            <w:pPr>
              <w:spacing w:before="60" w:after="60"/>
              <w:jc w:val="right"/>
              <w:rPr>
                <w:sz w:val="20"/>
              </w:rPr>
            </w:pPr>
            <w:r>
              <w:rPr>
                <w:sz w:val="20"/>
              </w:rPr>
              <w:t>59,6</w:t>
            </w:r>
          </w:p>
        </w:tc>
      </w:tr>
      <w:tr w:rsidR="00CC7C80" w:rsidRPr="00CC7C80" w14:paraId="28A201BE" w14:textId="77777777" w:rsidTr="0FCC8A84">
        <w:tc>
          <w:tcPr>
            <w:tcW w:w="3369" w:type="dxa"/>
          </w:tcPr>
          <w:p w14:paraId="16ED9239" w14:textId="77777777" w:rsidR="00CC7C80" w:rsidRPr="00CC7C80" w:rsidRDefault="0FCC8A84" w:rsidP="0FCC8A84">
            <w:pPr>
              <w:spacing w:before="60" w:after="60"/>
              <w:jc w:val="left"/>
              <w:rPr>
                <w:sz w:val="20"/>
              </w:rPr>
            </w:pPr>
            <w:r w:rsidRPr="0FCC8A84">
              <w:rPr>
                <w:sz w:val="20"/>
              </w:rPr>
              <w:t>Külképviseletek Igazgatása</w:t>
            </w:r>
          </w:p>
        </w:tc>
        <w:tc>
          <w:tcPr>
            <w:tcW w:w="5426" w:type="dxa"/>
          </w:tcPr>
          <w:p w14:paraId="330F420A" w14:textId="03FB33A2" w:rsidR="00CC7C80" w:rsidRPr="00CC7C80" w:rsidRDefault="0FCC8A84" w:rsidP="00CB6676">
            <w:pPr>
              <w:spacing w:before="60" w:after="60"/>
              <w:jc w:val="left"/>
              <w:rPr>
                <w:sz w:val="20"/>
              </w:rPr>
            </w:pPr>
            <w:r w:rsidRPr="0FCC8A84">
              <w:rPr>
                <w:sz w:val="20"/>
              </w:rPr>
              <w:t>Főként a koronavírus-járványhoz kapcsolódó beszerzések és a 2021. január-</w:t>
            </w:r>
            <w:r w:rsidR="00AB2D04">
              <w:rPr>
                <w:sz w:val="20"/>
              </w:rPr>
              <w:t>június</w:t>
            </w:r>
            <w:r w:rsidRPr="0FCC8A84">
              <w:rPr>
                <w:sz w:val="20"/>
              </w:rPr>
              <w:t xml:space="preserve"> havi támogatás devizaellátmányra és a kihelyezett dolgozók részére munkabér-átutalás</w:t>
            </w:r>
          </w:p>
        </w:tc>
        <w:tc>
          <w:tcPr>
            <w:tcW w:w="776" w:type="dxa"/>
          </w:tcPr>
          <w:p w14:paraId="6B654F59" w14:textId="3DAC5323" w:rsidR="00CC7C80" w:rsidRPr="00CC7C80" w:rsidRDefault="00AB2D04" w:rsidP="00AB2D04">
            <w:pPr>
              <w:spacing w:before="60" w:after="60"/>
              <w:jc w:val="right"/>
              <w:rPr>
                <w:sz w:val="20"/>
              </w:rPr>
            </w:pPr>
            <w:r>
              <w:rPr>
                <w:sz w:val="20"/>
              </w:rPr>
              <w:t>35,4</w:t>
            </w:r>
          </w:p>
        </w:tc>
      </w:tr>
      <w:tr w:rsidR="00CC7C80" w:rsidRPr="00CC7C80" w14:paraId="1E090860" w14:textId="77777777" w:rsidTr="0FCC8A84">
        <w:tc>
          <w:tcPr>
            <w:tcW w:w="3369" w:type="dxa"/>
          </w:tcPr>
          <w:p w14:paraId="6A29ABF7" w14:textId="77777777" w:rsidR="00CC7C80" w:rsidRPr="00CC7C80" w:rsidRDefault="0FCC8A84" w:rsidP="0FCC8A84">
            <w:pPr>
              <w:spacing w:before="60" w:after="60"/>
              <w:jc w:val="left"/>
              <w:rPr>
                <w:sz w:val="20"/>
              </w:rPr>
            </w:pPr>
            <w:r w:rsidRPr="0FCC8A84">
              <w:rPr>
                <w:sz w:val="20"/>
              </w:rPr>
              <w:t>Országos Vérellátó Szolgálat</w:t>
            </w:r>
          </w:p>
        </w:tc>
        <w:tc>
          <w:tcPr>
            <w:tcW w:w="5426" w:type="dxa"/>
          </w:tcPr>
          <w:p w14:paraId="5BB709AE" w14:textId="655EC66A" w:rsidR="00CC7C80" w:rsidRPr="00CC7C80" w:rsidRDefault="00CB6676" w:rsidP="00CB6676">
            <w:pPr>
              <w:spacing w:before="60" w:after="60"/>
              <w:jc w:val="left"/>
              <w:rPr>
                <w:sz w:val="20"/>
              </w:rPr>
            </w:pPr>
            <w:r>
              <w:rPr>
                <w:sz w:val="20"/>
              </w:rPr>
              <w:t>A koronavírussal kapcsolatos vizsgálathoz</w:t>
            </w:r>
            <w:r w:rsidR="0FCC8A84" w:rsidRPr="0FCC8A84">
              <w:rPr>
                <w:sz w:val="20"/>
              </w:rPr>
              <w:t xml:space="preserve"> szükséges tesztek beszerzése</w:t>
            </w:r>
          </w:p>
        </w:tc>
        <w:tc>
          <w:tcPr>
            <w:tcW w:w="776" w:type="dxa"/>
          </w:tcPr>
          <w:p w14:paraId="17FB4815" w14:textId="7D9AC56C" w:rsidR="00CC7C80" w:rsidRPr="00CC7C80" w:rsidRDefault="0FCC8A84" w:rsidP="0FCC8A84">
            <w:pPr>
              <w:spacing w:before="60" w:after="60"/>
              <w:jc w:val="right"/>
              <w:rPr>
                <w:sz w:val="20"/>
              </w:rPr>
            </w:pPr>
            <w:r w:rsidRPr="0FCC8A84">
              <w:rPr>
                <w:sz w:val="20"/>
              </w:rPr>
              <w:t>26,8</w:t>
            </w:r>
          </w:p>
        </w:tc>
      </w:tr>
    </w:tbl>
    <w:p w14:paraId="5B930DEF" w14:textId="77777777" w:rsidR="00CC7C80" w:rsidRPr="00CC7C80" w:rsidRDefault="00CC7C80" w:rsidP="00CC7C80">
      <w:pPr>
        <w:spacing w:before="120"/>
      </w:pPr>
    </w:p>
    <w:p w14:paraId="6D621A53" w14:textId="3834AF13" w:rsidR="002235F8" w:rsidRPr="002235F8" w:rsidRDefault="0FCC8A84" w:rsidP="002235F8">
      <w:r>
        <w:t>A két év azonos hónapjainak kiadásai közötti eltérést elsősorban a Külképviseletek igazgatásánál a koronavírus-járványhoz kapcsolódó egészségügyi beszerzésekre fordított összegek okozzák.</w:t>
      </w:r>
    </w:p>
    <w:p w14:paraId="3941AE78" w14:textId="0398BCD8" w:rsidR="000B76B7" w:rsidRDefault="0FCC8A84" w:rsidP="00686099">
      <w:pPr>
        <w:spacing w:before="120"/>
      </w:pPr>
      <w:r>
        <w:t>A „</w:t>
      </w:r>
      <w:r w:rsidRPr="0FCC8A84">
        <w:rPr>
          <w:b/>
          <w:bCs/>
        </w:rPr>
        <w:t>Szakmai fejezeti kezelésű előirányzatok kiadásai</w:t>
      </w:r>
      <w:r>
        <w:t xml:space="preserve">” mérlegsoron 2021 első </w:t>
      </w:r>
      <w:r w:rsidR="009374F9">
        <w:t>öt</w:t>
      </w:r>
      <w:r>
        <w:t xml:space="preserve"> hónapjának kiadása 1</w:t>
      </w:r>
      <w:r w:rsidR="009374F9">
        <w:t>741,1</w:t>
      </w:r>
      <w:r>
        <w:t> milliárd forintot volt, mely 4</w:t>
      </w:r>
      <w:r w:rsidR="009374F9">
        <w:t>59,6</w:t>
      </w:r>
      <w:r>
        <w:t> milliárd forinttal magasabban teljesült, mint az előző év azonos hónapjainak kiadásai.</w:t>
      </w:r>
    </w:p>
    <w:p w14:paraId="73FE5207" w14:textId="77777777" w:rsidR="000B76B7" w:rsidRPr="00686099" w:rsidRDefault="0FCC8A84" w:rsidP="000B76B7">
      <w:pPr>
        <w:spacing w:before="120"/>
        <w:rPr>
          <w:bCs/>
        </w:rPr>
      </w:pPr>
      <w:r>
        <w:t xml:space="preserve">Ezen időszak teljesítéséből az alábbi kiadások emelhetők ki: </w:t>
      </w:r>
    </w:p>
    <w:p w14:paraId="093696A9" w14:textId="77777777" w:rsidR="00686099" w:rsidRPr="00686099" w:rsidRDefault="0FCC8A84" w:rsidP="0FCC8A84">
      <w:pPr>
        <w:spacing w:before="120"/>
        <w:jc w:val="right"/>
        <w:rPr>
          <w:i/>
          <w:iCs/>
          <w:sz w:val="20"/>
        </w:rPr>
      </w:pPr>
      <w:proofErr w:type="gramStart"/>
      <w:r w:rsidRPr="0FCC8A84">
        <w:rPr>
          <w:i/>
          <w:iCs/>
          <w:sz w:val="20"/>
        </w:rPr>
        <w:t>milliárd</w:t>
      </w:r>
      <w:proofErr w:type="gramEnd"/>
      <w:r w:rsidRPr="0FCC8A84">
        <w:rPr>
          <w:i/>
          <w:iCs/>
          <w:sz w:val="20"/>
        </w:rPr>
        <w:t xml:space="preserve"> forint</w:t>
      </w:r>
    </w:p>
    <w:tbl>
      <w:tblPr>
        <w:tblStyle w:val="Rcsostblzat"/>
        <w:tblW w:w="0" w:type="auto"/>
        <w:tblLook w:val="04A0" w:firstRow="1" w:lastRow="0" w:firstColumn="1" w:lastColumn="0" w:noHBand="0" w:noVBand="1"/>
      </w:tblPr>
      <w:tblGrid>
        <w:gridCol w:w="8516"/>
        <w:gridCol w:w="772"/>
      </w:tblGrid>
      <w:tr w:rsidR="00686099" w:rsidRPr="00686099" w14:paraId="5BC37D2A" w14:textId="77777777" w:rsidTr="0FCC8A84">
        <w:tc>
          <w:tcPr>
            <w:tcW w:w="8516" w:type="dxa"/>
          </w:tcPr>
          <w:p w14:paraId="0E3E7F41" w14:textId="77777777" w:rsidR="00686099" w:rsidRPr="00686099" w:rsidRDefault="0FCC8A84" w:rsidP="0FCC8A84">
            <w:pPr>
              <w:spacing w:before="60" w:after="60"/>
              <w:jc w:val="left"/>
              <w:rPr>
                <w:sz w:val="20"/>
              </w:rPr>
            </w:pPr>
            <w:r w:rsidRPr="0FCC8A84">
              <w:rPr>
                <w:sz w:val="20"/>
              </w:rPr>
              <w:t xml:space="preserve">Normatív </w:t>
            </w:r>
            <w:proofErr w:type="gramStart"/>
            <w:r w:rsidRPr="0FCC8A84">
              <w:rPr>
                <w:sz w:val="20"/>
              </w:rPr>
              <w:t>finanszírozás</w:t>
            </w:r>
            <w:proofErr w:type="gramEnd"/>
            <w:r w:rsidRPr="0FCC8A84">
              <w:rPr>
                <w:sz w:val="20"/>
              </w:rPr>
              <w:t xml:space="preserve"> (köznevelési célú humánszolgáltatás és működési támogatás, hit- és erkölcstanoktatás és tankönyvtámogatás, szociális, gyermekvédelmi, gyermekjóléti és fogyatékos személyek esélyegyenlőségét elősegítő célelőirányzatok, nem állami felsőoktatási intézmények támogatása)</w:t>
            </w:r>
          </w:p>
        </w:tc>
        <w:tc>
          <w:tcPr>
            <w:tcW w:w="772" w:type="dxa"/>
          </w:tcPr>
          <w:p w14:paraId="0EA49A63" w14:textId="12BB9E23" w:rsidR="00686099" w:rsidRPr="00686099" w:rsidRDefault="009374F9" w:rsidP="009374F9">
            <w:pPr>
              <w:spacing w:before="60" w:after="60"/>
              <w:jc w:val="right"/>
              <w:rPr>
                <w:sz w:val="20"/>
              </w:rPr>
            </w:pPr>
            <w:r>
              <w:rPr>
                <w:sz w:val="20"/>
              </w:rPr>
              <w:t>235,5</w:t>
            </w:r>
          </w:p>
        </w:tc>
      </w:tr>
      <w:tr w:rsidR="009374F9" w:rsidRPr="00686099" w14:paraId="50C4713D" w14:textId="77777777" w:rsidTr="00DB3CD9">
        <w:tc>
          <w:tcPr>
            <w:tcW w:w="8516" w:type="dxa"/>
          </w:tcPr>
          <w:p w14:paraId="515A6786" w14:textId="77777777" w:rsidR="009374F9" w:rsidRPr="00686099" w:rsidRDefault="009374F9" w:rsidP="00DB3CD9">
            <w:pPr>
              <w:spacing w:before="60" w:after="60"/>
              <w:jc w:val="left"/>
              <w:rPr>
                <w:sz w:val="20"/>
              </w:rPr>
            </w:pPr>
            <w:r w:rsidRPr="0FCC8A84">
              <w:rPr>
                <w:sz w:val="20"/>
              </w:rPr>
              <w:t>Közúti fejlesztések</w:t>
            </w:r>
          </w:p>
        </w:tc>
        <w:tc>
          <w:tcPr>
            <w:tcW w:w="772" w:type="dxa"/>
          </w:tcPr>
          <w:p w14:paraId="14425BB2" w14:textId="1FB0383D" w:rsidR="009374F9" w:rsidRPr="00686099" w:rsidRDefault="009374F9" w:rsidP="009374F9">
            <w:pPr>
              <w:spacing w:before="60" w:after="60"/>
              <w:jc w:val="right"/>
              <w:rPr>
                <w:sz w:val="20"/>
              </w:rPr>
            </w:pPr>
            <w:r>
              <w:rPr>
                <w:sz w:val="20"/>
              </w:rPr>
              <w:t>172,9</w:t>
            </w:r>
          </w:p>
        </w:tc>
      </w:tr>
      <w:tr w:rsidR="00686099" w:rsidRPr="00686099" w14:paraId="2F6D2179" w14:textId="77777777" w:rsidTr="0FCC8A84">
        <w:tc>
          <w:tcPr>
            <w:tcW w:w="8516" w:type="dxa"/>
          </w:tcPr>
          <w:p w14:paraId="75A58CBF" w14:textId="77777777" w:rsidR="00686099" w:rsidRPr="00686099" w:rsidRDefault="0FCC8A84" w:rsidP="0FCC8A84">
            <w:pPr>
              <w:spacing w:before="60" w:after="60"/>
              <w:jc w:val="left"/>
              <w:rPr>
                <w:sz w:val="20"/>
              </w:rPr>
            </w:pPr>
            <w:r w:rsidRPr="0FCC8A84">
              <w:rPr>
                <w:sz w:val="20"/>
              </w:rPr>
              <w:t>A koronavírus-járvány következtében szükségessé vált versenyképesség-növelő támogatás</w:t>
            </w:r>
          </w:p>
        </w:tc>
        <w:tc>
          <w:tcPr>
            <w:tcW w:w="772" w:type="dxa"/>
          </w:tcPr>
          <w:p w14:paraId="6B156914" w14:textId="54D78593" w:rsidR="00686099" w:rsidRPr="00686099" w:rsidRDefault="0FCC8A84" w:rsidP="009374F9">
            <w:pPr>
              <w:spacing w:before="60" w:after="60"/>
              <w:jc w:val="right"/>
              <w:rPr>
                <w:sz w:val="20"/>
              </w:rPr>
            </w:pPr>
            <w:r w:rsidRPr="0FCC8A84">
              <w:rPr>
                <w:sz w:val="20"/>
              </w:rPr>
              <w:t>8</w:t>
            </w:r>
            <w:r w:rsidR="009374F9">
              <w:rPr>
                <w:sz w:val="20"/>
              </w:rPr>
              <w:t>9,3</w:t>
            </w:r>
          </w:p>
        </w:tc>
      </w:tr>
      <w:tr w:rsidR="009374F9" w:rsidRPr="009374F9" w14:paraId="4FC749F8" w14:textId="77777777" w:rsidTr="00A01D31">
        <w:tc>
          <w:tcPr>
            <w:tcW w:w="8516" w:type="dxa"/>
          </w:tcPr>
          <w:p w14:paraId="180ADB36" w14:textId="77777777" w:rsidR="009374F9" w:rsidRPr="009374F9" w:rsidRDefault="009374F9" w:rsidP="00A01D31">
            <w:pPr>
              <w:spacing w:before="60" w:after="60"/>
              <w:jc w:val="left"/>
              <w:rPr>
                <w:sz w:val="20"/>
              </w:rPr>
            </w:pPr>
            <w:r w:rsidRPr="009374F9">
              <w:rPr>
                <w:sz w:val="20"/>
              </w:rPr>
              <w:t>Közlekedési ágazati programok</w:t>
            </w:r>
          </w:p>
        </w:tc>
        <w:tc>
          <w:tcPr>
            <w:tcW w:w="772" w:type="dxa"/>
          </w:tcPr>
          <w:p w14:paraId="73885239" w14:textId="2350BB27" w:rsidR="009374F9" w:rsidRPr="009374F9" w:rsidRDefault="009374F9" w:rsidP="009374F9">
            <w:pPr>
              <w:spacing w:before="60" w:after="60"/>
              <w:jc w:val="right"/>
              <w:rPr>
                <w:sz w:val="20"/>
              </w:rPr>
            </w:pPr>
            <w:r w:rsidRPr="009374F9">
              <w:rPr>
                <w:sz w:val="20"/>
              </w:rPr>
              <w:t>72,8</w:t>
            </w:r>
          </w:p>
        </w:tc>
      </w:tr>
      <w:tr w:rsidR="00CB15A6" w:rsidRPr="00CB15A6" w14:paraId="210E93BA" w14:textId="77777777" w:rsidTr="0FCC8A84">
        <w:tc>
          <w:tcPr>
            <w:tcW w:w="8516" w:type="dxa"/>
          </w:tcPr>
          <w:p w14:paraId="08A9E684" w14:textId="77777777" w:rsidR="00686099" w:rsidRPr="00CB15A6" w:rsidRDefault="0FCC8A84" w:rsidP="0FCC8A84">
            <w:pPr>
              <w:spacing w:before="60" w:after="60"/>
              <w:jc w:val="left"/>
              <w:rPr>
                <w:sz w:val="20"/>
              </w:rPr>
            </w:pPr>
            <w:r w:rsidRPr="00CB15A6">
              <w:rPr>
                <w:sz w:val="20"/>
              </w:rPr>
              <w:t>Vasúti fejlesztések</w:t>
            </w:r>
          </w:p>
        </w:tc>
        <w:tc>
          <w:tcPr>
            <w:tcW w:w="772" w:type="dxa"/>
          </w:tcPr>
          <w:p w14:paraId="78FD1B55" w14:textId="77777777" w:rsidR="00686099" w:rsidRPr="00CB15A6" w:rsidRDefault="0FCC8A84" w:rsidP="0FCC8A84">
            <w:pPr>
              <w:spacing w:before="60" w:after="60"/>
              <w:jc w:val="right"/>
              <w:rPr>
                <w:sz w:val="20"/>
              </w:rPr>
            </w:pPr>
            <w:r w:rsidRPr="00CB15A6">
              <w:rPr>
                <w:sz w:val="20"/>
              </w:rPr>
              <w:t>60,2</w:t>
            </w:r>
          </w:p>
        </w:tc>
      </w:tr>
      <w:tr w:rsidR="00CB15A6" w:rsidRPr="00CB15A6" w14:paraId="5B2787D9" w14:textId="77777777" w:rsidTr="0FCC8A84">
        <w:tc>
          <w:tcPr>
            <w:tcW w:w="8516" w:type="dxa"/>
          </w:tcPr>
          <w:p w14:paraId="18184379" w14:textId="77777777" w:rsidR="0023730D" w:rsidRPr="00CB15A6" w:rsidRDefault="0FCC8A84" w:rsidP="0FCC8A84">
            <w:pPr>
              <w:spacing w:before="60" w:after="60"/>
              <w:jc w:val="left"/>
              <w:rPr>
                <w:sz w:val="20"/>
              </w:rPr>
            </w:pPr>
            <w:r w:rsidRPr="00CB15A6">
              <w:rPr>
                <w:sz w:val="20"/>
              </w:rPr>
              <w:t>Autópálya rendelkezésre állási díj</w:t>
            </w:r>
          </w:p>
        </w:tc>
        <w:tc>
          <w:tcPr>
            <w:tcW w:w="772" w:type="dxa"/>
          </w:tcPr>
          <w:p w14:paraId="75E13126" w14:textId="10217E41" w:rsidR="0023730D" w:rsidRPr="00CB15A6" w:rsidRDefault="00CB15A6" w:rsidP="00CB15A6">
            <w:pPr>
              <w:spacing w:before="60" w:after="60"/>
              <w:jc w:val="right"/>
              <w:rPr>
                <w:sz w:val="20"/>
              </w:rPr>
            </w:pPr>
            <w:r w:rsidRPr="00CB15A6">
              <w:rPr>
                <w:sz w:val="20"/>
              </w:rPr>
              <w:t>57,8</w:t>
            </w:r>
          </w:p>
        </w:tc>
      </w:tr>
      <w:tr w:rsidR="00CB15A6" w:rsidRPr="00CB15A6" w14:paraId="18FC9139" w14:textId="77777777" w:rsidTr="0FCC8A84">
        <w:tc>
          <w:tcPr>
            <w:tcW w:w="8516" w:type="dxa"/>
          </w:tcPr>
          <w:p w14:paraId="582FCC70" w14:textId="77777777" w:rsidR="00686099" w:rsidRPr="00CB15A6" w:rsidRDefault="0FCC8A84" w:rsidP="0FCC8A84">
            <w:pPr>
              <w:spacing w:before="60" w:after="60"/>
              <w:jc w:val="left"/>
              <w:rPr>
                <w:sz w:val="20"/>
              </w:rPr>
            </w:pPr>
            <w:r w:rsidRPr="00CB15A6">
              <w:rPr>
                <w:sz w:val="20"/>
              </w:rPr>
              <w:t>Modern Városok Program</w:t>
            </w:r>
          </w:p>
        </w:tc>
        <w:tc>
          <w:tcPr>
            <w:tcW w:w="772" w:type="dxa"/>
          </w:tcPr>
          <w:p w14:paraId="3CC2D1EF" w14:textId="13DC6B8C" w:rsidR="00686099" w:rsidRPr="00CB15A6" w:rsidRDefault="0FCC8A84" w:rsidP="00CB15A6">
            <w:pPr>
              <w:spacing w:before="60" w:after="60"/>
              <w:jc w:val="right"/>
              <w:rPr>
                <w:sz w:val="20"/>
              </w:rPr>
            </w:pPr>
            <w:r w:rsidRPr="00CB15A6">
              <w:rPr>
                <w:sz w:val="20"/>
              </w:rPr>
              <w:t>4</w:t>
            </w:r>
            <w:r w:rsidR="00CB15A6" w:rsidRPr="00CB15A6">
              <w:rPr>
                <w:sz w:val="20"/>
              </w:rPr>
              <w:t>4,5</w:t>
            </w:r>
          </w:p>
        </w:tc>
      </w:tr>
      <w:tr w:rsidR="00CB15A6" w:rsidRPr="00CB15A6" w14:paraId="3AE3E1BD" w14:textId="77777777" w:rsidTr="00AE7F09">
        <w:tc>
          <w:tcPr>
            <w:tcW w:w="8516" w:type="dxa"/>
          </w:tcPr>
          <w:p w14:paraId="7C7A5C60" w14:textId="77777777" w:rsidR="00CB15A6" w:rsidRPr="00CB15A6" w:rsidRDefault="00CB15A6" w:rsidP="00AE7F09">
            <w:pPr>
              <w:spacing w:before="60" w:after="60"/>
              <w:jc w:val="left"/>
              <w:rPr>
                <w:sz w:val="20"/>
              </w:rPr>
            </w:pPr>
            <w:r w:rsidRPr="00CB15A6">
              <w:rPr>
                <w:sz w:val="20"/>
              </w:rPr>
              <w:t>Turisztikai fejlesztési célelőirányzat</w:t>
            </w:r>
          </w:p>
        </w:tc>
        <w:tc>
          <w:tcPr>
            <w:tcW w:w="772" w:type="dxa"/>
          </w:tcPr>
          <w:p w14:paraId="7D36D059" w14:textId="77777777" w:rsidR="00CB15A6" w:rsidRPr="00CB15A6" w:rsidRDefault="00CB15A6" w:rsidP="00AE7F09">
            <w:pPr>
              <w:spacing w:before="60" w:after="60"/>
              <w:jc w:val="right"/>
              <w:rPr>
                <w:sz w:val="20"/>
              </w:rPr>
            </w:pPr>
            <w:r w:rsidRPr="00CB15A6">
              <w:rPr>
                <w:sz w:val="20"/>
              </w:rPr>
              <w:t>39,6</w:t>
            </w:r>
          </w:p>
        </w:tc>
      </w:tr>
      <w:tr w:rsidR="00CB15A6" w:rsidRPr="00CB15A6" w14:paraId="7E2C5CDC" w14:textId="77777777" w:rsidTr="007F371C">
        <w:tc>
          <w:tcPr>
            <w:tcW w:w="8516" w:type="dxa"/>
          </w:tcPr>
          <w:p w14:paraId="7E2A9A20" w14:textId="77777777" w:rsidR="00CB15A6" w:rsidRPr="00CB15A6" w:rsidRDefault="00CB15A6" w:rsidP="007F371C">
            <w:pPr>
              <w:spacing w:before="60" w:after="60"/>
              <w:jc w:val="left"/>
              <w:rPr>
                <w:sz w:val="20"/>
              </w:rPr>
            </w:pPr>
            <w:r w:rsidRPr="00CB15A6">
              <w:rPr>
                <w:sz w:val="20"/>
              </w:rPr>
              <w:t>Beruházás ösztönzési célelőirányzat</w:t>
            </w:r>
          </w:p>
        </w:tc>
        <w:tc>
          <w:tcPr>
            <w:tcW w:w="772" w:type="dxa"/>
          </w:tcPr>
          <w:p w14:paraId="4367BF8D" w14:textId="697E1ED5" w:rsidR="00CB15A6" w:rsidRPr="00CB15A6" w:rsidRDefault="00CB15A6" w:rsidP="00CB15A6">
            <w:pPr>
              <w:spacing w:before="60" w:after="60"/>
              <w:jc w:val="right"/>
              <w:rPr>
                <w:sz w:val="20"/>
              </w:rPr>
            </w:pPr>
            <w:r w:rsidRPr="00CB15A6">
              <w:rPr>
                <w:sz w:val="20"/>
              </w:rPr>
              <w:t>29,2</w:t>
            </w:r>
          </w:p>
        </w:tc>
      </w:tr>
      <w:tr w:rsidR="00CB15A6" w:rsidRPr="00CB15A6" w14:paraId="5BBF0BB0" w14:textId="77777777" w:rsidTr="0FCC8A84">
        <w:tc>
          <w:tcPr>
            <w:tcW w:w="8516" w:type="dxa"/>
          </w:tcPr>
          <w:p w14:paraId="3131FD0A" w14:textId="77777777" w:rsidR="00686099" w:rsidRPr="00CB15A6" w:rsidRDefault="0FCC8A84" w:rsidP="0FCC8A84">
            <w:pPr>
              <w:spacing w:before="60" w:after="60"/>
              <w:jc w:val="left"/>
              <w:rPr>
                <w:sz w:val="20"/>
              </w:rPr>
            </w:pPr>
            <w:r w:rsidRPr="00CB15A6">
              <w:rPr>
                <w:sz w:val="20"/>
              </w:rPr>
              <w:t>Egészséges Budapest Program</w:t>
            </w:r>
          </w:p>
        </w:tc>
        <w:tc>
          <w:tcPr>
            <w:tcW w:w="772" w:type="dxa"/>
          </w:tcPr>
          <w:p w14:paraId="65C54398" w14:textId="4FCD24B4" w:rsidR="00686099" w:rsidRPr="00CB15A6" w:rsidRDefault="0FCC8A84" w:rsidP="0FCC8A84">
            <w:pPr>
              <w:spacing w:before="60" w:after="60"/>
              <w:jc w:val="right"/>
              <w:rPr>
                <w:sz w:val="20"/>
              </w:rPr>
            </w:pPr>
            <w:r w:rsidRPr="00CB15A6">
              <w:rPr>
                <w:sz w:val="20"/>
              </w:rPr>
              <w:t>28,8</w:t>
            </w:r>
          </w:p>
        </w:tc>
      </w:tr>
      <w:tr w:rsidR="00CB15A6" w:rsidRPr="00CB15A6" w14:paraId="3B5921A3" w14:textId="77777777" w:rsidTr="0FCC8A84">
        <w:tc>
          <w:tcPr>
            <w:tcW w:w="8516" w:type="dxa"/>
          </w:tcPr>
          <w:p w14:paraId="12A96831" w14:textId="07853D7B" w:rsidR="0023730D" w:rsidRPr="00CB15A6" w:rsidRDefault="0FCC8A84" w:rsidP="0FCC8A84">
            <w:pPr>
              <w:spacing w:before="60" w:after="60"/>
              <w:jc w:val="left"/>
              <w:rPr>
                <w:sz w:val="20"/>
              </w:rPr>
            </w:pPr>
            <w:r w:rsidRPr="00CB15A6">
              <w:rPr>
                <w:sz w:val="20"/>
              </w:rPr>
              <w:t>Nemzeti agrártámogatások</w:t>
            </w:r>
          </w:p>
        </w:tc>
        <w:tc>
          <w:tcPr>
            <w:tcW w:w="772" w:type="dxa"/>
          </w:tcPr>
          <w:p w14:paraId="080ED048" w14:textId="64D0B472" w:rsidR="0023730D" w:rsidRPr="00CB15A6" w:rsidRDefault="0FCC8A84" w:rsidP="00CB15A6">
            <w:pPr>
              <w:spacing w:before="60" w:after="60"/>
              <w:jc w:val="right"/>
              <w:rPr>
                <w:sz w:val="20"/>
              </w:rPr>
            </w:pPr>
            <w:r w:rsidRPr="00CB15A6">
              <w:rPr>
                <w:sz w:val="20"/>
              </w:rPr>
              <w:t>2</w:t>
            </w:r>
            <w:r w:rsidR="00CB15A6" w:rsidRPr="00CB15A6">
              <w:rPr>
                <w:sz w:val="20"/>
              </w:rPr>
              <w:t>3,1</w:t>
            </w:r>
          </w:p>
        </w:tc>
      </w:tr>
    </w:tbl>
    <w:p w14:paraId="170746A0" w14:textId="6DE9B840" w:rsidR="00686099" w:rsidRPr="00686099" w:rsidRDefault="0FCC8A84" w:rsidP="00686099">
      <w:r>
        <w:lastRenderedPageBreak/>
        <w:t xml:space="preserve">A két év azonos időszakának kiadásai közötti eltérést okozó tényezők közül kiemelhetők </w:t>
      </w:r>
      <w:r w:rsidRPr="0FCC8A84">
        <w:rPr>
          <w:rFonts w:cs="Tahoma"/>
        </w:rPr>
        <w:t>– többek között –</w:t>
      </w:r>
      <w:r w:rsidRPr="0FCC8A84">
        <w:rPr>
          <w:rFonts w:cs="Tahoma"/>
          <w:b/>
          <w:bCs/>
        </w:rPr>
        <w:t xml:space="preserve"> </w:t>
      </w:r>
      <w:r>
        <w:t>a</w:t>
      </w:r>
      <w:r w:rsidR="00CB15A6">
        <w:t xml:space="preserve"> normatív </w:t>
      </w:r>
      <w:proofErr w:type="gramStart"/>
      <w:r w:rsidR="00CB15A6">
        <w:t>finanszírozásra</w:t>
      </w:r>
      <w:proofErr w:type="gramEnd"/>
      <w:r w:rsidR="00CB15A6">
        <w:t>,</w:t>
      </w:r>
      <w:r>
        <w:t xml:space="preserve"> koronavírus-járvány következtében szükségessé vált versenyképesség-növelő támogatásra, a vasúti fejlesztésekre, a</w:t>
      </w:r>
      <w:r w:rsidR="00CB15A6">
        <w:t xml:space="preserve"> Modern Város</w:t>
      </w:r>
      <w:r w:rsidR="00300BFA">
        <w:t xml:space="preserve">ok </w:t>
      </w:r>
      <w:r w:rsidR="00B25066">
        <w:t>P</w:t>
      </w:r>
      <w:r w:rsidR="00CB15A6">
        <w:t xml:space="preserve">rogramra, </w:t>
      </w:r>
      <w:r>
        <w:t xml:space="preserve">valamint az Egészséges Budapest Program céljaira kifizetett összegek. Ezen felül idén kiemelkedő összegűek voltak a Központi </w:t>
      </w:r>
      <w:proofErr w:type="spellStart"/>
      <w:r>
        <w:t>Maradványelszámolási</w:t>
      </w:r>
      <w:proofErr w:type="spellEnd"/>
      <w:r>
        <w:t xml:space="preserve"> Alapba történő befizetések.</w:t>
      </w:r>
    </w:p>
    <w:p w14:paraId="7BC4654B" w14:textId="343AEA77" w:rsidR="005608B8" w:rsidRPr="000F2784" w:rsidRDefault="1788F76D" w:rsidP="66307C59">
      <w:pPr>
        <w:spacing w:before="240"/>
      </w:pPr>
      <w:r>
        <w:t>Az „</w:t>
      </w:r>
      <w:r w:rsidRPr="1788F76D">
        <w:rPr>
          <w:b/>
          <w:bCs/>
        </w:rPr>
        <w:t>Uniós fejezeti kezelésű előirányzatok kiadásai</w:t>
      </w:r>
      <w:r>
        <w:t>” mérlegsoron 2021. május végéig 4,1 milliárd forint összegű kifizetés történt. 2021-től az uniós programokhoz kapcsolódó kiadások jelentős része központi kezelésűvé vált, ezért e kiadások már nem a „Költségvetési szervek és fejezeti kezelésű előirányzatok” körében jelennek meg.</w:t>
      </w:r>
    </w:p>
    <w:p w14:paraId="3A09333F" w14:textId="29F3A483" w:rsidR="009B3EF5" w:rsidRDefault="0FCC8A84" w:rsidP="004D057C">
      <w:r>
        <w:t xml:space="preserve">A </w:t>
      </w:r>
      <w:r w:rsidRPr="0FCC8A84">
        <w:rPr>
          <w:b/>
          <w:bCs/>
        </w:rPr>
        <w:t>2021. május végi, közel 4515 milliárd forint összegű kiadások</w:t>
      </w:r>
      <w:r>
        <w:t xml:space="preserve"> megoszlását a következő grafikon szemlélteti:</w:t>
      </w:r>
    </w:p>
    <w:p w14:paraId="5FA38F6B" w14:textId="4A18F74B" w:rsidR="00F85E5A" w:rsidRDefault="00F85E5A" w:rsidP="004D057C">
      <w:r>
        <w:rPr>
          <w:noProof/>
        </w:rPr>
        <w:drawing>
          <wp:inline distT="0" distB="0" distL="0" distR="0" wp14:anchorId="3AD3D874" wp14:editId="71F6EEC3">
            <wp:extent cx="5940425" cy="3110865"/>
            <wp:effectExtent l="0" t="0" r="3175"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zervek_fejkezek_kiadásai.png"/>
                    <pic:cNvPicPr/>
                  </pic:nvPicPr>
                  <pic:blipFill>
                    <a:blip r:embed="rId23">
                      <a:extLst>
                        <a:ext uri="{28A0092B-C50C-407E-A947-70E740481C1C}">
                          <a14:useLocalDpi xmlns:a14="http://schemas.microsoft.com/office/drawing/2010/main" val="0"/>
                        </a:ext>
                      </a:extLst>
                    </a:blip>
                    <a:stretch>
                      <a:fillRect/>
                    </a:stretch>
                  </pic:blipFill>
                  <pic:spPr>
                    <a:xfrm>
                      <a:off x="0" y="0"/>
                      <a:ext cx="5940425" cy="3110865"/>
                    </a:xfrm>
                    <a:prstGeom prst="rect">
                      <a:avLst/>
                    </a:prstGeom>
                  </pic:spPr>
                </pic:pic>
              </a:graphicData>
            </a:graphic>
          </wp:inline>
        </w:drawing>
      </w:r>
    </w:p>
    <w:p w14:paraId="5D4F03D6" w14:textId="0DFFD5ED" w:rsidR="00325D3E" w:rsidRDefault="00325D3E" w:rsidP="004D057C">
      <w:r>
        <w:br w:type="page"/>
      </w:r>
    </w:p>
    <w:p w14:paraId="5D4F03D8" w14:textId="77777777" w:rsidR="00A83A7D" w:rsidRDefault="0FCC8A84" w:rsidP="0FCC8A84">
      <w:pPr>
        <w:pStyle w:val="Cmsor3"/>
        <w:numPr>
          <w:ilvl w:val="0"/>
          <w:numId w:val="8"/>
        </w:numPr>
        <w:spacing w:before="0" w:after="120"/>
        <w:jc w:val="left"/>
        <w:rPr>
          <w:sz w:val="26"/>
          <w:szCs w:val="26"/>
        </w:rPr>
      </w:pPr>
      <w:r w:rsidRPr="0FCC8A84">
        <w:rPr>
          <w:sz w:val="26"/>
          <w:szCs w:val="26"/>
        </w:rPr>
        <w:lastRenderedPageBreak/>
        <w:t>Kamategyenleg</w:t>
      </w:r>
    </w:p>
    <w:p w14:paraId="1827C763" w14:textId="3C662610" w:rsidR="003934EA" w:rsidRPr="003934EA" w:rsidRDefault="0FCC8A84" w:rsidP="003934EA">
      <w:r>
        <w:t xml:space="preserve">A bevételek és kiadások egyenlegeként adódó </w:t>
      </w:r>
      <w:r w:rsidR="00D72375">
        <w:t>261,2</w:t>
      </w:r>
      <w:r>
        <w:t xml:space="preserve"> milliárd forint összegű </w:t>
      </w:r>
      <w:r w:rsidRPr="0FCC8A84">
        <w:rPr>
          <w:b/>
          <w:bCs/>
        </w:rPr>
        <w:t>nettó kamatkiadás</w:t>
      </w:r>
      <w:r>
        <w:t xml:space="preserve"> </w:t>
      </w:r>
      <w:r w:rsidR="00D72375">
        <w:t>36</w:t>
      </w:r>
      <w:r w:rsidR="00301678">
        <w:t>,</w:t>
      </w:r>
      <w:r>
        <w:t xml:space="preserve">1 milliárd forinttal lett </w:t>
      </w:r>
      <w:r w:rsidR="00D72375">
        <w:t>több</w:t>
      </w:r>
      <w:r>
        <w:t xml:space="preserve"> az előző év azonos időszakához képest, mely a kamatfizetések éven belüli eltérő lefutásával és az előző évitől különböző </w:t>
      </w:r>
      <w:proofErr w:type="gramStart"/>
      <w:r>
        <w:t>finanszírozási</w:t>
      </w:r>
      <w:proofErr w:type="gramEnd"/>
      <w:r>
        <w:t xml:space="preserve"> szerkezettel magyarázható.</w:t>
      </w:r>
    </w:p>
    <w:p w14:paraId="53E1E684" w14:textId="4CD2DD68" w:rsidR="004C30D8" w:rsidRPr="004C30D8" w:rsidRDefault="0FCC8A84" w:rsidP="0FCC8A84">
      <w:pPr>
        <w:tabs>
          <w:tab w:val="left" w:pos="550"/>
        </w:tabs>
        <w:spacing w:before="120"/>
        <w:jc w:val="center"/>
        <w:rPr>
          <w:b/>
          <w:bCs/>
          <w:sz w:val="20"/>
        </w:rPr>
      </w:pPr>
      <w:r w:rsidRPr="0FCC8A84">
        <w:rPr>
          <w:b/>
          <w:bCs/>
          <w:sz w:val="20"/>
        </w:rPr>
        <w:t>A kamategyenleg összetétele (milliárd forintban)</w:t>
      </w:r>
    </w:p>
    <w:tbl>
      <w:tblPr>
        <w:tblW w:w="7165" w:type="dxa"/>
        <w:jc w:val="center"/>
        <w:tblCellMar>
          <w:left w:w="70" w:type="dxa"/>
          <w:right w:w="70" w:type="dxa"/>
        </w:tblCellMar>
        <w:tblLook w:val="04A0" w:firstRow="1" w:lastRow="0" w:firstColumn="1" w:lastColumn="0" w:noHBand="0" w:noVBand="1"/>
      </w:tblPr>
      <w:tblGrid>
        <w:gridCol w:w="195"/>
        <w:gridCol w:w="368"/>
        <w:gridCol w:w="4192"/>
        <w:gridCol w:w="1134"/>
        <w:gridCol w:w="1276"/>
      </w:tblGrid>
      <w:tr w:rsidR="004C30D8" w:rsidRPr="004C30D8" w14:paraId="2B7CD0E6" w14:textId="77777777" w:rsidTr="0FCC8A84">
        <w:trPr>
          <w:trHeight w:val="285"/>
          <w:jc w:val="center"/>
        </w:trPr>
        <w:tc>
          <w:tcPr>
            <w:tcW w:w="4755"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hideMark/>
          </w:tcPr>
          <w:p w14:paraId="03CB3B67" w14:textId="77777777" w:rsidR="004C30D8" w:rsidRPr="004C30D8" w:rsidRDefault="0FCC8A84" w:rsidP="0FCC8A84">
            <w:pPr>
              <w:spacing w:after="0"/>
              <w:jc w:val="center"/>
              <w:rPr>
                <w:b/>
                <w:bCs/>
                <w:sz w:val="22"/>
                <w:szCs w:val="22"/>
              </w:rPr>
            </w:pPr>
            <w:r w:rsidRPr="0FCC8A84">
              <w:rPr>
                <w:b/>
                <w:bCs/>
                <w:sz w:val="22"/>
                <w:szCs w:val="22"/>
              </w:rPr>
              <w:t> </w:t>
            </w:r>
          </w:p>
        </w:tc>
        <w:tc>
          <w:tcPr>
            <w:tcW w:w="2410" w:type="dxa"/>
            <w:gridSpan w:val="2"/>
            <w:tcBorders>
              <w:top w:val="single" w:sz="4" w:space="0" w:color="auto"/>
              <w:left w:val="nil"/>
              <w:bottom w:val="nil"/>
              <w:right w:val="single" w:sz="4" w:space="0" w:color="000000" w:themeColor="text1"/>
            </w:tcBorders>
            <w:shd w:val="clear" w:color="auto" w:fill="auto"/>
            <w:noWrap/>
            <w:vAlign w:val="bottom"/>
            <w:hideMark/>
          </w:tcPr>
          <w:p w14:paraId="26B2914C" w14:textId="649FEFCC" w:rsidR="004C30D8" w:rsidRPr="004C30D8" w:rsidRDefault="00D72375" w:rsidP="0FCC8A84">
            <w:pPr>
              <w:spacing w:after="0"/>
              <w:jc w:val="center"/>
              <w:rPr>
                <w:b/>
                <w:bCs/>
                <w:sz w:val="22"/>
                <w:szCs w:val="22"/>
              </w:rPr>
            </w:pPr>
            <w:r>
              <w:rPr>
                <w:b/>
                <w:bCs/>
                <w:sz w:val="22"/>
                <w:szCs w:val="22"/>
              </w:rPr>
              <w:t>I-</w:t>
            </w:r>
            <w:r w:rsidR="0FCC8A84" w:rsidRPr="0FCC8A84">
              <w:rPr>
                <w:b/>
                <w:bCs/>
                <w:sz w:val="22"/>
                <w:szCs w:val="22"/>
              </w:rPr>
              <w:t>V. hó</w:t>
            </w:r>
          </w:p>
        </w:tc>
      </w:tr>
      <w:tr w:rsidR="004C30D8" w:rsidRPr="004C30D8" w14:paraId="5F451AD5" w14:textId="77777777" w:rsidTr="0FCC8A84">
        <w:trPr>
          <w:trHeight w:val="285"/>
          <w:jc w:val="center"/>
        </w:trPr>
        <w:tc>
          <w:tcPr>
            <w:tcW w:w="4755" w:type="dxa"/>
            <w:gridSpan w:val="3"/>
            <w:vMerge/>
            <w:tcBorders>
              <w:top w:val="single" w:sz="4" w:space="0" w:color="auto"/>
              <w:left w:val="single" w:sz="4" w:space="0" w:color="auto"/>
              <w:bottom w:val="single" w:sz="4" w:space="0" w:color="000000"/>
              <w:right w:val="single" w:sz="4" w:space="0" w:color="auto"/>
            </w:tcBorders>
            <w:vAlign w:val="center"/>
            <w:hideMark/>
          </w:tcPr>
          <w:p w14:paraId="6E66DB8C" w14:textId="77777777" w:rsidR="004C30D8" w:rsidRPr="004C30D8" w:rsidRDefault="004C30D8" w:rsidP="004C30D8">
            <w:pPr>
              <w:spacing w:after="0"/>
              <w:jc w:val="left"/>
              <w:rPr>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17B73" w14:textId="6B91DA66" w:rsidR="004C30D8" w:rsidRPr="004C30D8" w:rsidRDefault="0FCC8A84" w:rsidP="0FCC8A84">
            <w:pPr>
              <w:spacing w:after="0"/>
              <w:jc w:val="center"/>
              <w:rPr>
                <w:b/>
                <w:bCs/>
                <w:sz w:val="22"/>
                <w:szCs w:val="22"/>
              </w:rPr>
            </w:pPr>
            <w:r w:rsidRPr="0FCC8A84">
              <w:rPr>
                <w:b/>
                <w:bCs/>
                <w:sz w:val="22"/>
                <w:szCs w:val="22"/>
              </w:rPr>
              <w:t>2020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E9D2B5" w14:textId="7075A70C" w:rsidR="004C30D8" w:rsidRPr="004C30D8" w:rsidRDefault="0FCC8A84" w:rsidP="0FCC8A84">
            <w:pPr>
              <w:spacing w:after="0"/>
              <w:jc w:val="center"/>
              <w:rPr>
                <w:b/>
                <w:bCs/>
                <w:sz w:val="22"/>
                <w:szCs w:val="22"/>
              </w:rPr>
            </w:pPr>
            <w:r w:rsidRPr="0FCC8A84">
              <w:rPr>
                <w:b/>
                <w:bCs/>
                <w:sz w:val="22"/>
                <w:szCs w:val="22"/>
              </w:rPr>
              <w:t>2021</w:t>
            </w:r>
          </w:p>
        </w:tc>
      </w:tr>
      <w:tr w:rsidR="00D72375" w:rsidRPr="004C30D8" w14:paraId="6DB9F97D" w14:textId="77777777" w:rsidTr="0FCC8A84">
        <w:trPr>
          <w:trHeight w:val="285"/>
          <w:jc w:val="center"/>
        </w:trPr>
        <w:tc>
          <w:tcPr>
            <w:tcW w:w="4755"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23363E" w14:textId="77777777" w:rsidR="00D72375" w:rsidRPr="004C30D8" w:rsidRDefault="00D72375" w:rsidP="00D72375">
            <w:pPr>
              <w:spacing w:after="0"/>
              <w:jc w:val="left"/>
              <w:rPr>
                <w:b/>
                <w:bCs/>
                <w:sz w:val="22"/>
                <w:szCs w:val="22"/>
              </w:rPr>
            </w:pPr>
            <w:r w:rsidRPr="0FCC8A84">
              <w:rPr>
                <w:b/>
                <w:bCs/>
                <w:sz w:val="22"/>
                <w:szCs w:val="22"/>
              </w:rPr>
              <w:t>1. Bevétel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4E9B3" w14:textId="4F8AAC4F" w:rsidR="00D72375" w:rsidRPr="004C30D8" w:rsidRDefault="00D72375" w:rsidP="00D72375">
            <w:pPr>
              <w:spacing w:after="0"/>
              <w:jc w:val="right"/>
              <w:rPr>
                <w:b/>
                <w:bCs/>
                <w:sz w:val="22"/>
                <w:szCs w:val="22"/>
              </w:rPr>
            </w:pPr>
            <w:r>
              <w:rPr>
                <w:b/>
                <w:bCs/>
                <w:sz w:val="22"/>
                <w:szCs w:val="22"/>
              </w:rPr>
              <w:t>70,3</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6E65790" w14:textId="44BAAB74" w:rsidR="00D72375" w:rsidRPr="004C30D8" w:rsidRDefault="00D72375" w:rsidP="00D72375">
            <w:pPr>
              <w:spacing w:after="0"/>
              <w:jc w:val="right"/>
              <w:rPr>
                <w:b/>
                <w:bCs/>
                <w:sz w:val="22"/>
                <w:szCs w:val="22"/>
              </w:rPr>
            </w:pPr>
            <w:r>
              <w:rPr>
                <w:b/>
                <w:bCs/>
                <w:sz w:val="22"/>
                <w:szCs w:val="22"/>
              </w:rPr>
              <w:t>38,5</w:t>
            </w:r>
          </w:p>
        </w:tc>
      </w:tr>
      <w:tr w:rsidR="00D72375" w:rsidRPr="004C30D8" w14:paraId="18A0C2F2" w14:textId="77777777" w:rsidTr="0FCC8A84">
        <w:trPr>
          <w:trHeight w:val="300"/>
          <w:jc w:val="center"/>
        </w:trPr>
        <w:tc>
          <w:tcPr>
            <w:tcW w:w="195" w:type="dxa"/>
            <w:tcBorders>
              <w:top w:val="nil"/>
              <w:left w:val="single" w:sz="4" w:space="0" w:color="auto"/>
              <w:bottom w:val="single" w:sz="4" w:space="0" w:color="auto"/>
              <w:right w:val="nil"/>
            </w:tcBorders>
            <w:shd w:val="clear" w:color="auto" w:fill="FFFFFF" w:themeFill="background1"/>
            <w:noWrap/>
            <w:vAlign w:val="bottom"/>
            <w:hideMark/>
          </w:tcPr>
          <w:p w14:paraId="12A529DF" w14:textId="54FF5E60" w:rsidR="00D72375" w:rsidRPr="004C30D8" w:rsidRDefault="00D72375" w:rsidP="00D72375">
            <w:pPr>
              <w:spacing w:after="0"/>
              <w:jc w:val="left"/>
              <w:rPr>
                <w:sz w:val="22"/>
                <w:szCs w:val="22"/>
              </w:rPr>
            </w:pPr>
            <w:r w:rsidRPr="0FCC8A84">
              <w:rPr>
                <w:sz w:val="22"/>
                <w:szCs w:val="22"/>
              </w:rPr>
              <w:t> </w:t>
            </w:r>
          </w:p>
        </w:tc>
        <w:tc>
          <w:tcPr>
            <w:tcW w:w="4560"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14:paraId="6544146B" w14:textId="77777777" w:rsidR="00D72375" w:rsidRPr="004C30D8" w:rsidRDefault="00D72375" w:rsidP="00D72375">
            <w:pPr>
              <w:spacing w:after="0"/>
              <w:jc w:val="left"/>
              <w:rPr>
                <w:b/>
                <w:bCs/>
                <w:sz w:val="22"/>
                <w:szCs w:val="22"/>
              </w:rPr>
            </w:pPr>
            <w:r w:rsidRPr="0FCC8A84">
              <w:rPr>
                <w:b/>
                <w:bCs/>
                <w:sz w:val="22"/>
                <w:szCs w:val="22"/>
              </w:rPr>
              <w:t>1.1. Forint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046DA" w14:textId="675292EB" w:rsidR="00D72375" w:rsidRPr="004C30D8" w:rsidRDefault="00D72375" w:rsidP="00D72375">
            <w:pPr>
              <w:spacing w:after="0"/>
              <w:jc w:val="right"/>
              <w:rPr>
                <w:b/>
                <w:bCs/>
                <w:sz w:val="22"/>
                <w:szCs w:val="22"/>
              </w:rPr>
            </w:pPr>
            <w:r>
              <w:rPr>
                <w:b/>
                <w:bCs/>
                <w:sz w:val="22"/>
                <w:szCs w:val="22"/>
              </w:rPr>
              <w:t>70,7</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43B0E4E" w14:textId="26922009" w:rsidR="00D72375" w:rsidRPr="004C30D8" w:rsidRDefault="00D72375" w:rsidP="00D72375">
            <w:pPr>
              <w:spacing w:after="0"/>
              <w:jc w:val="right"/>
              <w:rPr>
                <w:b/>
                <w:bCs/>
                <w:sz w:val="22"/>
                <w:szCs w:val="22"/>
              </w:rPr>
            </w:pPr>
            <w:r>
              <w:rPr>
                <w:b/>
                <w:bCs/>
                <w:sz w:val="22"/>
                <w:szCs w:val="22"/>
              </w:rPr>
              <w:t>36,1</w:t>
            </w:r>
          </w:p>
        </w:tc>
      </w:tr>
      <w:tr w:rsidR="00D72375" w:rsidRPr="004C30D8" w14:paraId="070AC738" w14:textId="77777777" w:rsidTr="0FCC8A84">
        <w:trPr>
          <w:trHeight w:val="300"/>
          <w:jc w:val="center"/>
        </w:trPr>
        <w:tc>
          <w:tcPr>
            <w:tcW w:w="195" w:type="dxa"/>
            <w:tcBorders>
              <w:top w:val="nil"/>
              <w:left w:val="single" w:sz="4" w:space="0" w:color="auto"/>
              <w:bottom w:val="nil"/>
              <w:right w:val="nil"/>
            </w:tcBorders>
            <w:shd w:val="clear" w:color="auto" w:fill="FFFFFF" w:themeFill="background1"/>
            <w:noWrap/>
            <w:vAlign w:val="bottom"/>
            <w:hideMark/>
          </w:tcPr>
          <w:p w14:paraId="6A637416" w14:textId="1C4BA02F" w:rsidR="00D72375" w:rsidRPr="004C30D8" w:rsidRDefault="00D72375" w:rsidP="00D72375">
            <w:pPr>
              <w:spacing w:after="0"/>
              <w:jc w:val="left"/>
              <w:rPr>
                <w:sz w:val="22"/>
                <w:szCs w:val="22"/>
              </w:rPr>
            </w:pPr>
            <w:r w:rsidRPr="0FCC8A84">
              <w:rPr>
                <w:sz w:val="22"/>
                <w:szCs w:val="22"/>
              </w:rPr>
              <w:t> </w:t>
            </w:r>
          </w:p>
        </w:tc>
        <w:tc>
          <w:tcPr>
            <w:tcW w:w="368" w:type="dxa"/>
            <w:tcBorders>
              <w:top w:val="nil"/>
              <w:left w:val="nil"/>
              <w:bottom w:val="nil"/>
              <w:right w:val="nil"/>
            </w:tcBorders>
            <w:shd w:val="clear" w:color="auto" w:fill="FFFFFF" w:themeFill="background1"/>
            <w:noWrap/>
            <w:vAlign w:val="bottom"/>
            <w:hideMark/>
          </w:tcPr>
          <w:p w14:paraId="04695659" w14:textId="77777777" w:rsidR="00D72375" w:rsidRPr="004C30D8" w:rsidRDefault="00D72375" w:rsidP="00D72375">
            <w:pPr>
              <w:spacing w:after="0"/>
              <w:jc w:val="left"/>
              <w:rPr>
                <w:sz w:val="22"/>
                <w:szCs w:val="22"/>
              </w:rPr>
            </w:pPr>
            <w:r w:rsidRPr="0FCC8A84">
              <w:rPr>
                <w:sz w:val="22"/>
                <w:szCs w:val="22"/>
              </w:rPr>
              <w:t> </w:t>
            </w:r>
          </w:p>
        </w:tc>
        <w:tc>
          <w:tcPr>
            <w:tcW w:w="4192" w:type="dxa"/>
            <w:tcBorders>
              <w:top w:val="nil"/>
              <w:left w:val="nil"/>
              <w:bottom w:val="nil"/>
              <w:right w:val="single" w:sz="4" w:space="0" w:color="auto"/>
            </w:tcBorders>
            <w:shd w:val="clear" w:color="auto" w:fill="FFFFFF" w:themeFill="background1"/>
            <w:noWrap/>
            <w:vAlign w:val="bottom"/>
            <w:hideMark/>
          </w:tcPr>
          <w:p w14:paraId="58224C74" w14:textId="77777777" w:rsidR="00D72375" w:rsidRPr="004C30D8" w:rsidRDefault="00D72375" w:rsidP="00D72375">
            <w:pPr>
              <w:spacing w:after="0"/>
              <w:jc w:val="left"/>
              <w:rPr>
                <w:i/>
                <w:iCs/>
                <w:sz w:val="22"/>
                <w:szCs w:val="22"/>
              </w:rPr>
            </w:pPr>
            <w:r w:rsidRPr="0FCC8A84">
              <w:rPr>
                <w:i/>
                <w:iCs/>
                <w:sz w:val="22"/>
                <w:szCs w:val="22"/>
              </w:rPr>
              <w:t>1.1.1. Államkötvények kamata</w:t>
            </w:r>
          </w:p>
        </w:tc>
        <w:tc>
          <w:tcPr>
            <w:tcW w:w="1134" w:type="dxa"/>
            <w:tcBorders>
              <w:top w:val="nil"/>
              <w:left w:val="single" w:sz="4" w:space="0" w:color="auto"/>
              <w:bottom w:val="nil"/>
              <w:right w:val="single" w:sz="4" w:space="0" w:color="auto"/>
            </w:tcBorders>
            <w:shd w:val="clear" w:color="auto" w:fill="auto"/>
            <w:noWrap/>
            <w:vAlign w:val="bottom"/>
          </w:tcPr>
          <w:p w14:paraId="36DBD9DB" w14:textId="66616917" w:rsidR="00D72375" w:rsidRPr="004C30D8" w:rsidRDefault="00D72375" w:rsidP="00D72375">
            <w:pPr>
              <w:spacing w:after="0"/>
              <w:jc w:val="right"/>
              <w:rPr>
                <w:i/>
                <w:iCs/>
                <w:sz w:val="22"/>
                <w:szCs w:val="22"/>
              </w:rPr>
            </w:pPr>
            <w:r>
              <w:rPr>
                <w:i/>
                <w:iCs/>
                <w:sz w:val="22"/>
                <w:szCs w:val="22"/>
              </w:rPr>
              <w:t>69,1</w:t>
            </w:r>
          </w:p>
        </w:tc>
        <w:tc>
          <w:tcPr>
            <w:tcW w:w="1276" w:type="dxa"/>
            <w:tcBorders>
              <w:top w:val="nil"/>
              <w:left w:val="nil"/>
              <w:bottom w:val="nil"/>
              <w:right w:val="single" w:sz="4" w:space="0" w:color="auto"/>
            </w:tcBorders>
            <w:shd w:val="clear" w:color="auto" w:fill="auto"/>
            <w:noWrap/>
            <w:vAlign w:val="bottom"/>
          </w:tcPr>
          <w:p w14:paraId="2B4166A0" w14:textId="7872F532" w:rsidR="00D72375" w:rsidRPr="004C30D8" w:rsidRDefault="00D72375" w:rsidP="00D72375">
            <w:pPr>
              <w:spacing w:after="0"/>
              <w:jc w:val="right"/>
              <w:rPr>
                <w:i/>
                <w:iCs/>
                <w:sz w:val="22"/>
                <w:szCs w:val="22"/>
              </w:rPr>
            </w:pPr>
            <w:r>
              <w:rPr>
                <w:i/>
                <w:iCs/>
                <w:sz w:val="22"/>
                <w:szCs w:val="22"/>
              </w:rPr>
              <w:t>31,5</w:t>
            </w:r>
          </w:p>
        </w:tc>
      </w:tr>
      <w:tr w:rsidR="00D72375" w:rsidRPr="004C30D8" w14:paraId="48DED23A" w14:textId="77777777" w:rsidTr="0FCC8A84">
        <w:trPr>
          <w:trHeight w:val="300"/>
          <w:jc w:val="center"/>
        </w:trPr>
        <w:tc>
          <w:tcPr>
            <w:tcW w:w="195" w:type="dxa"/>
            <w:tcBorders>
              <w:top w:val="nil"/>
              <w:left w:val="single" w:sz="4" w:space="0" w:color="auto"/>
              <w:bottom w:val="nil"/>
              <w:right w:val="nil"/>
            </w:tcBorders>
            <w:shd w:val="clear" w:color="auto" w:fill="FFFFFF" w:themeFill="background1"/>
            <w:noWrap/>
            <w:vAlign w:val="bottom"/>
            <w:hideMark/>
          </w:tcPr>
          <w:p w14:paraId="43896092" w14:textId="7EFAD314" w:rsidR="00D72375" w:rsidRPr="004C30D8" w:rsidRDefault="00D72375" w:rsidP="00D72375">
            <w:pPr>
              <w:spacing w:after="0"/>
              <w:jc w:val="left"/>
              <w:rPr>
                <w:sz w:val="22"/>
                <w:szCs w:val="22"/>
              </w:rPr>
            </w:pPr>
            <w:r w:rsidRPr="0FCC8A84">
              <w:rPr>
                <w:sz w:val="22"/>
                <w:szCs w:val="22"/>
              </w:rPr>
              <w:t> </w:t>
            </w:r>
          </w:p>
        </w:tc>
        <w:tc>
          <w:tcPr>
            <w:tcW w:w="368" w:type="dxa"/>
            <w:tcBorders>
              <w:top w:val="nil"/>
              <w:left w:val="nil"/>
              <w:bottom w:val="nil"/>
              <w:right w:val="nil"/>
            </w:tcBorders>
            <w:shd w:val="clear" w:color="auto" w:fill="FFFFFF" w:themeFill="background1"/>
            <w:noWrap/>
            <w:vAlign w:val="bottom"/>
            <w:hideMark/>
          </w:tcPr>
          <w:p w14:paraId="084AA7D8" w14:textId="77777777" w:rsidR="00D72375" w:rsidRPr="004C30D8" w:rsidRDefault="00D72375" w:rsidP="00D72375">
            <w:pPr>
              <w:spacing w:after="0"/>
              <w:jc w:val="left"/>
              <w:rPr>
                <w:sz w:val="22"/>
                <w:szCs w:val="22"/>
              </w:rPr>
            </w:pPr>
            <w:r w:rsidRPr="0FCC8A84">
              <w:rPr>
                <w:sz w:val="22"/>
                <w:szCs w:val="22"/>
              </w:rPr>
              <w:t> </w:t>
            </w:r>
          </w:p>
        </w:tc>
        <w:tc>
          <w:tcPr>
            <w:tcW w:w="4192" w:type="dxa"/>
            <w:tcBorders>
              <w:top w:val="nil"/>
              <w:left w:val="nil"/>
              <w:bottom w:val="nil"/>
              <w:right w:val="single" w:sz="4" w:space="0" w:color="auto"/>
            </w:tcBorders>
            <w:shd w:val="clear" w:color="auto" w:fill="FFFFFF" w:themeFill="background1"/>
            <w:noWrap/>
            <w:vAlign w:val="bottom"/>
            <w:hideMark/>
          </w:tcPr>
          <w:p w14:paraId="3315C50A" w14:textId="77777777" w:rsidR="00D72375" w:rsidRPr="004C30D8" w:rsidRDefault="00D72375" w:rsidP="00D72375">
            <w:pPr>
              <w:spacing w:after="0"/>
              <w:jc w:val="left"/>
              <w:rPr>
                <w:i/>
                <w:iCs/>
                <w:sz w:val="22"/>
                <w:szCs w:val="22"/>
              </w:rPr>
            </w:pPr>
            <w:r w:rsidRPr="0FCC8A84">
              <w:rPr>
                <w:i/>
                <w:iCs/>
                <w:sz w:val="22"/>
                <w:szCs w:val="22"/>
              </w:rPr>
              <w:t>1.1.2. Kincstárjegyek kamata</w:t>
            </w:r>
          </w:p>
        </w:tc>
        <w:tc>
          <w:tcPr>
            <w:tcW w:w="1134" w:type="dxa"/>
            <w:tcBorders>
              <w:top w:val="nil"/>
              <w:left w:val="single" w:sz="4" w:space="0" w:color="auto"/>
              <w:bottom w:val="nil"/>
              <w:right w:val="single" w:sz="4" w:space="0" w:color="auto"/>
            </w:tcBorders>
            <w:shd w:val="clear" w:color="auto" w:fill="auto"/>
            <w:noWrap/>
            <w:vAlign w:val="bottom"/>
          </w:tcPr>
          <w:p w14:paraId="6534D39E" w14:textId="11AC9F9C" w:rsidR="00D72375" w:rsidRPr="004C30D8" w:rsidRDefault="00D72375" w:rsidP="00D72375">
            <w:pPr>
              <w:spacing w:after="0"/>
              <w:jc w:val="right"/>
              <w:rPr>
                <w:i/>
                <w:iCs/>
                <w:sz w:val="22"/>
                <w:szCs w:val="22"/>
              </w:rPr>
            </w:pPr>
            <w:r>
              <w:rPr>
                <w:i/>
                <w:iCs/>
                <w:sz w:val="22"/>
                <w:szCs w:val="22"/>
              </w:rPr>
              <w:t>0,</w:t>
            </w:r>
            <w:proofErr w:type="spellStart"/>
            <w:r>
              <w:rPr>
                <w:i/>
                <w:iCs/>
                <w:sz w:val="22"/>
                <w:szCs w:val="22"/>
              </w:rPr>
              <w:t>0</w:t>
            </w:r>
            <w:proofErr w:type="spellEnd"/>
          </w:p>
        </w:tc>
        <w:tc>
          <w:tcPr>
            <w:tcW w:w="1276" w:type="dxa"/>
            <w:tcBorders>
              <w:top w:val="nil"/>
              <w:left w:val="nil"/>
              <w:bottom w:val="nil"/>
              <w:right w:val="single" w:sz="4" w:space="0" w:color="auto"/>
            </w:tcBorders>
            <w:shd w:val="clear" w:color="auto" w:fill="auto"/>
            <w:noWrap/>
            <w:vAlign w:val="bottom"/>
          </w:tcPr>
          <w:p w14:paraId="36A73D13" w14:textId="4756445A" w:rsidR="00D72375" w:rsidRPr="004C30D8" w:rsidRDefault="00D72375" w:rsidP="00D72375">
            <w:pPr>
              <w:spacing w:after="0"/>
              <w:jc w:val="right"/>
              <w:rPr>
                <w:i/>
                <w:iCs/>
                <w:sz w:val="22"/>
                <w:szCs w:val="22"/>
              </w:rPr>
            </w:pPr>
            <w:r>
              <w:rPr>
                <w:i/>
                <w:iCs/>
                <w:sz w:val="22"/>
                <w:szCs w:val="22"/>
              </w:rPr>
              <w:t>0,</w:t>
            </w:r>
            <w:proofErr w:type="spellStart"/>
            <w:r>
              <w:rPr>
                <w:i/>
                <w:iCs/>
                <w:sz w:val="22"/>
                <w:szCs w:val="22"/>
              </w:rPr>
              <w:t>0</w:t>
            </w:r>
            <w:proofErr w:type="spellEnd"/>
          </w:p>
        </w:tc>
      </w:tr>
      <w:tr w:rsidR="00D72375" w:rsidRPr="004C30D8" w14:paraId="5E8B8A2F" w14:textId="77777777" w:rsidTr="0FCC8A84">
        <w:trPr>
          <w:trHeight w:val="300"/>
          <w:jc w:val="center"/>
        </w:trPr>
        <w:tc>
          <w:tcPr>
            <w:tcW w:w="195" w:type="dxa"/>
            <w:tcBorders>
              <w:top w:val="nil"/>
              <w:left w:val="single" w:sz="4" w:space="0" w:color="auto"/>
              <w:bottom w:val="nil"/>
              <w:right w:val="nil"/>
            </w:tcBorders>
            <w:shd w:val="clear" w:color="auto" w:fill="FFFFFF" w:themeFill="background1"/>
            <w:noWrap/>
            <w:vAlign w:val="bottom"/>
            <w:hideMark/>
          </w:tcPr>
          <w:p w14:paraId="2733CA1F" w14:textId="22DC9139" w:rsidR="00D72375" w:rsidRPr="004C30D8" w:rsidRDefault="00D72375" w:rsidP="00D72375">
            <w:pPr>
              <w:spacing w:after="0"/>
              <w:jc w:val="left"/>
              <w:rPr>
                <w:sz w:val="22"/>
                <w:szCs w:val="22"/>
              </w:rPr>
            </w:pPr>
            <w:r w:rsidRPr="0FCC8A84">
              <w:rPr>
                <w:sz w:val="22"/>
                <w:szCs w:val="22"/>
              </w:rPr>
              <w:t> </w:t>
            </w:r>
          </w:p>
        </w:tc>
        <w:tc>
          <w:tcPr>
            <w:tcW w:w="368" w:type="dxa"/>
            <w:tcBorders>
              <w:top w:val="nil"/>
              <w:left w:val="nil"/>
              <w:bottom w:val="nil"/>
              <w:right w:val="nil"/>
            </w:tcBorders>
            <w:shd w:val="clear" w:color="auto" w:fill="FFFFFF" w:themeFill="background1"/>
            <w:noWrap/>
            <w:vAlign w:val="bottom"/>
            <w:hideMark/>
          </w:tcPr>
          <w:p w14:paraId="08DDD2F1" w14:textId="77777777" w:rsidR="00D72375" w:rsidRPr="004C30D8" w:rsidRDefault="00D72375" w:rsidP="00D72375">
            <w:pPr>
              <w:spacing w:after="0"/>
              <w:jc w:val="left"/>
              <w:rPr>
                <w:sz w:val="22"/>
                <w:szCs w:val="22"/>
              </w:rPr>
            </w:pPr>
            <w:r w:rsidRPr="0FCC8A84">
              <w:rPr>
                <w:sz w:val="22"/>
                <w:szCs w:val="22"/>
              </w:rPr>
              <w:t> </w:t>
            </w:r>
          </w:p>
        </w:tc>
        <w:tc>
          <w:tcPr>
            <w:tcW w:w="4192" w:type="dxa"/>
            <w:tcBorders>
              <w:top w:val="nil"/>
              <w:left w:val="nil"/>
              <w:bottom w:val="nil"/>
              <w:right w:val="single" w:sz="4" w:space="0" w:color="auto"/>
            </w:tcBorders>
            <w:shd w:val="clear" w:color="auto" w:fill="FFFFFF" w:themeFill="background1"/>
            <w:noWrap/>
            <w:vAlign w:val="bottom"/>
            <w:hideMark/>
          </w:tcPr>
          <w:p w14:paraId="40F22C8F" w14:textId="77777777" w:rsidR="00D72375" w:rsidRPr="004C30D8" w:rsidRDefault="00D72375" w:rsidP="00D72375">
            <w:pPr>
              <w:spacing w:after="0"/>
              <w:jc w:val="left"/>
              <w:rPr>
                <w:i/>
                <w:iCs/>
                <w:sz w:val="22"/>
                <w:szCs w:val="22"/>
              </w:rPr>
            </w:pPr>
            <w:r w:rsidRPr="0FCC8A84">
              <w:rPr>
                <w:i/>
                <w:iCs/>
                <w:sz w:val="22"/>
                <w:szCs w:val="22"/>
              </w:rPr>
              <w:t xml:space="preserve">1.1.3. </w:t>
            </w:r>
            <w:proofErr w:type="spellStart"/>
            <w:r w:rsidRPr="0FCC8A84">
              <w:rPr>
                <w:i/>
                <w:iCs/>
                <w:sz w:val="22"/>
                <w:szCs w:val="22"/>
              </w:rPr>
              <w:t>Repóügyletek</w:t>
            </w:r>
            <w:proofErr w:type="spellEnd"/>
            <w:r w:rsidRPr="0FCC8A84">
              <w:rPr>
                <w:i/>
                <w:iCs/>
                <w:sz w:val="22"/>
                <w:szCs w:val="22"/>
              </w:rPr>
              <w:t xml:space="preserve"> kamata</w:t>
            </w:r>
          </w:p>
        </w:tc>
        <w:tc>
          <w:tcPr>
            <w:tcW w:w="1134" w:type="dxa"/>
            <w:tcBorders>
              <w:top w:val="nil"/>
              <w:left w:val="single" w:sz="4" w:space="0" w:color="auto"/>
              <w:bottom w:val="nil"/>
              <w:right w:val="single" w:sz="4" w:space="0" w:color="auto"/>
            </w:tcBorders>
            <w:shd w:val="clear" w:color="auto" w:fill="auto"/>
            <w:noWrap/>
            <w:vAlign w:val="bottom"/>
          </w:tcPr>
          <w:p w14:paraId="25A44EF4" w14:textId="4D0F684D" w:rsidR="00D72375" w:rsidRPr="004C30D8" w:rsidRDefault="00D72375" w:rsidP="00D72375">
            <w:pPr>
              <w:spacing w:after="0"/>
              <w:jc w:val="right"/>
              <w:rPr>
                <w:i/>
                <w:iCs/>
                <w:sz w:val="22"/>
                <w:szCs w:val="22"/>
              </w:rPr>
            </w:pPr>
            <w:r>
              <w:rPr>
                <w:i/>
                <w:iCs/>
                <w:sz w:val="22"/>
                <w:szCs w:val="22"/>
              </w:rPr>
              <w:t>0,2</w:t>
            </w:r>
          </w:p>
        </w:tc>
        <w:tc>
          <w:tcPr>
            <w:tcW w:w="1276" w:type="dxa"/>
            <w:tcBorders>
              <w:top w:val="nil"/>
              <w:left w:val="nil"/>
              <w:bottom w:val="nil"/>
              <w:right w:val="single" w:sz="4" w:space="0" w:color="auto"/>
            </w:tcBorders>
            <w:shd w:val="clear" w:color="auto" w:fill="auto"/>
            <w:noWrap/>
            <w:vAlign w:val="bottom"/>
          </w:tcPr>
          <w:p w14:paraId="2B75BAC9" w14:textId="0B1ED64A" w:rsidR="00D72375" w:rsidRPr="004C30D8" w:rsidRDefault="00D72375" w:rsidP="00D72375">
            <w:pPr>
              <w:spacing w:after="0"/>
              <w:jc w:val="right"/>
              <w:rPr>
                <w:i/>
                <w:iCs/>
                <w:sz w:val="22"/>
                <w:szCs w:val="22"/>
              </w:rPr>
            </w:pPr>
            <w:r>
              <w:rPr>
                <w:i/>
                <w:iCs/>
                <w:sz w:val="22"/>
                <w:szCs w:val="22"/>
              </w:rPr>
              <w:t>0,6</w:t>
            </w:r>
          </w:p>
        </w:tc>
      </w:tr>
      <w:tr w:rsidR="00D72375" w:rsidRPr="004C30D8" w14:paraId="68D79656" w14:textId="77777777" w:rsidTr="0FCC8A84">
        <w:trPr>
          <w:trHeight w:val="300"/>
          <w:jc w:val="center"/>
        </w:trPr>
        <w:tc>
          <w:tcPr>
            <w:tcW w:w="195" w:type="dxa"/>
            <w:tcBorders>
              <w:top w:val="nil"/>
              <w:left w:val="single" w:sz="4" w:space="0" w:color="auto"/>
              <w:bottom w:val="single" w:sz="4" w:space="0" w:color="auto"/>
              <w:right w:val="nil"/>
            </w:tcBorders>
            <w:shd w:val="clear" w:color="auto" w:fill="FFFFFF" w:themeFill="background1"/>
            <w:noWrap/>
            <w:vAlign w:val="bottom"/>
            <w:hideMark/>
          </w:tcPr>
          <w:p w14:paraId="2A410CC2" w14:textId="4C0FDA20" w:rsidR="00D72375" w:rsidRPr="004C30D8" w:rsidRDefault="00D72375" w:rsidP="00D72375">
            <w:pPr>
              <w:spacing w:after="0"/>
              <w:jc w:val="left"/>
              <w:rPr>
                <w:sz w:val="22"/>
                <w:szCs w:val="22"/>
              </w:rPr>
            </w:pPr>
            <w:r w:rsidRPr="0FCC8A84">
              <w:rPr>
                <w:sz w:val="22"/>
                <w:szCs w:val="22"/>
              </w:rPr>
              <w:t> </w:t>
            </w:r>
          </w:p>
        </w:tc>
        <w:tc>
          <w:tcPr>
            <w:tcW w:w="368" w:type="dxa"/>
            <w:tcBorders>
              <w:top w:val="nil"/>
              <w:left w:val="nil"/>
              <w:bottom w:val="single" w:sz="4" w:space="0" w:color="auto"/>
              <w:right w:val="nil"/>
            </w:tcBorders>
            <w:shd w:val="clear" w:color="auto" w:fill="FFFFFF" w:themeFill="background1"/>
            <w:noWrap/>
            <w:vAlign w:val="bottom"/>
            <w:hideMark/>
          </w:tcPr>
          <w:p w14:paraId="1C934698" w14:textId="77777777" w:rsidR="00D72375" w:rsidRPr="004C30D8" w:rsidRDefault="00D72375" w:rsidP="00D72375">
            <w:pPr>
              <w:spacing w:after="0"/>
              <w:jc w:val="left"/>
              <w:rPr>
                <w:sz w:val="22"/>
                <w:szCs w:val="22"/>
              </w:rPr>
            </w:pPr>
            <w:r w:rsidRPr="0FCC8A84">
              <w:rPr>
                <w:sz w:val="22"/>
                <w:szCs w:val="22"/>
              </w:rPr>
              <w:t> </w:t>
            </w:r>
          </w:p>
        </w:tc>
        <w:tc>
          <w:tcPr>
            <w:tcW w:w="4192" w:type="dxa"/>
            <w:tcBorders>
              <w:top w:val="nil"/>
              <w:left w:val="nil"/>
              <w:bottom w:val="single" w:sz="4" w:space="0" w:color="auto"/>
              <w:right w:val="single" w:sz="4" w:space="0" w:color="auto"/>
            </w:tcBorders>
            <w:shd w:val="clear" w:color="auto" w:fill="FFFFFF" w:themeFill="background1"/>
            <w:noWrap/>
            <w:vAlign w:val="bottom"/>
            <w:hideMark/>
          </w:tcPr>
          <w:p w14:paraId="59080012" w14:textId="77777777" w:rsidR="00D72375" w:rsidRPr="004C30D8" w:rsidRDefault="00D72375" w:rsidP="00D72375">
            <w:pPr>
              <w:spacing w:after="0"/>
              <w:jc w:val="left"/>
              <w:rPr>
                <w:i/>
                <w:iCs/>
                <w:sz w:val="22"/>
                <w:szCs w:val="22"/>
              </w:rPr>
            </w:pPr>
            <w:r w:rsidRPr="0FCC8A84">
              <w:rPr>
                <w:i/>
                <w:iCs/>
                <w:sz w:val="22"/>
                <w:szCs w:val="22"/>
              </w:rPr>
              <w:t>1.1.4. KESZ forint-betét kamata</w:t>
            </w:r>
          </w:p>
        </w:tc>
        <w:tc>
          <w:tcPr>
            <w:tcW w:w="1134" w:type="dxa"/>
            <w:tcBorders>
              <w:top w:val="nil"/>
              <w:left w:val="single" w:sz="4" w:space="0" w:color="auto"/>
              <w:bottom w:val="nil"/>
              <w:right w:val="single" w:sz="4" w:space="0" w:color="auto"/>
            </w:tcBorders>
            <w:shd w:val="clear" w:color="auto" w:fill="auto"/>
            <w:noWrap/>
            <w:vAlign w:val="bottom"/>
          </w:tcPr>
          <w:p w14:paraId="22F79DFD" w14:textId="2433FFFE" w:rsidR="00D72375" w:rsidRPr="004C30D8" w:rsidRDefault="00D72375" w:rsidP="00D72375">
            <w:pPr>
              <w:spacing w:after="0"/>
              <w:jc w:val="right"/>
              <w:rPr>
                <w:i/>
                <w:iCs/>
                <w:sz w:val="22"/>
                <w:szCs w:val="22"/>
              </w:rPr>
            </w:pPr>
            <w:r>
              <w:rPr>
                <w:i/>
                <w:iCs/>
                <w:sz w:val="22"/>
                <w:szCs w:val="22"/>
              </w:rPr>
              <w:t>1,4</w:t>
            </w:r>
          </w:p>
        </w:tc>
        <w:tc>
          <w:tcPr>
            <w:tcW w:w="1276" w:type="dxa"/>
            <w:tcBorders>
              <w:top w:val="nil"/>
              <w:left w:val="nil"/>
              <w:bottom w:val="nil"/>
              <w:right w:val="single" w:sz="4" w:space="0" w:color="auto"/>
            </w:tcBorders>
            <w:shd w:val="clear" w:color="auto" w:fill="auto"/>
            <w:noWrap/>
            <w:vAlign w:val="bottom"/>
          </w:tcPr>
          <w:p w14:paraId="1074B886" w14:textId="18FE4A44" w:rsidR="00D72375" w:rsidRPr="004C30D8" w:rsidRDefault="00D72375" w:rsidP="00D72375">
            <w:pPr>
              <w:spacing w:after="0"/>
              <w:jc w:val="right"/>
              <w:rPr>
                <w:i/>
                <w:iCs/>
                <w:sz w:val="22"/>
                <w:szCs w:val="22"/>
              </w:rPr>
            </w:pPr>
            <w:r>
              <w:rPr>
                <w:i/>
                <w:iCs/>
                <w:sz w:val="22"/>
                <w:szCs w:val="22"/>
              </w:rPr>
              <w:t>4,0</w:t>
            </w:r>
          </w:p>
        </w:tc>
      </w:tr>
      <w:tr w:rsidR="00D72375" w:rsidRPr="004C30D8" w14:paraId="3D745D4B" w14:textId="77777777" w:rsidTr="0FCC8A84">
        <w:trPr>
          <w:trHeight w:val="300"/>
          <w:jc w:val="center"/>
        </w:trPr>
        <w:tc>
          <w:tcPr>
            <w:tcW w:w="195" w:type="dxa"/>
            <w:tcBorders>
              <w:top w:val="single" w:sz="4" w:space="0" w:color="auto"/>
              <w:left w:val="single" w:sz="4" w:space="0" w:color="auto"/>
              <w:bottom w:val="single" w:sz="4" w:space="0" w:color="auto"/>
              <w:right w:val="nil"/>
            </w:tcBorders>
            <w:shd w:val="clear" w:color="auto" w:fill="FFFFFF" w:themeFill="background1"/>
            <w:noWrap/>
            <w:vAlign w:val="bottom"/>
            <w:hideMark/>
          </w:tcPr>
          <w:p w14:paraId="31AF6125" w14:textId="2A92472B" w:rsidR="00D72375" w:rsidRPr="004C30D8" w:rsidRDefault="00D72375" w:rsidP="00D72375">
            <w:pPr>
              <w:spacing w:after="0"/>
              <w:jc w:val="left"/>
              <w:rPr>
                <w:sz w:val="22"/>
                <w:szCs w:val="22"/>
              </w:rPr>
            </w:pPr>
            <w:r w:rsidRPr="0FCC8A84">
              <w:rPr>
                <w:sz w:val="22"/>
                <w:szCs w:val="22"/>
              </w:rPr>
              <w:t> </w:t>
            </w:r>
          </w:p>
        </w:tc>
        <w:tc>
          <w:tcPr>
            <w:tcW w:w="4560"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14:paraId="302EA49B" w14:textId="77777777" w:rsidR="00D72375" w:rsidRPr="004C30D8" w:rsidRDefault="00D72375" w:rsidP="00D72375">
            <w:pPr>
              <w:spacing w:after="0"/>
              <w:jc w:val="left"/>
              <w:rPr>
                <w:b/>
                <w:bCs/>
                <w:sz w:val="22"/>
                <w:szCs w:val="22"/>
              </w:rPr>
            </w:pPr>
            <w:r w:rsidRPr="0FCC8A84">
              <w:rPr>
                <w:b/>
                <w:bCs/>
                <w:sz w:val="22"/>
                <w:szCs w:val="22"/>
              </w:rPr>
              <w:t>1.2. Deviza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D91D3" w14:textId="416B040A" w:rsidR="00D72375" w:rsidRPr="004C30D8" w:rsidRDefault="00D72375" w:rsidP="00D72375">
            <w:pPr>
              <w:spacing w:after="0"/>
              <w:jc w:val="right"/>
              <w:rPr>
                <w:b/>
                <w:bCs/>
                <w:sz w:val="22"/>
                <w:szCs w:val="22"/>
              </w:rPr>
            </w:pPr>
            <w:r>
              <w:rPr>
                <w:b/>
                <w:bCs/>
                <w:sz w:val="22"/>
                <w:szCs w:val="22"/>
              </w:rPr>
              <w:t>-0,4</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E7FF203" w14:textId="20AE022B" w:rsidR="00D72375" w:rsidRPr="004C30D8" w:rsidRDefault="00D72375" w:rsidP="00D72375">
            <w:pPr>
              <w:spacing w:after="0"/>
              <w:jc w:val="right"/>
              <w:rPr>
                <w:b/>
                <w:bCs/>
                <w:sz w:val="22"/>
                <w:szCs w:val="22"/>
              </w:rPr>
            </w:pPr>
            <w:r>
              <w:rPr>
                <w:b/>
                <w:bCs/>
                <w:sz w:val="22"/>
                <w:szCs w:val="22"/>
              </w:rPr>
              <w:t>2,4</w:t>
            </w:r>
          </w:p>
        </w:tc>
      </w:tr>
      <w:tr w:rsidR="00D72375" w:rsidRPr="004C30D8" w14:paraId="3C5A578D" w14:textId="77777777" w:rsidTr="0FCC8A84">
        <w:trPr>
          <w:trHeight w:val="300"/>
          <w:jc w:val="center"/>
        </w:trPr>
        <w:tc>
          <w:tcPr>
            <w:tcW w:w="195" w:type="dxa"/>
            <w:tcBorders>
              <w:top w:val="single" w:sz="4" w:space="0" w:color="auto"/>
              <w:left w:val="single" w:sz="4" w:space="0" w:color="auto"/>
              <w:right w:val="nil"/>
            </w:tcBorders>
            <w:shd w:val="clear" w:color="auto" w:fill="FFFFFF" w:themeFill="background1"/>
            <w:noWrap/>
            <w:vAlign w:val="bottom"/>
            <w:hideMark/>
          </w:tcPr>
          <w:p w14:paraId="342BD7FE" w14:textId="5E170DD7" w:rsidR="00D72375" w:rsidRPr="004C30D8" w:rsidRDefault="00D72375" w:rsidP="00D72375">
            <w:pPr>
              <w:spacing w:after="0"/>
              <w:jc w:val="left"/>
              <w:rPr>
                <w:sz w:val="22"/>
                <w:szCs w:val="22"/>
              </w:rPr>
            </w:pPr>
            <w:r w:rsidRPr="0FCC8A84">
              <w:rPr>
                <w:sz w:val="22"/>
                <w:szCs w:val="22"/>
              </w:rPr>
              <w:t> </w:t>
            </w:r>
          </w:p>
        </w:tc>
        <w:tc>
          <w:tcPr>
            <w:tcW w:w="368" w:type="dxa"/>
            <w:tcBorders>
              <w:top w:val="single" w:sz="4" w:space="0" w:color="auto"/>
              <w:left w:val="nil"/>
              <w:right w:val="nil"/>
            </w:tcBorders>
            <w:shd w:val="clear" w:color="auto" w:fill="FFFFFF" w:themeFill="background1"/>
            <w:noWrap/>
            <w:vAlign w:val="bottom"/>
            <w:hideMark/>
          </w:tcPr>
          <w:p w14:paraId="110A0BA2" w14:textId="77777777" w:rsidR="00D72375" w:rsidRPr="004C30D8" w:rsidRDefault="00D72375" w:rsidP="00D72375">
            <w:pPr>
              <w:spacing w:after="0"/>
              <w:jc w:val="left"/>
              <w:rPr>
                <w:sz w:val="22"/>
                <w:szCs w:val="22"/>
              </w:rPr>
            </w:pPr>
            <w:r w:rsidRPr="0FCC8A84">
              <w:rPr>
                <w:sz w:val="22"/>
                <w:szCs w:val="22"/>
              </w:rPr>
              <w:t> </w:t>
            </w:r>
          </w:p>
        </w:tc>
        <w:tc>
          <w:tcPr>
            <w:tcW w:w="4192" w:type="dxa"/>
            <w:tcBorders>
              <w:top w:val="single" w:sz="4" w:space="0" w:color="auto"/>
              <w:left w:val="nil"/>
              <w:right w:val="single" w:sz="4" w:space="0" w:color="auto"/>
            </w:tcBorders>
            <w:shd w:val="clear" w:color="auto" w:fill="FFFFFF" w:themeFill="background1"/>
            <w:noWrap/>
            <w:vAlign w:val="bottom"/>
            <w:hideMark/>
          </w:tcPr>
          <w:p w14:paraId="496D0FF5" w14:textId="77777777" w:rsidR="00D72375" w:rsidRPr="004C30D8" w:rsidRDefault="00D72375" w:rsidP="00D72375">
            <w:pPr>
              <w:spacing w:after="0"/>
              <w:jc w:val="left"/>
              <w:rPr>
                <w:i/>
                <w:iCs/>
                <w:sz w:val="22"/>
                <w:szCs w:val="22"/>
              </w:rPr>
            </w:pPr>
            <w:r w:rsidRPr="0FCC8A84">
              <w:rPr>
                <w:i/>
                <w:iCs/>
                <w:sz w:val="22"/>
                <w:szCs w:val="22"/>
              </w:rPr>
              <w:t>1.2.1. Devizaműveletek kamatelszámolásai</w:t>
            </w:r>
          </w:p>
        </w:tc>
        <w:tc>
          <w:tcPr>
            <w:tcW w:w="1134" w:type="dxa"/>
            <w:tcBorders>
              <w:top w:val="nil"/>
              <w:left w:val="single" w:sz="4" w:space="0" w:color="auto"/>
              <w:right w:val="single" w:sz="4" w:space="0" w:color="auto"/>
            </w:tcBorders>
            <w:shd w:val="clear" w:color="auto" w:fill="auto"/>
            <w:noWrap/>
            <w:vAlign w:val="bottom"/>
          </w:tcPr>
          <w:p w14:paraId="7809F621" w14:textId="40BD3944" w:rsidR="00D72375" w:rsidRPr="004C30D8" w:rsidRDefault="00D72375" w:rsidP="00D72375">
            <w:pPr>
              <w:spacing w:after="0"/>
              <w:jc w:val="right"/>
              <w:rPr>
                <w:i/>
                <w:iCs/>
                <w:sz w:val="22"/>
                <w:szCs w:val="22"/>
              </w:rPr>
            </w:pPr>
            <w:r>
              <w:rPr>
                <w:i/>
                <w:iCs/>
                <w:sz w:val="22"/>
                <w:szCs w:val="22"/>
              </w:rPr>
              <w:t>-0,4</w:t>
            </w:r>
          </w:p>
        </w:tc>
        <w:tc>
          <w:tcPr>
            <w:tcW w:w="1276" w:type="dxa"/>
            <w:tcBorders>
              <w:top w:val="nil"/>
              <w:left w:val="nil"/>
              <w:right w:val="single" w:sz="4" w:space="0" w:color="auto"/>
            </w:tcBorders>
            <w:shd w:val="clear" w:color="auto" w:fill="auto"/>
            <w:noWrap/>
            <w:vAlign w:val="bottom"/>
          </w:tcPr>
          <w:p w14:paraId="31343ECF" w14:textId="6955EF30" w:rsidR="00D72375" w:rsidRPr="004C30D8" w:rsidRDefault="00D72375" w:rsidP="00D72375">
            <w:pPr>
              <w:spacing w:after="0"/>
              <w:jc w:val="right"/>
              <w:rPr>
                <w:i/>
                <w:iCs/>
                <w:sz w:val="22"/>
                <w:szCs w:val="22"/>
              </w:rPr>
            </w:pPr>
            <w:r>
              <w:rPr>
                <w:i/>
                <w:iCs/>
                <w:sz w:val="22"/>
                <w:szCs w:val="22"/>
              </w:rPr>
              <w:t>-2,1</w:t>
            </w:r>
          </w:p>
        </w:tc>
      </w:tr>
      <w:tr w:rsidR="00D72375" w:rsidRPr="004C30D8" w14:paraId="73CD69D7" w14:textId="77777777" w:rsidTr="0FCC8A84">
        <w:trPr>
          <w:trHeight w:val="300"/>
          <w:jc w:val="center"/>
        </w:trPr>
        <w:tc>
          <w:tcPr>
            <w:tcW w:w="195" w:type="dxa"/>
            <w:tcBorders>
              <w:left w:val="single" w:sz="4" w:space="0" w:color="auto"/>
              <w:bottom w:val="single" w:sz="4" w:space="0" w:color="auto"/>
              <w:right w:val="nil"/>
            </w:tcBorders>
            <w:shd w:val="clear" w:color="auto" w:fill="FFFFFF" w:themeFill="background1"/>
            <w:noWrap/>
            <w:vAlign w:val="bottom"/>
            <w:hideMark/>
          </w:tcPr>
          <w:p w14:paraId="70DD9995" w14:textId="2B28DC5D" w:rsidR="00D72375" w:rsidRPr="004C30D8" w:rsidRDefault="00D72375" w:rsidP="00D72375">
            <w:pPr>
              <w:spacing w:after="0"/>
              <w:jc w:val="left"/>
              <w:rPr>
                <w:sz w:val="22"/>
                <w:szCs w:val="22"/>
              </w:rPr>
            </w:pPr>
            <w:r w:rsidRPr="0FCC8A84">
              <w:rPr>
                <w:sz w:val="22"/>
                <w:szCs w:val="22"/>
              </w:rPr>
              <w:t> </w:t>
            </w:r>
          </w:p>
        </w:tc>
        <w:tc>
          <w:tcPr>
            <w:tcW w:w="368" w:type="dxa"/>
            <w:tcBorders>
              <w:left w:val="nil"/>
              <w:bottom w:val="single" w:sz="4" w:space="0" w:color="auto"/>
              <w:right w:val="nil"/>
            </w:tcBorders>
            <w:shd w:val="clear" w:color="auto" w:fill="FFFFFF" w:themeFill="background1"/>
            <w:noWrap/>
            <w:vAlign w:val="bottom"/>
            <w:hideMark/>
          </w:tcPr>
          <w:p w14:paraId="0059CF69" w14:textId="77777777" w:rsidR="00D72375" w:rsidRPr="004C30D8" w:rsidRDefault="00D72375" w:rsidP="00D72375">
            <w:pPr>
              <w:spacing w:after="0"/>
              <w:jc w:val="left"/>
              <w:rPr>
                <w:sz w:val="22"/>
                <w:szCs w:val="22"/>
              </w:rPr>
            </w:pPr>
            <w:r w:rsidRPr="0FCC8A84">
              <w:rPr>
                <w:sz w:val="22"/>
                <w:szCs w:val="22"/>
              </w:rPr>
              <w:t> </w:t>
            </w:r>
          </w:p>
        </w:tc>
        <w:tc>
          <w:tcPr>
            <w:tcW w:w="4192" w:type="dxa"/>
            <w:tcBorders>
              <w:left w:val="nil"/>
              <w:bottom w:val="single" w:sz="4" w:space="0" w:color="auto"/>
              <w:right w:val="single" w:sz="4" w:space="0" w:color="auto"/>
            </w:tcBorders>
            <w:shd w:val="clear" w:color="auto" w:fill="FFFFFF" w:themeFill="background1"/>
            <w:noWrap/>
            <w:vAlign w:val="bottom"/>
            <w:hideMark/>
          </w:tcPr>
          <w:p w14:paraId="1076A060" w14:textId="19A99876" w:rsidR="00D72375" w:rsidRPr="004C30D8" w:rsidRDefault="00D72375" w:rsidP="00D72375">
            <w:pPr>
              <w:spacing w:after="0"/>
              <w:jc w:val="left"/>
              <w:rPr>
                <w:i/>
                <w:iCs/>
                <w:sz w:val="22"/>
                <w:szCs w:val="22"/>
              </w:rPr>
            </w:pPr>
            <w:r w:rsidRPr="0FCC8A84">
              <w:rPr>
                <w:i/>
                <w:iCs/>
                <w:sz w:val="22"/>
                <w:szCs w:val="22"/>
              </w:rPr>
              <w:t>1.2.2. Felvett hitel kamatjellegű bevétele</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31F34351" w14:textId="653475B3" w:rsidR="00D72375" w:rsidRPr="004C30D8" w:rsidRDefault="00D72375" w:rsidP="00D72375">
            <w:pPr>
              <w:spacing w:after="0"/>
              <w:jc w:val="right"/>
              <w:rPr>
                <w:i/>
                <w:iCs/>
                <w:sz w:val="22"/>
                <w:szCs w:val="22"/>
              </w:rPr>
            </w:pPr>
            <w:r>
              <w:rPr>
                <w:i/>
                <w:iCs/>
                <w:sz w:val="22"/>
                <w:szCs w:val="22"/>
              </w:rPr>
              <w:t>0,</w:t>
            </w:r>
            <w:proofErr w:type="spellStart"/>
            <w:r>
              <w:rPr>
                <w:i/>
                <w:iCs/>
                <w:sz w:val="22"/>
                <w:szCs w:val="22"/>
              </w:rPr>
              <w:t>0</w:t>
            </w:r>
            <w:proofErr w:type="spellEnd"/>
          </w:p>
        </w:tc>
        <w:tc>
          <w:tcPr>
            <w:tcW w:w="1276" w:type="dxa"/>
            <w:tcBorders>
              <w:top w:val="nil"/>
              <w:left w:val="nil"/>
              <w:bottom w:val="single" w:sz="4" w:space="0" w:color="auto"/>
              <w:right w:val="single" w:sz="4" w:space="0" w:color="auto"/>
            </w:tcBorders>
            <w:shd w:val="clear" w:color="auto" w:fill="auto"/>
            <w:noWrap/>
            <w:vAlign w:val="bottom"/>
          </w:tcPr>
          <w:p w14:paraId="5C6A445C" w14:textId="5B428631" w:rsidR="00D72375" w:rsidRPr="004C30D8" w:rsidRDefault="00D72375" w:rsidP="00D72375">
            <w:pPr>
              <w:spacing w:after="0"/>
              <w:jc w:val="right"/>
              <w:rPr>
                <w:i/>
                <w:iCs/>
                <w:sz w:val="22"/>
                <w:szCs w:val="22"/>
              </w:rPr>
            </w:pPr>
            <w:r>
              <w:rPr>
                <w:i/>
                <w:iCs/>
                <w:sz w:val="22"/>
                <w:szCs w:val="22"/>
              </w:rPr>
              <w:t>4,5</w:t>
            </w:r>
          </w:p>
        </w:tc>
      </w:tr>
      <w:tr w:rsidR="00D72375" w:rsidRPr="004C30D8" w14:paraId="06C524E9" w14:textId="77777777" w:rsidTr="0FCC8A84">
        <w:trPr>
          <w:trHeight w:val="285"/>
          <w:jc w:val="center"/>
        </w:trPr>
        <w:tc>
          <w:tcPr>
            <w:tcW w:w="4755" w:type="dxa"/>
            <w:gridSpan w:val="3"/>
            <w:tcBorders>
              <w:top w:val="nil"/>
              <w:left w:val="single" w:sz="4" w:space="0" w:color="auto"/>
              <w:bottom w:val="single" w:sz="4" w:space="0" w:color="auto"/>
              <w:right w:val="single" w:sz="4" w:space="0" w:color="auto"/>
            </w:tcBorders>
            <w:shd w:val="clear" w:color="auto" w:fill="FFFFFF" w:themeFill="background1"/>
            <w:noWrap/>
            <w:vAlign w:val="bottom"/>
            <w:hideMark/>
          </w:tcPr>
          <w:p w14:paraId="2A6256F1" w14:textId="2E0C10C1" w:rsidR="00D72375" w:rsidRPr="004C30D8" w:rsidRDefault="00D72375" w:rsidP="00D72375">
            <w:pPr>
              <w:spacing w:after="0"/>
              <w:jc w:val="left"/>
              <w:rPr>
                <w:b/>
                <w:bCs/>
                <w:sz w:val="22"/>
                <w:szCs w:val="22"/>
              </w:rPr>
            </w:pPr>
            <w:r w:rsidRPr="0FCC8A84">
              <w:rPr>
                <w:b/>
                <w:bCs/>
                <w:sz w:val="22"/>
                <w:szCs w:val="22"/>
              </w:rPr>
              <w:t>2. Kiadás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E1C5E" w14:textId="3DD5EA14" w:rsidR="00D72375" w:rsidRPr="004C30D8" w:rsidRDefault="00D72375" w:rsidP="00D72375">
            <w:pPr>
              <w:spacing w:after="0"/>
              <w:jc w:val="right"/>
              <w:rPr>
                <w:b/>
                <w:bCs/>
                <w:sz w:val="22"/>
                <w:szCs w:val="22"/>
              </w:rPr>
            </w:pPr>
            <w:r>
              <w:rPr>
                <w:b/>
                <w:bCs/>
                <w:sz w:val="22"/>
                <w:szCs w:val="22"/>
              </w:rPr>
              <w:t>295,4</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782FA32" w14:textId="5A66507D" w:rsidR="00D72375" w:rsidRPr="004C30D8" w:rsidRDefault="00D72375" w:rsidP="00D72375">
            <w:pPr>
              <w:spacing w:after="0"/>
              <w:jc w:val="right"/>
              <w:rPr>
                <w:b/>
                <w:bCs/>
                <w:sz w:val="22"/>
                <w:szCs w:val="22"/>
              </w:rPr>
            </w:pPr>
            <w:r>
              <w:rPr>
                <w:b/>
                <w:bCs/>
                <w:sz w:val="22"/>
                <w:szCs w:val="22"/>
              </w:rPr>
              <w:t>299,7</w:t>
            </w:r>
          </w:p>
        </w:tc>
      </w:tr>
      <w:tr w:rsidR="00D72375" w:rsidRPr="004C30D8" w14:paraId="7F40CE4A" w14:textId="77777777" w:rsidTr="0FCC8A84">
        <w:trPr>
          <w:trHeight w:val="300"/>
          <w:jc w:val="center"/>
        </w:trPr>
        <w:tc>
          <w:tcPr>
            <w:tcW w:w="195" w:type="dxa"/>
            <w:tcBorders>
              <w:top w:val="nil"/>
              <w:left w:val="single" w:sz="4" w:space="0" w:color="auto"/>
              <w:bottom w:val="single" w:sz="4" w:space="0" w:color="auto"/>
              <w:right w:val="nil"/>
            </w:tcBorders>
            <w:shd w:val="clear" w:color="auto" w:fill="FFFFFF" w:themeFill="background1"/>
            <w:noWrap/>
            <w:vAlign w:val="bottom"/>
            <w:hideMark/>
          </w:tcPr>
          <w:p w14:paraId="5425C2D4" w14:textId="3E37B0F8" w:rsidR="00D72375" w:rsidRPr="004C30D8" w:rsidRDefault="00D72375" w:rsidP="00D72375">
            <w:pPr>
              <w:spacing w:after="0"/>
              <w:jc w:val="left"/>
              <w:rPr>
                <w:sz w:val="22"/>
                <w:szCs w:val="22"/>
              </w:rPr>
            </w:pPr>
            <w:r w:rsidRPr="0FCC8A84">
              <w:rPr>
                <w:sz w:val="22"/>
                <w:szCs w:val="22"/>
              </w:rPr>
              <w:t> </w:t>
            </w:r>
          </w:p>
        </w:tc>
        <w:tc>
          <w:tcPr>
            <w:tcW w:w="4560"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14:paraId="47B02418" w14:textId="77777777" w:rsidR="00D72375" w:rsidRPr="004C30D8" w:rsidRDefault="00D72375" w:rsidP="00D72375">
            <w:pPr>
              <w:spacing w:after="0"/>
              <w:jc w:val="left"/>
              <w:rPr>
                <w:b/>
                <w:bCs/>
                <w:sz w:val="22"/>
                <w:szCs w:val="22"/>
              </w:rPr>
            </w:pPr>
            <w:r w:rsidRPr="0FCC8A84">
              <w:rPr>
                <w:b/>
                <w:bCs/>
                <w:sz w:val="22"/>
                <w:szCs w:val="22"/>
              </w:rPr>
              <w:t>2.1 Forint</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B6587D5" w14:textId="5776A371" w:rsidR="00D72375" w:rsidRPr="004C30D8" w:rsidRDefault="00D72375" w:rsidP="00D72375">
            <w:pPr>
              <w:spacing w:after="0"/>
              <w:jc w:val="right"/>
              <w:rPr>
                <w:b/>
                <w:bCs/>
                <w:sz w:val="22"/>
                <w:szCs w:val="22"/>
              </w:rPr>
            </w:pPr>
            <w:r>
              <w:rPr>
                <w:b/>
                <w:bCs/>
                <w:sz w:val="22"/>
                <w:szCs w:val="22"/>
              </w:rPr>
              <w:t>183,3</w:t>
            </w:r>
          </w:p>
        </w:tc>
        <w:tc>
          <w:tcPr>
            <w:tcW w:w="1276" w:type="dxa"/>
            <w:tcBorders>
              <w:top w:val="nil"/>
              <w:left w:val="nil"/>
              <w:bottom w:val="single" w:sz="4" w:space="0" w:color="auto"/>
              <w:right w:val="single" w:sz="4" w:space="0" w:color="auto"/>
            </w:tcBorders>
            <w:shd w:val="clear" w:color="auto" w:fill="auto"/>
            <w:noWrap/>
            <w:vAlign w:val="bottom"/>
          </w:tcPr>
          <w:p w14:paraId="1118CB6D" w14:textId="42AEA2A9" w:rsidR="00D72375" w:rsidRPr="004C30D8" w:rsidRDefault="00D72375" w:rsidP="00D72375">
            <w:pPr>
              <w:spacing w:after="0"/>
              <w:jc w:val="right"/>
              <w:rPr>
                <w:b/>
                <w:bCs/>
                <w:sz w:val="22"/>
                <w:szCs w:val="22"/>
              </w:rPr>
            </w:pPr>
            <w:r>
              <w:rPr>
                <w:b/>
                <w:bCs/>
                <w:sz w:val="22"/>
                <w:szCs w:val="22"/>
              </w:rPr>
              <w:t>227,4</w:t>
            </w:r>
          </w:p>
        </w:tc>
      </w:tr>
      <w:tr w:rsidR="00D72375" w:rsidRPr="004C30D8" w14:paraId="3182E062" w14:textId="77777777" w:rsidTr="0FCC8A84">
        <w:trPr>
          <w:trHeight w:val="300"/>
          <w:jc w:val="center"/>
        </w:trPr>
        <w:tc>
          <w:tcPr>
            <w:tcW w:w="195" w:type="dxa"/>
            <w:tcBorders>
              <w:top w:val="nil"/>
              <w:left w:val="single" w:sz="4" w:space="0" w:color="auto"/>
              <w:bottom w:val="nil"/>
              <w:right w:val="nil"/>
            </w:tcBorders>
            <w:shd w:val="clear" w:color="auto" w:fill="FFFFFF" w:themeFill="background1"/>
            <w:noWrap/>
            <w:vAlign w:val="bottom"/>
            <w:hideMark/>
          </w:tcPr>
          <w:p w14:paraId="7436E7D6" w14:textId="62003125" w:rsidR="00D72375" w:rsidRPr="004C30D8" w:rsidRDefault="00D72375" w:rsidP="00D72375">
            <w:pPr>
              <w:spacing w:after="0"/>
              <w:jc w:val="left"/>
              <w:rPr>
                <w:sz w:val="22"/>
                <w:szCs w:val="22"/>
              </w:rPr>
            </w:pPr>
            <w:r w:rsidRPr="0FCC8A84">
              <w:rPr>
                <w:sz w:val="22"/>
                <w:szCs w:val="22"/>
              </w:rPr>
              <w:t> </w:t>
            </w:r>
          </w:p>
        </w:tc>
        <w:tc>
          <w:tcPr>
            <w:tcW w:w="368" w:type="dxa"/>
            <w:tcBorders>
              <w:top w:val="nil"/>
              <w:left w:val="nil"/>
              <w:bottom w:val="nil"/>
              <w:right w:val="nil"/>
            </w:tcBorders>
            <w:shd w:val="clear" w:color="auto" w:fill="FFFFFF" w:themeFill="background1"/>
            <w:noWrap/>
            <w:vAlign w:val="bottom"/>
            <w:hideMark/>
          </w:tcPr>
          <w:p w14:paraId="7968FFCA" w14:textId="77777777" w:rsidR="00D72375" w:rsidRPr="004C30D8" w:rsidRDefault="00D72375" w:rsidP="00D72375">
            <w:pPr>
              <w:spacing w:after="0"/>
              <w:jc w:val="left"/>
              <w:rPr>
                <w:sz w:val="22"/>
                <w:szCs w:val="22"/>
              </w:rPr>
            </w:pPr>
            <w:r w:rsidRPr="0FCC8A84">
              <w:rPr>
                <w:sz w:val="22"/>
                <w:szCs w:val="22"/>
              </w:rPr>
              <w:t> </w:t>
            </w:r>
          </w:p>
        </w:tc>
        <w:tc>
          <w:tcPr>
            <w:tcW w:w="4192" w:type="dxa"/>
            <w:tcBorders>
              <w:top w:val="nil"/>
              <w:left w:val="nil"/>
              <w:bottom w:val="nil"/>
              <w:right w:val="single" w:sz="4" w:space="0" w:color="auto"/>
            </w:tcBorders>
            <w:shd w:val="clear" w:color="auto" w:fill="FFFFFF" w:themeFill="background1"/>
            <w:noWrap/>
            <w:vAlign w:val="bottom"/>
            <w:hideMark/>
          </w:tcPr>
          <w:p w14:paraId="4C29DCBF" w14:textId="77777777" w:rsidR="00D72375" w:rsidRPr="004C30D8" w:rsidRDefault="00D72375" w:rsidP="00D72375">
            <w:pPr>
              <w:spacing w:after="0"/>
              <w:jc w:val="left"/>
              <w:rPr>
                <w:i/>
                <w:iCs/>
                <w:sz w:val="22"/>
                <w:szCs w:val="22"/>
              </w:rPr>
            </w:pPr>
            <w:r w:rsidRPr="0FCC8A84">
              <w:rPr>
                <w:i/>
                <w:iCs/>
                <w:sz w:val="22"/>
                <w:szCs w:val="22"/>
              </w:rPr>
              <w:t>2.1.1. Forinthitelek kamata</w:t>
            </w:r>
          </w:p>
        </w:tc>
        <w:tc>
          <w:tcPr>
            <w:tcW w:w="1134" w:type="dxa"/>
            <w:tcBorders>
              <w:top w:val="nil"/>
              <w:left w:val="single" w:sz="4" w:space="0" w:color="auto"/>
              <w:bottom w:val="nil"/>
              <w:right w:val="single" w:sz="4" w:space="0" w:color="auto"/>
            </w:tcBorders>
            <w:shd w:val="clear" w:color="auto" w:fill="auto"/>
            <w:noWrap/>
            <w:vAlign w:val="bottom"/>
          </w:tcPr>
          <w:p w14:paraId="7D0668AB" w14:textId="2369E5C9" w:rsidR="00D72375" w:rsidRPr="004C30D8" w:rsidRDefault="00D72375" w:rsidP="00D72375">
            <w:pPr>
              <w:spacing w:after="0"/>
              <w:jc w:val="right"/>
              <w:rPr>
                <w:i/>
                <w:iCs/>
                <w:sz w:val="22"/>
                <w:szCs w:val="22"/>
              </w:rPr>
            </w:pPr>
            <w:r>
              <w:rPr>
                <w:i/>
                <w:iCs/>
                <w:sz w:val="22"/>
                <w:szCs w:val="22"/>
              </w:rPr>
              <w:t>13,6</w:t>
            </w:r>
          </w:p>
        </w:tc>
        <w:tc>
          <w:tcPr>
            <w:tcW w:w="1276" w:type="dxa"/>
            <w:tcBorders>
              <w:top w:val="nil"/>
              <w:left w:val="nil"/>
              <w:bottom w:val="nil"/>
              <w:right w:val="single" w:sz="4" w:space="0" w:color="auto"/>
            </w:tcBorders>
            <w:shd w:val="clear" w:color="auto" w:fill="auto"/>
            <w:noWrap/>
            <w:vAlign w:val="bottom"/>
          </w:tcPr>
          <w:p w14:paraId="79EA6DCA" w14:textId="307F5DBA" w:rsidR="00D72375" w:rsidRPr="004C30D8" w:rsidRDefault="00D72375" w:rsidP="00D72375">
            <w:pPr>
              <w:spacing w:after="0"/>
              <w:jc w:val="right"/>
              <w:rPr>
                <w:i/>
                <w:iCs/>
                <w:sz w:val="22"/>
                <w:szCs w:val="22"/>
              </w:rPr>
            </w:pPr>
            <w:r>
              <w:rPr>
                <w:i/>
                <w:iCs/>
                <w:sz w:val="22"/>
                <w:szCs w:val="22"/>
              </w:rPr>
              <w:t>8,6</w:t>
            </w:r>
          </w:p>
        </w:tc>
      </w:tr>
      <w:tr w:rsidR="00D72375" w:rsidRPr="004C30D8" w14:paraId="54BAEB82" w14:textId="77777777" w:rsidTr="0FCC8A84">
        <w:trPr>
          <w:trHeight w:val="300"/>
          <w:jc w:val="center"/>
        </w:trPr>
        <w:tc>
          <w:tcPr>
            <w:tcW w:w="195" w:type="dxa"/>
            <w:tcBorders>
              <w:top w:val="nil"/>
              <w:left w:val="single" w:sz="4" w:space="0" w:color="auto"/>
              <w:bottom w:val="nil"/>
              <w:right w:val="nil"/>
            </w:tcBorders>
            <w:shd w:val="clear" w:color="auto" w:fill="FFFFFF" w:themeFill="background1"/>
            <w:noWrap/>
            <w:vAlign w:val="bottom"/>
            <w:hideMark/>
          </w:tcPr>
          <w:p w14:paraId="04E6EF24" w14:textId="13588766" w:rsidR="00D72375" w:rsidRPr="004C30D8" w:rsidRDefault="00D72375" w:rsidP="00D72375">
            <w:pPr>
              <w:spacing w:after="0"/>
              <w:jc w:val="left"/>
              <w:rPr>
                <w:sz w:val="22"/>
                <w:szCs w:val="22"/>
              </w:rPr>
            </w:pPr>
            <w:r w:rsidRPr="0FCC8A84">
              <w:rPr>
                <w:sz w:val="22"/>
                <w:szCs w:val="22"/>
              </w:rPr>
              <w:t> </w:t>
            </w:r>
          </w:p>
        </w:tc>
        <w:tc>
          <w:tcPr>
            <w:tcW w:w="368" w:type="dxa"/>
            <w:tcBorders>
              <w:top w:val="nil"/>
              <w:left w:val="nil"/>
              <w:bottom w:val="nil"/>
              <w:right w:val="nil"/>
            </w:tcBorders>
            <w:shd w:val="clear" w:color="auto" w:fill="FFFFFF" w:themeFill="background1"/>
            <w:noWrap/>
            <w:vAlign w:val="bottom"/>
            <w:hideMark/>
          </w:tcPr>
          <w:p w14:paraId="2A70DBE5" w14:textId="77777777" w:rsidR="00D72375" w:rsidRPr="004C30D8" w:rsidRDefault="00D72375" w:rsidP="00D72375">
            <w:pPr>
              <w:spacing w:after="0"/>
              <w:jc w:val="left"/>
              <w:rPr>
                <w:sz w:val="22"/>
                <w:szCs w:val="22"/>
              </w:rPr>
            </w:pPr>
            <w:r w:rsidRPr="0FCC8A84">
              <w:rPr>
                <w:sz w:val="22"/>
                <w:szCs w:val="22"/>
              </w:rPr>
              <w:t> </w:t>
            </w:r>
          </w:p>
        </w:tc>
        <w:tc>
          <w:tcPr>
            <w:tcW w:w="4192" w:type="dxa"/>
            <w:tcBorders>
              <w:top w:val="nil"/>
              <w:left w:val="nil"/>
              <w:bottom w:val="nil"/>
              <w:right w:val="single" w:sz="4" w:space="0" w:color="auto"/>
            </w:tcBorders>
            <w:shd w:val="clear" w:color="auto" w:fill="FFFFFF" w:themeFill="background1"/>
            <w:noWrap/>
            <w:vAlign w:val="bottom"/>
            <w:hideMark/>
          </w:tcPr>
          <w:p w14:paraId="46B0B349" w14:textId="77777777" w:rsidR="00D72375" w:rsidRPr="004C30D8" w:rsidRDefault="00D72375" w:rsidP="00D72375">
            <w:pPr>
              <w:spacing w:after="0"/>
              <w:jc w:val="left"/>
              <w:rPr>
                <w:i/>
                <w:iCs/>
                <w:sz w:val="22"/>
                <w:szCs w:val="22"/>
              </w:rPr>
            </w:pPr>
            <w:r w:rsidRPr="0FCC8A84">
              <w:rPr>
                <w:i/>
                <w:iCs/>
                <w:sz w:val="22"/>
                <w:szCs w:val="22"/>
              </w:rPr>
              <w:t>2.1.2. Államkötvények kamata</w:t>
            </w:r>
          </w:p>
        </w:tc>
        <w:tc>
          <w:tcPr>
            <w:tcW w:w="1134" w:type="dxa"/>
            <w:tcBorders>
              <w:top w:val="nil"/>
              <w:left w:val="single" w:sz="4" w:space="0" w:color="auto"/>
              <w:bottom w:val="nil"/>
              <w:right w:val="single" w:sz="4" w:space="0" w:color="auto"/>
            </w:tcBorders>
            <w:shd w:val="clear" w:color="auto" w:fill="auto"/>
            <w:noWrap/>
            <w:vAlign w:val="bottom"/>
          </w:tcPr>
          <w:p w14:paraId="03DAE239" w14:textId="007A452D" w:rsidR="00D72375" w:rsidRPr="004C30D8" w:rsidRDefault="00D72375" w:rsidP="00D72375">
            <w:pPr>
              <w:spacing w:after="0"/>
              <w:jc w:val="right"/>
              <w:rPr>
                <w:i/>
                <w:iCs/>
                <w:sz w:val="22"/>
                <w:szCs w:val="22"/>
              </w:rPr>
            </w:pPr>
            <w:r>
              <w:rPr>
                <w:i/>
                <w:iCs/>
                <w:sz w:val="22"/>
                <w:szCs w:val="22"/>
              </w:rPr>
              <w:t>133,4</w:t>
            </w:r>
          </w:p>
        </w:tc>
        <w:tc>
          <w:tcPr>
            <w:tcW w:w="1276" w:type="dxa"/>
            <w:tcBorders>
              <w:top w:val="nil"/>
              <w:left w:val="nil"/>
              <w:bottom w:val="nil"/>
              <w:right w:val="single" w:sz="4" w:space="0" w:color="auto"/>
            </w:tcBorders>
            <w:shd w:val="clear" w:color="auto" w:fill="auto"/>
            <w:noWrap/>
            <w:vAlign w:val="bottom"/>
          </w:tcPr>
          <w:p w14:paraId="7F254AFE" w14:textId="7618B19F" w:rsidR="00D72375" w:rsidRPr="004C30D8" w:rsidRDefault="00D72375" w:rsidP="00D72375">
            <w:pPr>
              <w:spacing w:after="0"/>
              <w:jc w:val="right"/>
              <w:rPr>
                <w:i/>
                <w:iCs/>
                <w:sz w:val="22"/>
                <w:szCs w:val="22"/>
              </w:rPr>
            </w:pPr>
            <w:r>
              <w:rPr>
                <w:i/>
                <w:iCs/>
                <w:sz w:val="22"/>
                <w:szCs w:val="22"/>
              </w:rPr>
              <w:t>204,6</w:t>
            </w:r>
          </w:p>
        </w:tc>
      </w:tr>
      <w:tr w:rsidR="00D72375" w:rsidRPr="004C30D8" w14:paraId="51F007CB" w14:textId="77777777" w:rsidTr="0FCC8A84">
        <w:trPr>
          <w:trHeight w:val="300"/>
          <w:jc w:val="center"/>
        </w:trPr>
        <w:tc>
          <w:tcPr>
            <w:tcW w:w="195" w:type="dxa"/>
            <w:tcBorders>
              <w:top w:val="nil"/>
              <w:left w:val="single" w:sz="4" w:space="0" w:color="auto"/>
              <w:bottom w:val="nil"/>
              <w:right w:val="nil"/>
            </w:tcBorders>
            <w:shd w:val="clear" w:color="auto" w:fill="FFFFFF" w:themeFill="background1"/>
            <w:noWrap/>
            <w:vAlign w:val="bottom"/>
            <w:hideMark/>
          </w:tcPr>
          <w:p w14:paraId="21E9B006" w14:textId="2D38D2B7" w:rsidR="00D72375" w:rsidRPr="004C30D8" w:rsidRDefault="00D72375" w:rsidP="00D72375">
            <w:pPr>
              <w:spacing w:after="0"/>
              <w:jc w:val="left"/>
              <w:rPr>
                <w:sz w:val="22"/>
                <w:szCs w:val="22"/>
              </w:rPr>
            </w:pPr>
            <w:r w:rsidRPr="0FCC8A84">
              <w:rPr>
                <w:sz w:val="22"/>
                <w:szCs w:val="22"/>
              </w:rPr>
              <w:t> </w:t>
            </w:r>
          </w:p>
        </w:tc>
        <w:tc>
          <w:tcPr>
            <w:tcW w:w="368" w:type="dxa"/>
            <w:tcBorders>
              <w:top w:val="nil"/>
              <w:left w:val="nil"/>
              <w:bottom w:val="nil"/>
              <w:right w:val="nil"/>
            </w:tcBorders>
            <w:shd w:val="clear" w:color="auto" w:fill="FFFFFF" w:themeFill="background1"/>
            <w:noWrap/>
            <w:vAlign w:val="bottom"/>
            <w:hideMark/>
          </w:tcPr>
          <w:p w14:paraId="1D1288D5" w14:textId="77777777" w:rsidR="00D72375" w:rsidRPr="004C30D8" w:rsidRDefault="00D72375" w:rsidP="00D72375">
            <w:pPr>
              <w:spacing w:after="0"/>
              <w:jc w:val="left"/>
              <w:rPr>
                <w:sz w:val="22"/>
                <w:szCs w:val="22"/>
              </w:rPr>
            </w:pPr>
            <w:r w:rsidRPr="0FCC8A84">
              <w:rPr>
                <w:sz w:val="22"/>
                <w:szCs w:val="22"/>
              </w:rPr>
              <w:t> </w:t>
            </w:r>
          </w:p>
        </w:tc>
        <w:tc>
          <w:tcPr>
            <w:tcW w:w="4192" w:type="dxa"/>
            <w:tcBorders>
              <w:top w:val="nil"/>
              <w:left w:val="nil"/>
              <w:bottom w:val="nil"/>
              <w:right w:val="single" w:sz="4" w:space="0" w:color="auto"/>
            </w:tcBorders>
            <w:shd w:val="clear" w:color="auto" w:fill="FFFFFF" w:themeFill="background1"/>
            <w:noWrap/>
            <w:vAlign w:val="bottom"/>
            <w:hideMark/>
          </w:tcPr>
          <w:p w14:paraId="6B182520" w14:textId="77777777" w:rsidR="00D72375" w:rsidRPr="004C30D8" w:rsidRDefault="00D72375" w:rsidP="00D72375">
            <w:pPr>
              <w:spacing w:after="0"/>
              <w:jc w:val="left"/>
              <w:rPr>
                <w:i/>
                <w:iCs/>
                <w:sz w:val="22"/>
                <w:szCs w:val="22"/>
              </w:rPr>
            </w:pPr>
            <w:r w:rsidRPr="0FCC8A84">
              <w:rPr>
                <w:i/>
                <w:iCs/>
                <w:sz w:val="22"/>
                <w:szCs w:val="22"/>
              </w:rPr>
              <w:t>2.1.3. Kincstárjegyek kamata</w:t>
            </w:r>
          </w:p>
        </w:tc>
        <w:tc>
          <w:tcPr>
            <w:tcW w:w="1134" w:type="dxa"/>
            <w:tcBorders>
              <w:top w:val="nil"/>
              <w:left w:val="single" w:sz="4" w:space="0" w:color="auto"/>
              <w:bottom w:val="nil"/>
              <w:right w:val="single" w:sz="4" w:space="0" w:color="auto"/>
            </w:tcBorders>
            <w:shd w:val="clear" w:color="auto" w:fill="auto"/>
            <w:noWrap/>
            <w:vAlign w:val="bottom"/>
          </w:tcPr>
          <w:p w14:paraId="18551CFC" w14:textId="70A7047A" w:rsidR="00D72375" w:rsidRPr="004C30D8" w:rsidRDefault="00D72375" w:rsidP="00D72375">
            <w:pPr>
              <w:spacing w:after="0"/>
              <w:jc w:val="right"/>
              <w:rPr>
                <w:i/>
                <w:iCs/>
                <w:sz w:val="22"/>
                <w:szCs w:val="22"/>
              </w:rPr>
            </w:pPr>
            <w:r>
              <w:rPr>
                <w:i/>
                <w:iCs/>
                <w:sz w:val="22"/>
                <w:szCs w:val="22"/>
              </w:rPr>
              <w:t>36,3</w:t>
            </w:r>
          </w:p>
        </w:tc>
        <w:tc>
          <w:tcPr>
            <w:tcW w:w="1276" w:type="dxa"/>
            <w:tcBorders>
              <w:top w:val="nil"/>
              <w:left w:val="nil"/>
              <w:bottom w:val="nil"/>
              <w:right w:val="single" w:sz="4" w:space="0" w:color="auto"/>
            </w:tcBorders>
            <w:shd w:val="clear" w:color="auto" w:fill="auto"/>
            <w:noWrap/>
            <w:vAlign w:val="bottom"/>
          </w:tcPr>
          <w:p w14:paraId="1445B9A7" w14:textId="5524EAF1" w:rsidR="00D72375" w:rsidRPr="004C30D8" w:rsidRDefault="00D72375" w:rsidP="00D72375">
            <w:pPr>
              <w:spacing w:after="0"/>
              <w:jc w:val="right"/>
              <w:rPr>
                <w:i/>
                <w:iCs/>
                <w:sz w:val="22"/>
                <w:szCs w:val="22"/>
              </w:rPr>
            </w:pPr>
            <w:r>
              <w:rPr>
                <w:i/>
                <w:iCs/>
                <w:sz w:val="22"/>
                <w:szCs w:val="22"/>
              </w:rPr>
              <w:t>14,1</w:t>
            </w:r>
          </w:p>
        </w:tc>
      </w:tr>
      <w:tr w:rsidR="00D72375" w:rsidRPr="004C30D8" w14:paraId="3B42D0AF" w14:textId="77777777" w:rsidTr="0FCC8A84">
        <w:trPr>
          <w:trHeight w:val="300"/>
          <w:jc w:val="center"/>
        </w:trPr>
        <w:tc>
          <w:tcPr>
            <w:tcW w:w="195" w:type="dxa"/>
            <w:tcBorders>
              <w:top w:val="nil"/>
              <w:left w:val="single" w:sz="4" w:space="0" w:color="auto"/>
              <w:bottom w:val="nil"/>
              <w:right w:val="nil"/>
            </w:tcBorders>
            <w:shd w:val="clear" w:color="auto" w:fill="FFFFFF" w:themeFill="background1"/>
            <w:noWrap/>
            <w:vAlign w:val="bottom"/>
            <w:hideMark/>
          </w:tcPr>
          <w:p w14:paraId="0067E592" w14:textId="27E48173" w:rsidR="00D72375" w:rsidRPr="004C30D8" w:rsidRDefault="00D72375" w:rsidP="00D72375">
            <w:pPr>
              <w:spacing w:after="0"/>
              <w:jc w:val="left"/>
              <w:rPr>
                <w:sz w:val="22"/>
                <w:szCs w:val="22"/>
              </w:rPr>
            </w:pPr>
            <w:r w:rsidRPr="0FCC8A84">
              <w:rPr>
                <w:sz w:val="22"/>
                <w:szCs w:val="22"/>
              </w:rPr>
              <w:t> </w:t>
            </w:r>
          </w:p>
        </w:tc>
        <w:tc>
          <w:tcPr>
            <w:tcW w:w="368" w:type="dxa"/>
            <w:tcBorders>
              <w:top w:val="nil"/>
              <w:left w:val="nil"/>
              <w:bottom w:val="nil"/>
              <w:right w:val="nil"/>
            </w:tcBorders>
            <w:shd w:val="clear" w:color="auto" w:fill="FFFFFF" w:themeFill="background1"/>
            <w:noWrap/>
            <w:vAlign w:val="bottom"/>
            <w:hideMark/>
          </w:tcPr>
          <w:p w14:paraId="2CDEB7F4" w14:textId="77777777" w:rsidR="00D72375" w:rsidRPr="004C30D8" w:rsidRDefault="00D72375" w:rsidP="00D72375">
            <w:pPr>
              <w:spacing w:after="0"/>
              <w:jc w:val="left"/>
              <w:rPr>
                <w:sz w:val="22"/>
                <w:szCs w:val="22"/>
              </w:rPr>
            </w:pPr>
            <w:r w:rsidRPr="0FCC8A84">
              <w:rPr>
                <w:sz w:val="22"/>
                <w:szCs w:val="22"/>
              </w:rPr>
              <w:t> </w:t>
            </w:r>
          </w:p>
        </w:tc>
        <w:tc>
          <w:tcPr>
            <w:tcW w:w="4192" w:type="dxa"/>
            <w:tcBorders>
              <w:top w:val="nil"/>
              <w:left w:val="nil"/>
              <w:bottom w:val="nil"/>
              <w:right w:val="single" w:sz="4" w:space="0" w:color="auto"/>
            </w:tcBorders>
            <w:shd w:val="clear" w:color="auto" w:fill="FFFFFF" w:themeFill="background1"/>
            <w:noWrap/>
            <w:vAlign w:val="bottom"/>
            <w:hideMark/>
          </w:tcPr>
          <w:p w14:paraId="7743E208" w14:textId="77777777" w:rsidR="00D72375" w:rsidRPr="004C30D8" w:rsidRDefault="00D72375" w:rsidP="00D72375">
            <w:pPr>
              <w:spacing w:after="0"/>
              <w:jc w:val="left"/>
              <w:rPr>
                <w:i/>
                <w:iCs/>
                <w:sz w:val="22"/>
                <w:szCs w:val="22"/>
              </w:rPr>
            </w:pPr>
            <w:r w:rsidRPr="0FCC8A84">
              <w:rPr>
                <w:i/>
                <w:iCs/>
                <w:sz w:val="22"/>
                <w:szCs w:val="22"/>
              </w:rPr>
              <w:t xml:space="preserve">2.1.4. </w:t>
            </w:r>
            <w:proofErr w:type="spellStart"/>
            <w:r w:rsidRPr="0FCC8A84">
              <w:rPr>
                <w:i/>
                <w:iCs/>
                <w:sz w:val="22"/>
                <w:szCs w:val="22"/>
              </w:rPr>
              <w:t>Repóügyletek</w:t>
            </w:r>
            <w:proofErr w:type="spellEnd"/>
            <w:r w:rsidRPr="0FCC8A84">
              <w:rPr>
                <w:i/>
                <w:iCs/>
                <w:sz w:val="22"/>
                <w:szCs w:val="22"/>
              </w:rPr>
              <w:t xml:space="preserve"> kamata</w:t>
            </w:r>
          </w:p>
        </w:tc>
        <w:tc>
          <w:tcPr>
            <w:tcW w:w="1134" w:type="dxa"/>
            <w:tcBorders>
              <w:top w:val="nil"/>
              <w:left w:val="single" w:sz="4" w:space="0" w:color="auto"/>
              <w:bottom w:val="nil"/>
              <w:right w:val="single" w:sz="4" w:space="0" w:color="auto"/>
            </w:tcBorders>
            <w:shd w:val="clear" w:color="auto" w:fill="auto"/>
            <w:noWrap/>
            <w:vAlign w:val="bottom"/>
          </w:tcPr>
          <w:p w14:paraId="024345B2" w14:textId="751037AC" w:rsidR="00D72375" w:rsidRPr="004C30D8" w:rsidRDefault="00D72375" w:rsidP="00D72375">
            <w:pPr>
              <w:spacing w:after="0"/>
              <w:jc w:val="right"/>
              <w:rPr>
                <w:i/>
                <w:iCs/>
                <w:sz w:val="22"/>
                <w:szCs w:val="22"/>
              </w:rPr>
            </w:pPr>
            <w:r>
              <w:rPr>
                <w:i/>
                <w:iCs/>
                <w:sz w:val="22"/>
                <w:szCs w:val="22"/>
              </w:rPr>
              <w:t>0,</w:t>
            </w:r>
            <w:proofErr w:type="spellStart"/>
            <w:r>
              <w:rPr>
                <w:i/>
                <w:iCs/>
                <w:sz w:val="22"/>
                <w:szCs w:val="22"/>
              </w:rPr>
              <w:t>0</w:t>
            </w:r>
            <w:proofErr w:type="spellEnd"/>
          </w:p>
        </w:tc>
        <w:tc>
          <w:tcPr>
            <w:tcW w:w="1276" w:type="dxa"/>
            <w:tcBorders>
              <w:top w:val="nil"/>
              <w:left w:val="nil"/>
              <w:bottom w:val="nil"/>
              <w:right w:val="single" w:sz="4" w:space="0" w:color="auto"/>
            </w:tcBorders>
            <w:shd w:val="clear" w:color="auto" w:fill="auto"/>
            <w:noWrap/>
            <w:vAlign w:val="bottom"/>
          </w:tcPr>
          <w:p w14:paraId="69D569A5" w14:textId="24FA2E7B" w:rsidR="00D72375" w:rsidRPr="004C30D8" w:rsidRDefault="00D72375" w:rsidP="00D72375">
            <w:pPr>
              <w:spacing w:after="0"/>
              <w:jc w:val="right"/>
              <w:rPr>
                <w:i/>
                <w:iCs/>
                <w:sz w:val="22"/>
                <w:szCs w:val="22"/>
              </w:rPr>
            </w:pPr>
            <w:r>
              <w:rPr>
                <w:i/>
                <w:iCs/>
                <w:sz w:val="22"/>
                <w:szCs w:val="22"/>
              </w:rPr>
              <w:t>0,1</w:t>
            </w:r>
          </w:p>
        </w:tc>
      </w:tr>
      <w:tr w:rsidR="00D72375" w:rsidRPr="004C30D8" w14:paraId="3CDF4154" w14:textId="77777777" w:rsidTr="0FCC8A84">
        <w:trPr>
          <w:trHeight w:val="300"/>
          <w:jc w:val="center"/>
        </w:trPr>
        <w:tc>
          <w:tcPr>
            <w:tcW w:w="195" w:type="dxa"/>
            <w:tcBorders>
              <w:top w:val="nil"/>
              <w:left w:val="single" w:sz="4" w:space="0" w:color="auto"/>
              <w:bottom w:val="single" w:sz="4" w:space="0" w:color="auto"/>
              <w:right w:val="nil"/>
            </w:tcBorders>
            <w:shd w:val="clear" w:color="auto" w:fill="FFFFFF" w:themeFill="background1"/>
            <w:noWrap/>
            <w:vAlign w:val="bottom"/>
            <w:hideMark/>
          </w:tcPr>
          <w:p w14:paraId="0D4CB014" w14:textId="2F3914BB" w:rsidR="00D72375" w:rsidRPr="0026157A" w:rsidRDefault="00D72375" w:rsidP="00D72375">
            <w:pPr>
              <w:spacing w:after="0"/>
              <w:jc w:val="left"/>
              <w:rPr>
                <w:i/>
                <w:sz w:val="22"/>
                <w:szCs w:val="22"/>
              </w:rPr>
            </w:pPr>
          </w:p>
        </w:tc>
        <w:tc>
          <w:tcPr>
            <w:tcW w:w="368" w:type="dxa"/>
            <w:tcBorders>
              <w:top w:val="nil"/>
              <w:left w:val="nil"/>
              <w:bottom w:val="single" w:sz="4" w:space="0" w:color="auto"/>
              <w:right w:val="nil"/>
            </w:tcBorders>
            <w:shd w:val="clear" w:color="auto" w:fill="FFFFFF" w:themeFill="background1"/>
            <w:noWrap/>
            <w:vAlign w:val="bottom"/>
            <w:hideMark/>
          </w:tcPr>
          <w:p w14:paraId="520BB553" w14:textId="77777777" w:rsidR="00D72375" w:rsidRPr="0026157A" w:rsidRDefault="00D72375" w:rsidP="00D72375">
            <w:pPr>
              <w:spacing w:after="0"/>
              <w:jc w:val="left"/>
              <w:rPr>
                <w:i/>
                <w:iCs/>
                <w:sz w:val="22"/>
                <w:szCs w:val="22"/>
              </w:rPr>
            </w:pPr>
            <w:r w:rsidRPr="0FCC8A84">
              <w:rPr>
                <w:i/>
                <w:iCs/>
                <w:sz w:val="22"/>
                <w:szCs w:val="22"/>
              </w:rPr>
              <w:t> </w:t>
            </w:r>
          </w:p>
        </w:tc>
        <w:tc>
          <w:tcPr>
            <w:tcW w:w="4192" w:type="dxa"/>
            <w:tcBorders>
              <w:top w:val="nil"/>
              <w:left w:val="nil"/>
              <w:bottom w:val="single" w:sz="4" w:space="0" w:color="auto"/>
              <w:right w:val="single" w:sz="4" w:space="0" w:color="auto"/>
            </w:tcBorders>
            <w:shd w:val="clear" w:color="auto" w:fill="FFFFFF" w:themeFill="background1"/>
            <w:noWrap/>
            <w:vAlign w:val="bottom"/>
            <w:hideMark/>
          </w:tcPr>
          <w:p w14:paraId="263804A0" w14:textId="77777777" w:rsidR="00D72375" w:rsidRPr="0026157A" w:rsidRDefault="00D72375" w:rsidP="00D72375">
            <w:pPr>
              <w:spacing w:after="0"/>
              <w:jc w:val="left"/>
              <w:rPr>
                <w:i/>
                <w:iCs/>
                <w:sz w:val="22"/>
                <w:szCs w:val="22"/>
              </w:rPr>
            </w:pPr>
            <w:r w:rsidRPr="0FCC8A84">
              <w:rPr>
                <w:i/>
                <w:iCs/>
                <w:sz w:val="22"/>
                <w:szCs w:val="22"/>
              </w:rPr>
              <w:t>2.1.5. Egyéb függő tételek</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E162EF0" w14:textId="27E2D43E" w:rsidR="00D72375" w:rsidRPr="004C30D8" w:rsidRDefault="00D72375" w:rsidP="00D72375">
            <w:pPr>
              <w:spacing w:after="0"/>
              <w:jc w:val="right"/>
              <w:rPr>
                <w:i/>
                <w:iCs/>
                <w:sz w:val="22"/>
                <w:szCs w:val="22"/>
              </w:rPr>
            </w:pPr>
            <w:r>
              <w:rPr>
                <w:i/>
                <w:iCs/>
                <w:sz w:val="22"/>
                <w:szCs w:val="22"/>
              </w:rPr>
              <w:t>0,</w:t>
            </w:r>
            <w:proofErr w:type="spellStart"/>
            <w:r>
              <w:rPr>
                <w:i/>
                <w:iCs/>
                <w:sz w:val="22"/>
                <w:szCs w:val="22"/>
              </w:rPr>
              <w:t>0</w:t>
            </w:r>
            <w:proofErr w:type="spellEnd"/>
          </w:p>
        </w:tc>
        <w:tc>
          <w:tcPr>
            <w:tcW w:w="1276" w:type="dxa"/>
            <w:tcBorders>
              <w:top w:val="nil"/>
              <w:left w:val="nil"/>
              <w:bottom w:val="single" w:sz="4" w:space="0" w:color="auto"/>
              <w:right w:val="single" w:sz="4" w:space="0" w:color="auto"/>
            </w:tcBorders>
            <w:shd w:val="clear" w:color="auto" w:fill="auto"/>
            <w:noWrap/>
            <w:vAlign w:val="bottom"/>
          </w:tcPr>
          <w:p w14:paraId="44138B99" w14:textId="2C76C7DA" w:rsidR="00D72375" w:rsidRPr="004C30D8" w:rsidRDefault="00D72375" w:rsidP="00D72375">
            <w:pPr>
              <w:spacing w:after="0"/>
              <w:jc w:val="right"/>
              <w:rPr>
                <w:i/>
                <w:iCs/>
                <w:sz w:val="22"/>
                <w:szCs w:val="22"/>
              </w:rPr>
            </w:pPr>
            <w:r>
              <w:rPr>
                <w:i/>
                <w:iCs/>
                <w:sz w:val="22"/>
                <w:szCs w:val="22"/>
              </w:rPr>
              <w:t>0,</w:t>
            </w:r>
            <w:proofErr w:type="spellStart"/>
            <w:r>
              <w:rPr>
                <w:i/>
                <w:iCs/>
                <w:sz w:val="22"/>
                <w:szCs w:val="22"/>
              </w:rPr>
              <w:t>0</w:t>
            </w:r>
            <w:proofErr w:type="spellEnd"/>
          </w:p>
        </w:tc>
      </w:tr>
      <w:tr w:rsidR="00D72375" w:rsidRPr="004C30D8" w14:paraId="3E05B15A" w14:textId="77777777" w:rsidTr="0FCC8A84">
        <w:trPr>
          <w:trHeight w:val="300"/>
          <w:jc w:val="center"/>
        </w:trPr>
        <w:tc>
          <w:tcPr>
            <w:tcW w:w="195" w:type="dxa"/>
            <w:tcBorders>
              <w:top w:val="nil"/>
              <w:left w:val="single" w:sz="4" w:space="0" w:color="auto"/>
              <w:bottom w:val="single" w:sz="4" w:space="0" w:color="auto"/>
              <w:right w:val="nil"/>
            </w:tcBorders>
            <w:shd w:val="clear" w:color="auto" w:fill="FFFFFF" w:themeFill="background1"/>
            <w:noWrap/>
            <w:vAlign w:val="bottom"/>
            <w:hideMark/>
          </w:tcPr>
          <w:p w14:paraId="5BD9F7B3" w14:textId="0A82A650" w:rsidR="00D72375" w:rsidRPr="004C30D8" w:rsidRDefault="00D72375" w:rsidP="00D72375">
            <w:pPr>
              <w:spacing w:after="0"/>
              <w:jc w:val="left"/>
              <w:rPr>
                <w:sz w:val="22"/>
                <w:szCs w:val="22"/>
              </w:rPr>
            </w:pPr>
            <w:r w:rsidRPr="0FCC8A84">
              <w:rPr>
                <w:sz w:val="22"/>
                <w:szCs w:val="22"/>
              </w:rPr>
              <w:t> </w:t>
            </w:r>
          </w:p>
        </w:tc>
        <w:tc>
          <w:tcPr>
            <w:tcW w:w="4560"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14:paraId="5400731B" w14:textId="77777777" w:rsidR="00D72375" w:rsidRPr="004C30D8" w:rsidRDefault="00D72375" w:rsidP="00D72375">
            <w:pPr>
              <w:spacing w:after="0"/>
              <w:jc w:val="left"/>
              <w:rPr>
                <w:b/>
                <w:bCs/>
                <w:sz w:val="22"/>
                <w:szCs w:val="22"/>
              </w:rPr>
            </w:pPr>
            <w:r w:rsidRPr="0FCC8A84">
              <w:rPr>
                <w:b/>
                <w:bCs/>
                <w:sz w:val="22"/>
                <w:szCs w:val="22"/>
              </w:rPr>
              <w:t>2.2. Deviza</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304CADEC" w14:textId="684014BC" w:rsidR="00D72375" w:rsidRPr="004C30D8" w:rsidRDefault="00D72375" w:rsidP="00D72375">
            <w:pPr>
              <w:spacing w:after="0"/>
              <w:jc w:val="right"/>
              <w:rPr>
                <w:b/>
                <w:bCs/>
                <w:sz w:val="22"/>
                <w:szCs w:val="22"/>
              </w:rPr>
            </w:pPr>
            <w:r>
              <w:rPr>
                <w:b/>
                <w:bCs/>
                <w:sz w:val="22"/>
                <w:szCs w:val="22"/>
              </w:rPr>
              <w:t>112,1</w:t>
            </w:r>
          </w:p>
        </w:tc>
        <w:tc>
          <w:tcPr>
            <w:tcW w:w="1276" w:type="dxa"/>
            <w:tcBorders>
              <w:top w:val="nil"/>
              <w:left w:val="nil"/>
              <w:bottom w:val="single" w:sz="4" w:space="0" w:color="auto"/>
              <w:right w:val="single" w:sz="4" w:space="0" w:color="auto"/>
            </w:tcBorders>
            <w:shd w:val="clear" w:color="auto" w:fill="auto"/>
            <w:noWrap/>
            <w:vAlign w:val="bottom"/>
          </w:tcPr>
          <w:p w14:paraId="08B90BC8" w14:textId="2843CC1C" w:rsidR="00D72375" w:rsidRPr="004C30D8" w:rsidRDefault="00D72375" w:rsidP="00D72375">
            <w:pPr>
              <w:spacing w:after="0"/>
              <w:jc w:val="right"/>
              <w:rPr>
                <w:b/>
                <w:bCs/>
                <w:sz w:val="22"/>
                <w:szCs w:val="22"/>
              </w:rPr>
            </w:pPr>
            <w:r>
              <w:rPr>
                <w:b/>
                <w:bCs/>
                <w:sz w:val="22"/>
                <w:szCs w:val="22"/>
              </w:rPr>
              <w:t>72,3</w:t>
            </w:r>
          </w:p>
        </w:tc>
      </w:tr>
      <w:tr w:rsidR="00D72375" w:rsidRPr="004C30D8" w14:paraId="3DD0AB63" w14:textId="77777777" w:rsidTr="0FCC8A84">
        <w:trPr>
          <w:trHeight w:val="300"/>
          <w:jc w:val="center"/>
        </w:trPr>
        <w:tc>
          <w:tcPr>
            <w:tcW w:w="195" w:type="dxa"/>
            <w:tcBorders>
              <w:top w:val="nil"/>
              <w:left w:val="single" w:sz="4" w:space="0" w:color="auto"/>
              <w:bottom w:val="nil"/>
              <w:right w:val="nil"/>
            </w:tcBorders>
            <w:shd w:val="clear" w:color="auto" w:fill="FFFFFF" w:themeFill="background1"/>
            <w:noWrap/>
            <w:vAlign w:val="bottom"/>
            <w:hideMark/>
          </w:tcPr>
          <w:p w14:paraId="7B719E49" w14:textId="3110D33F" w:rsidR="00D72375" w:rsidRPr="004C30D8" w:rsidRDefault="00D72375" w:rsidP="00D72375">
            <w:pPr>
              <w:spacing w:after="0"/>
              <w:jc w:val="left"/>
              <w:rPr>
                <w:sz w:val="22"/>
                <w:szCs w:val="22"/>
              </w:rPr>
            </w:pPr>
            <w:r w:rsidRPr="0FCC8A84">
              <w:rPr>
                <w:sz w:val="22"/>
                <w:szCs w:val="22"/>
              </w:rPr>
              <w:t> </w:t>
            </w:r>
          </w:p>
        </w:tc>
        <w:tc>
          <w:tcPr>
            <w:tcW w:w="368" w:type="dxa"/>
            <w:tcBorders>
              <w:top w:val="nil"/>
              <w:left w:val="nil"/>
              <w:bottom w:val="nil"/>
              <w:right w:val="nil"/>
            </w:tcBorders>
            <w:shd w:val="clear" w:color="auto" w:fill="FFFFFF" w:themeFill="background1"/>
            <w:noWrap/>
            <w:vAlign w:val="bottom"/>
            <w:hideMark/>
          </w:tcPr>
          <w:p w14:paraId="50D2597E" w14:textId="77777777" w:rsidR="00D72375" w:rsidRPr="004C30D8" w:rsidRDefault="00D72375" w:rsidP="00D72375">
            <w:pPr>
              <w:spacing w:after="0"/>
              <w:jc w:val="left"/>
              <w:rPr>
                <w:sz w:val="22"/>
                <w:szCs w:val="22"/>
              </w:rPr>
            </w:pPr>
            <w:r w:rsidRPr="0FCC8A84">
              <w:rPr>
                <w:sz w:val="22"/>
                <w:szCs w:val="22"/>
              </w:rPr>
              <w:t> </w:t>
            </w:r>
          </w:p>
        </w:tc>
        <w:tc>
          <w:tcPr>
            <w:tcW w:w="4192" w:type="dxa"/>
            <w:tcBorders>
              <w:top w:val="nil"/>
              <w:left w:val="nil"/>
              <w:bottom w:val="nil"/>
              <w:right w:val="single" w:sz="4" w:space="0" w:color="auto"/>
            </w:tcBorders>
            <w:shd w:val="clear" w:color="auto" w:fill="FFFFFF" w:themeFill="background1"/>
            <w:noWrap/>
            <w:vAlign w:val="bottom"/>
            <w:hideMark/>
          </w:tcPr>
          <w:p w14:paraId="30C02418" w14:textId="77777777" w:rsidR="00D72375" w:rsidRPr="004C30D8" w:rsidRDefault="00D72375" w:rsidP="00D72375">
            <w:pPr>
              <w:spacing w:after="0"/>
              <w:jc w:val="left"/>
              <w:rPr>
                <w:i/>
                <w:iCs/>
                <w:sz w:val="22"/>
                <w:szCs w:val="22"/>
              </w:rPr>
            </w:pPr>
            <w:r w:rsidRPr="0FCC8A84">
              <w:rPr>
                <w:i/>
                <w:iCs/>
                <w:sz w:val="22"/>
                <w:szCs w:val="22"/>
              </w:rPr>
              <w:t>2.2.1. Devizahitelek kamata</w:t>
            </w:r>
          </w:p>
        </w:tc>
        <w:tc>
          <w:tcPr>
            <w:tcW w:w="1134" w:type="dxa"/>
            <w:tcBorders>
              <w:top w:val="nil"/>
              <w:left w:val="single" w:sz="4" w:space="0" w:color="auto"/>
              <w:bottom w:val="nil"/>
              <w:right w:val="single" w:sz="4" w:space="0" w:color="auto"/>
            </w:tcBorders>
            <w:shd w:val="clear" w:color="auto" w:fill="auto"/>
            <w:noWrap/>
            <w:vAlign w:val="bottom"/>
          </w:tcPr>
          <w:p w14:paraId="56358715" w14:textId="3EA1415B" w:rsidR="00D72375" w:rsidRPr="004C30D8" w:rsidRDefault="00D72375" w:rsidP="00D72375">
            <w:pPr>
              <w:spacing w:after="0"/>
              <w:jc w:val="right"/>
              <w:rPr>
                <w:i/>
                <w:iCs/>
                <w:sz w:val="22"/>
                <w:szCs w:val="22"/>
              </w:rPr>
            </w:pPr>
            <w:r>
              <w:rPr>
                <w:i/>
                <w:iCs/>
                <w:sz w:val="22"/>
                <w:szCs w:val="22"/>
              </w:rPr>
              <w:t>6,5</w:t>
            </w:r>
          </w:p>
        </w:tc>
        <w:tc>
          <w:tcPr>
            <w:tcW w:w="1276" w:type="dxa"/>
            <w:tcBorders>
              <w:top w:val="nil"/>
              <w:left w:val="nil"/>
              <w:bottom w:val="nil"/>
              <w:right w:val="single" w:sz="4" w:space="0" w:color="auto"/>
            </w:tcBorders>
            <w:shd w:val="clear" w:color="auto" w:fill="auto"/>
            <w:noWrap/>
            <w:vAlign w:val="bottom"/>
          </w:tcPr>
          <w:p w14:paraId="5E8C0CB7" w14:textId="1AE93D11" w:rsidR="00D72375" w:rsidRPr="004C30D8" w:rsidRDefault="00D72375" w:rsidP="00D72375">
            <w:pPr>
              <w:spacing w:after="0"/>
              <w:jc w:val="right"/>
              <w:rPr>
                <w:i/>
                <w:iCs/>
                <w:sz w:val="22"/>
                <w:szCs w:val="22"/>
              </w:rPr>
            </w:pPr>
            <w:r>
              <w:rPr>
                <w:i/>
                <w:iCs/>
                <w:sz w:val="22"/>
                <w:szCs w:val="22"/>
              </w:rPr>
              <w:t>7,1</w:t>
            </w:r>
          </w:p>
        </w:tc>
      </w:tr>
      <w:tr w:rsidR="00D72375" w:rsidRPr="004C30D8" w14:paraId="127E54F2" w14:textId="77777777" w:rsidTr="0FCC8A84">
        <w:trPr>
          <w:trHeight w:val="300"/>
          <w:jc w:val="center"/>
        </w:trPr>
        <w:tc>
          <w:tcPr>
            <w:tcW w:w="195" w:type="dxa"/>
            <w:tcBorders>
              <w:top w:val="nil"/>
              <w:left w:val="single" w:sz="4" w:space="0" w:color="auto"/>
              <w:bottom w:val="nil"/>
              <w:right w:val="nil"/>
            </w:tcBorders>
            <w:shd w:val="clear" w:color="auto" w:fill="FFFFFF" w:themeFill="background1"/>
            <w:noWrap/>
            <w:vAlign w:val="bottom"/>
            <w:hideMark/>
          </w:tcPr>
          <w:p w14:paraId="094BC5D1" w14:textId="593BE509" w:rsidR="00D72375" w:rsidRPr="004C30D8" w:rsidRDefault="00D72375" w:rsidP="00D72375">
            <w:pPr>
              <w:spacing w:after="0"/>
              <w:jc w:val="left"/>
              <w:rPr>
                <w:sz w:val="22"/>
                <w:szCs w:val="22"/>
              </w:rPr>
            </w:pPr>
            <w:r w:rsidRPr="0FCC8A84">
              <w:rPr>
                <w:sz w:val="22"/>
                <w:szCs w:val="22"/>
              </w:rPr>
              <w:t> </w:t>
            </w:r>
          </w:p>
        </w:tc>
        <w:tc>
          <w:tcPr>
            <w:tcW w:w="368" w:type="dxa"/>
            <w:tcBorders>
              <w:top w:val="nil"/>
              <w:left w:val="nil"/>
              <w:bottom w:val="nil"/>
              <w:right w:val="nil"/>
            </w:tcBorders>
            <w:shd w:val="clear" w:color="auto" w:fill="FFFFFF" w:themeFill="background1"/>
            <w:noWrap/>
            <w:vAlign w:val="bottom"/>
            <w:hideMark/>
          </w:tcPr>
          <w:p w14:paraId="3AF09607" w14:textId="77777777" w:rsidR="00D72375" w:rsidRPr="004C30D8" w:rsidRDefault="00D72375" w:rsidP="00D72375">
            <w:pPr>
              <w:spacing w:after="0"/>
              <w:jc w:val="left"/>
              <w:rPr>
                <w:sz w:val="22"/>
                <w:szCs w:val="22"/>
              </w:rPr>
            </w:pPr>
            <w:r w:rsidRPr="0FCC8A84">
              <w:rPr>
                <w:sz w:val="22"/>
                <w:szCs w:val="22"/>
              </w:rPr>
              <w:t> </w:t>
            </w:r>
          </w:p>
        </w:tc>
        <w:tc>
          <w:tcPr>
            <w:tcW w:w="4192" w:type="dxa"/>
            <w:tcBorders>
              <w:top w:val="nil"/>
              <w:left w:val="nil"/>
              <w:bottom w:val="nil"/>
              <w:right w:val="single" w:sz="4" w:space="0" w:color="auto"/>
            </w:tcBorders>
            <w:shd w:val="clear" w:color="auto" w:fill="FFFFFF" w:themeFill="background1"/>
            <w:noWrap/>
            <w:vAlign w:val="bottom"/>
            <w:hideMark/>
          </w:tcPr>
          <w:p w14:paraId="3AB85FBD" w14:textId="77777777" w:rsidR="00D72375" w:rsidRPr="004C30D8" w:rsidRDefault="00D72375" w:rsidP="00D72375">
            <w:pPr>
              <w:spacing w:after="0"/>
              <w:jc w:val="left"/>
              <w:rPr>
                <w:i/>
                <w:iCs/>
                <w:sz w:val="22"/>
                <w:szCs w:val="22"/>
              </w:rPr>
            </w:pPr>
            <w:r w:rsidRPr="0FCC8A84">
              <w:rPr>
                <w:i/>
                <w:iCs/>
                <w:sz w:val="22"/>
                <w:szCs w:val="22"/>
              </w:rPr>
              <w:t>2.2.2. Devizakötvények kamata</w:t>
            </w:r>
          </w:p>
        </w:tc>
        <w:tc>
          <w:tcPr>
            <w:tcW w:w="1134" w:type="dxa"/>
            <w:tcBorders>
              <w:top w:val="nil"/>
              <w:left w:val="single" w:sz="4" w:space="0" w:color="auto"/>
              <w:bottom w:val="nil"/>
              <w:right w:val="single" w:sz="4" w:space="0" w:color="auto"/>
            </w:tcBorders>
            <w:shd w:val="clear" w:color="auto" w:fill="auto"/>
            <w:noWrap/>
            <w:vAlign w:val="bottom"/>
          </w:tcPr>
          <w:p w14:paraId="4E3D9D4B" w14:textId="6A59C8B0" w:rsidR="00D72375" w:rsidRPr="004C30D8" w:rsidRDefault="00D72375" w:rsidP="00D72375">
            <w:pPr>
              <w:spacing w:after="0"/>
              <w:jc w:val="right"/>
              <w:rPr>
                <w:i/>
                <w:iCs/>
                <w:sz w:val="22"/>
                <w:szCs w:val="22"/>
              </w:rPr>
            </w:pPr>
            <w:r>
              <w:rPr>
                <w:i/>
                <w:iCs/>
                <w:sz w:val="22"/>
                <w:szCs w:val="22"/>
              </w:rPr>
              <w:t>105,6</w:t>
            </w:r>
          </w:p>
        </w:tc>
        <w:tc>
          <w:tcPr>
            <w:tcW w:w="1276" w:type="dxa"/>
            <w:tcBorders>
              <w:top w:val="nil"/>
              <w:left w:val="nil"/>
              <w:bottom w:val="nil"/>
              <w:right w:val="single" w:sz="4" w:space="0" w:color="auto"/>
            </w:tcBorders>
            <w:shd w:val="clear" w:color="auto" w:fill="auto"/>
            <w:noWrap/>
            <w:vAlign w:val="bottom"/>
          </w:tcPr>
          <w:p w14:paraId="2CC81299" w14:textId="26163C98" w:rsidR="00D72375" w:rsidRPr="004C30D8" w:rsidRDefault="00D72375" w:rsidP="00D72375">
            <w:pPr>
              <w:spacing w:after="0"/>
              <w:jc w:val="right"/>
              <w:rPr>
                <w:i/>
                <w:iCs/>
                <w:sz w:val="22"/>
                <w:szCs w:val="22"/>
              </w:rPr>
            </w:pPr>
            <w:r>
              <w:rPr>
                <w:i/>
                <w:iCs/>
                <w:sz w:val="22"/>
                <w:szCs w:val="22"/>
              </w:rPr>
              <w:t>65,2</w:t>
            </w:r>
          </w:p>
        </w:tc>
      </w:tr>
      <w:tr w:rsidR="00C2195F" w:rsidRPr="004C30D8" w14:paraId="123C030E" w14:textId="77777777" w:rsidTr="0FCC8A84">
        <w:trPr>
          <w:trHeight w:val="300"/>
          <w:jc w:val="center"/>
        </w:trPr>
        <w:tc>
          <w:tcPr>
            <w:tcW w:w="195" w:type="dxa"/>
            <w:tcBorders>
              <w:top w:val="single" w:sz="4" w:space="0" w:color="auto"/>
              <w:left w:val="single" w:sz="4" w:space="0" w:color="auto"/>
              <w:bottom w:val="single" w:sz="4" w:space="0" w:color="auto"/>
              <w:right w:val="nil"/>
            </w:tcBorders>
            <w:shd w:val="clear" w:color="auto" w:fill="FFFFFF" w:themeFill="background1"/>
            <w:noWrap/>
            <w:vAlign w:val="bottom"/>
            <w:hideMark/>
          </w:tcPr>
          <w:p w14:paraId="138D87D5" w14:textId="44036FC5" w:rsidR="00C2195F" w:rsidRPr="004C30D8" w:rsidRDefault="0FCC8A84" w:rsidP="0FCC8A84">
            <w:pPr>
              <w:spacing w:after="0"/>
              <w:jc w:val="left"/>
              <w:rPr>
                <w:sz w:val="22"/>
                <w:szCs w:val="22"/>
              </w:rPr>
            </w:pPr>
            <w:r w:rsidRPr="0FCC8A84">
              <w:rPr>
                <w:sz w:val="22"/>
                <w:szCs w:val="22"/>
              </w:rPr>
              <w:t> </w:t>
            </w:r>
          </w:p>
        </w:tc>
        <w:tc>
          <w:tcPr>
            <w:tcW w:w="368" w:type="dxa"/>
            <w:tcBorders>
              <w:top w:val="single" w:sz="4" w:space="0" w:color="auto"/>
              <w:left w:val="nil"/>
              <w:bottom w:val="single" w:sz="4" w:space="0" w:color="auto"/>
              <w:right w:val="nil"/>
            </w:tcBorders>
            <w:shd w:val="clear" w:color="auto" w:fill="FFFFFF" w:themeFill="background1"/>
            <w:noWrap/>
            <w:vAlign w:val="bottom"/>
            <w:hideMark/>
          </w:tcPr>
          <w:p w14:paraId="37A0A788" w14:textId="77777777" w:rsidR="00C2195F" w:rsidRPr="004C30D8" w:rsidRDefault="0FCC8A84" w:rsidP="0FCC8A84">
            <w:pPr>
              <w:spacing w:after="0"/>
              <w:jc w:val="left"/>
              <w:rPr>
                <w:sz w:val="22"/>
                <w:szCs w:val="22"/>
              </w:rPr>
            </w:pPr>
            <w:r w:rsidRPr="0FCC8A84">
              <w:rPr>
                <w:sz w:val="22"/>
                <w:szCs w:val="22"/>
              </w:rPr>
              <w:t> </w:t>
            </w:r>
          </w:p>
        </w:tc>
        <w:tc>
          <w:tcPr>
            <w:tcW w:w="41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947EC3E" w14:textId="77777777" w:rsidR="00C2195F" w:rsidRPr="004C30D8" w:rsidRDefault="0FCC8A84" w:rsidP="0FCC8A84">
            <w:pPr>
              <w:spacing w:after="0"/>
              <w:jc w:val="left"/>
              <w:rPr>
                <w:sz w:val="22"/>
                <w:szCs w:val="22"/>
              </w:rPr>
            </w:pPr>
            <w:r w:rsidRPr="0FCC8A84">
              <w:rPr>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EC636" w14:textId="6D850F3C" w:rsidR="00C2195F" w:rsidRPr="004C30D8" w:rsidRDefault="00C2195F" w:rsidP="00C2195F">
            <w:pPr>
              <w:spacing w:after="0"/>
              <w:jc w:val="left"/>
              <w:rPr>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E46EE97" w14:textId="5DA2A792" w:rsidR="00C2195F" w:rsidRPr="004C30D8" w:rsidRDefault="00C2195F" w:rsidP="00C2195F">
            <w:pPr>
              <w:spacing w:after="0"/>
              <w:jc w:val="left"/>
              <w:rPr>
                <w:sz w:val="22"/>
                <w:szCs w:val="22"/>
              </w:rPr>
            </w:pPr>
          </w:p>
        </w:tc>
      </w:tr>
      <w:tr w:rsidR="00D72375" w:rsidRPr="004C30D8" w14:paraId="18498B80" w14:textId="77777777" w:rsidTr="0FCC8A84">
        <w:trPr>
          <w:trHeight w:val="285"/>
          <w:jc w:val="center"/>
        </w:trPr>
        <w:tc>
          <w:tcPr>
            <w:tcW w:w="475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234DEEA7" w14:textId="24F23E32" w:rsidR="00D72375" w:rsidRPr="004C30D8" w:rsidRDefault="00D72375" w:rsidP="00D72375">
            <w:pPr>
              <w:spacing w:after="0"/>
              <w:jc w:val="left"/>
              <w:rPr>
                <w:b/>
                <w:bCs/>
                <w:sz w:val="22"/>
                <w:szCs w:val="22"/>
              </w:rPr>
            </w:pPr>
            <w:r w:rsidRPr="0FCC8A84">
              <w:rPr>
                <w:b/>
                <w:bCs/>
                <w:sz w:val="22"/>
                <w:szCs w:val="22"/>
              </w:rPr>
              <w:t>3. Kamategyenleg</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FC949D7" w14:textId="6A4E8586" w:rsidR="00D72375" w:rsidRPr="004C30D8" w:rsidRDefault="00D72375" w:rsidP="00D72375">
            <w:pPr>
              <w:spacing w:after="0"/>
              <w:jc w:val="right"/>
              <w:rPr>
                <w:b/>
                <w:bCs/>
                <w:sz w:val="22"/>
                <w:szCs w:val="22"/>
              </w:rPr>
            </w:pPr>
            <w:r>
              <w:rPr>
                <w:b/>
                <w:bCs/>
                <w:sz w:val="22"/>
                <w:szCs w:val="22"/>
              </w:rPr>
              <w:t>225,1</w:t>
            </w:r>
          </w:p>
        </w:tc>
        <w:tc>
          <w:tcPr>
            <w:tcW w:w="1276" w:type="dxa"/>
            <w:tcBorders>
              <w:top w:val="nil"/>
              <w:left w:val="nil"/>
              <w:bottom w:val="single" w:sz="4" w:space="0" w:color="auto"/>
              <w:right w:val="single" w:sz="4" w:space="0" w:color="auto"/>
            </w:tcBorders>
            <w:shd w:val="clear" w:color="auto" w:fill="auto"/>
            <w:noWrap/>
            <w:vAlign w:val="center"/>
          </w:tcPr>
          <w:p w14:paraId="6822C0C1" w14:textId="05061A33" w:rsidR="00D72375" w:rsidRPr="004C30D8" w:rsidRDefault="00D72375" w:rsidP="00D72375">
            <w:pPr>
              <w:spacing w:after="0"/>
              <w:jc w:val="right"/>
              <w:rPr>
                <w:b/>
                <w:bCs/>
                <w:sz w:val="22"/>
                <w:szCs w:val="22"/>
              </w:rPr>
            </w:pPr>
            <w:r>
              <w:rPr>
                <w:b/>
                <w:bCs/>
                <w:sz w:val="22"/>
                <w:szCs w:val="22"/>
              </w:rPr>
              <w:t>261,2</w:t>
            </w:r>
          </w:p>
        </w:tc>
      </w:tr>
    </w:tbl>
    <w:p w14:paraId="5D4F03D9" w14:textId="07AF30E8" w:rsidR="00D52A69" w:rsidRPr="29F45AC7" w:rsidRDefault="00E4079D" w:rsidP="00D52A69">
      <w:pPr>
        <w:tabs>
          <w:tab w:val="left" w:pos="550"/>
        </w:tabs>
        <w:spacing w:before="120"/>
        <w:rPr>
          <w:caps/>
        </w:rPr>
      </w:pPr>
      <w:r w:rsidRPr="113728CE">
        <w:rPr>
          <w:caps/>
        </w:rPr>
        <w:br w:type="page"/>
      </w:r>
    </w:p>
    <w:p w14:paraId="5D4F0440" w14:textId="417C1316" w:rsidR="00B93477" w:rsidRDefault="0FCC8A84" w:rsidP="0FCC8A84">
      <w:pPr>
        <w:pStyle w:val="Cmsor4"/>
        <w:ind w:right="-1"/>
        <w:jc w:val="center"/>
        <w:rPr>
          <w:caps/>
        </w:rPr>
      </w:pPr>
      <w:r w:rsidRPr="0FCC8A84">
        <w:rPr>
          <w:caps/>
        </w:rPr>
        <w:lastRenderedPageBreak/>
        <w:t>II.</w:t>
      </w:r>
      <w:r w:rsidR="6B0A3B39">
        <w:br/>
      </w:r>
      <w:r w:rsidRPr="0FCC8A84">
        <w:rPr>
          <w:caps/>
        </w:rPr>
        <w:t>Az államháztartás központi alrendszerének finanszírozása</w:t>
      </w:r>
    </w:p>
    <w:p w14:paraId="64D3034E" w14:textId="77777777" w:rsidR="00650CB3" w:rsidRPr="00650CB3" w:rsidRDefault="00650CB3" w:rsidP="00650CB3"/>
    <w:p w14:paraId="5D4F0441" w14:textId="77777777" w:rsidR="006E2559" w:rsidRDefault="0FCC8A84" w:rsidP="27083F14">
      <w:pPr>
        <w:pStyle w:val="Cmsor4"/>
        <w:numPr>
          <w:ilvl w:val="0"/>
          <w:numId w:val="5"/>
        </w:numPr>
        <w:spacing w:before="120"/>
        <w:ind w:left="567" w:hanging="567"/>
      </w:pPr>
      <w:r>
        <w:t xml:space="preserve">Állományi adatok </w:t>
      </w:r>
    </w:p>
    <w:p w14:paraId="589C55E4" w14:textId="77777777" w:rsidR="005D009C" w:rsidRDefault="005D009C" w:rsidP="005D009C"/>
    <w:p w14:paraId="6ADB4DFB" w14:textId="0E9A7FA8" w:rsidR="007F3E8D" w:rsidRPr="00AC5A10" w:rsidRDefault="007F3E8D" w:rsidP="007F3E8D">
      <w:pPr>
        <w:spacing w:after="240"/>
        <w:ind w:right="23"/>
        <w:rPr>
          <w:bCs/>
          <w:szCs w:val="26"/>
        </w:rPr>
      </w:pPr>
      <w:r w:rsidRPr="00AC5A10">
        <w:rPr>
          <w:b/>
          <w:bCs/>
          <w:szCs w:val="26"/>
        </w:rPr>
        <w:t xml:space="preserve">A központi költségvetés adóssága </w:t>
      </w:r>
      <w:r w:rsidR="00B0769F">
        <w:rPr>
          <w:b/>
          <w:bCs/>
          <w:szCs w:val="26"/>
        </w:rPr>
        <w:t xml:space="preserve">2021. </w:t>
      </w:r>
      <w:r w:rsidRPr="001972BC">
        <w:rPr>
          <w:b/>
          <w:bCs/>
          <w:szCs w:val="26"/>
        </w:rPr>
        <w:t>május végéig</w:t>
      </w:r>
      <w:r w:rsidRPr="00AC5A10">
        <w:rPr>
          <w:bCs/>
          <w:szCs w:val="26"/>
        </w:rPr>
        <w:t xml:space="preserve"> 464,7</w:t>
      </w:r>
      <w:r>
        <w:rPr>
          <w:bCs/>
          <w:szCs w:val="26"/>
        </w:rPr>
        <w:t> milliárd</w:t>
      </w:r>
      <w:r w:rsidRPr="00AC5A10">
        <w:rPr>
          <w:bCs/>
          <w:szCs w:val="26"/>
        </w:rPr>
        <w:t xml:space="preserve"> forinttal </w:t>
      </w:r>
      <w:r w:rsidRPr="00AC5A10">
        <w:rPr>
          <w:b/>
          <w:bCs/>
          <w:szCs w:val="26"/>
        </w:rPr>
        <w:t xml:space="preserve">növekedett </w:t>
      </w:r>
      <w:r w:rsidRPr="00AC5A10">
        <w:rPr>
          <w:bCs/>
          <w:szCs w:val="26"/>
        </w:rPr>
        <w:t>a következő négy tényező eredményeképpen:</w:t>
      </w:r>
    </w:p>
    <w:p w14:paraId="7A4B7FC1" w14:textId="77777777" w:rsidR="007F3E8D" w:rsidRPr="00AC5A10" w:rsidRDefault="007F3E8D" w:rsidP="007F3E8D">
      <w:pPr>
        <w:numPr>
          <w:ilvl w:val="0"/>
          <w:numId w:val="7"/>
        </w:numPr>
        <w:spacing w:before="120" w:after="240"/>
        <w:ind w:left="714" w:right="23" w:hanging="357"/>
        <w:rPr>
          <w:b/>
          <w:bCs/>
          <w:szCs w:val="26"/>
        </w:rPr>
      </w:pPr>
      <w:r w:rsidRPr="00AC5A10">
        <w:rPr>
          <w:b/>
          <w:bCs/>
          <w:szCs w:val="26"/>
        </w:rPr>
        <w:t>Az első tényező</w:t>
      </w:r>
      <w:r w:rsidRPr="00AC5A10">
        <w:rPr>
          <w:bCs/>
          <w:szCs w:val="26"/>
        </w:rPr>
        <w:t xml:space="preserve"> a nettó forintkibocsátás 1242,4</w:t>
      </w:r>
      <w:r>
        <w:rPr>
          <w:bCs/>
          <w:szCs w:val="26"/>
        </w:rPr>
        <w:t> milliárd</w:t>
      </w:r>
      <w:r w:rsidRPr="00AC5A10">
        <w:rPr>
          <w:bCs/>
          <w:szCs w:val="26"/>
        </w:rPr>
        <w:t xml:space="preserve"> forint összegben, ami a költségvetés hiányát </w:t>
      </w:r>
      <w:proofErr w:type="gramStart"/>
      <w:r w:rsidRPr="00AC5A10">
        <w:rPr>
          <w:bCs/>
          <w:szCs w:val="26"/>
        </w:rPr>
        <w:t>finanszírozza</w:t>
      </w:r>
      <w:proofErr w:type="gramEnd"/>
      <w:r w:rsidRPr="00AC5A10">
        <w:rPr>
          <w:bCs/>
          <w:szCs w:val="26"/>
        </w:rPr>
        <w:t>.</w:t>
      </w:r>
    </w:p>
    <w:p w14:paraId="3D710CC5" w14:textId="77777777" w:rsidR="007F3E8D" w:rsidRPr="00AC5A10" w:rsidRDefault="007F3E8D" w:rsidP="007F3E8D">
      <w:pPr>
        <w:numPr>
          <w:ilvl w:val="0"/>
          <w:numId w:val="7"/>
        </w:numPr>
        <w:spacing w:before="120" w:after="240"/>
        <w:ind w:left="714" w:right="23" w:hanging="357"/>
        <w:rPr>
          <w:b/>
          <w:bCs/>
          <w:szCs w:val="26"/>
        </w:rPr>
      </w:pPr>
      <w:r w:rsidRPr="00AC5A10">
        <w:rPr>
          <w:b/>
          <w:bCs/>
          <w:szCs w:val="26"/>
        </w:rPr>
        <w:t xml:space="preserve">A második – a fentivel ellentétes, csökkentő hatású – tényező </w:t>
      </w:r>
      <w:r w:rsidRPr="00AC5A10">
        <w:rPr>
          <w:bCs/>
          <w:szCs w:val="26"/>
        </w:rPr>
        <w:t>a nettó devizatörlesztés, amely 440,9</w:t>
      </w:r>
      <w:r>
        <w:rPr>
          <w:bCs/>
          <w:szCs w:val="26"/>
        </w:rPr>
        <w:t> milliárd</w:t>
      </w:r>
      <w:r w:rsidRPr="00AC5A10">
        <w:rPr>
          <w:bCs/>
          <w:szCs w:val="26"/>
        </w:rPr>
        <w:t xml:space="preserve"> forinttal csökkentette a költségvetés adósságát.</w:t>
      </w:r>
    </w:p>
    <w:p w14:paraId="3503AC92" w14:textId="77777777" w:rsidR="007F3E8D" w:rsidRPr="00AC5A10" w:rsidRDefault="007F3E8D" w:rsidP="007F3E8D">
      <w:pPr>
        <w:numPr>
          <w:ilvl w:val="0"/>
          <w:numId w:val="7"/>
        </w:numPr>
        <w:spacing w:before="120" w:after="240"/>
        <w:ind w:left="714" w:right="23" w:hanging="357"/>
        <w:rPr>
          <w:bCs/>
          <w:szCs w:val="26"/>
        </w:rPr>
      </w:pPr>
      <w:r w:rsidRPr="00AC5A10">
        <w:rPr>
          <w:b/>
          <w:bCs/>
          <w:szCs w:val="26"/>
        </w:rPr>
        <w:t xml:space="preserve">A harmadik – szintén csökkentő hatású – tényező </w:t>
      </w:r>
      <w:r w:rsidRPr="00AC5A10">
        <w:rPr>
          <w:bCs/>
          <w:szCs w:val="26"/>
        </w:rPr>
        <w:t>a forint árfolyamának az elmúlt év végéhez képest bekövetkezett erősödése, amely az adósság devizában fennálló részének forintban számított nyilvántartási értékét 316,5</w:t>
      </w:r>
      <w:r>
        <w:rPr>
          <w:bCs/>
          <w:szCs w:val="26"/>
        </w:rPr>
        <w:t> milliárd</w:t>
      </w:r>
      <w:r w:rsidRPr="00AC5A10">
        <w:rPr>
          <w:bCs/>
          <w:szCs w:val="26"/>
        </w:rPr>
        <w:t xml:space="preserve"> forinttal csökkentette.</w:t>
      </w:r>
    </w:p>
    <w:p w14:paraId="01373EF5" w14:textId="6900300F" w:rsidR="000A0E01" w:rsidRPr="00A53393" w:rsidRDefault="007F3E8D" w:rsidP="007F3E8D">
      <w:pPr>
        <w:numPr>
          <w:ilvl w:val="0"/>
          <w:numId w:val="7"/>
        </w:numPr>
        <w:spacing w:after="240"/>
        <w:ind w:right="23"/>
      </w:pPr>
      <w:r w:rsidRPr="00AC5A10">
        <w:rPr>
          <w:b/>
          <w:bCs/>
          <w:szCs w:val="26"/>
        </w:rPr>
        <w:t xml:space="preserve">A negyedik – további csökkenő hatású – tényező </w:t>
      </w:r>
      <w:r w:rsidRPr="00AC5A10">
        <w:rPr>
          <w:bCs/>
          <w:szCs w:val="26"/>
        </w:rPr>
        <w:t xml:space="preserve">a deviza-keresztárfolyamok változása és egyéb tényezők miatt bekövetkezett </w:t>
      </w:r>
      <w:proofErr w:type="spellStart"/>
      <w:r w:rsidRPr="00AC5A10">
        <w:rPr>
          <w:bCs/>
          <w:szCs w:val="26"/>
        </w:rPr>
        <w:t>mark-to-market</w:t>
      </w:r>
      <w:proofErr w:type="spellEnd"/>
      <w:r w:rsidRPr="00AC5A10">
        <w:rPr>
          <w:bCs/>
          <w:szCs w:val="26"/>
        </w:rPr>
        <w:t xml:space="preserve"> betétállományok csökkenése 20,3</w:t>
      </w:r>
      <w:r>
        <w:rPr>
          <w:bCs/>
          <w:szCs w:val="26"/>
        </w:rPr>
        <w:t> milliárd</w:t>
      </w:r>
      <w:r w:rsidRPr="00AC5A10">
        <w:rPr>
          <w:bCs/>
          <w:szCs w:val="26"/>
        </w:rPr>
        <w:t xml:space="preserve"> forint összegben</w:t>
      </w:r>
      <w:r w:rsidR="0FCC8A84">
        <w:t>.</w:t>
      </w:r>
    </w:p>
    <w:p w14:paraId="62DBEE8B" w14:textId="77777777" w:rsidR="005D009C" w:rsidRDefault="005D009C" w:rsidP="005D009C"/>
    <w:p w14:paraId="2A5B3AF7" w14:textId="77777777" w:rsidR="005D009C" w:rsidRPr="005D009C" w:rsidRDefault="005D009C" w:rsidP="005D009C"/>
    <w:p w14:paraId="509339C9" w14:textId="77777777" w:rsidR="00427794" w:rsidRDefault="00427794" w:rsidP="005D009C">
      <w:pPr>
        <w:spacing w:before="120"/>
        <w:ind w:right="23"/>
        <w:rPr>
          <w:bCs/>
          <w:szCs w:val="26"/>
        </w:rPr>
        <w:sectPr w:rsidR="00427794" w:rsidSect="00D46179">
          <w:headerReference w:type="default" r:id="rId24"/>
          <w:headerReference w:type="first" r:id="rId25"/>
          <w:footnotePr>
            <w:numRestart w:val="eachPage"/>
          </w:footnotePr>
          <w:pgSz w:w="11907" w:h="16840" w:code="9"/>
          <w:pgMar w:top="1134" w:right="1134" w:bottom="1418" w:left="1418" w:header="709" w:footer="709" w:gutter="0"/>
          <w:pgNumType w:start="1"/>
          <w:cols w:space="708"/>
          <w:docGrid w:linePitch="354"/>
        </w:sectPr>
      </w:pPr>
    </w:p>
    <w:p w14:paraId="405D8FE5" w14:textId="06943FC2" w:rsidR="00256EE8" w:rsidRPr="00256EE8" w:rsidRDefault="0FCC8A84" w:rsidP="00D94F6F">
      <w:pPr>
        <w:ind w:right="23"/>
        <w:rPr>
          <w:bCs/>
          <w:szCs w:val="26"/>
        </w:rPr>
      </w:pPr>
      <w:r>
        <w:lastRenderedPageBreak/>
        <w:t xml:space="preserve">Az előzetes adatok szerint </w:t>
      </w:r>
      <w:r w:rsidR="007F3E8D">
        <w:t>május</w:t>
      </w:r>
      <w:r>
        <w:t xml:space="preserve"> végén a </w:t>
      </w:r>
      <w:r w:rsidRPr="0FCC8A84">
        <w:rPr>
          <w:b/>
          <w:bCs/>
        </w:rPr>
        <w:t xml:space="preserve">központi költségvetés forint- és devizaadóssága </w:t>
      </w:r>
      <w:r>
        <w:t>az alábbiak szerint alakult:</w:t>
      </w:r>
    </w:p>
    <w:p w14:paraId="45726EA9" w14:textId="0C270895" w:rsidR="00BF18EE" w:rsidRDefault="0FCC8A84" w:rsidP="00D94F6F">
      <w:pPr>
        <w:overflowPunct w:val="0"/>
        <w:autoSpaceDE w:val="0"/>
        <w:autoSpaceDN w:val="0"/>
        <w:adjustRightInd w:val="0"/>
        <w:spacing w:before="240" w:after="240"/>
        <w:ind w:right="23"/>
        <w:jc w:val="center"/>
        <w:textAlignment w:val="baseline"/>
      </w:pPr>
      <w:r>
        <w:t>A központi költségvetés adósságának alakulása 2021-ben, milliárd forint</w:t>
      </w:r>
    </w:p>
    <w:p w14:paraId="689D04B3" w14:textId="5B1B9827" w:rsidR="009773BE" w:rsidRDefault="007F3E8D" w:rsidP="00D94F6F">
      <w:pPr>
        <w:overflowPunct w:val="0"/>
        <w:autoSpaceDE w:val="0"/>
        <w:autoSpaceDN w:val="0"/>
        <w:adjustRightInd w:val="0"/>
        <w:ind w:right="23"/>
        <w:jc w:val="center"/>
        <w:textAlignment w:val="baseline"/>
      </w:pPr>
      <w:r w:rsidRPr="007F3E8D">
        <w:rPr>
          <w:noProof/>
        </w:rPr>
        <w:drawing>
          <wp:inline distT="0" distB="0" distL="0" distR="0" wp14:anchorId="4FFABDFD" wp14:editId="5237D59A">
            <wp:extent cx="9072880" cy="3978210"/>
            <wp:effectExtent l="0" t="0" r="0" b="381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72880" cy="3978210"/>
                    </a:xfrm>
                    <a:prstGeom prst="rect">
                      <a:avLst/>
                    </a:prstGeom>
                    <a:noFill/>
                    <a:ln>
                      <a:noFill/>
                    </a:ln>
                  </pic:spPr>
                </pic:pic>
              </a:graphicData>
            </a:graphic>
          </wp:inline>
        </w:drawing>
      </w:r>
    </w:p>
    <w:p w14:paraId="6ECE2FDE" w14:textId="12A9786E" w:rsidR="00E6275A" w:rsidRPr="00DB479B" w:rsidRDefault="0FCC8A84" w:rsidP="0FCC8A84">
      <w:pPr>
        <w:rPr>
          <w:sz w:val="20"/>
        </w:rPr>
      </w:pPr>
      <w:r w:rsidRPr="0FCC8A84">
        <w:rPr>
          <w:i/>
          <w:iCs/>
          <w:sz w:val="20"/>
        </w:rPr>
        <w:t>Megjegyzés: a táblában szereplő tizedes eltérések kerekítésből adódnak.</w:t>
      </w:r>
    </w:p>
    <w:p w14:paraId="5D4F044B" w14:textId="77777777" w:rsidR="00881044" w:rsidRDefault="00881044" w:rsidP="00694CFA">
      <w:pPr>
        <w:overflowPunct w:val="0"/>
        <w:autoSpaceDE w:val="0"/>
        <w:autoSpaceDN w:val="0"/>
        <w:adjustRightInd w:val="0"/>
        <w:spacing w:before="120"/>
        <w:ind w:right="23"/>
        <w:textAlignment w:val="baseline"/>
        <w:rPr>
          <w:b/>
          <w:bCs/>
          <w:szCs w:val="26"/>
        </w:rPr>
        <w:sectPr w:rsidR="00881044" w:rsidSect="00D46179">
          <w:headerReference w:type="default" r:id="rId27"/>
          <w:headerReference w:type="first" r:id="rId28"/>
          <w:footnotePr>
            <w:numRestart w:val="eachPage"/>
          </w:footnotePr>
          <w:pgSz w:w="16840" w:h="11907" w:orient="landscape" w:code="9"/>
          <w:pgMar w:top="993" w:right="1134" w:bottom="1134" w:left="1418" w:header="709" w:footer="709" w:gutter="0"/>
          <w:cols w:space="708"/>
          <w:titlePg/>
        </w:sectPr>
      </w:pPr>
    </w:p>
    <w:p w14:paraId="012E4C08" w14:textId="01B6822A" w:rsidR="00783FB5" w:rsidRPr="007F3E8D" w:rsidRDefault="007F3E8D" w:rsidP="0FCC8A84">
      <w:pPr>
        <w:pStyle w:val="Szvegtrzs"/>
        <w:rPr>
          <w:rFonts w:eastAsiaTheme="minorEastAsia"/>
          <w:color w:val="auto"/>
          <w:lang w:eastAsia="en-US"/>
        </w:rPr>
      </w:pPr>
      <w:r w:rsidRPr="007F3E8D">
        <w:rPr>
          <w:b/>
          <w:bCs/>
          <w:color w:val="auto"/>
          <w:szCs w:val="26"/>
        </w:rPr>
        <w:lastRenderedPageBreak/>
        <w:t>A központi költségvetés devizaadóssága</w:t>
      </w:r>
      <w:r w:rsidRPr="007F3E8D">
        <w:rPr>
          <w:color w:val="auto"/>
          <w:szCs w:val="26"/>
        </w:rPr>
        <w:t xml:space="preserve"> 2021</w:t>
      </w:r>
      <w:r w:rsidR="007D6540">
        <w:rPr>
          <w:color w:val="auto"/>
          <w:szCs w:val="26"/>
        </w:rPr>
        <w:t>. május végéig</w:t>
      </w:r>
      <w:r w:rsidRPr="007F3E8D">
        <w:rPr>
          <w:color w:val="auto"/>
          <w:szCs w:val="26"/>
        </w:rPr>
        <w:t xml:space="preserve"> 757,5 milliárd forinttal 6560,8 milliárd forintra csökkent az elmúlt év végéhez képest. A devizaadósság részaránya a 2020. év végi 19,9%-os szintről 17,7%-os szintre mérséklődött a teljes adósságon belül</w:t>
      </w:r>
      <w:r w:rsidR="0FCC8A84" w:rsidRPr="007F3E8D">
        <w:rPr>
          <w:rFonts w:eastAsiaTheme="minorEastAsia"/>
          <w:color w:val="auto"/>
          <w:lang w:eastAsia="en-US"/>
        </w:rPr>
        <w:t>.</w:t>
      </w:r>
    </w:p>
    <w:p w14:paraId="1B0E9A98" w14:textId="77903D34" w:rsidR="00776617" w:rsidRPr="00DA3019" w:rsidRDefault="007F3E8D" w:rsidP="00A1626E">
      <w:pPr>
        <w:spacing w:before="120"/>
        <w:rPr>
          <w:szCs w:val="26"/>
        </w:rPr>
      </w:pPr>
      <w:r w:rsidRPr="00AC5A10">
        <w:rPr>
          <w:b/>
          <w:bCs/>
          <w:szCs w:val="26"/>
        </w:rPr>
        <w:t>A költségvetés forintadóssága</w:t>
      </w:r>
      <w:r w:rsidRPr="00AC5A10">
        <w:rPr>
          <w:szCs w:val="26"/>
        </w:rPr>
        <w:t xml:space="preserve"> május</w:t>
      </w:r>
      <w:r w:rsidRPr="00AC5A10">
        <w:rPr>
          <w:bCs/>
          <w:szCs w:val="26"/>
        </w:rPr>
        <w:t xml:space="preserve"> végéig 1242,4</w:t>
      </w:r>
      <w:r>
        <w:rPr>
          <w:bCs/>
          <w:szCs w:val="26"/>
        </w:rPr>
        <w:t> milliárd</w:t>
      </w:r>
      <w:r w:rsidRPr="00AC5A10">
        <w:rPr>
          <w:szCs w:val="26"/>
        </w:rPr>
        <w:t xml:space="preserve"> forinttal növekedett, és 30 479,7</w:t>
      </w:r>
      <w:r>
        <w:rPr>
          <w:szCs w:val="26"/>
        </w:rPr>
        <w:t> milliárd</w:t>
      </w:r>
      <w:r w:rsidRPr="00AC5A10">
        <w:rPr>
          <w:szCs w:val="26"/>
        </w:rPr>
        <w:t xml:space="preserve"> forintot ért el, a forint részarány a teljes államadósság 82,0%-át teszi ki. 2020 decemberében ez az arány 79,7</w:t>
      </w:r>
      <w:r>
        <w:rPr>
          <w:szCs w:val="26"/>
        </w:rPr>
        <w:t>% volt</w:t>
      </w:r>
      <w:r w:rsidR="0FCC8A84">
        <w:t>.</w:t>
      </w:r>
    </w:p>
    <w:p w14:paraId="4E452706" w14:textId="5069F79F" w:rsidR="007F3E8D" w:rsidRPr="00AC5A10" w:rsidRDefault="007F3E8D" w:rsidP="007F3E8D">
      <w:pPr>
        <w:spacing w:before="120"/>
        <w:rPr>
          <w:bCs/>
          <w:szCs w:val="26"/>
        </w:rPr>
      </w:pPr>
      <w:r w:rsidRPr="00AC5A10">
        <w:rPr>
          <w:szCs w:val="26"/>
        </w:rPr>
        <w:t>2021.</w:t>
      </w:r>
      <w:r w:rsidRPr="00AC5A10">
        <w:rPr>
          <w:bCs/>
          <w:szCs w:val="26"/>
        </w:rPr>
        <w:t xml:space="preserve"> május </w:t>
      </w:r>
      <w:r w:rsidRPr="00AC5A10">
        <w:rPr>
          <w:szCs w:val="26"/>
        </w:rPr>
        <w:t>végén a lakossági állampapírok állománya 9534,5</w:t>
      </w:r>
      <w:r>
        <w:rPr>
          <w:szCs w:val="26"/>
        </w:rPr>
        <w:t> milliárd</w:t>
      </w:r>
      <w:r w:rsidRPr="00AC5A10">
        <w:rPr>
          <w:szCs w:val="26"/>
        </w:rPr>
        <w:t xml:space="preserve"> forintot tett ki, ami 362,8</w:t>
      </w:r>
      <w:r>
        <w:rPr>
          <w:szCs w:val="26"/>
        </w:rPr>
        <w:t> milliárd</w:t>
      </w:r>
      <w:r w:rsidRPr="00AC5A10">
        <w:rPr>
          <w:szCs w:val="26"/>
        </w:rPr>
        <w:t xml:space="preserve"> forint</w:t>
      </w:r>
      <w:r w:rsidR="00EE44B3">
        <w:rPr>
          <w:szCs w:val="26"/>
        </w:rPr>
        <w:t>os</w:t>
      </w:r>
      <w:r w:rsidRPr="00AC5A10">
        <w:rPr>
          <w:szCs w:val="26"/>
        </w:rPr>
        <w:t xml:space="preserve"> növekedést jelent 2020. december vége óta.</w:t>
      </w:r>
    </w:p>
    <w:p w14:paraId="4DF6F608" w14:textId="58D8FF49" w:rsidR="007F3E8D" w:rsidRPr="00AC5A10" w:rsidRDefault="007F3E8D" w:rsidP="007F3E8D">
      <w:pPr>
        <w:spacing w:before="120"/>
        <w:rPr>
          <w:szCs w:val="26"/>
        </w:rPr>
      </w:pPr>
      <w:r w:rsidRPr="00AC5A10">
        <w:rPr>
          <w:bCs/>
          <w:szCs w:val="26"/>
        </w:rPr>
        <w:t xml:space="preserve">A </w:t>
      </w:r>
      <w:r w:rsidRPr="00AC5A10">
        <w:rPr>
          <w:szCs w:val="26"/>
        </w:rPr>
        <w:t xml:space="preserve">lakossági </w:t>
      </w:r>
      <w:proofErr w:type="gramStart"/>
      <w:r w:rsidRPr="00AC5A10">
        <w:rPr>
          <w:szCs w:val="26"/>
        </w:rPr>
        <w:t>állampapír</w:t>
      </w:r>
      <w:r w:rsidR="00621BE5">
        <w:rPr>
          <w:szCs w:val="26"/>
        </w:rPr>
        <w:t>-</w:t>
      </w:r>
      <w:r w:rsidRPr="00AC5A10">
        <w:rPr>
          <w:szCs w:val="26"/>
        </w:rPr>
        <w:t>kereslet döntő</w:t>
      </w:r>
      <w:proofErr w:type="gramEnd"/>
      <w:r w:rsidRPr="00AC5A10">
        <w:rPr>
          <w:szCs w:val="26"/>
        </w:rPr>
        <w:t xml:space="preserve"> hányadát </w:t>
      </w:r>
      <w:r w:rsidRPr="00AC5A10">
        <w:rPr>
          <w:bCs/>
          <w:szCs w:val="26"/>
        </w:rPr>
        <w:t xml:space="preserve">a Magyar Állampapír Plusz értékesítése képezte. </w:t>
      </w:r>
      <w:r w:rsidRPr="00AC5A10">
        <w:rPr>
          <w:szCs w:val="26"/>
        </w:rPr>
        <w:t xml:space="preserve">A kizárólag lakossági ügyfelek által vásárolható </w:t>
      </w:r>
      <w:r w:rsidRPr="00AC5A10">
        <w:rPr>
          <w:bCs/>
          <w:szCs w:val="26"/>
        </w:rPr>
        <w:t>Magyar Állampapír Plusz állomány május végéig 398,3</w:t>
      </w:r>
      <w:r>
        <w:rPr>
          <w:bCs/>
          <w:szCs w:val="26"/>
        </w:rPr>
        <w:t> milliárd</w:t>
      </w:r>
      <w:r w:rsidRPr="00AC5A10">
        <w:rPr>
          <w:bCs/>
          <w:szCs w:val="26"/>
        </w:rPr>
        <w:t xml:space="preserve"> forinttal 5360,5</w:t>
      </w:r>
      <w:r>
        <w:rPr>
          <w:bCs/>
          <w:szCs w:val="26"/>
        </w:rPr>
        <w:t> milliárd</w:t>
      </w:r>
      <w:r w:rsidRPr="00AC5A10">
        <w:rPr>
          <w:bCs/>
          <w:szCs w:val="26"/>
        </w:rPr>
        <w:t xml:space="preserve"> forintra növekedett. A nyomdai úton előállított Magyar Állampapír Plusz állománya 54,3</w:t>
      </w:r>
      <w:r>
        <w:rPr>
          <w:bCs/>
          <w:szCs w:val="26"/>
        </w:rPr>
        <w:t> milliárd</w:t>
      </w:r>
      <w:r w:rsidRPr="00AC5A10">
        <w:rPr>
          <w:bCs/>
          <w:szCs w:val="26"/>
        </w:rPr>
        <w:t xml:space="preserve"> forint</w:t>
      </w:r>
      <w:r w:rsidR="00830765">
        <w:rPr>
          <w:bCs/>
          <w:szCs w:val="26"/>
        </w:rPr>
        <w:t>os</w:t>
      </w:r>
      <w:r w:rsidRPr="00AC5A10">
        <w:rPr>
          <w:bCs/>
          <w:szCs w:val="26"/>
        </w:rPr>
        <w:t xml:space="preserve"> növekedés következtében 313,4</w:t>
      </w:r>
      <w:r>
        <w:rPr>
          <w:bCs/>
          <w:szCs w:val="26"/>
        </w:rPr>
        <w:t> milliárd</w:t>
      </w:r>
      <w:r w:rsidRPr="00AC5A10">
        <w:rPr>
          <w:bCs/>
          <w:szCs w:val="26"/>
        </w:rPr>
        <w:t xml:space="preserve"> forint volt hó végén. Az</w:t>
      </w:r>
      <w:r w:rsidRPr="00AC5A10">
        <w:rPr>
          <w:szCs w:val="26"/>
        </w:rPr>
        <w:t xml:space="preserve"> egy évnél hosszabb futamidejű Prémium Magyar Állampapír állománya 2021. május végére 19,9</w:t>
      </w:r>
      <w:r>
        <w:rPr>
          <w:szCs w:val="26"/>
        </w:rPr>
        <w:t> milliárd</w:t>
      </w:r>
      <w:r w:rsidRPr="00AC5A10">
        <w:rPr>
          <w:szCs w:val="26"/>
        </w:rPr>
        <w:t xml:space="preserve"> forinttal növekedett, amely így 2329,9</w:t>
      </w:r>
      <w:r>
        <w:rPr>
          <w:szCs w:val="26"/>
        </w:rPr>
        <w:t> milliárd</w:t>
      </w:r>
      <w:r w:rsidRPr="00AC5A10">
        <w:rPr>
          <w:szCs w:val="26"/>
        </w:rPr>
        <w:t xml:space="preserve"> forintot tett ki.</w:t>
      </w:r>
    </w:p>
    <w:p w14:paraId="16497D7B" w14:textId="6B3BB163" w:rsidR="007F3E8D" w:rsidRPr="00AC5A10" w:rsidRDefault="007F3E8D" w:rsidP="007F3E8D">
      <w:pPr>
        <w:pStyle w:val="Default"/>
        <w:spacing w:before="120"/>
        <w:jc w:val="both"/>
        <w:rPr>
          <w:rFonts w:ascii="Times New Roman" w:hAnsi="Times New Roman" w:cs="Times New Roman"/>
          <w:sz w:val="26"/>
          <w:szCs w:val="26"/>
        </w:rPr>
      </w:pPr>
      <w:r w:rsidRPr="00AC5A10">
        <w:rPr>
          <w:rFonts w:ascii="Times New Roman" w:hAnsi="Times New Roman" w:cs="Times New Roman"/>
          <w:sz w:val="26"/>
          <w:szCs w:val="26"/>
        </w:rPr>
        <w:t>Az Egyéves Magyar Állampapír állománya 1051,9</w:t>
      </w:r>
      <w:r>
        <w:rPr>
          <w:rFonts w:ascii="Times New Roman" w:hAnsi="Times New Roman" w:cs="Times New Roman"/>
          <w:sz w:val="26"/>
          <w:szCs w:val="26"/>
        </w:rPr>
        <w:t> milliárd</w:t>
      </w:r>
      <w:r w:rsidRPr="00AC5A10">
        <w:rPr>
          <w:rFonts w:ascii="Times New Roman" w:hAnsi="Times New Roman" w:cs="Times New Roman"/>
          <w:sz w:val="26"/>
          <w:szCs w:val="26"/>
        </w:rPr>
        <w:t xml:space="preserve"> forint volt május</w:t>
      </w:r>
      <w:r w:rsidRPr="00AC5A10">
        <w:rPr>
          <w:rFonts w:ascii="Times New Roman" w:hAnsi="Times New Roman" w:cs="Times New Roman"/>
          <w:bCs/>
          <w:sz w:val="26"/>
          <w:szCs w:val="26"/>
        </w:rPr>
        <w:t xml:space="preserve"> </w:t>
      </w:r>
      <w:r w:rsidRPr="00AC5A10">
        <w:rPr>
          <w:rFonts w:ascii="Times New Roman" w:hAnsi="Times New Roman" w:cs="Times New Roman"/>
          <w:sz w:val="26"/>
          <w:szCs w:val="26"/>
        </w:rPr>
        <w:t>végén, ami 36,5</w:t>
      </w:r>
      <w:r>
        <w:rPr>
          <w:rFonts w:ascii="Times New Roman" w:hAnsi="Times New Roman" w:cs="Times New Roman"/>
          <w:sz w:val="26"/>
          <w:szCs w:val="26"/>
        </w:rPr>
        <w:t> milliárd</w:t>
      </w:r>
      <w:r w:rsidRPr="00AC5A10">
        <w:rPr>
          <w:rFonts w:ascii="Times New Roman" w:hAnsi="Times New Roman" w:cs="Times New Roman"/>
          <w:sz w:val="26"/>
          <w:szCs w:val="26"/>
        </w:rPr>
        <w:t xml:space="preserve"> forinttal alacsonyabb a 2020. év végi állománynál. Az Egyéves Magyar Állampapír állománycsökkenés</w:t>
      </w:r>
      <w:r w:rsidR="00A964DF">
        <w:rPr>
          <w:rFonts w:ascii="Times New Roman" w:hAnsi="Times New Roman" w:cs="Times New Roman"/>
          <w:sz w:val="26"/>
          <w:szCs w:val="26"/>
        </w:rPr>
        <w:t>e</w:t>
      </w:r>
      <w:r w:rsidRPr="00AC5A10">
        <w:rPr>
          <w:rFonts w:ascii="Times New Roman" w:hAnsi="Times New Roman" w:cs="Times New Roman"/>
          <w:sz w:val="26"/>
          <w:szCs w:val="26"/>
        </w:rPr>
        <w:t xml:space="preserve"> mutatja, hogy a lakossági befektetők lejáró értékpapírjaik egy részéből Magyar Állampapír Pluszt vásárolnak, azonban ennek mértéke jóval kisebb a 2020-as évben tapasztaltnál. A Bónusz Magyar Állampapír és a Kétéves Magyar Állampapír állománya 59,7</w:t>
      </w:r>
      <w:r>
        <w:rPr>
          <w:rFonts w:ascii="Times New Roman" w:hAnsi="Times New Roman" w:cs="Times New Roman"/>
          <w:sz w:val="26"/>
          <w:szCs w:val="26"/>
        </w:rPr>
        <w:t> milliárd</w:t>
      </w:r>
      <w:r w:rsidRPr="00AC5A10">
        <w:rPr>
          <w:rFonts w:ascii="Times New Roman" w:hAnsi="Times New Roman" w:cs="Times New Roman"/>
          <w:sz w:val="26"/>
          <w:szCs w:val="26"/>
        </w:rPr>
        <w:t xml:space="preserve"> forinttal csökkent az év során. A Kétéves Magyar Állampapír utolsó sorozata áprilisban lejárt, így kizárólag a Bónusz Magyar Állampapír 61,1</w:t>
      </w:r>
      <w:r>
        <w:rPr>
          <w:rFonts w:ascii="Times New Roman" w:hAnsi="Times New Roman" w:cs="Times New Roman"/>
          <w:sz w:val="26"/>
          <w:szCs w:val="26"/>
        </w:rPr>
        <w:t> milliárd</w:t>
      </w:r>
      <w:r w:rsidRPr="00AC5A10">
        <w:rPr>
          <w:rFonts w:ascii="Times New Roman" w:hAnsi="Times New Roman" w:cs="Times New Roman"/>
          <w:sz w:val="26"/>
          <w:szCs w:val="26"/>
        </w:rPr>
        <w:t xml:space="preserve"> forintos állománnyal zárt május végén.</w:t>
      </w:r>
    </w:p>
    <w:p w14:paraId="1C5F92BB" w14:textId="77777777" w:rsidR="007F3E8D" w:rsidRPr="00AC5A10" w:rsidRDefault="007F3E8D" w:rsidP="007F3E8D">
      <w:pPr>
        <w:pStyle w:val="Default"/>
        <w:spacing w:before="120"/>
        <w:jc w:val="both"/>
        <w:rPr>
          <w:rFonts w:ascii="Times New Roman" w:hAnsi="Times New Roman" w:cs="Times New Roman"/>
          <w:sz w:val="26"/>
          <w:szCs w:val="26"/>
        </w:rPr>
      </w:pPr>
      <w:r w:rsidRPr="00AC5A10">
        <w:rPr>
          <w:rFonts w:ascii="Times New Roman" w:hAnsi="Times New Roman" w:cs="Times New Roman"/>
          <w:sz w:val="26"/>
          <w:szCs w:val="26"/>
        </w:rPr>
        <w:t xml:space="preserve">Az ÁKK </w:t>
      </w:r>
      <w:proofErr w:type="spellStart"/>
      <w:r w:rsidRPr="00AC5A10">
        <w:rPr>
          <w:rFonts w:ascii="Times New Roman" w:hAnsi="Times New Roman" w:cs="Times New Roman"/>
          <w:sz w:val="26"/>
          <w:szCs w:val="26"/>
        </w:rPr>
        <w:t>Zrt</w:t>
      </w:r>
      <w:proofErr w:type="spellEnd"/>
      <w:r w:rsidRPr="00AC5A10">
        <w:rPr>
          <w:rFonts w:ascii="Times New Roman" w:hAnsi="Times New Roman" w:cs="Times New Roman"/>
          <w:sz w:val="26"/>
          <w:szCs w:val="26"/>
        </w:rPr>
        <w:t>. május hó folyamán összesen 108,7</w:t>
      </w:r>
      <w:r>
        <w:rPr>
          <w:rFonts w:ascii="Times New Roman" w:hAnsi="Times New Roman" w:cs="Times New Roman"/>
          <w:sz w:val="26"/>
          <w:szCs w:val="26"/>
        </w:rPr>
        <w:t> milliárd</w:t>
      </w:r>
      <w:r w:rsidRPr="00AC5A10">
        <w:rPr>
          <w:rFonts w:ascii="Times New Roman" w:hAnsi="Times New Roman" w:cs="Times New Roman"/>
          <w:sz w:val="26"/>
          <w:szCs w:val="26"/>
        </w:rPr>
        <w:t xml:space="preserve"> forint összegben vásárolt vissza lakossági állampapírokat a forgalmazó bankoktól.</w:t>
      </w:r>
    </w:p>
    <w:p w14:paraId="198CC882" w14:textId="336922F0" w:rsidR="007F3E8D" w:rsidRPr="00AC5A10" w:rsidRDefault="007F3E8D" w:rsidP="007F3E8D">
      <w:pPr>
        <w:spacing w:before="240"/>
        <w:ind w:right="23"/>
        <w:rPr>
          <w:szCs w:val="26"/>
        </w:rPr>
      </w:pPr>
      <w:r w:rsidRPr="00AC5A10">
        <w:rPr>
          <w:szCs w:val="26"/>
        </w:rPr>
        <w:t xml:space="preserve">A </w:t>
      </w:r>
      <w:r w:rsidRPr="00AC5A10">
        <w:rPr>
          <w:iCs/>
          <w:szCs w:val="26"/>
        </w:rPr>
        <w:t>külföldi befektetők állampapír</w:t>
      </w:r>
      <w:r w:rsidR="00D2635B">
        <w:rPr>
          <w:iCs/>
          <w:szCs w:val="26"/>
        </w:rPr>
        <w:t>-</w:t>
      </w:r>
      <w:r w:rsidRPr="00AC5A10">
        <w:rPr>
          <w:iCs/>
          <w:szCs w:val="26"/>
        </w:rPr>
        <w:t>állománya májusban</w:t>
      </w:r>
      <w:r w:rsidRPr="00AC5A10">
        <w:rPr>
          <w:szCs w:val="26"/>
        </w:rPr>
        <w:t xml:space="preserve"> 183,4</w:t>
      </w:r>
      <w:r>
        <w:rPr>
          <w:szCs w:val="26"/>
        </w:rPr>
        <w:t> milliárd</w:t>
      </w:r>
      <w:r w:rsidRPr="00AC5A10">
        <w:rPr>
          <w:szCs w:val="26"/>
        </w:rPr>
        <w:t xml:space="preserve"> forinttal csökkent az előző hónaphoz képest. A külföldi állomány 99,8%-</w:t>
      </w:r>
      <w:proofErr w:type="gramStart"/>
      <w:r w:rsidRPr="00AC5A10">
        <w:rPr>
          <w:szCs w:val="26"/>
        </w:rPr>
        <w:t>a</w:t>
      </w:r>
      <w:proofErr w:type="gramEnd"/>
      <w:r w:rsidRPr="00AC5A10">
        <w:rPr>
          <w:szCs w:val="26"/>
        </w:rPr>
        <w:t>, 4484,8</w:t>
      </w:r>
      <w:r>
        <w:rPr>
          <w:szCs w:val="26"/>
        </w:rPr>
        <w:t> milliárd</w:t>
      </w:r>
      <w:r w:rsidRPr="00AC5A10">
        <w:rPr>
          <w:szCs w:val="26"/>
        </w:rPr>
        <w:t xml:space="preserve"> forint államkötvény és 0,2%-a, 8,7</w:t>
      </w:r>
      <w:r>
        <w:rPr>
          <w:szCs w:val="26"/>
        </w:rPr>
        <w:t> milliárd</w:t>
      </w:r>
      <w:r w:rsidRPr="00AC5A10">
        <w:rPr>
          <w:szCs w:val="26"/>
        </w:rPr>
        <w:t xml:space="preserve"> forint diszkontkincstárjegy. A külföldi állomány átlagos hátralévő futamideje május végén 5,9 év volt, amely csökkent az előző hónap végéhez képest.</w:t>
      </w:r>
    </w:p>
    <w:p w14:paraId="35876082" w14:textId="433E4F2A" w:rsidR="00783FB5" w:rsidRPr="00E16729" w:rsidRDefault="007F3E8D" w:rsidP="007F3E8D">
      <w:pPr>
        <w:spacing w:before="120"/>
        <w:ind w:right="23"/>
        <w:rPr>
          <w:szCs w:val="26"/>
        </w:rPr>
      </w:pPr>
      <w:r w:rsidRPr="00AC5A10">
        <w:rPr>
          <w:szCs w:val="26"/>
        </w:rPr>
        <w:t xml:space="preserve">A deviza-államadósság kockázatainak csökkentése érdekében az ÁKK </w:t>
      </w:r>
      <w:proofErr w:type="spellStart"/>
      <w:r w:rsidRPr="00AC5A10">
        <w:rPr>
          <w:szCs w:val="26"/>
        </w:rPr>
        <w:t>Zrt</w:t>
      </w:r>
      <w:proofErr w:type="spellEnd"/>
      <w:r w:rsidRPr="00AC5A10">
        <w:rPr>
          <w:szCs w:val="26"/>
        </w:rPr>
        <w:t xml:space="preserve">. </w:t>
      </w:r>
      <w:proofErr w:type="spellStart"/>
      <w:r w:rsidRPr="00AC5A10">
        <w:rPr>
          <w:szCs w:val="26"/>
        </w:rPr>
        <w:t>swapműveleteket</w:t>
      </w:r>
      <w:proofErr w:type="spellEnd"/>
      <w:r w:rsidRPr="00AC5A10">
        <w:rPr>
          <w:szCs w:val="26"/>
        </w:rPr>
        <w:t xml:space="preserve"> köt, amiből az adósságállomány részét képezik az ezen ügyletek után az ÁKK </w:t>
      </w:r>
      <w:proofErr w:type="spellStart"/>
      <w:r w:rsidRPr="00AC5A10">
        <w:rPr>
          <w:szCs w:val="26"/>
        </w:rPr>
        <w:t>Zrt.-nél</w:t>
      </w:r>
      <w:proofErr w:type="spellEnd"/>
      <w:r w:rsidRPr="00AC5A10">
        <w:rPr>
          <w:szCs w:val="26"/>
        </w:rPr>
        <w:t xml:space="preserve"> elhelyezésre kerülő fedezeti összegek (az ún. </w:t>
      </w:r>
      <w:proofErr w:type="spellStart"/>
      <w:r w:rsidRPr="00AC5A10">
        <w:rPr>
          <w:szCs w:val="26"/>
        </w:rPr>
        <w:t>mark-to-market</w:t>
      </w:r>
      <w:proofErr w:type="spellEnd"/>
      <w:r w:rsidRPr="00AC5A10">
        <w:rPr>
          <w:szCs w:val="26"/>
        </w:rPr>
        <w:t xml:space="preserve"> betétek) az egyéb kötelezettségek soron. A dollárkötvény kibocsátásaink óta eltelt időszakban az egyéb devizák (főként az USD) jelentősen felértékelődtek az euróhoz képest, az emiatt keletkező többletadósságot viszont a </w:t>
      </w:r>
      <w:proofErr w:type="spellStart"/>
      <w:r w:rsidRPr="00AC5A10">
        <w:rPr>
          <w:szCs w:val="26"/>
        </w:rPr>
        <w:t>swapkötéssel</w:t>
      </w:r>
      <w:proofErr w:type="spellEnd"/>
      <w:r w:rsidRPr="00AC5A10">
        <w:rPr>
          <w:szCs w:val="26"/>
        </w:rPr>
        <w:t xml:space="preserve"> sikerült kizárni. A vizsgált időszakban az egyéb kötelezettségek állománya 20,3</w:t>
      </w:r>
      <w:r>
        <w:rPr>
          <w:szCs w:val="26"/>
        </w:rPr>
        <w:t> milliárd</w:t>
      </w:r>
      <w:r w:rsidRPr="00AC5A10">
        <w:rPr>
          <w:szCs w:val="26"/>
        </w:rPr>
        <w:t xml:space="preserve"> forinttal mérséklődött. Május végén az állomány 108,6</w:t>
      </w:r>
      <w:r>
        <w:rPr>
          <w:szCs w:val="26"/>
        </w:rPr>
        <w:t> milliárd</w:t>
      </w:r>
      <w:r w:rsidRPr="00AC5A10">
        <w:rPr>
          <w:szCs w:val="26"/>
        </w:rPr>
        <w:t xml:space="preserve"> forintot tett ki, ami a teljes államadósság 0,3%-</w:t>
      </w:r>
      <w:proofErr w:type="gramStart"/>
      <w:r w:rsidR="008B7872">
        <w:rPr>
          <w:szCs w:val="26"/>
        </w:rPr>
        <w:t>a</w:t>
      </w:r>
      <w:r w:rsidR="0FCC8A84">
        <w:t>.</w:t>
      </w:r>
      <w:proofErr w:type="gramEnd"/>
    </w:p>
    <w:sectPr w:rsidR="00783FB5" w:rsidRPr="00E16729" w:rsidSect="00730878">
      <w:footnotePr>
        <w:numRestart w:val="eachPage"/>
      </w:footnotePr>
      <w:pgSz w:w="11907" w:h="16840" w:code="9"/>
      <w:pgMar w:top="1134" w:right="1134" w:bottom="1418" w:left="1418" w:header="709" w:footer="283"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8EA19" w14:textId="77777777" w:rsidR="006875A7" w:rsidRDefault="006875A7">
      <w:r>
        <w:separator/>
      </w:r>
    </w:p>
  </w:endnote>
  <w:endnote w:type="continuationSeparator" w:id="0">
    <w:p w14:paraId="41E14F0B" w14:textId="77777777" w:rsidR="006875A7" w:rsidRDefault="006875A7">
      <w:r>
        <w:continuationSeparator/>
      </w:r>
    </w:p>
  </w:endnote>
  <w:endnote w:type="continuationNotice" w:id="1">
    <w:p w14:paraId="16FE1F01" w14:textId="77777777" w:rsidR="006875A7" w:rsidRDefault="006875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488387"/>
      <w:docPartObj>
        <w:docPartGallery w:val="Page Numbers (Bottom of Page)"/>
        <w:docPartUnique/>
      </w:docPartObj>
    </w:sdtPr>
    <w:sdtEndPr/>
    <w:sdtContent>
      <w:p w14:paraId="47A602DE" w14:textId="68ED254C" w:rsidR="006875A7" w:rsidRDefault="006875A7">
        <w:pPr>
          <w:pStyle w:val="llb"/>
          <w:jc w:val="center"/>
        </w:pPr>
        <w:r>
          <w:fldChar w:fldCharType="begin"/>
        </w:r>
        <w:r>
          <w:instrText>PAGE   \* MERGEFORMAT</w:instrText>
        </w:r>
        <w:r>
          <w:fldChar w:fldCharType="separate"/>
        </w:r>
        <w:r w:rsidR="00DE3C9F">
          <w:rPr>
            <w:noProof/>
          </w:rPr>
          <w:t>20</w:t>
        </w:r>
        <w:r>
          <w:fldChar w:fldCharType="end"/>
        </w:r>
      </w:p>
    </w:sdtContent>
  </w:sdt>
  <w:p w14:paraId="5D4F0473" w14:textId="77777777" w:rsidR="006875A7" w:rsidRPr="00B65D56" w:rsidRDefault="006875A7" w:rsidP="00B65D5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520635"/>
      <w:docPartObj>
        <w:docPartGallery w:val="Page Numbers (Bottom of Page)"/>
        <w:docPartUnique/>
      </w:docPartObj>
    </w:sdtPr>
    <w:sdtEndPr/>
    <w:sdtContent>
      <w:p w14:paraId="5FB57992" w14:textId="25467ADB" w:rsidR="006875A7" w:rsidRDefault="006875A7">
        <w:pPr>
          <w:pStyle w:val="llb"/>
          <w:jc w:val="center"/>
        </w:pPr>
        <w:r>
          <w:fldChar w:fldCharType="begin"/>
        </w:r>
        <w:r>
          <w:instrText>PAGE   \* MERGEFORMAT</w:instrText>
        </w:r>
        <w:r>
          <w:fldChar w:fldCharType="separate"/>
        </w:r>
        <w:r w:rsidR="00DE3C9F">
          <w:rPr>
            <w:noProof/>
          </w:rPr>
          <w:t>- 0 -</w:t>
        </w:r>
        <w:r>
          <w:fldChar w:fldCharType="end"/>
        </w:r>
      </w:p>
    </w:sdtContent>
  </w:sdt>
  <w:p w14:paraId="2F25FF07" w14:textId="77777777" w:rsidR="006875A7" w:rsidRDefault="006875A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BB839" w14:textId="77777777" w:rsidR="006875A7" w:rsidRDefault="006875A7">
      <w:r>
        <w:separator/>
      </w:r>
    </w:p>
  </w:footnote>
  <w:footnote w:type="continuationSeparator" w:id="0">
    <w:p w14:paraId="24D4A2E1" w14:textId="77777777" w:rsidR="006875A7" w:rsidRDefault="006875A7">
      <w:r>
        <w:continuationSeparator/>
      </w:r>
    </w:p>
  </w:footnote>
  <w:footnote w:type="continuationNotice" w:id="1">
    <w:p w14:paraId="26B9BA1D" w14:textId="77777777" w:rsidR="006875A7" w:rsidRDefault="006875A7">
      <w:pPr>
        <w:spacing w:after="0"/>
      </w:pPr>
    </w:p>
  </w:footnote>
  <w:footnote w:id="2">
    <w:p w14:paraId="5D4F0478" w14:textId="77777777" w:rsidR="006875A7" w:rsidRDefault="006875A7" w:rsidP="0FCC8A84">
      <w:pPr>
        <w:pStyle w:val="Lbjegyzetszveg"/>
        <w:ind w:hanging="142"/>
        <w:jc w:val="both"/>
        <w:rPr>
          <w:sz w:val="18"/>
          <w:szCs w:val="18"/>
        </w:rPr>
      </w:pPr>
      <w:r w:rsidRPr="2291142B">
        <w:rPr>
          <w:rStyle w:val="Lbjegyzet-hivatkozs"/>
          <w:sz w:val="18"/>
          <w:szCs w:val="18"/>
        </w:rPr>
        <w:t>*</w:t>
      </w:r>
      <w:r>
        <w:rPr>
          <w:sz w:val="18"/>
        </w:rPr>
        <w:tab/>
      </w:r>
      <w:r w:rsidRPr="2291142B">
        <w:rPr>
          <w:sz w:val="18"/>
          <w:szCs w:val="18"/>
        </w:rPr>
        <w:t>Az államháztartás központi alrendszerének havonkénti részletes adatai megtalálhatók a Magyar Államkincstár honlapján (http://www.allamkincstar.gov.hu).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CC22A" w14:textId="77777777" w:rsidR="006875A7" w:rsidRPr="00881044" w:rsidRDefault="006875A7" w:rsidP="00881044">
    <w:pPr>
      <w:pStyle w:val="lfej"/>
      <w:rPr>
        <w:rStyle w:val="Oldalsz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292FB" w14:textId="77777777" w:rsidR="006875A7" w:rsidRPr="00FE4DD1" w:rsidRDefault="006875A7" w:rsidP="00FE4DD1">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F0476" w14:textId="77777777" w:rsidR="006875A7" w:rsidRPr="00881044" w:rsidRDefault="006875A7" w:rsidP="00881044">
    <w:pPr>
      <w:pStyle w:val="lfej"/>
      <w:rPr>
        <w:rStyle w:val="Oldalszm"/>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F0477" w14:textId="77777777" w:rsidR="006875A7" w:rsidRPr="00FE4DD1" w:rsidRDefault="006875A7" w:rsidP="00FE4DD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298"/>
    <w:multiLevelType w:val="hybridMultilevel"/>
    <w:tmpl w:val="44CCC2AC"/>
    <w:lvl w:ilvl="0" w:tplc="08783BEC">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BA535F0"/>
    <w:multiLevelType w:val="hybridMultilevel"/>
    <w:tmpl w:val="078025E6"/>
    <w:lvl w:ilvl="0" w:tplc="8D9AF2B6">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E6876C3"/>
    <w:multiLevelType w:val="hybridMultilevel"/>
    <w:tmpl w:val="1760077C"/>
    <w:lvl w:ilvl="0" w:tplc="8CDC5FA0">
      <w:start w:val="20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F9E7043"/>
    <w:multiLevelType w:val="hybridMultilevel"/>
    <w:tmpl w:val="1498719C"/>
    <w:lvl w:ilvl="0" w:tplc="0C4C157A">
      <w:start w:val="1"/>
      <w:numFmt w:val="decimal"/>
      <w:lvlText w:val="%1."/>
      <w:lvlJc w:val="left"/>
      <w:pPr>
        <w:ind w:left="720" w:hanging="360"/>
      </w:pPr>
      <w:rPr>
        <w:rFonts w:ascii="Times New Roman" w:hAnsi="Times New Roman" w:hint="default"/>
        <w:b w:val="0"/>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66A2F41"/>
    <w:multiLevelType w:val="hybridMultilevel"/>
    <w:tmpl w:val="1D885B00"/>
    <w:lvl w:ilvl="0" w:tplc="040E000F">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6EA776E"/>
    <w:multiLevelType w:val="hybridMultilevel"/>
    <w:tmpl w:val="F278880E"/>
    <w:lvl w:ilvl="0" w:tplc="8D9AF2B6">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E875348"/>
    <w:multiLevelType w:val="hybridMultilevel"/>
    <w:tmpl w:val="4C7C8330"/>
    <w:lvl w:ilvl="0" w:tplc="EEE8FA84">
      <w:start w:val="1"/>
      <w:numFmt w:val="upperRoman"/>
      <w:pStyle w:val="Kpalrs"/>
      <w:lvlText w:val="%1."/>
      <w:lvlJc w:val="left"/>
      <w:pPr>
        <w:tabs>
          <w:tab w:val="num" w:pos="1080"/>
        </w:tabs>
        <w:ind w:left="1080" w:hanging="720"/>
      </w:pPr>
      <w:rPr>
        <w:rFonts w:hint="default"/>
        <w:u w:val="none"/>
      </w:rPr>
    </w:lvl>
    <w:lvl w:ilvl="1" w:tplc="4F781A04">
      <w:start w:val="1"/>
      <w:numFmt w:val="decimal"/>
      <w:lvlText w:val="%2."/>
      <w:lvlJc w:val="left"/>
      <w:pPr>
        <w:tabs>
          <w:tab w:val="num" w:pos="1440"/>
        </w:tabs>
        <w:ind w:left="1440" w:hanging="360"/>
      </w:pPr>
      <w:rPr>
        <w:rFonts w:hint="default"/>
        <w:u w:val="none"/>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5573523A"/>
    <w:multiLevelType w:val="hybridMultilevel"/>
    <w:tmpl w:val="92D45DA0"/>
    <w:lvl w:ilvl="0" w:tplc="5E42905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E7C7F0F"/>
    <w:multiLevelType w:val="hybridMultilevel"/>
    <w:tmpl w:val="710EC9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FD006B9"/>
    <w:multiLevelType w:val="hybridMultilevel"/>
    <w:tmpl w:val="50901804"/>
    <w:lvl w:ilvl="0" w:tplc="040E000F">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2F47659"/>
    <w:multiLevelType w:val="hybridMultilevel"/>
    <w:tmpl w:val="C60A11E4"/>
    <w:lvl w:ilvl="0" w:tplc="D9649056">
      <w:start w:val="20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FA549BC"/>
    <w:multiLevelType w:val="hybridMultilevel"/>
    <w:tmpl w:val="DD082DA0"/>
    <w:lvl w:ilvl="0" w:tplc="040E0001">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CCE33D1"/>
    <w:multiLevelType w:val="hybridMultilevel"/>
    <w:tmpl w:val="D4381014"/>
    <w:lvl w:ilvl="0" w:tplc="B60223D4">
      <w:start w:val="2016"/>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4"/>
  </w:num>
  <w:num w:numId="6">
    <w:abstractNumId w:val="8"/>
  </w:num>
  <w:num w:numId="7">
    <w:abstractNumId w:val="7"/>
  </w:num>
  <w:num w:numId="8">
    <w:abstractNumId w:val="0"/>
  </w:num>
  <w:num w:numId="9">
    <w:abstractNumId w:val="10"/>
  </w:num>
  <w:num w:numId="10">
    <w:abstractNumId w:val="12"/>
  </w:num>
  <w:num w:numId="11">
    <w:abstractNumId w:val="2"/>
  </w:num>
  <w:num w:numId="12">
    <w:abstractNumId w:val="9"/>
  </w:num>
  <w:num w:numId="1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hu-HU" w:vendorID="7" w:dllVersion="513" w:checkStyle="0"/>
  <w:activeWritingStyle w:appName="MSWord" w:lang="hu-HU" w:vendorID="7" w:dllVersion="52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30"/>
  <w:drawingGridVerticalSpacing w:val="120"/>
  <w:displayHorizontalDrawingGridEvery w:val="2"/>
  <w:displayVerticalDrawingGridEvery w:val="0"/>
  <w:noPunctuationKerning/>
  <w:characterSpacingControl w:val="doNotCompress"/>
  <w:hdrShapeDefaults>
    <o:shapedefaults v:ext="edit" spidmax="159745"/>
  </w:hdrShapeDefaults>
  <w:footnotePr>
    <w:numRestart w:val="eachPage"/>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F9A"/>
    <w:rsid w:val="00000262"/>
    <w:rsid w:val="0000053E"/>
    <w:rsid w:val="00000779"/>
    <w:rsid w:val="000007F2"/>
    <w:rsid w:val="00000892"/>
    <w:rsid w:val="00000BD9"/>
    <w:rsid w:val="00000C40"/>
    <w:rsid w:val="00000C70"/>
    <w:rsid w:val="00000FA7"/>
    <w:rsid w:val="0000167C"/>
    <w:rsid w:val="00001A1C"/>
    <w:rsid w:val="00001A2F"/>
    <w:rsid w:val="000021BC"/>
    <w:rsid w:val="000024F5"/>
    <w:rsid w:val="00002D44"/>
    <w:rsid w:val="00002EBA"/>
    <w:rsid w:val="00002F1F"/>
    <w:rsid w:val="00002F32"/>
    <w:rsid w:val="0000319C"/>
    <w:rsid w:val="000031E7"/>
    <w:rsid w:val="0000346F"/>
    <w:rsid w:val="0000366C"/>
    <w:rsid w:val="00003860"/>
    <w:rsid w:val="000039C4"/>
    <w:rsid w:val="00003A0A"/>
    <w:rsid w:val="00003AB5"/>
    <w:rsid w:val="00003BDF"/>
    <w:rsid w:val="00003D71"/>
    <w:rsid w:val="00003DAA"/>
    <w:rsid w:val="00003E72"/>
    <w:rsid w:val="000040A1"/>
    <w:rsid w:val="000041CC"/>
    <w:rsid w:val="0000447C"/>
    <w:rsid w:val="00004A2B"/>
    <w:rsid w:val="00004B11"/>
    <w:rsid w:val="00004C60"/>
    <w:rsid w:val="000050A4"/>
    <w:rsid w:val="00005414"/>
    <w:rsid w:val="00005653"/>
    <w:rsid w:val="00006BEB"/>
    <w:rsid w:val="00006E83"/>
    <w:rsid w:val="00007429"/>
    <w:rsid w:val="0000786D"/>
    <w:rsid w:val="00007C32"/>
    <w:rsid w:val="00010472"/>
    <w:rsid w:val="00010851"/>
    <w:rsid w:val="00010E9B"/>
    <w:rsid w:val="00010EF9"/>
    <w:rsid w:val="00010FD3"/>
    <w:rsid w:val="00010FED"/>
    <w:rsid w:val="000111EE"/>
    <w:rsid w:val="000115A7"/>
    <w:rsid w:val="00011735"/>
    <w:rsid w:val="000118A8"/>
    <w:rsid w:val="00011A1C"/>
    <w:rsid w:val="00011AEC"/>
    <w:rsid w:val="00011CA1"/>
    <w:rsid w:val="000122E0"/>
    <w:rsid w:val="00012954"/>
    <w:rsid w:val="00012962"/>
    <w:rsid w:val="00012FB0"/>
    <w:rsid w:val="00012FE4"/>
    <w:rsid w:val="00013057"/>
    <w:rsid w:val="000133DD"/>
    <w:rsid w:val="000134F5"/>
    <w:rsid w:val="00013907"/>
    <w:rsid w:val="00013A33"/>
    <w:rsid w:val="00013CD2"/>
    <w:rsid w:val="000140C0"/>
    <w:rsid w:val="00014401"/>
    <w:rsid w:val="000146D8"/>
    <w:rsid w:val="000148D6"/>
    <w:rsid w:val="00014A69"/>
    <w:rsid w:val="00014D97"/>
    <w:rsid w:val="000150A0"/>
    <w:rsid w:val="00015137"/>
    <w:rsid w:val="000158B9"/>
    <w:rsid w:val="000159D2"/>
    <w:rsid w:val="00015C76"/>
    <w:rsid w:val="000162DD"/>
    <w:rsid w:val="00016501"/>
    <w:rsid w:val="000171BE"/>
    <w:rsid w:val="0001738B"/>
    <w:rsid w:val="000173CF"/>
    <w:rsid w:val="00017505"/>
    <w:rsid w:val="000176FF"/>
    <w:rsid w:val="00017AB9"/>
    <w:rsid w:val="00017D30"/>
    <w:rsid w:val="00017D97"/>
    <w:rsid w:val="0002048B"/>
    <w:rsid w:val="00020553"/>
    <w:rsid w:val="0002080A"/>
    <w:rsid w:val="000208DE"/>
    <w:rsid w:val="0002092A"/>
    <w:rsid w:val="000209F2"/>
    <w:rsid w:val="00021491"/>
    <w:rsid w:val="00021768"/>
    <w:rsid w:val="00021A79"/>
    <w:rsid w:val="00022190"/>
    <w:rsid w:val="0002269C"/>
    <w:rsid w:val="0002286F"/>
    <w:rsid w:val="000228D4"/>
    <w:rsid w:val="00022BAE"/>
    <w:rsid w:val="00022C6B"/>
    <w:rsid w:val="00022FBD"/>
    <w:rsid w:val="000230A1"/>
    <w:rsid w:val="0002313D"/>
    <w:rsid w:val="00023277"/>
    <w:rsid w:val="00023497"/>
    <w:rsid w:val="00023517"/>
    <w:rsid w:val="000235DE"/>
    <w:rsid w:val="00023977"/>
    <w:rsid w:val="00023B1E"/>
    <w:rsid w:val="00023D4A"/>
    <w:rsid w:val="000244AA"/>
    <w:rsid w:val="000249CF"/>
    <w:rsid w:val="00024A56"/>
    <w:rsid w:val="00024D6D"/>
    <w:rsid w:val="00024F61"/>
    <w:rsid w:val="00025088"/>
    <w:rsid w:val="0002532C"/>
    <w:rsid w:val="0002542B"/>
    <w:rsid w:val="00025486"/>
    <w:rsid w:val="00025629"/>
    <w:rsid w:val="00025BA3"/>
    <w:rsid w:val="00025C6B"/>
    <w:rsid w:val="00025EAC"/>
    <w:rsid w:val="0002604D"/>
    <w:rsid w:val="00026280"/>
    <w:rsid w:val="000264E2"/>
    <w:rsid w:val="000266DF"/>
    <w:rsid w:val="00026701"/>
    <w:rsid w:val="00026718"/>
    <w:rsid w:val="000267A2"/>
    <w:rsid w:val="000268B5"/>
    <w:rsid w:val="00026C3E"/>
    <w:rsid w:val="00026CF8"/>
    <w:rsid w:val="00026D90"/>
    <w:rsid w:val="00027046"/>
    <w:rsid w:val="0002735F"/>
    <w:rsid w:val="00027464"/>
    <w:rsid w:val="000274E3"/>
    <w:rsid w:val="000278D7"/>
    <w:rsid w:val="000301B5"/>
    <w:rsid w:val="000302F7"/>
    <w:rsid w:val="0003042E"/>
    <w:rsid w:val="00031079"/>
    <w:rsid w:val="00031114"/>
    <w:rsid w:val="00031212"/>
    <w:rsid w:val="00031A7F"/>
    <w:rsid w:val="00031EE0"/>
    <w:rsid w:val="00032036"/>
    <w:rsid w:val="0003206C"/>
    <w:rsid w:val="0003279A"/>
    <w:rsid w:val="000327EC"/>
    <w:rsid w:val="00032981"/>
    <w:rsid w:val="000329B0"/>
    <w:rsid w:val="000329C3"/>
    <w:rsid w:val="00032B54"/>
    <w:rsid w:val="00032F08"/>
    <w:rsid w:val="000336BA"/>
    <w:rsid w:val="00033817"/>
    <w:rsid w:val="00033B0A"/>
    <w:rsid w:val="000341D4"/>
    <w:rsid w:val="00034A1C"/>
    <w:rsid w:val="00034E9F"/>
    <w:rsid w:val="0003506A"/>
    <w:rsid w:val="000356B8"/>
    <w:rsid w:val="00035846"/>
    <w:rsid w:val="000359D1"/>
    <w:rsid w:val="00035B72"/>
    <w:rsid w:val="00035DFD"/>
    <w:rsid w:val="00035E6C"/>
    <w:rsid w:val="00035FC8"/>
    <w:rsid w:val="00036A80"/>
    <w:rsid w:val="00036B13"/>
    <w:rsid w:val="00036CEF"/>
    <w:rsid w:val="00036DC4"/>
    <w:rsid w:val="000371AA"/>
    <w:rsid w:val="0003742C"/>
    <w:rsid w:val="000374B0"/>
    <w:rsid w:val="000374D9"/>
    <w:rsid w:val="000375DB"/>
    <w:rsid w:val="0003779F"/>
    <w:rsid w:val="00037A25"/>
    <w:rsid w:val="00037DE9"/>
    <w:rsid w:val="00037E5D"/>
    <w:rsid w:val="00040071"/>
    <w:rsid w:val="00040819"/>
    <w:rsid w:val="00040D56"/>
    <w:rsid w:val="000411F7"/>
    <w:rsid w:val="00041242"/>
    <w:rsid w:val="00041265"/>
    <w:rsid w:val="00041496"/>
    <w:rsid w:val="000415D6"/>
    <w:rsid w:val="00041712"/>
    <w:rsid w:val="00041DA5"/>
    <w:rsid w:val="00041E51"/>
    <w:rsid w:val="00041F52"/>
    <w:rsid w:val="000424F9"/>
    <w:rsid w:val="0004255E"/>
    <w:rsid w:val="00042AAC"/>
    <w:rsid w:val="00042E08"/>
    <w:rsid w:val="00042F3F"/>
    <w:rsid w:val="0004309A"/>
    <w:rsid w:val="0004312B"/>
    <w:rsid w:val="000433B5"/>
    <w:rsid w:val="00043F64"/>
    <w:rsid w:val="000443E6"/>
    <w:rsid w:val="000444EE"/>
    <w:rsid w:val="0004453C"/>
    <w:rsid w:val="0004489D"/>
    <w:rsid w:val="00044996"/>
    <w:rsid w:val="00044B91"/>
    <w:rsid w:val="00044E9F"/>
    <w:rsid w:val="000450BB"/>
    <w:rsid w:val="00045390"/>
    <w:rsid w:val="0004560C"/>
    <w:rsid w:val="000459B0"/>
    <w:rsid w:val="00045EDE"/>
    <w:rsid w:val="00046118"/>
    <w:rsid w:val="00046204"/>
    <w:rsid w:val="00046229"/>
    <w:rsid w:val="0004639A"/>
    <w:rsid w:val="000463F7"/>
    <w:rsid w:val="000464B0"/>
    <w:rsid w:val="000464EB"/>
    <w:rsid w:val="00046834"/>
    <w:rsid w:val="000468C4"/>
    <w:rsid w:val="000468D4"/>
    <w:rsid w:val="00046908"/>
    <w:rsid w:val="00046D1C"/>
    <w:rsid w:val="0004748D"/>
    <w:rsid w:val="0004754D"/>
    <w:rsid w:val="0004788F"/>
    <w:rsid w:val="000478D9"/>
    <w:rsid w:val="00047986"/>
    <w:rsid w:val="00047A20"/>
    <w:rsid w:val="00050055"/>
    <w:rsid w:val="00050561"/>
    <w:rsid w:val="00050A93"/>
    <w:rsid w:val="00050BE9"/>
    <w:rsid w:val="00050C3F"/>
    <w:rsid w:val="00050CE4"/>
    <w:rsid w:val="00050E7F"/>
    <w:rsid w:val="000513D6"/>
    <w:rsid w:val="00051653"/>
    <w:rsid w:val="00051D83"/>
    <w:rsid w:val="00051E51"/>
    <w:rsid w:val="00051F8F"/>
    <w:rsid w:val="000521E9"/>
    <w:rsid w:val="00052378"/>
    <w:rsid w:val="0005257C"/>
    <w:rsid w:val="00052889"/>
    <w:rsid w:val="0005295B"/>
    <w:rsid w:val="00052C8F"/>
    <w:rsid w:val="00052DE7"/>
    <w:rsid w:val="00052E9D"/>
    <w:rsid w:val="00052F73"/>
    <w:rsid w:val="00053202"/>
    <w:rsid w:val="00053627"/>
    <w:rsid w:val="00053733"/>
    <w:rsid w:val="000538D8"/>
    <w:rsid w:val="00053930"/>
    <w:rsid w:val="00053BEC"/>
    <w:rsid w:val="00053CEC"/>
    <w:rsid w:val="0005407D"/>
    <w:rsid w:val="000540CA"/>
    <w:rsid w:val="000540E7"/>
    <w:rsid w:val="00054213"/>
    <w:rsid w:val="0005467E"/>
    <w:rsid w:val="00054697"/>
    <w:rsid w:val="00054721"/>
    <w:rsid w:val="000547CF"/>
    <w:rsid w:val="0005486C"/>
    <w:rsid w:val="00054FE3"/>
    <w:rsid w:val="00055097"/>
    <w:rsid w:val="000551F1"/>
    <w:rsid w:val="000552D1"/>
    <w:rsid w:val="000556FC"/>
    <w:rsid w:val="000557AC"/>
    <w:rsid w:val="00055A48"/>
    <w:rsid w:val="00055D3F"/>
    <w:rsid w:val="00056922"/>
    <w:rsid w:val="00056BC3"/>
    <w:rsid w:val="00056FDD"/>
    <w:rsid w:val="00057672"/>
    <w:rsid w:val="0005769C"/>
    <w:rsid w:val="000577AA"/>
    <w:rsid w:val="00057912"/>
    <w:rsid w:val="00057F9F"/>
    <w:rsid w:val="0006001E"/>
    <w:rsid w:val="00060784"/>
    <w:rsid w:val="00060826"/>
    <w:rsid w:val="00060844"/>
    <w:rsid w:val="00060866"/>
    <w:rsid w:val="00060AF3"/>
    <w:rsid w:val="00060D40"/>
    <w:rsid w:val="00060E00"/>
    <w:rsid w:val="000610CB"/>
    <w:rsid w:val="000612EA"/>
    <w:rsid w:val="00061530"/>
    <w:rsid w:val="00061C42"/>
    <w:rsid w:val="00061DFB"/>
    <w:rsid w:val="00061E39"/>
    <w:rsid w:val="000621F4"/>
    <w:rsid w:val="000622F9"/>
    <w:rsid w:val="00062332"/>
    <w:rsid w:val="000625BF"/>
    <w:rsid w:val="00062A7C"/>
    <w:rsid w:val="00062F01"/>
    <w:rsid w:val="0006326A"/>
    <w:rsid w:val="00063356"/>
    <w:rsid w:val="0006342C"/>
    <w:rsid w:val="000636B7"/>
    <w:rsid w:val="00063730"/>
    <w:rsid w:val="0006386C"/>
    <w:rsid w:val="000639D7"/>
    <w:rsid w:val="00063B10"/>
    <w:rsid w:val="00063BB3"/>
    <w:rsid w:val="00063D43"/>
    <w:rsid w:val="000640FE"/>
    <w:rsid w:val="0006470B"/>
    <w:rsid w:val="0006483D"/>
    <w:rsid w:val="00064A55"/>
    <w:rsid w:val="00064E97"/>
    <w:rsid w:val="00065234"/>
    <w:rsid w:val="000652D1"/>
    <w:rsid w:val="00065767"/>
    <w:rsid w:val="00065AAD"/>
    <w:rsid w:val="00065B27"/>
    <w:rsid w:val="00065B4D"/>
    <w:rsid w:val="00065C49"/>
    <w:rsid w:val="00065CEB"/>
    <w:rsid w:val="0006642A"/>
    <w:rsid w:val="0006644F"/>
    <w:rsid w:val="0006662A"/>
    <w:rsid w:val="00066A73"/>
    <w:rsid w:val="00066F74"/>
    <w:rsid w:val="000676EC"/>
    <w:rsid w:val="0006777F"/>
    <w:rsid w:val="00067BCE"/>
    <w:rsid w:val="00067C20"/>
    <w:rsid w:val="000702D0"/>
    <w:rsid w:val="00070362"/>
    <w:rsid w:val="000704E9"/>
    <w:rsid w:val="00071166"/>
    <w:rsid w:val="000712BF"/>
    <w:rsid w:val="0007134D"/>
    <w:rsid w:val="00071668"/>
    <w:rsid w:val="00071860"/>
    <w:rsid w:val="00071BE9"/>
    <w:rsid w:val="000720C3"/>
    <w:rsid w:val="0007223D"/>
    <w:rsid w:val="00072FC7"/>
    <w:rsid w:val="00073031"/>
    <w:rsid w:val="00073170"/>
    <w:rsid w:val="00073450"/>
    <w:rsid w:val="000736A3"/>
    <w:rsid w:val="000738A3"/>
    <w:rsid w:val="00073991"/>
    <w:rsid w:val="00073A61"/>
    <w:rsid w:val="00073D4B"/>
    <w:rsid w:val="00073EB1"/>
    <w:rsid w:val="00074329"/>
    <w:rsid w:val="00074544"/>
    <w:rsid w:val="0007454D"/>
    <w:rsid w:val="00074742"/>
    <w:rsid w:val="00074C6F"/>
    <w:rsid w:val="00074D2D"/>
    <w:rsid w:val="0007523F"/>
    <w:rsid w:val="000754B7"/>
    <w:rsid w:val="000756AB"/>
    <w:rsid w:val="00075A68"/>
    <w:rsid w:val="00075B4B"/>
    <w:rsid w:val="00075EA6"/>
    <w:rsid w:val="00075FCE"/>
    <w:rsid w:val="00076374"/>
    <w:rsid w:val="00076937"/>
    <w:rsid w:val="00076F7E"/>
    <w:rsid w:val="00076FC7"/>
    <w:rsid w:val="0007709B"/>
    <w:rsid w:val="000772FD"/>
    <w:rsid w:val="0007731E"/>
    <w:rsid w:val="000774D1"/>
    <w:rsid w:val="000806E9"/>
    <w:rsid w:val="00080A8A"/>
    <w:rsid w:val="00080BF9"/>
    <w:rsid w:val="00080C35"/>
    <w:rsid w:val="00080E92"/>
    <w:rsid w:val="0008118D"/>
    <w:rsid w:val="0008129E"/>
    <w:rsid w:val="0008147F"/>
    <w:rsid w:val="000818EC"/>
    <w:rsid w:val="00081900"/>
    <w:rsid w:val="00081A82"/>
    <w:rsid w:val="00081FB2"/>
    <w:rsid w:val="00082010"/>
    <w:rsid w:val="0008235E"/>
    <w:rsid w:val="0008236A"/>
    <w:rsid w:val="0008240A"/>
    <w:rsid w:val="000827C1"/>
    <w:rsid w:val="000828B9"/>
    <w:rsid w:val="00082A5E"/>
    <w:rsid w:val="00083625"/>
    <w:rsid w:val="00083647"/>
    <w:rsid w:val="00083873"/>
    <w:rsid w:val="000838E8"/>
    <w:rsid w:val="00083928"/>
    <w:rsid w:val="000839C4"/>
    <w:rsid w:val="00083D48"/>
    <w:rsid w:val="00083DB7"/>
    <w:rsid w:val="000841DC"/>
    <w:rsid w:val="0008442C"/>
    <w:rsid w:val="000846B0"/>
    <w:rsid w:val="00084ACD"/>
    <w:rsid w:val="00084C35"/>
    <w:rsid w:val="00084E94"/>
    <w:rsid w:val="00084F8F"/>
    <w:rsid w:val="0008512A"/>
    <w:rsid w:val="00085183"/>
    <w:rsid w:val="000851FF"/>
    <w:rsid w:val="00086040"/>
    <w:rsid w:val="0008659E"/>
    <w:rsid w:val="000865F4"/>
    <w:rsid w:val="00086785"/>
    <w:rsid w:val="00086830"/>
    <w:rsid w:val="00086F21"/>
    <w:rsid w:val="00086F64"/>
    <w:rsid w:val="00087150"/>
    <w:rsid w:val="00087423"/>
    <w:rsid w:val="00087444"/>
    <w:rsid w:val="000875CA"/>
    <w:rsid w:val="000876A5"/>
    <w:rsid w:val="00087987"/>
    <w:rsid w:val="00087CD3"/>
    <w:rsid w:val="00087DB4"/>
    <w:rsid w:val="0009025B"/>
    <w:rsid w:val="00090271"/>
    <w:rsid w:val="0009055D"/>
    <w:rsid w:val="0009067F"/>
    <w:rsid w:val="000908E7"/>
    <w:rsid w:val="00090AB4"/>
    <w:rsid w:val="00090C97"/>
    <w:rsid w:val="00090CE7"/>
    <w:rsid w:val="00091084"/>
    <w:rsid w:val="0009121C"/>
    <w:rsid w:val="000912AA"/>
    <w:rsid w:val="00091774"/>
    <w:rsid w:val="00091B8D"/>
    <w:rsid w:val="00091B97"/>
    <w:rsid w:val="00091C45"/>
    <w:rsid w:val="00091E96"/>
    <w:rsid w:val="0009222C"/>
    <w:rsid w:val="0009228A"/>
    <w:rsid w:val="00092529"/>
    <w:rsid w:val="00092834"/>
    <w:rsid w:val="00092B62"/>
    <w:rsid w:val="0009307E"/>
    <w:rsid w:val="00093352"/>
    <w:rsid w:val="00093382"/>
    <w:rsid w:val="000933D7"/>
    <w:rsid w:val="0009352F"/>
    <w:rsid w:val="00093854"/>
    <w:rsid w:val="000938C6"/>
    <w:rsid w:val="00093B1E"/>
    <w:rsid w:val="00093BA4"/>
    <w:rsid w:val="00093CEC"/>
    <w:rsid w:val="00093D38"/>
    <w:rsid w:val="00094808"/>
    <w:rsid w:val="00094843"/>
    <w:rsid w:val="000950E4"/>
    <w:rsid w:val="00095E87"/>
    <w:rsid w:val="000961B9"/>
    <w:rsid w:val="00096B6E"/>
    <w:rsid w:val="00096BD2"/>
    <w:rsid w:val="00096D11"/>
    <w:rsid w:val="00096FF2"/>
    <w:rsid w:val="0009729E"/>
    <w:rsid w:val="00097EC8"/>
    <w:rsid w:val="00097ED1"/>
    <w:rsid w:val="000A0825"/>
    <w:rsid w:val="000A0852"/>
    <w:rsid w:val="000A0935"/>
    <w:rsid w:val="000A0A12"/>
    <w:rsid w:val="000A0A38"/>
    <w:rsid w:val="000A0E01"/>
    <w:rsid w:val="000A10BA"/>
    <w:rsid w:val="000A10BD"/>
    <w:rsid w:val="000A1E01"/>
    <w:rsid w:val="000A1EE8"/>
    <w:rsid w:val="000A1FC2"/>
    <w:rsid w:val="000A209E"/>
    <w:rsid w:val="000A271A"/>
    <w:rsid w:val="000A2F0B"/>
    <w:rsid w:val="000A30EA"/>
    <w:rsid w:val="000A3113"/>
    <w:rsid w:val="000A3214"/>
    <w:rsid w:val="000A3327"/>
    <w:rsid w:val="000A38EF"/>
    <w:rsid w:val="000A3BEE"/>
    <w:rsid w:val="000A3E99"/>
    <w:rsid w:val="000A41AF"/>
    <w:rsid w:val="000A42B7"/>
    <w:rsid w:val="000A45CB"/>
    <w:rsid w:val="000A4F88"/>
    <w:rsid w:val="000A55BD"/>
    <w:rsid w:val="000A5E92"/>
    <w:rsid w:val="000A64D5"/>
    <w:rsid w:val="000A683F"/>
    <w:rsid w:val="000A6F73"/>
    <w:rsid w:val="000A741E"/>
    <w:rsid w:val="000A74A9"/>
    <w:rsid w:val="000A7E87"/>
    <w:rsid w:val="000B0157"/>
    <w:rsid w:val="000B0206"/>
    <w:rsid w:val="000B068E"/>
    <w:rsid w:val="000B0A30"/>
    <w:rsid w:val="000B0CF3"/>
    <w:rsid w:val="000B0E2B"/>
    <w:rsid w:val="000B0FC9"/>
    <w:rsid w:val="000B1186"/>
    <w:rsid w:val="000B11F1"/>
    <w:rsid w:val="000B13EA"/>
    <w:rsid w:val="000B15CB"/>
    <w:rsid w:val="000B18F1"/>
    <w:rsid w:val="000B1EEB"/>
    <w:rsid w:val="000B2692"/>
    <w:rsid w:val="000B2ED2"/>
    <w:rsid w:val="000B379C"/>
    <w:rsid w:val="000B3C1C"/>
    <w:rsid w:val="000B3DC8"/>
    <w:rsid w:val="000B3EC9"/>
    <w:rsid w:val="000B427F"/>
    <w:rsid w:val="000B459B"/>
    <w:rsid w:val="000B4653"/>
    <w:rsid w:val="000B4A7E"/>
    <w:rsid w:val="000B594E"/>
    <w:rsid w:val="000B5BB2"/>
    <w:rsid w:val="000B615B"/>
    <w:rsid w:val="000B65B0"/>
    <w:rsid w:val="000B66DA"/>
    <w:rsid w:val="000B6A3F"/>
    <w:rsid w:val="000B6AC4"/>
    <w:rsid w:val="000B6C0E"/>
    <w:rsid w:val="000B6C94"/>
    <w:rsid w:val="000B6ECD"/>
    <w:rsid w:val="000B6FDC"/>
    <w:rsid w:val="000B72A3"/>
    <w:rsid w:val="000B74D4"/>
    <w:rsid w:val="000B76B7"/>
    <w:rsid w:val="000B7925"/>
    <w:rsid w:val="000B79EC"/>
    <w:rsid w:val="000B7D3E"/>
    <w:rsid w:val="000C0263"/>
    <w:rsid w:val="000C037A"/>
    <w:rsid w:val="000C040F"/>
    <w:rsid w:val="000C0E4E"/>
    <w:rsid w:val="000C10AD"/>
    <w:rsid w:val="000C1110"/>
    <w:rsid w:val="000C11C6"/>
    <w:rsid w:val="000C17B1"/>
    <w:rsid w:val="000C18B6"/>
    <w:rsid w:val="000C22FD"/>
    <w:rsid w:val="000C23BC"/>
    <w:rsid w:val="000C243D"/>
    <w:rsid w:val="000C2553"/>
    <w:rsid w:val="000C25CA"/>
    <w:rsid w:val="000C2C75"/>
    <w:rsid w:val="000C3448"/>
    <w:rsid w:val="000C398C"/>
    <w:rsid w:val="000C3A8C"/>
    <w:rsid w:val="000C3DA0"/>
    <w:rsid w:val="000C3E03"/>
    <w:rsid w:val="000C3E3E"/>
    <w:rsid w:val="000C41ED"/>
    <w:rsid w:val="000C45BE"/>
    <w:rsid w:val="000C463E"/>
    <w:rsid w:val="000C4664"/>
    <w:rsid w:val="000C4867"/>
    <w:rsid w:val="000C508F"/>
    <w:rsid w:val="000C5241"/>
    <w:rsid w:val="000C549B"/>
    <w:rsid w:val="000C5604"/>
    <w:rsid w:val="000C56CA"/>
    <w:rsid w:val="000C58F6"/>
    <w:rsid w:val="000C5968"/>
    <w:rsid w:val="000C5B66"/>
    <w:rsid w:val="000C6061"/>
    <w:rsid w:val="000C624F"/>
    <w:rsid w:val="000C6929"/>
    <w:rsid w:val="000C6BCD"/>
    <w:rsid w:val="000C6BD0"/>
    <w:rsid w:val="000C6FB4"/>
    <w:rsid w:val="000C733A"/>
    <w:rsid w:val="000C7391"/>
    <w:rsid w:val="000C73AD"/>
    <w:rsid w:val="000C7453"/>
    <w:rsid w:val="000C75BD"/>
    <w:rsid w:val="000C76A6"/>
    <w:rsid w:val="000C794C"/>
    <w:rsid w:val="000C7B8F"/>
    <w:rsid w:val="000D0012"/>
    <w:rsid w:val="000D02C7"/>
    <w:rsid w:val="000D0735"/>
    <w:rsid w:val="000D07ED"/>
    <w:rsid w:val="000D0B9E"/>
    <w:rsid w:val="000D0BC6"/>
    <w:rsid w:val="000D0CCF"/>
    <w:rsid w:val="000D0EC8"/>
    <w:rsid w:val="000D1080"/>
    <w:rsid w:val="000D143E"/>
    <w:rsid w:val="000D1AEC"/>
    <w:rsid w:val="000D20D0"/>
    <w:rsid w:val="000D2162"/>
    <w:rsid w:val="000D2222"/>
    <w:rsid w:val="000D22A1"/>
    <w:rsid w:val="000D22DD"/>
    <w:rsid w:val="000D2A91"/>
    <w:rsid w:val="000D2ACD"/>
    <w:rsid w:val="000D2BFD"/>
    <w:rsid w:val="000D3AF7"/>
    <w:rsid w:val="000D3CDF"/>
    <w:rsid w:val="000D3EB0"/>
    <w:rsid w:val="000D3F95"/>
    <w:rsid w:val="000D46AE"/>
    <w:rsid w:val="000D4AA9"/>
    <w:rsid w:val="000D4BD6"/>
    <w:rsid w:val="000D4EF1"/>
    <w:rsid w:val="000D51E1"/>
    <w:rsid w:val="000D542F"/>
    <w:rsid w:val="000D54C4"/>
    <w:rsid w:val="000D577A"/>
    <w:rsid w:val="000D5CCD"/>
    <w:rsid w:val="000D5D99"/>
    <w:rsid w:val="000D6810"/>
    <w:rsid w:val="000D6C76"/>
    <w:rsid w:val="000D6E2E"/>
    <w:rsid w:val="000D6E87"/>
    <w:rsid w:val="000D6FE6"/>
    <w:rsid w:val="000D75C1"/>
    <w:rsid w:val="000D79F5"/>
    <w:rsid w:val="000D7C17"/>
    <w:rsid w:val="000D7D3C"/>
    <w:rsid w:val="000E0020"/>
    <w:rsid w:val="000E05E5"/>
    <w:rsid w:val="000E07AE"/>
    <w:rsid w:val="000E0B80"/>
    <w:rsid w:val="000E0F46"/>
    <w:rsid w:val="000E108E"/>
    <w:rsid w:val="000E12F9"/>
    <w:rsid w:val="000E1AFF"/>
    <w:rsid w:val="000E1DE7"/>
    <w:rsid w:val="000E20B0"/>
    <w:rsid w:val="000E223E"/>
    <w:rsid w:val="000E2466"/>
    <w:rsid w:val="000E26F1"/>
    <w:rsid w:val="000E2940"/>
    <w:rsid w:val="000E29A2"/>
    <w:rsid w:val="000E2DA0"/>
    <w:rsid w:val="000E312F"/>
    <w:rsid w:val="000E3278"/>
    <w:rsid w:val="000E3420"/>
    <w:rsid w:val="000E3430"/>
    <w:rsid w:val="000E3D46"/>
    <w:rsid w:val="000E41DC"/>
    <w:rsid w:val="000E420F"/>
    <w:rsid w:val="000E4277"/>
    <w:rsid w:val="000E47AC"/>
    <w:rsid w:val="000E49CE"/>
    <w:rsid w:val="000E503A"/>
    <w:rsid w:val="000E5591"/>
    <w:rsid w:val="000E5A34"/>
    <w:rsid w:val="000E5D10"/>
    <w:rsid w:val="000E5F7D"/>
    <w:rsid w:val="000E6041"/>
    <w:rsid w:val="000E62B5"/>
    <w:rsid w:val="000E662E"/>
    <w:rsid w:val="000E6721"/>
    <w:rsid w:val="000E6909"/>
    <w:rsid w:val="000E6B85"/>
    <w:rsid w:val="000E6E60"/>
    <w:rsid w:val="000E6F1C"/>
    <w:rsid w:val="000E6FB7"/>
    <w:rsid w:val="000E7350"/>
    <w:rsid w:val="000E745B"/>
    <w:rsid w:val="000E7B7C"/>
    <w:rsid w:val="000E7BAC"/>
    <w:rsid w:val="000F098D"/>
    <w:rsid w:val="000F0C80"/>
    <w:rsid w:val="000F0E46"/>
    <w:rsid w:val="000F154F"/>
    <w:rsid w:val="000F184F"/>
    <w:rsid w:val="000F1BD8"/>
    <w:rsid w:val="000F1E65"/>
    <w:rsid w:val="000F24A1"/>
    <w:rsid w:val="000F24A3"/>
    <w:rsid w:val="000F2784"/>
    <w:rsid w:val="000F2FB7"/>
    <w:rsid w:val="000F341F"/>
    <w:rsid w:val="000F363A"/>
    <w:rsid w:val="000F366E"/>
    <w:rsid w:val="000F3838"/>
    <w:rsid w:val="000F3ADD"/>
    <w:rsid w:val="000F3C2E"/>
    <w:rsid w:val="000F3DCE"/>
    <w:rsid w:val="000F3E1A"/>
    <w:rsid w:val="000F3F4D"/>
    <w:rsid w:val="000F4030"/>
    <w:rsid w:val="000F43D9"/>
    <w:rsid w:val="000F49B7"/>
    <w:rsid w:val="000F5CD3"/>
    <w:rsid w:val="000F5DF9"/>
    <w:rsid w:val="000F5FF7"/>
    <w:rsid w:val="000F6073"/>
    <w:rsid w:val="000F63E3"/>
    <w:rsid w:val="000F6D0F"/>
    <w:rsid w:val="000F7060"/>
    <w:rsid w:val="000F7170"/>
    <w:rsid w:val="000F744F"/>
    <w:rsid w:val="000F7849"/>
    <w:rsid w:val="000F7A1F"/>
    <w:rsid w:val="000F7B58"/>
    <w:rsid w:val="000F7F23"/>
    <w:rsid w:val="001006F2"/>
    <w:rsid w:val="00100AED"/>
    <w:rsid w:val="00100E92"/>
    <w:rsid w:val="00101701"/>
    <w:rsid w:val="0010181C"/>
    <w:rsid w:val="0010199E"/>
    <w:rsid w:val="001019BC"/>
    <w:rsid w:val="00101B9B"/>
    <w:rsid w:val="00101BC2"/>
    <w:rsid w:val="00101FDA"/>
    <w:rsid w:val="0010208B"/>
    <w:rsid w:val="00102255"/>
    <w:rsid w:val="00102343"/>
    <w:rsid w:val="001024C6"/>
    <w:rsid w:val="001027C3"/>
    <w:rsid w:val="00102ABC"/>
    <w:rsid w:val="00102D54"/>
    <w:rsid w:val="00103AF9"/>
    <w:rsid w:val="00104479"/>
    <w:rsid w:val="00104728"/>
    <w:rsid w:val="0010496A"/>
    <w:rsid w:val="00104AEE"/>
    <w:rsid w:val="00104BAF"/>
    <w:rsid w:val="00104D97"/>
    <w:rsid w:val="00105314"/>
    <w:rsid w:val="00105777"/>
    <w:rsid w:val="00105951"/>
    <w:rsid w:val="00105CA3"/>
    <w:rsid w:val="00105D1F"/>
    <w:rsid w:val="001063AD"/>
    <w:rsid w:val="00106752"/>
    <w:rsid w:val="00106791"/>
    <w:rsid w:val="001069E7"/>
    <w:rsid w:val="00106BC7"/>
    <w:rsid w:val="00106CDC"/>
    <w:rsid w:val="00106F31"/>
    <w:rsid w:val="00107058"/>
    <w:rsid w:val="001071AB"/>
    <w:rsid w:val="0010724A"/>
    <w:rsid w:val="00107827"/>
    <w:rsid w:val="00110091"/>
    <w:rsid w:val="0011034D"/>
    <w:rsid w:val="00110748"/>
    <w:rsid w:val="00110B6A"/>
    <w:rsid w:val="00111517"/>
    <w:rsid w:val="00111635"/>
    <w:rsid w:val="00111904"/>
    <w:rsid w:val="00111B0B"/>
    <w:rsid w:val="001121BA"/>
    <w:rsid w:val="001121FA"/>
    <w:rsid w:val="001127E1"/>
    <w:rsid w:val="00112BAF"/>
    <w:rsid w:val="00112BB6"/>
    <w:rsid w:val="00112BE5"/>
    <w:rsid w:val="00113119"/>
    <w:rsid w:val="001136A2"/>
    <w:rsid w:val="001136F6"/>
    <w:rsid w:val="001139C5"/>
    <w:rsid w:val="00113ABD"/>
    <w:rsid w:val="00113B53"/>
    <w:rsid w:val="00113BAF"/>
    <w:rsid w:val="00113C91"/>
    <w:rsid w:val="001149F9"/>
    <w:rsid w:val="0011508B"/>
    <w:rsid w:val="001150A8"/>
    <w:rsid w:val="00115546"/>
    <w:rsid w:val="00115750"/>
    <w:rsid w:val="0011595F"/>
    <w:rsid w:val="00115D33"/>
    <w:rsid w:val="00116066"/>
    <w:rsid w:val="00116176"/>
    <w:rsid w:val="00116427"/>
    <w:rsid w:val="00116AB1"/>
    <w:rsid w:val="00116DAD"/>
    <w:rsid w:val="00116DBB"/>
    <w:rsid w:val="00116E10"/>
    <w:rsid w:val="00116FB4"/>
    <w:rsid w:val="00117574"/>
    <w:rsid w:val="00117717"/>
    <w:rsid w:val="00117C41"/>
    <w:rsid w:val="0012048C"/>
    <w:rsid w:val="001204FC"/>
    <w:rsid w:val="00120A2C"/>
    <w:rsid w:val="00120F4A"/>
    <w:rsid w:val="00120FEB"/>
    <w:rsid w:val="001210AF"/>
    <w:rsid w:val="001212C9"/>
    <w:rsid w:val="0012135A"/>
    <w:rsid w:val="00121410"/>
    <w:rsid w:val="00121619"/>
    <w:rsid w:val="001217A5"/>
    <w:rsid w:val="00121D45"/>
    <w:rsid w:val="00121DE4"/>
    <w:rsid w:val="00121E1C"/>
    <w:rsid w:val="0012263B"/>
    <w:rsid w:val="001226AA"/>
    <w:rsid w:val="00122EB2"/>
    <w:rsid w:val="00122F03"/>
    <w:rsid w:val="00122FFE"/>
    <w:rsid w:val="001239CC"/>
    <w:rsid w:val="00123CD0"/>
    <w:rsid w:val="00124225"/>
    <w:rsid w:val="00124607"/>
    <w:rsid w:val="0012462D"/>
    <w:rsid w:val="0012476B"/>
    <w:rsid w:val="0012477D"/>
    <w:rsid w:val="00124897"/>
    <w:rsid w:val="00124967"/>
    <w:rsid w:val="00125076"/>
    <w:rsid w:val="0012513D"/>
    <w:rsid w:val="00125141"/>
    <w:rsid w:val="0012535B"/>
    <w:rsid w:val="00125AC8"/>
    <w:rsid w:val="00125B76"/>
    <w:rsid w:val="00125D2F"/>
    <w:rsid w:val="00125D90"/>
    <w:rsid w:val="00125EE5"/>
    <w:rsid w:val="0012618A"/>
    <w:rsid w:val="00126262"/>
    <w:rsid w:val="00126620"/>
    <w:rsid w:val="00126867"/>
    <w:rsid w:val="00126945"/>
    <w:rsid w:val="00126A1B"/>
    <w:rsid w:val="00126E66"/>
    <w:rsid w:val="00127139"/>
    <w:rsid w:val="0012794E"/>
    <w:rsid w:val="00127C84"/>
    <w:rsid w:val="0013003B"/>
    <w:rsid w:val="00130ABA"/>
    <w:rsid w:val="00130B55"/>
    <w:rsid w:val="001312D1"/>
    <w:rsid w:val="0013137D"/>
    <w:rsid w:val="00131485"/>
    <w:rsid w:val="00131848"/>
    <w:rsid w:val="00131900"/>
    <w:rsid w:val="00131A61"/>
    <w:rsid w:val="00131DFB"/>
    <w:rsid w:val="0013241C"/>
    <w:rsid w:val="00132592"/>
    <w:rsid w:val="00132E8F"/>
    <w:rsid w:val="00133100"/>
    <w:rsid w:val="00133101"/>
    <w:rsid w:val="00133884"/>
    <w:rsid w:val="00133D79"/>
    <w:rsid w:val="0013409A"/>
    <w:rsid w:val="0013447D"/>
    <w:rsid w:val="00134C90"/>
    <w:rsid w:val="00134F0C"/>
    <w:rsid w:val="00134F63"/>
    <w:rsid w:val="0013513D"/>
    <w:rsid w:val="0013527B"/>
    <w:rsid w:val="00135388"/>
    <w:rsid w:val="00135696"/>
    <w:rsid w:val="00135AEC"/>
    <w:rsid w:val="00135B77"/>
    <w:rsid w:val="00135D7A"/>
    <w:rsid w:val="00135E8F"/>
    <w:rsid w:val="00136092"/>
    <w:rsid w:val="0013609D"/>
    <w:rsid w:val="00136531"/>
    <w:rsid w:val="001365AE"/>
    <w:rsid w:val="0013661D"/>
    <w:rsid w:val="00136AEA"/>
    <w:rsid w:val="00136DD0"/>
    <w:rsid w:val="00136DD3"/>
    <w:rsid w:val="00136EB9"/>
    <w:rsid w:val="00137097"/>
    <w:rsid w:val="001376D7"/>
    <w:rsid w:val="00137A21"/>
    <w:rsid w:val="00137B29"/>
    <w:rsid w:val="00137C45"/>
    <w:rsid w:val="00137D4B"/>
    <w:rsid w:val="00140219"/>
    <w:rsid w:val="001402FD"/>
    <w:rsid w:val="00140314"/>
    <w:rsid w:val="0014031C"/>
    <w:rsid w:val="0014082F"/>
    <w:rsid w:val="00140F6E"/>
    <w:rsid w:val="00141062"/>
    <w:rsid w:val="001411DD"/>
    <w:rsid w:val="0014126A"/>
    <w:rsid w:val="0014129D"/>
    <w:rsid w:val="0014148F"/>
    <w:rsid w:val="00142069"/>
    <w:rsid w:val="001423BA"/>
    <w:rsid w:val="0014298A"/>
    <w:rsid w:val="00142E30"/>
    <w:rsid w:val="00142F34"/>
    <w:rsid w:val="00142F57"/>
    <w:rsid w:val="0014316A"/>
    <w:rsid w:val="00143392"/>
    <w:rsid w:val="00143671"/>
    <w:rsid w:val="001437F8"/>
    <w:rsid w:val="001438EA"/>
    <w:rsid w:val="001439FE"/>
    <w:rsid w:val="00143A35"/>
    <w:rsid w:val="00143C04"/>
    <w:rsid w:val="00143C5A"/>
    <w:rsid w:val="00143DD0"/>
    <w:rsid w:val="00143E8D"/>
    <w:rsid w:val="0014446E"/>
    <w:rsid w:val="0014479F"/>
    <w:rsid w:val="00144B94"/>
    <w:rsid w:val="0014569E"/>
    <w:rsid w:val="00145A32"/>
    <w:rsid w:val="00145D01"/>
    <w:rsid w:val="00145D9D"/>
    <w:rsid w:val="00145F80"/>
    <w:rsid w:val="00145FF7"/>
    <w:rsid w:val="00146A4C"/>
    <w:rsid w:val="00146AE4"/>
    <w:rsid w:val="00146F36"/>
    <w:rsid w:val="0014703F"/>
    <w:rsid w:val="001473C4"/>
    <w:rsid w:val="00147585"/>
    <w:rsid w:val="00147A25"/>
    <w:rsid w:val="00147C45"/>
    <w:rsid w:val="00147CB3"/>
    <w:rsid w:val="001501D7"/>
    <w:rsid w:val="0015045E"/>
    <w:rsid w:val="00150A96"/>
    <w:rsid w:val="00150EC6"/>
    <w:rsid w:val="00150ECC"/>
    <w:rsid w:val="00151165"/>
    <w:rsid w:val="00151DFA"/>
    <w:rsid w:val="00151E44"/>
    <w:rsid w:val="0015205B"/>
    <w:rsid w:val="00152292"/>
    <w:rsid w:val="001522F1"/>
    <w:rsid w:val="001526E0"/>
    <w:rsid w:val="00152B78"/>
    <w:rsid w:val="00152C6F"/>
    <w:rsid w:val="00152E35"/>
    <w:rsid w:val="00152EB0"/>
    <w:rsid w:val="00153027"/>
    <w:rsid w:val="0015307F"/>
    <w:rsid w:val="001532A4"/>
    <w:rsid w:val="0015383C"/>
    <w:rsid w:val="00153905"/>
    <w:rsid w:val="00154FFA"/>
    <w:rsid w:val="00155223"/>
    <w:rsid w:val="0015540C"/>
    <w:rsid w:val="00155ED0"/>
    <w:rsid w:val="00155F30"/>
    <w:rsid w:val="001560DC"/>
    <w:rsid w:val="0015681C"/>
    <w:rsid w:val="00156D2A"/>
    <w:rsid w:val="0015742E"/>
    <w:rsid w:val="00157964"/>
    <w:rsid w:val="00157B12"/>
    <w:rsid w:val="00157E6F"/>
    <w:rsid w:val="00157ECB"/>
    <w:rsid w:val="00160175"/>
    <w:rsid w:val="0016092E"/>
    <w:rsid w:val="00160AFF"/>
    <w:rsid w:val="00160CEB"/>
    <w:rsid w:val="00160D8C"/>
    <w:rsid w:val="0016103C"/>
    <w:rsid w:val="001615B7"/>
    <w:rsid w:val="001616CB"/>
    <w:rsid w:val="001619E6"/>
    <w:rsid w:val="00161DA4"/>
    <w:rsid w:val="00161E2D"/>
    <w:rsid w:val="001621EF"/>
    <w:rsid w:val="001624B0"/>
    <w:rsid w:val="0016263B"/>
    <w:rsid w:val="00162ABA"/>
    <w:rsid w:val="00162AC3"/>
    <w:rsid w:val="00162D32"/>
    <w:rsid w:val="00162F2A"/>
    <w:rsid w:val="001631A9"/>
    <w:rsid w:val="00163243"/>
    <w:rsid w:val="001637A1"/>
    <w:rsid w:val="001637DC"/>
    <w:rsid w:val="00163BF1"/>
    <w:rsid w:val="00163C01"/>
    <w:rsid w:val="00163D1F"/>
    <w:rsid w:val="00163E20"/>
    <w:rsid w:val="0016436C"/>
    <w:rsid w:val="0016444F"/>
    <w:rsid w:val="0016451C"/>
    <w:rsid w:val="00164878"/>
    <w:rsid w:val="00164A1E"/>
    <w:rsid w:val="00164F57"/>
    <w:rsid w:val="00164FAC"/>
    <w:rsid w:val="00165003"/>
    <w:rsid w:val="00166196"/>
    <w:rsid w:val="001664BB"/>
    <w:rsid w:val="00166F66"/>
    <w:rsid w:val="00167475"/>
    <w:rsid w:val="001674CB"/>
    <w:rsid w:val="00167B8E"/>
    <w:rsid w:val="00167EA0"/>
    <w:rsid w:val="00167FF6"/>
    <w:rsid w:val="00170138"/>
    <w:rsid w:val="001701CA"/>
    <w:rsid w:val="001702A3"/>
    <w:rsid w:val="00170361"/>
    <w:rsid w:val="0017042D"/>
    <w:rsid w:val="0017045C"/>
    <w:rsid w:val="0017098E"/>
    <w:rsid w:val="00171261"/>
    <w:rsid w:val="00171283"/>
    <w:rsid w:val="00171427"/>
    <w:rsid w:val="00171C3F"/>
    <w:rsid w:val="00171DAF"/>
    <w:rsid w:val="00171E2F"/>
    <w:rsid w:val="00171F73"/>
    <w:rsid w:val="0017229E"/>
    <w:rsid w:val="0017242D"/>
    <w:rsid w:val="0017256B"/>
    <w:rsid w:val="00172BE9"/>
    <w:rsid w:val="00172E1B"/>
    <w:rsid w:val="00173014"/>
    <w:rsid w:val="00173160"/>
    <w:rsid w:val="00173290"/>
    <w:rsid w:val="0017353F"/>
    <w:rsid w:val="001735E5"/>
    <w:rsid w:val="001736C2"/>
    <w:rsid w:val="00173BFB"/>
    <w:rsid w:val="00173F4F"/>
    <w:rsid w:val="00174315"/>
    <w:rsid w:val="0017462A"/>
    <w:rsid w:val="00174E61"/>
    <w:rsid w:val="0017518F"/>
    <w:rsid w:val="00175289"/>
    <w:rsid w:val="001752C0"/>
    <w:rsid w:val="0017578F"/>
    <w:rsid w:val="00175830"/>
    <w:rsid w:val="00175B91"/>
    <w:rsid w:val="00175CFC"/>
    <w:rsid w:val="00175D0C"/>
    <w:rsid w:val="00175D85"/>
    <w:rsid w:val="00175E8F"/>
    <w:rsid w:val="0017601F"/>
    <w:rsid w:val="0017607A"/>
    <w:rsid w:val="00176479"/>
    <w:rsid w:val="00176574"/>
    <w:rsid w:val="001765F3"/>
    <w:rsid w:val="00176A14"/>
    <w:rsid w:val="00176AF6"/>
    <w:rsid w:val="00177104"/>
    <w:rsid w:val="00177593"/>
    <w:rsid w:val="00177711"/>
    <w:rsid w:val="00177B0B"/>
    <w:rsid w:val="00177C38"/>
    <w:rsid w:val="00177CFE"/>
    <w:rsid w:val="00177E5D"/>
    <w:rsid w:val="00177EE6"/>
    <w:rsid w:val="001808E8"/>
    <w:rsid w:val="0018091B"/>
    <w:rsid w:val="00180932"/>
    <w:rsid w:val="00180A1B"/>
    <w:rsid w:val="00180C76"/>
    <w:rsid w:val="00180CB2"/>
    <w:rsid w:val="00181096"/>
    <w:rsid w:val="001812A7"/>
    <w:rsid w:val="001813A7"/>
    <w:rsid w:val="001819C2"/>
    <w:rsid w:val="00181F9E"/>
    <w:rsid w:val="0018208B"/>
    <w:rsid w:val="00182593"/>
    <w:rsid w:val="00182747"/>
    <w:rsid w:val="001828D0"/>
    <w:rsid w:val="00182E26"/>
    <w:rsid w:val="00182EAC"/>
    <w:rsid w:val="00182F8D"/>
    <w:rsid w:val="00182FAF"/>
    <w:rsid w:val="00183087"/>
    <w:rsid w:val="001830DA"/>
    <w:rsid w:val="0018317F"/>
    <w:rsid w:val="001831E4"/>
    <w:rsid w:val="001834FC"/>
    <w:rsid w:val="00183501"/>
    <w:rsid w:val="00183580"/>
    <w:rsid w:val="001835EC"/>
    <w:rsid w:val="00183C61"/>
    <w:rsid w:val="00184119"/>
    <w:rsid w:val="001844D8"/>
    <w:rsid w:val="00184754"/>
    <w:rsid w:val="001848FF"/>
    <w:rsid w:val="00184C77"/>
    <w:rsid w:val="00184CFF"/>
    <w:rsid w:val="00184D31"/>
    <w:rsid w:val="00184D61"/>
    <w:rsid w:val="00184FA0"/>
    <w:rsid w:val="00185114"/>
    <w:rsid w:val="001855AD"/>
    <w:rsid w:val="00185792"/>
    <w:rsid w:val="00185957"/>
    <w:rsid w:val="00185C47"/>
    <w:rsid w:val="0018608A"/>
    <w:rsid w:val="001863D5"/>
    <w:rsid w:val="00186629"/>
    <w:rsid w:val="00186FB8"/>
    <w:rsid w:val="00186FD4"/>
    <w:rsid w:val="001871F1"/>
    <w:rsid w:val="001872BD"/>
    <w:rsid w:val="0018754E"/>
    <w:rsid w:val="00187693"/>
    <w:rsid w:val="0018779E"/>
    <w:rsid w:val="00187A34"/>
    <w:rsid w:val="00187DFE"/>
    <w:rsid w:val="001907A0"/>
    <w:rsid w:val="001909EA"/>
    <w:rsid w:val="00190A7E"/>
    <w:rsid w:val="00190BAC"/>
    <w:rsid w:val="00190C46"/>
    <w:rsid w:val="00190F89"/>
    <w:rsid w:val="00191196"/>
    <w:rsid w:val="00191462"/>
    <w:rsid w:val="001916BE"/>
    <w:rsid w:val="00191925"/>
    <w:rsid w:val="00191C2B"/>
    <w:rsid w:val="00192427"/>
    <w:rsid w:val="00192667"/>
    <w:rsid w:val="001927BA"/>
    <w:rsid w:val="00192C0D"/>
    <w:rsid w:val="00193225"/>
    <w:rsid w:val="00193579"/>
    <w:rsid w:val="00193C6A"/>
    <w:rsid w:val="00194256"/>
    <w:rsid w:val="001943CB"/>
    <w:rsid w:val="00194B05"/>
    <w:rsid w:val="00194B3F"/>
    <w:rsid w:val="00195214"/>
    <w:rsid w:val="00195224"/>
    <w:rsid w:val="00195236"/>
    <w:rsid w:val="0019548C"/>
    <w:rsid w:val="001956D7"/>
    <w:rsid w:val="001960A1"/>
    <w:rsid w:val="001960EB"/>
    <w:rsid w:val="00196207"/>
    <w:rsid w:val="00196366"/>
    <w:rsid w:val="001963B1"/>
    <w:rsid w:val="001966C8"/>
    <w:rsid w:val="0019688A"/>
    <w:rsid w:val="00196C0C"/>
    <w:rsid w:val="00196EB7"/>
    <w:rsid w:val="0019705B"/>
    <w:rsid w:val="001972BC"/>
    <w:rsid w:val="0019732A"/>
    <w:rsid w:val="001973AC"/>
    <w:rsid w:val="00197428"/>
    <w:rsid w:val="0019766B"/>
    <w:rsid w:val="00197758"/>
    <w:rsid w:val="0019780A"/>
    <w:rsid w:val="00197BF4"/>
    <w:rsid w:val="00197E5D"/>
    <w:rsid w:val="001A0137"/>
    <w:rsid w:val="001A0367"/>
    <w:rsid w:val="001A084F"/>
    <w:rsid w:val="001A11AE"/>
    <w:rsid w:val="001A1324"/>
    <w:rsid w:val="001A1354"/>
    <w:rsid w:val="001A13B2"/>
    <w:rsid w:val="001A143D"/>
    <w:rsid w:val="001A1B7A"/>
    <w:rsid w:val="001A1FDD"/>
    <w:rsid w:val="001A20AE"/>
    <w:rsid w:val="001A22C7"/>
    <w:rsid w:val="001A2601"/>
    <w:rsid w:val="001A27D2"/>
    <w:rsid w:val="001A2CC7"/>
    <w:rsid w:val="001A2E56"/>
    <w:rsid w:val="001A33B6"/>
    <w:rsid w:val="001A3540"/>
    <w:rsid w:val="001A3624"/>
    <w:rsid w:val="001A3CC8"/>
    <w:rsid w:val="001A3DC7"/>
    <w:rsid w:val="001A3E96"/>
    <w:rsid w:val="001A3EFD"/>
    <w:rsid w:val="001A40BE"/>
    <w:rsid w:val="001A42A0"/>
    <w:rsid w:val="001A4555"/>
    <w:rsid w:val="001A51C1"/>
    <w:rsid w:val="001A5268"/>
    <w:rsid w:val="001A541E"/>
    <w:rsid w:val="001A56D0"/>
    <w:rsid w:val="001A570B"/>
    <w:rsid w:val="001A5A54"/>
    <w:rsid w:val="001A5F47"/>
    <w:rsid w:val="001A6102"/>
    <w:rsid w:val="001A72C9"/>
    <w:rsid w:val="001A7A0E"/>
    <w:rsid w:val="001A7A40"/>
    <w:rsid w:val="001A7E52"/>
    <w:rsid w:val="001A7E84"/>
    <w:rsid w:val="001A7ECE"/>
    <w:rsid w:val="001B0B96"/>
    <w:rsid w:val="001B0F06"/>
    <w:rsid w:val="001B1635"/>
    <w:rsid w:val="001B188F"/>
    <w:rsid w:val="001B1A2F"/>
    <w:rsid w:val="001B1E31"/>
    <w:rsid w:val="001B20B6"/>
    <w:rsid w:val="001B21EB"/>
    <w:rsid w:val="001B22DA"/>
    <w:rsid w:val="001B2540"/>
    <w:rsid w:val="001B2574"/>
    <w:rsid w:val="001B26F3"/>
    <w:rsid w:val="001B2772"/>
    <w:rsid w:val="001B27E4"/>
    <w:rsid w:val="001B2AA1"/>
    <w:rsid w:val="001B35F2"/>
    <w:rsid w:val="001B3F9A"/>
    <w:rsid w:val="001B40BB"/>
    <w:rsid w:val="001B4158"/>
    <w:rsid w:val="001B4207"/>
    <w:rsid w:val="001B425B"/>
    <w:rsid w:val="001B474F"/>
    <w:rsid w:val="001B47A9"/>
    <w:rsid w:val="001B495D"/>
    <w:rsid w:val="001B4BE2"/>
    <w:rsid w:val="001B4E0E"/>
    <w:rsid w:val="001B4E58"/>
    <w:rsid w:val="001B4E5B"/>
    <w:rsid w:val="001B5764"/>
    <w:rsid w:val="001B59C2"/>
    <w:rsid w:val="001B59DA"/>
    <w:rsid w:val="001B5D7C"/>
    <w:rsid w:val="001B609D"/>
    <w:rsid w:val="001B6293"/>
    <w:rsid w:val="001B64BC"/>
    <w:rsid w:val="001B64E6"/>
    <w:rsid w:val="001B667D"/>
    <w:rsid w:val="001B7291"/>
    <w:rsid w:val="001B79C0"/>
    <w:rsid w:val="001B7AE9"/>
    <w:rsid w:val="001B7B2E"/>
    <w:rsid w:val="001B7EC3"/>
    <w:rsid w:val="001C00FC"/>
    <w:rsid w:val="001C0822"/>
    <w:rsid w:val="001C097A"/>
    <w:rsid w:val="001C09F1"/>
    <w:rsid w:val="001C160A"/>
    <w:rsid w:val="001C185F"/>
    <w:rsid w:val="001C189D"/>
    <w:rsid w:val="001C196C"/>
    <w:rsid w:val="001C1A94"/>
    <w:rsid w:val="001C1EED"/>
    <w:rsid w:val="001C1EF5"/>
    <w:rsid w:val="001C202A"/>
    <w:rsid w:val="001C230B"/>
    <w:rsid w:val="001C255B"/>
    <w:rsid w:val="001C27A9"/>
    <w:rsid w:val="001C2D9E"/>
    <w:rsid w:val="001C2EA3"/>
    <w:rsid w:val="001C301E"/>
    <w:rsid w:val="001C3B09"/>
    <w:rsid w:val="001C4050"/>
    <w:rsid w:val="001C4384"/>
    <w:rsid w:val="001C4AF1"/>
    <w:rsid w:val="001C4BE4"/>
    <w:rsid w:val="001C4D7A"/>
    <w:rsid w:val="001C505A"/>
    <w:rsid w:val="001C5E20"/>
    <w:rsid w:val="001C5E6E"/>
    <w:rsid w:val="001C5F2E"/>
    <w:rsid w:val="001C694B"/>
    <w:rsid w:val="001C6C81"/>
    <w:rsid w:val="001C6EC0"/>
    <w:rsid w:val="001C714E"/>
    <w:rsid w:val="001C7188"/>
    <w:rsid w:val="001C7231"/>
    <w:rsid w:val="001C77AE"/>
    <w:rsid w:val="001C7834"/>
    <w:rsid w:val="001D0049"/>
    <w:rsid w:val="001D01AE"/>
    <w:rsid w:val="001D024E"/>
    <w:rsid w:val="001D046D"/>
    <w:rsid w:val="001D0563"/>
    <w:rsid w:val="001D0C13"/>
    <w:rsid w:val="001D1C7F"/>
    <w:rsid w:val="001D21DA"/>
    <w:rsid w:val="001D3178"/>
    <w:rsid w:val="001D351B"/>
    <w:rsid w:val="001D3702"/>
    <w:rsid w:val="001D3709"/>
    <w:rsid w:val="001D3C35"/>
    <w:rsid w:val="001D42BF"/>
    <w:rsid w:val="001D48C1"/>
    <w:rsid w:val="001D4938"/>
    <w:rsid w:val="001D4A12"/>
    <w:rsid w:val="001D4C9B"/>
    <w:rsid w:val="001D51CE"/>
    <w:rsid w:val="001D5317"/>
    <w:rsid w:val="001D5468"/>
    <w:rsid w:val="001D5C19"/>
    <w:rsid w:val="001D5C83"/>
    <w:rsid w:val="001D603C"/>
    <w:rsid w:val="001D67C4"/>
    <w:rsid w:val="001D67FE"/>
    <w:rsid w:val="001D6B71"/>
    <w:rsid w:val="001D6C5B"/>
    <w:rsid w:val="001D6CAE"/>
    <w:rsid w:val="001D6DF6"/>
    <w:rsid w:val="001D6EC6"/>
    <w:rsid w:val="001D6F83"/>
    <w:rsid w:val="001D70A4"/>
    <w:rsid w:val="001D73E3"/>
    <w:rsid w:val="001D758F"/>
    <w:rsid w:val="001D75F1"/>
    <w:rsid w:val="001D7682"/>
    <w:rsid w:val="001D7A65"/>
    <w:rsid w:val="001D7B57"/>
    <w:rsid w:val="001D7BE0"/>
    <w:rsid w:val="001D7E9D"/>
    <w:rsid w:val="001D7EBA"/>
    <w:rsid w:val="001E0026"/>
    <w:rsid w:val="001E005B"/>
    <w:rsid w:val="001E039B"/>
    <w:rsid w:val="001E0447"/>
    <w:rsid w:val="001E053A"/>
    <w:rsid w:val="001E0CA7"/>
    <w:rsid w:val="001E1334"/>
    <w:rsid w:val="001E142E"/>
    <w:rsid w:val="001E144D"/>
    <w:rsid w:val="001E155D"/>
    <w:rsid w:val="001E19AD"/>
    <w:rsid w:val="001E20FE"/>
    <w:rsid w:val="001E259E"/>
    <w:rsid w:val="001E2C86"/>
    <w:rsid w:val="001E2DF0"/>
    <w:rsid w:val="001E3297"/>
    <w:rsid w:val="001E33F7"/>
    <w:rsid w:val="001E35C3"/>
    <w:rsid w:val="001E37AA"/>
    <w:rsid w:val="001E37D3"/>
    <w:rsid w:val="001E43E5"/>
    <w:rsid w:val="001E4959"/>
    <w:rsid w:val="001E4AB1"/>
    <w:rsid w:val="001E4B09"/>
    <w:rsid w:val="001E4CCC"/>
    <w:rsid w:val="001E4DA2"/>
    <w:rsid w:val="001E4F63"/>
    <w:rsid w:val="001E5323"/>
    <w:rsid w:val="001E5D38"/>
    <w:rsid w:val="001E5EA9"/>
    <w:rsid w:val="001E677B"/>
    <w:rsid w:val="001E6840"/>
    <w:rsid w:val="001E6BD1"/>
    <w:rsid w:val="001E6EDC"/>
    <w:rsid w:val="001E6F96"/>
    <w:rsid w:val="001E73DE"/>
    <w:rsid w:val="001F0049"/>
    <w:rsid w:val="001F06B9"/>
    <w:rsid w:val="001F0997"/>
    <w:rsid w:val="001F0A97"/>
    <w:rsid w:val="001F0A99"/>
    <w:rsid w:val="001F0DC5"/>
    <w:rsid w:val="001F1095"/>
    <w:rsid w:val="001F1299"/>
    <w:rsid w:val="001F14DF"/>
    <w:rsid w:val="001F1507"/>
    <w:rsid w:val="001F207C"/>
    <w:rsid w:val="001F22F3"/>
    <w:rsid w:val="001F29AE"/>
    <w:rsid w:val="001F2CEA"/>
    <w:rsid w:val="001F2D4F"/>
    <w:rsid w:val="001F32A7"/>
    <w:rsid w:val="001F3BFF"/>
    <w:rsid w:val="001F3CD9"/>
    <w:rsid w:val="001F3F4E"/>
    <w:rsid w:val="001F4520"/>
    <w:rsid w:val="001F4A79"/>
    <w:rsid w:val="001F4BF3"/>
    <w:rsid w:val="001F4C6C"/>
    <w:rsid w:val="001F4E40"/>
    <w:rsid w:val="001F57E2"/>
    <w:rsid w:val="001F5CC3"/>
    <w:rsid w:val="001F5DB3"/>
    <w:rsid w:val="001F5F28"/>
    <w:rsid w:val="001F63F8"/>
    <w:rsid w:val="001F6543"/>
    <w:rsid w:val="001F6889"/>
    <w:rsid w:val="001F6E41"/>
    <w:rsid w:val="001F70CF"/>
    <w:rsid w:val="001F7206"/>
    <w:rsid w:val="001F7308"/>
    <w:rsid w:val="001F7461"/>
    <w:rsid w:val="001F7742"/>
    <w:rsid w:val="001F78F1"/>
    <w:rsid w:val="001F7CAF"/>
    <w:rsid w:val="001F7E56"/>
    <w:rsid w:val="001F7F01"/>
    <w:rsid w:val="001F7FE0"/>
    <w:rsid w:val="0020021A"/>
    <w:rsid w:val="002003B0"/>
    <w:rsid w:val="00200654"/>
    <w:rsid w:val="002009DE"/>
    <w:rsid w:val="00200A15"/>
    <w:rsid w:val="0020136C"/>
    <w:rsid w:val="0020142B"/>
    <w:rsid w:val="00201628"/>
    <w:rsid w:val="00201781"/>
    <w:rsid w:val="0020181C"/>
    <w:rsid w:val="0020185F"/>
    <w:rsid w:val="00201A65"/>
    <w:rsid w:val="00201D02"/>
    <w:rsid w:val="00201F00"/>
    <w:rsid w:val="00203303"/>
    <w:rsid w:val="0020334E"/>
    <w:rsid w:val="00203483"/>
    <w:rsid w:val="002037B2"/>
    <w:rsid w:val="00203AAD"/>
    <w:rsid w:val="00203BC0"/>
    <w:rsid w:val="00203FE0"/>
    <w:rsid w:val="00204100"/>
    <w:rsid w:val="00204621"/>
    <w:rsid w:val="00204CE2"/>
    <w:rsid w:val="00205693"/>
    <w:rsid w:val="00205950"/>
    <w:rsid w:val="00205A89"/>
    <w:rsid w:val="00205C0D"/>
    <w:rsid w:val="00205DA5"/>
    <w:rsid w:val="0020650C"/>
    <w:rsid w:val="00206AF2"/>
    <w:rsid w:val="00206F45"/>
    <w:rsid w:val="00207C0F"/>
    <w:rsid w:val="00207D62"/>
    <w:rsid w:val="00207E25"/>
    <w:rsid w:val="00207F81"/>
    <w:rsid w:val="00210147"/>
    <w:rsid w:val="002105C1"/>
    <w:rsid w:val="0021062E"/>
    <w:rsid w:val="002106A7"/>
    <w:rsid w:val="00210721"/>
    <w:rsid w:val="0021079F"/>
    <w:rsid w:val="00210948"/>
    <w:rsid w:val="002109BE"/>
    <w:rsid w:val="002109C0"/>
    <w:rsid w:val="002109F5"/>
    <w:rsid w:val="00210A98"/>
    <w:rsid w:val="00210C92"/>
    <w:rsid w:val="00211167"/>
    <w:rsid w:val="0021130F"/>
    <w:rsid w:val="002113A3"/>
    <w:rsid w:val="00211A60"/>
    <w:rsid w:val="00212185"/>
    <w:rsid w:val="00212205"/>
    <w:rsid w:val="00212432"/>
    <w:rsid w:val="0021243C"/>
    <w:rsid w:val="00212752"/>
    <w:rsid w:val="00212784"/>
    <w:rsid w:val="00212A87"/>
    <w:rsid w:val="00212AA3"/>
    <w:rsid w:val="00212BFA"/>
    <w:rsid w:val="00212E05"/>
    <w:rsid w:val="00213791"/>
    <w:rsid w:val="002139BD"/>
    <w:rsid w:val="00213A05"/>
    <w:rsid w:val="00214548"/>
    <w:rsid w:val="00214BF3"/>
    <w:rsid w:val="002153E3"/>
    <w:rsid w:val="002153EF"/>
    <w:rsid w:val="00215474"/>
    <w:rsid w:val="002154AB"/>
    <w:rsid w:val="00215514"/>
    <w:rsid w:val="00215716"/>
    <w:rsid w:val="002163E0"/>
    <w:rsid w:val="00216571"/>
    <w:rsid w:val="0021667F"/>
    <w:rsid w:val="00216A25"/>
    <w:rsid w:val="00216B10"/>
    <w:rsid w:val="00216BC3"/>
    <w:rsid w:val="00216FEB"/>
    <w:rsid w:val="00216FFE"/>
    <w:rsid w:val="002173DB"/>
    <w:rsid w:val="00217903"/>
    <w:rsid w:val="002179B2"/>
    <w:rsid w:val="00217BE8"/>
    <w:rsid w:val="00217F2A"/>
    <w:rsid w:val="00220093"/>
    <w:rsid w:val="0022065B"/>
    <w:rsid w:val="00220AFD"/>
    <w:rsid w:val="00220BB8"/>
    <w:rsid w:val="002210F4"/>
    <w:rsid w:val="002212E8"/>
    <w:rsid w:val="00221615"/>
    <w:rsid w:val="0022162F"/>
    <w:rsid w:val="002216E0"/>
    <w:rsid w:val="0022178D"/>
    <w:rsid w:val="0022179D"/>
    <w:rsid w:val="0022185C"/>
    <w:rsid w:val="002218A2"/>
    <w:rsid w:val="002218A4"/>
    <w:rsid w:val="002219C4"/>
    <w:rsid w:val="00221DB6"/>
    <w:rsid w:val="00221ED8"/>
    <w:rsid w:val="0022223D"/>
    <w:rsid w:val="002227D9"/>
    <w:rsid w:val="00222A7E"/>
    <w:rsid w:val="00222B24"/>
    <w:rsid w:val="00222F82"/>
    <w:rsid w:val="00223142"/>
    <w:rsid w:val="002235F8"/>
    <w:rsid w:val="00223956"/>
    <w:rsid w:val="00223AD3"/>
    <w:rsid w:val="00223BA0"/>
    <w:rsid w:val="0022431D"/>
    <w:rsid w:val="002251C6"/>
    <w:rsid w:val="002254D0"/>
    <w:rsid w:val="00225793"/>
    <w:rsid w:val="00225967"/>
    <w:rsid w:val="002259F3"/>
    <w:rsid w:val="00225AF9"/>
    <w:rsid w:val="00226188"/>
    <w:rsid w:val="002264DD"/>
    <w:rsid w:val="00226C21"/>
    <w:rsid w:val="00226C84"/>
    <w:rsid w:val="002272CF"/>
    <w:rsid w:val="00227320"/>
    <w:rsid w:val="00227424"/>
    <w:rsid w:val="00227549"/>
    <w:rsid w:val="002276C4"/>
    <w:rsid w:val="00230033"/>
    <w:rsid w:val="002300BB"/>
    <w:rsid w:val="002309A7"/>
    <w:rsid w:val="00230CE2"/>
    <w:rsid w:val="002311B8"/>
    <w:rsid w:val="002314D5"/>
    <w:rsid w:val="00231664"/>
    <w:rsid w:val="00231949"/>
    <w:rsid w:val="00231B39"/>
    <w:rsid w:val="00231BFE"/>
    <w:rsid w:val="00231F22"/>
    <w:rsid w:val="00231FBD"/>
    <w:rsid w:val="0023231A"/>
    <w:rsid w:val="002324E8"/>
    <w:rsid w:val="00232763"/>
    <w:rsid w:val="00232A2E"/>
    <w:rsid w:val="00232FA9"/>
    <w:rsid w:val="00233082"/>
    <w:rsid w:val="00233180"/>
    <w:rsid w:val="00233474"/>
    <w:rsid w:val="00233674"/>
    <w:rsid w:val="002336C5"/>
    <w:rsid w:val="002339F0"/>
    <w:rsid w:val="00233D8E"/>
    <w:rsid w:val="00233E42"/>
    <w:rsid w:val="00233E7F"/>
    <w:rsid w:val="00234110"/>
    <w:rsid w:val="00234437"/>
    <w:rsid w:val="002349CF"/>
    <w:rsid w:val="002349ED"/>
    <w:rsid w:val="00234F4A"/>
    <w:rsid w:val="0023538F"/>
    <w:rsid w:val="00235518"/>
    <w:rsid w:val="002355D3"/>
    <w:rsid w:val="002358F8"/>
    <w:rsid w:val="00235AE2"/>
    <w:rsid w:val="00236294"/>
    <w:rsid w:val="002368F6"/>
    <w:rsid w:val="00236F99"/>
    <w:rsid w:val="0023716E"/>
    <w:rsid w:val="0023730D"/>
    <w:rsid w:val="0023731C"/>
    <w:rsid w:val="00237681"/>
    <w:rsid w:val="002377C2"/>
    <w:rsid w:val="002378CB"/>
    <w:rsid w:val="00237963"/>
    <w:rsid w:val="00240682"/>
    <w:rsid w:val="002406E0"/>
    <w:rsid w:val="00240D1D"/>
    <w:rsid w:val="0024119A"/>
    <w:rsid w:val="002414B9"/>
    <w:rsid w:val="00241A63"/>
    <w:rsid w:val="00241C3E"/>
    <w:rsid w:val="00241CF4"/>
    <w:rsid w:val="00241E2B"/>
    <w:rsid w:val="00241E82"/>
    <w:rsid w:val="00241FB3"/>
    <w:rsid w:val="00242439"/>
    <w:rsid w:val="00242A5F"/>
    <w:rsid w:val="00242BC3"/>
    <w:rsid w:val="00242C51"/>
    <w:rsid w:val="00242D3A"/>
    <w:rsid w:val="00242D74"/>
    <w:rsid w:val="002434A9"/>
    <w:rsid w:val="00243535"/>
    <w:rsid w:val="0024442A"/>
    <w:rsid w:val="00244709"/>
    <w:rsid w:val="00244AE7"/>
    <w:rsid w:val="002452CA"/>
    <w:rsid w:val="00245571"/>
    <w:rsid w:val="00245DB2"/>
    <w:rsid w:val="00245F5B"/>
    <w:rsid w:val="002469EA"/>
    <w:rsid w:val="00246D63"/>
    <w:rsid w:val="00246DC2"/>
    <w:rsid w:val="0024709B"/>
    <w:rsid w:val="00247638"/>
    <w:rsid w:val="0024776A"/>
    <w:rsid w:val="0024778E"/>
    <w:rsid w:val="0024784E"/>
    <w:rsid w:val="002479A4"/>
    <w:rsid w:val="002479B9"/>
    <w:rsid w:val="00247BCC"/>
    <w:rsid w:val="00247D0F"/>
    <w:rsid w:val="00247F3C"/>
    <w:rsid w:val="002504FE"/>
    <w:rsid w:val="002508E0"/>
    <w:rsid w:val="00250A11"/>
    <w:rsid w:val="00250A2F"/>
    <w:rsid w:val="00250C9F"/>
    <w:rsid w:val="00251099"/>
    <w:rsid w:val="0025172B"/>
    <w:rsid w:val="00251984"/>
    <w:rsid w:val="00251A60"/>
    <w:rsid w:val="00251CDB"/>
    <w:rsid w:val="00251D1C"/>
    <w:rsid w:val="0025220B"/>
    <w:rsid w:val="002525C6"/>
    <w:rsid w:val="00252662"/>
    <w:rsid w:val="00252677"/>
    <w:rsid w:val="00252696"/>
    <w:rsid w:val="002528F9"/>
    <w:rsid w:val="00252B28"/>
    <w:rsid w:val="00252BAF"/>
    <w:rsid w:val="00252CF7"/>
    <w:rsid w:val="00252D36"/>
    <w:rsid w:val="002530F8"/>
    <w:rsid w:val="0025390E"/>
    <w:rsid w:val="002539B2"/>
    <w:rsid w:val="002539C0"/>
    <w:rsid w:val="00253E19"/>
    <w:rsid w:val="00253F11"/>
    <w:rsid w:val="002542CD"/>
    <w:rsid w:val="00254597"/>
    <w:rsid w:val="00254AD2"/>
    <w:rsid w:val="00254E63"/>
    <w:rsid w:val="0025508A"/>
    <w:rsid w:val="002551C0"/>
    <w:rsid w:val="002551D2"/>
    <w:rsid w:val="002554F4"/>
    <w:rsid w:val="0025560B"/>
    <w:rsid w:val="002557C7"/>
    <w:rsid w:val="00255A26"/>
    <w:rsid w:val="00255BC0"/>
    <w:rsid w:val="00256069"/>
    <w:rsid w:val="002562B9"/>
    <w:rsid w:val="00256495"/>
    <w:rsid w:val="002564EE"/>
    <w:rsid w:val="00256E1E"/>
    <w:rsid w:val="00256EE8"/>
    <w:rsid w:val="00257080"/>
    <w:rsid w:val="002577A0"/>
    <w:rsid w:val="00257DF6"/>
    <w:rsid w:val="00257FF2"/>
    <w:rsid w:val="002601E8"/>
    <w:rsid w:val="00260386"/>
    <w:rsid w:val="00260485"/>
    <w:rsid w:val="00260651"/>
    <w:rsid w:val="00260742"/>
    <w:rsid w:val="0026078A"/>
    <w:rsid w:val="002609BB"/>
    <w:rsid w:val="002610F3"/>
    <w:rsid w:val="00261261"/>
    <w:rsid w:val="00261279"/>
    <w:rsid w:val="002612E6"/>
    <w:rsid w:val="0026157A"/>
    <w:rsid w:val="0026187B"/>
    <w:rsid w:val="00261B90"/>
    <w:rsid w:val="00261C2C"/>
    <w:rsid w:val="0026201C"/>
    <w:rsid w:val="00262460"/>
    <w:rsid w:val="0026266D"/>
    <w:rsid w:val="0026278D"/>
    <w:rsid w:val="0026289F"/>
    <w:rsid w:val="00262EC5"/>
    <w:rsid w:val="002630DF"/>
    <w:rsid w:val="002636DB"/>
    <w:rsid w:val="002637FC"/>
    <w:rsid w:val="00263A57"/>
    <w:rsid w:val="00263DC4"/>
    <w:rsid w:val="00263E15"/>
    <w:rsid w:val="0026400C"/>
    <w:rsid w:val="00264679"/>
    <w:rsid w:val="00264A3D"/>
    <w:rsid w:val="00264A5E"/>
    <w:rsid w:val="00264B01"/>
    <w:rsid w:val="00265193"/>
    <w:rsid w:val="00265249"/>
    <w:rsid w:val="002652EE"/>
    <w:rsid w:val="002656F3"/>
    <w:rsid w:val="00265736"/>
    <w:rsid w:val="00265739"/>
    <w:rsid w:val="00265830"/>
    <w:rsid w:val="00265B2D"/>
    <w:rsid w:val="00265B74"/>
    <w:rsid w:val="00265CF4"/>
    <w:rsid w:val="00265D82"/>
    <w:rsid w:val="002660E7"/>
    <w:rsid w:val="0026610C"/>
    <w:rsid w:val="00266436"/>
    <w:rsid w:val="002665F7"/>
    <w:rsid w:val="002665F8"/>
    <w:rsid w:val="00266749"/>
    <w:rsid w:val="00266816"/>
    <w:rsid w:val="00266AE8"/>
    <w:rsid w:val="00266B7D"/>
    <w:rsid w:val="00266CF4"/>
    <w:rsid w:val="00266D0B"/>
    <w:rsid w:val="002674CE"/>
    <w:rsid w:val="0026790D"/>
    <w:rsid w:val="00267B57"/>
    <w:rsid w:val="00267F66"/>
    <w:rsid w:val="0027009D"/>
    <w:rsid w:val="00270562"/>
    <w:rsid w:val="002706AA"/>
    <w:rsid w:val="002708D5"/>
    <w:rsid w:val="00270C7F"/>
    <w:rsid w:val="002711E2"/>
    <w:rsid w:val="00271439"/>
    <w:rsid w:val="002724A5"/>
    <w:rsid w:val="00272916"/>
    <w:rsid w:val="00272C18"/>
    <w:rsid w:val="00272EF5"/>
    <w:rsid w:val="002736CA"/>
    <w:rsid w:val="0027391A"/>
    <w:rsid w:val="00273B49"/>
    <w:rsid w:val="00273C12"/>
    <w:rsid w:val="00273D39"/>
    <w:rsid w:val="00273D64"/>
    <w:rsid w:val="00273D8C"/>
    <w:rsid w:val="00274014"/>
    <w:rsid w:val="002741B7"/>
    <w:rsid w:val="00274470"/>
    <w:rsid w:val="00274500"/>
    <w:rsid w:val="00274787"/>
    <w:rsid w:val="00274B2C"/>
    <w:rsid w:val="00274E5F"/>
    <w:rsid w:val="00275201"/>
    <w:rsid w:val="0027531C"/>
    <w:rsid w:val="00275977"/>
    <w:rsid w:val="00275D02"/>
    <w:rsid w:val="00275D19"/>
    <w:rsid w:val="002764A8"/>
    <w:rsid w:val="002765B4"/>
    <w:rsid w:val="00276C52"/>
    <w:rsid w:val="00276FA2"/>
    <w:rsid w:val="002770BA"/>
    <w:rsid w:val="002771EA"/>
    <w:rsid w:val="00277507"/>
    <w:rsid w:val="002776A7"/>
    <w:rsid w:val="002776F1"/>
    <w:rsid w:val="00277764"/>
    <w:rsid w:val="00277AC3"/>
    <w:rsid w:val="00277B59"/>
    <w:rsid w:val="00277D42"/>
    <w:rsid w:val="00277FE2"/>
    <w:rsid w:val="0028000B"/>
    <w:rsid w:val="00280129"/>
    <w:rsid w:val="002801BE"/>
    <w:rsid w:val="002803D4"/>
    <w:rsid w:val="0028055C"/>
    <w:rsid w:val="00280AFB"/>
    <w:rsid w:val="00280E19"/>
    <w:rsid w:val="00280EE2"/>
    <w:rsid w:val="0028121E"/>
    <w:rsid w:val="002812DE"/>
    <w:rsid w:val="0028150E"/>
    <w:rsid w:val="00281636"/>
    <w:rsid w:val="0028181E"/>
    <w:rsid w:val="00281A9D"/>
    <w:rsid w:val="00281C3B"/>
    <w:rsid w:val="00281D7B"/>
    <w:rsid w:val="0028228D"/>
    <w:rsid w:val="002822F7"/>
    <w:rsid w:val="002829AF"/>
    <w:rsid w:val="00282A0E"/>
    <w:rsid w:val="00282B45"/>
    <w:rsid w:val="0028325B"/>
    <w:rsid w:val="00283527"/>
    <w:rsid w:val="00283599"/>
    <w:rsid w:val="002835EB"/>
    <w:rsid w:val="00283EC1"/>
    <w:rsid w:val="00284188"/>
    <w:rsid w:val="00284219"/>
    <w:rsid w:val="002842B4"/>
    <w:rsid w:val="002846D2"/>
    <w:rsid w:val="00284D48"/>
    <w:rsid w:val="00285259"/>
    <w:rsid w:val="00285296"/>
    <w:rsid w:val="002854A2"/>
    <w:rsid w:val="002859E6"/>
    <w:rsid w:val="00286081"/>
    <w:rsid w:val="00286186"/>
    <w:rsid w:val="002861AF"/>
    <w:rsid w:val="00286A48"/>
    <w:rsid w:val="00286FA6"/>
    <w:rsid w:val="00287165"/>
    <w:rsid w:val="00287236"/>
    <w:rsid w:val="0028723D"/>
    <w:rsid w:val="00287749"/>
    <w:rsid w:val="00287F4C"/>
    <w:rsid w:val="0029009D"/>
    <w:rsid w:val="00290547"/>
    <w:rsid w:val="00290623"/>
    <w:rsid w:val="002908C3"/>
    <w:rsid w:val="00290921"/>
    <w:rsid w:val="00290D74"/>
    <w:rsid w:val="002913E1"/>
    <w:rsid w:val="00291B73"/>
    <w:rsid w:val="00291D28"/>
    <w:rsid w:val="00291D78"/>
    <w:rsid w:val="00291E7F"/>
    <w:rsid w:val="00291FFE"/>
    <w:rsid w:val="00292187"/>
    <w:rsid w:val="0029230C"/>
    <w:rsid w:val="0029270C"/>
    <w:rsid w:val="00292763"/>
    <w:rsid w:val="00293002"/>
    <w:rsid w:val="0029331F"/>
    <w:rsid w:val="00293377"/>
    <w:rsid w:val="002933D6"/>
    <w:rsid w:val="002933DF"/>
    <w:rsid w:val="002934DC"/>
    <w:rsid w:val="0029355C"/>
    <w:rsid w:val="00293838"/>
    <w:rsid w:val="002938B3"/>
    <w:rsid w:val="00293C73"/>
    <w:rsid w:val="00293E30"/>
    <w:rsid w:val="00294001"/>
    <w:rsid w:val="00294019"/>
    <w:rsid w:val="00294309"/>
    <w:rsid w:val="002946B9"/>
    <w:rsid w:val="00294888"/>
    <w:rsid w:val="002949D6"/>
    <w:rsid w:val="00294B4F"/>
    <w:rsid w:val="00294B9E"/>
    <w:rsid w:val="00295095"/>
    <w:rsid w:val="00295E02"/>
    <w:rsid w:val="00295F5D"/>
    <w:rsid w:val="0029601F"/>
    <w:rsid w:val="00296320"/>
    <w:rsid w:val="00296476"/>
    <w:rsid w:val="00296BB7"/>
    <w:rsid w:val="0029743E"/>
    <w:rsid w:val="002974BF"/>
    <w:rsid w:val="002977F4"/>
    <w:rsid w:val="00297BE8"/>
    <w:rsid w:val="00297C51"/>
    <w:rsid w:val="00297D2B"/>
    <w:rsid w:val="00297FD5"/>
    <w:rsid w:val="002A0DBF"/>
    <w:rsid w:val="002A11CD"/>
    <w:rsid w:val="002A1607"/>
    <w:rsid w:val="002A1668"/>
    <w:rsid w:val="002A187F"/>
    <w:rsid w:val="002A2116"/>
    <w:rsid w:val="002A285F"/>
    <w:rsid w:val="002A2D70"/>
    <w:rsid w:val="002A343D"/>
    <w:rsid w:val="002A348C"/>
    <w:rsid w:val="002A3624"/>
    <w:rsid w:val="002A3678"/>
    <w:rsid w:val="002A381F"/>
    <w:rsid w:val="002A3DBC"/>
    <w:rsid w:val="002A4297"/>
    <w:rsid w:val="002A462A"/>
    <w:rsid w:val="002A4F06"/>
    <w:rsid w:val="002A536A"/>
    <w:rsid w:val="002A5CFF"/>
    <w:rsid w:val="002A5E7F"/>
    <w:rsid w:val="002A5F7A"/>
    <w:rsid w:val="002A66F5"/>
    <w:rsid w:val="002A6760"/>
    <w:rsid w:val="002A698D"/>
    <w:rsid w:val="002A6CAB"/>
    <w:rsid w:val="002A6E34"/>
    <w:rsid w:val="002A71A3"/>
    <w:rsid w:val="002A77DD"/>
    <w:rsid w:val="002A7D24"/>
    <w:rsid w:val="002B02B6"/>
    <w:rsid w:val="002B02C9"/>
    <w:rsid w:val="002B0473"/>
    <w:rsid w:val="002B0504"/>
    <w:rsid w:val="002B055D"/>
    <w:rsid w:val="002B05D4"/>
    <w:rsid w:val="002B0A1C"/>
    <w:rsid w:val="002B0D00"/>
    <w:rsid w:val="002B118B"/>
    <w:rsid w:val="002B122F"/>
    <w:rsid w:val="002B138A"/>
    <w:rsid w:val="002B1646"/>
    <w:rsid w:val="002B1811"/>
    <w:rsid w:val="002B190B"/>
    <w:rsid w:val="002B1E21"/>
    <w:rsid w:val="002B22F8"/>
    <w:rsid w:val="002B24E1"/>
    <w:rsid w:val="002B25CB"/>
    <w:rsid w:val="002B2CA1"/>
    <w:rsid w:val="002B2D5E"/>
    <w:rsid w:val="002B316D"/>
    <w:rsid w:val="002B3201"/>
    <w:rsid w:val="002B37DA"/>
    <w:rsid w:val="002B3B31"/>
    <w:rsid w:val="002B400C"/>
    <w:rsid w:val="002B40E3"/>
    <w:rsid w:val="002B422A"/>
    <w:rsid w:val="002B4431"/>
    <w:rsid w:val="002B4693"/>
    <w:rsid w:val="002B48C2"/>
    <w:rsid w:val="002B4B8F"/>
    <w:rsid w:val="002B5037"/>
    <w:rsid w:val="002B51F5"/>
    <w:rsid w:val="002B5504"/>
    <w:rsid w:val="002B5A80"/>
    <w:rsid w:val="002B6141"/>
    <w:rsid w:val="002B6B28"/>
    <w:rsid w:val="002C0826"/>
    <w:rsid w:val="002C0985"/>
    <w:rsid w:val="002C0BEF"/>
    <w:rsid w:val="002C0D29"/>
    <w:rsid w:val="002C109F"/>
    <w:rsid w:val="002C157F"/>
    <w:rsid w:val="002C1817"/>
    <w:rsid w:val="002C18AD"/>
    <w:rsid w:val="002C1E64"/>
    <w:rsid w:val="002C201C"/>
    <w:rsid w:val="002C216E"/>
    <w:rsid w:val="002C21B6"/>
    <w:rsid w:val="002C23EF"/>
    <w:rsid w:val="002C27F3"/>
    <w:rsid w:val="002C298C"/>
    <w:rsid w:val="002C29D1"/>
    <w:rsid w:val="002C2B8C"/>
    <w:rsid w:val="002C2BF9"/>
    <w:rsid w:val="002C2C23"/>
    <w:rsid w:val="002C30D0"/>
    <w:rsid w:val="002C3122"/>
    <w:rsid w:val="002C31DD"/>
    <w:rsid w:val="002C340D"/>
    <w:rsid w:val="002C350A"/>
    <w:rsid w:val="002C3F27"/>
    <w:rsid w:val="002C459B"/>
    <w:rsid w:val="002C4A86"/>
    <w:rsid w:val="002C4DA2"/>
    <w:rsid w:val="002C4E4B"/>
    <w:rsid w:val="002C4E50"/>
    <w:rsid w:val="002C4FA3"/>
    <w:rsid w:val="002C5092"/>
    <w:rsid w:val="002C50F7"/>
    <w:rsid w:val="002C5187"/>
    <w:rsid w:val="002C5996"/>
    <w:rsid w:val="002C5F6E"/>
    <w:rsid w:val="002C653C"/>
    <w:rsid w:val="002C66A5"/>
    <w:rsid w:val="002C6A04"/>
    <w:rsid w:val="002C6B51"/>
    <w:rsid w:val="002C6F4F"/>
    <w:rsid w:val="002C6F6E"/>
    <w:rsid w:val="002C7014"/>
    <w:rsid w:val="002C7175"/>
    <w:rsid w:val="002C7621"/>
    <w:rsid w:val="002C7671"/>
    <w:rsid w:val="002C7A6E"/>
    <w:rsid w:val="002C7CC1"/>
    <w:rsid w:val="002C7ED6"/>
    <w:rsid w:val="002C7EFD"/>
    <w:rsid w:val="002D029A"/>
    <w:rsid w:val="002D0407"/>
    <w:rsid w:val="002D0480"/>
    <w:rsid w:val="002D0606"/>
    <w:rsid w:val="002D07BD"/>
    <w:rsid w:val="002D0C6C"/>
    <w:rsid w:val="002D0CC9"/>
    <w:rsid w:val="002D0D9F"/>
    <w:rsid w:val="002D0E1C"/>
    <w:rsid w:val="002D10E8"/>
    <w:rsid w:val="002D17C2"/>
    <w:rsid w:val="002D1888"/>
    <w:rsid w:val="002D19F7"/>
    <w:rsid w:val="002D1BA4"/>
    <w:rsid w:val="002D1E69"/>
    <w:rsid w:val="002D211F"/>
    <w:rsid w:val="002D2222"/>
    <w:rsid w:val="002D22FB"/>
    <w:rsid w:val="002D23D5"/>
    <w:rsid w:val="002D26E7"/>
    <w:rsid w:val="002D2918"/>
    <w:rsid w:val="002D2B2C"/>
    <w:rsid w:val="002D30B3"/>
    <w:rsid w:val="002D328A"/>
    <w:rsid w:val="002D3E79"/>
    <w:rsid w:val="002D4087"/>
    <w:rsid w:val="002D40C3"/>
    <w:rsid w:val="002D512D"/>
    <w:rsid w:val="002D550F"/>
    <w:rsid w:val="002D5790"/>
    <w:rsid w:val="002D5A48"/>
    <w:rsid w:val="002D5E76"/>
    <w:rsid w:val="002D5F18"/>
    <w:rsid w:val="002D6296"/>
    <w:rsid w:val="002D659B"/>
    <w:rsid w:val="002D666A"/>
    <w:rsid w:val="002D683A"/>
    <w:rsid w:val="002D69FC"/>
    <w:rsid w:val="002D6B72"/>
    <w:rsid w:val="002D6D39"/>
    <w:rsid w:val="002D6FD7"/>
    <w:rsid w:val="002D72DF"/>
    <w:rsid w:val="002D7306"/>
    <w:rsid w:val="002D748D"/>
    <w:rsid w:val="002D7D04"/>
    <w:rsid w:val="002D7E68"/>
    <w:rsid w:val="002E0082"/>
    <w:rsid w:val="002E058F"/>
    <w:rsid w:val="002E0617"/>
    <w:rsid w:val="002E0925"/>
    <w:rsid w:val="002E09EC"/>
    <w:rsid w:val="002E0D51"/>
    <w:rsid w:val="002E16BA"/>
    <w:rsid w:val="002E1772"/>
    <w:rsid w:val="002E1808"/>
    <w:rsid w:val="002E1DF6"/>
    <w:rsid w:val="002E2818"/>
    <w:rsid w:val="002E300F"/>
    <w:rsid w:val="002E3DAA"/>
    <w:rsid w:val="002E47B9"/>
    <w:rsid w:val="002E495B"/>
    <w:rsid w:val="002E53E0"/>
    <w:rsid w:val="002E5A13"/>
    <w:rsid w:val="002E5C94"/>
    <w:rsid w:val="002E5FED"/>
    <w:rsid w:val="002E615D"/>
    <w:rsid w:val="002E61E6"/>
    <w:rsid w:val="002E67C3"/>
    <w:rsid w:val="002E6851"/>
    <w:rsid w:val="002E6907"/>
    <w:rsid w:val="002E6916"/>
    <w:rsid w:val="002E6B2D"/>
    <w:rsid w:val="002E6CC7"/>
    <w:rsid w:val="002E7220"/>
    <w:rsid w:val="002E7BDC"/>
    <w:rsid w:val="002E7D35"/>
    <w:rsid w:val="002E7DD9"/>
    <w:rsid w:val="002E7E02"/>
    <w:rsid w:val="002F020F"/>
    <w:rsid w:val="002F08A7"/>
    <w:rsid w:val="002F0999"/>
    <w:rsid w:val="002F0B40"/>
    <w:rsid w:val="002F0BFE"/>
    <w:rsid w:val="002F1AC3"/>
    <w:rsid w:val="002F1E10"/>
    <w:rsid w:val="002F1E9E"/>
    <w:rsid w:val="002F1EBE"/>
    <w:rsid w:val="002F23EF"/>
    <w:rsid w:val="002F2404"/>
    <w:rsid w:val="002F25E1"/>
    <w:rsid w:val="002F272E"/>
    <w:rsid w:val="002F278B"/>
    <w:rsid w:val="002F2A64"/>
    <w:rsid w:val="002F2B19"/>
    <w:rsid w:val="002F2B88"/>
    <w:rsid w:val="002F2F47"/>
    <w:rsid w:val="002F33C4"/>
    <w:rsid w:val="002F3C17"/>
    <w:rsid w:val="002F3EC7"/>
    <w:rsid w:val="002F4C2F"/>
    <w:rsid w:val="002F4DCA"/>
    <w:rsid w:val="002F4FA7"/>
    <w:rsid w:val="002F5538"/>
    <w:rsid w:val="002F5588"/>
    <w:rsid w:val="002F5772"/>
    <w:rsid w:val="002F5779"/>
    <w:rsid w:val="002F6032"/>
    <w:rsid w:val="002F60D8"/>
    <w:rsid w:val="002F613E"/>
    <w:rsid w:val="002F62F7"/>
    <w:rsid w:val="002F6378"/>
    <w:rsid w:val="002F667D"/>
    <w:rsid w:val="002F669D"/>
    <w:rsid w:val="002F66C8"/>
    <w:rsid w:val="002F6AEE"/>
    <w:rsid w:val="002F6C17"/>
    <w:rsid w:val="002F7366"/>
    <w:rsid w:val="002F7AE1"/>
    <w:rsid w:val="003004AE"/>
    <w:rsid w:val="00300646"/>
    <w:rsid w:val="00300690"/>
    <w:rsid w:val="00300BFA"/>
    <w:rsid w:val="00300C12"/>
    <w:rsid w:val="00300C27"/>
    <w:rsid w:val="00300D25"/>
    <w:rsid w:val="00300D96"/>
    <w:rsid w:val="00300E6A"/>
    <w:rsid w:val="003013FF"/>
    <w:rsid w:val="00301498"/>
    <w:rsid w:val="00301678"/>
    <w:rsid w:val="00301767"/>
    <w:rsid w:val="0030178B"/>
    <w:rsid w:val="00301FF1"/>
    <w:rsid w:val="00302031"/>
    <w:rsid w:val="00302521"/>
    <w:rsid w:val="0030270D"/>
    <w:rsid w:val="00302B9E"/>
    <w:rsid w:val="00302C30"/>
    <w:rsid w:val="00302DEA"/>
    <w:rsid w:val="0030303F"/>
    <w:rsid w:val="00303333"/>
    <w:rsid w:val="00303513"/>
    <w:rsid w:val="00303A4F"/>
    <w:rsid w:val="00303BDC"/>
    <w:rsid w:val="00303DB8"/>
    <w:rsid w:val="0030405E"/>
    <w:rsid w:val="0030452B"/>
    <w:rsid w:val="0030455D"/>
    <w:rsid w:val="00304666"/>
    <w:rsid w:val="00304835"/>
    <w:rsid w:val="0030487D"/>
    <w:rsid w:val="00304B91"/>
    <w:rsid w:val="00304FB8"/>
    <w:rsid w:val="003051DB"/>
    <w:rsid w:val="00305892"/>
    <w:rsid w:val="00305957"/>
    <w:rsid w:val="00305E1F"/>
    <w:rsid w:val="003061CB"/>
    <w:rsid w:val="0030623C"/>
    <w:rsid w:val="00306842"/>
    <w:rsid w:val="00306958"/>
    <w:rsid w:val="00306A87"/>
    <w:rsid w:val="00306B2C"/>
    <w:rsid w:val="0030702F"/>
    <w:rsid w:val="003070F7"/>
    <w:rsid w:val="00307153"/>
    <w:rsid w:val="0030796F"/>
    <w:rsid w:val="00307D41"/>
    <w:rsid w:val="00307D93"/>
    <w:rsid w:val="00310063"/>
    <w:rsid w:val="003100FD"/>
    <w:rsid w:val="0031067F"/>
    <w:rsid w:val="00311013"/>
    <w:rsid w:val="00311152"/>
    <w:rsid w:val="00311186"/>
    <w:rsid w:val="003113C0"/>
    <w:rsid w:val="003116E8"/>
    <w:rsid w:val="003116E9"/>
    <w:rsid w:val="003117B1"/>
    <w:rsid w:val="00311851"/>
    <w:rsid w:val="00311AAA"/>
    <w:rsid w:val="00311E0B"/>
    <w:rsid w:val="003121B8"/>
    <w:rsid w:val="003122E3"/>
    <w:rsid w:val="003125B7"/>
    <w:rsid w:val="003126D8"/>
    <w:rsid w:val="003129FE"/>
    <w:rsid w:val="00312BE0"/>
    <w:rsid w:val="00312E0C"/>
    <w:rsid w:val="00312EC5"/>
    <w:rsid w:val="00312F98"/>
    <w:rsid w:val="00313119"/>
    <w:rsid w:val="003131B9"/>
    <w:rsid w:val="00313341"/>
    <w:rsid w:val="0031341A"/>
    <w:rsid w:val="00313A5F"/>
    <w:rsid w:val="00313C49"/>
    <w:rsid w:val="0031426C"/>
    <w:rsid w:val="0031454E"/>
    <w:rsid w:val="003145E4"/>
    <w:rsid w:val="003149E2"/>
    <w:rsid w:val="00314F8B"/>
    <w:rsid w:val="00315781"/>
    <w:rsid w:val="00315A8A"/>
    <w:rsid w:val="00315B33"/>
    <w:rsid w:val="00315E92"/>
    <w:rsid w:val="003160D7"/>
    <w:rsid w:val="003165F7"/>
    <w:rsid w:val="003166A8"/>
    <w:rsid w:val="00316759"/>
    <w:rsid w:val="0031697D"/>
    <w:rsid w:val="003169A3"/>
    <w:rsid w:val="00316D5C"/>
    <w:rsid w:val="00316DDA"/>
    <w:rsid w:val="00316EBC"/>
    <w:rsid w:val="00316F22"/>
    <w:rsid w:val="003172E1"/>
    <w:rsid w:val="00317430"/>
    <w:rsid w:val="00317BA8"/>
    <w:rsid w:val="00317C77"/>
    <w:rsid w:val="00317C9E"/>
    <w:rsid w:val="00317D3C"/>
    <w:rsid w:val="00317DC6"/>
    <w:rsid w:val="00317F0D"/>
    <w:rsid w:val="00317F2F"/>
    <w:rsid w:val="00317F7C"/>
    <w:rsid w:val="00320102"/>
    <w:rsid w:val="00320651"/>
    <w:rsid w:val="00320923"/>
    <w:rsid w:val="003210FA"/>
    <w:rsid w:val="0032142C"/>
    <w:rsid w:val="00321527"/>
    <w:rsid w:val="00321A47"/>
    <w:rsid w:val="00321DC5"/>
    <w:rsid w:val="00322382"/>
    <w:rsid w:val="003223DA"/>
    <w:rsid w:val="00322433"/>
    <w:rsid w:val="00322462"/>
    <w:rsid w:val="0032263A"/>
    <w:rsid w:val="0032276E"/>
    <w:rsid w:val="003228CB"/>
    <w:rsid w:val="003229EC"/>
    <w:rsid w:val="00322CF5"/>
    <w:rsid w:val="003232D1"/>
    <w:rsid w:val="0032342F"/>
    <w:rsid w:val="00323533"/>
    <w:rsid w:val="00323ECC"/>
    <w:rsid w:val="00324111"/>
    <w:rsid w:val="00324162"/>
    <w:rsid w:val="003243CE"/>
    <w:rsid w:val="0032444A"/>
    <w:rsid w:val="00324582"/>
    <w:rsid w:val="0032466A"/>
    <w:rsid w:val="003248AA"/>
    <w:rsid w:val="00324A87"/>
    <w:rsid w:val="00324C63"/>
    <w:rsid w:val="00324D7D"/>
    <w:rsid w:val="00325292"/>
    <w:rsid w:val="00325395"/>
    <w:rsid w:val="00325576"/>
    <w:rsid w:val="00325B64"/>
    <w:rsid w:val="00325C41"/>
    <w:rsid w:val="00325D3E"/>
    <w:rsid w:val="00325E85"/>
    <w:rsid w:val="00325F83"/>
    <w:rsid w:val="003265F4"/>
    <w:rsid w:val="00327069"/>
    <w:rsid w:val="003272D6"/>
    <w:rsid w:val="00327457"/>
    <w:rsid w:val="00327476"/>
    <w:rsid w:val="003275F1"/>
    <w:rsid w:val="0032774E"/>
    <w:rsid w:val="00327A5F"/>
    <w:rsid w:val="00327F83"/>
    <w:rsid w:val="003302DF"/>
    <w:rsid w:val="00330640"/>
    <w:rsid w:val="00330655"/>
    <w:rsid w:val="003313F2"/>
    <w:rsid w:val="00331524"/>
    <w:rsid w:val="003315AE"/>
    <w:rsid w:val="003316FA"/>
    <w:rsid w:val="00332462"/>
    <w:rsid w:val="00332704"/>
    <w:rsid w:val="00332ADB"/>
    <w:rsid w:val="00332B8F"/>
    <w:rsid w:val="00333841"/>
    <w:rsid w:val="003343DE"/>
    <w:rsid w:val="00335205"/>
    <w:rsid w:val="0033560D"/>
    <w:rsid w:val="00335A5F"/>
    <w:rsid w:val="00335D7A"/>
    <w:rsid w:val="00335F09"/>
    <w:rsid w:val="00336169"/>
    <w:rsid w:val="00336247"/>
    <w:rsid w:val="0033647B"/>
    <w:rsid w:val="003365D7"/>
    <w:rsid w:val="00336992"/>
    <w:rsid w:val="00336B57"/>
    <w:rsid w:val="00336EE1"/>
    <w:rsid w:val="003373FA"/>
    <w:rsid w:val="003374A5"/>
    <w:rsid w:val="00337529"/>
    <w:rsid w:val="003378F7"/>
    <w:rsid w:val="003379EB"/>
    <w:rsid w:val="00337F6F"/>
    <w:rsid w:val="00337FB8"/>
    <w:rsid w:val="0034045D"/>
    <w:rsid w:val="003405DF"/>
    <w:rsid w:val="00340733"/>
    <w:rsid w:val="00340911"/>
    <w:rsid w:val="00340F30"/>
    <w:rsid w:val="003413EA"/>
    <w:rsid w:val="00341524"/>
    <w:rsid w:val="003420F2"/>
    <w:rsid w:val="00342590"/>
    <w:rsid w:val="00342A8D"/>
    <w:rsid w:val="00342DCF"/>
    <w:rsid w:val="003434C1"/>
    <w:rsid w:val="00343551"/>
    <w:rsid w:val="00344565"/>
    <w:rsid w:val="0034467A"/>
    <w:rsid w:val="00344741"/>
    <w:rsid w:val="0034474A"/>
    <w:rsid w:val="00344BD2"/>
    <w:rsid w:val="00344E92"/>
    <w:rsid w:val="00344EEA"/>
    <w:rsid w:val="00345043"/>
    <w:rsid w:val="0034510C"/>
    <w:rsid w:val="003454DD"/>
    <w:rsid w:val="00345B3F"/>
    <w:rsid w:val="0034663B"/>
    <w:rsid w:val="00346B3C"/>
    <w:rsid w:val="00346D8F"/>
    <w:rsid w:val="00346F5A"/>
    <w:rsid w:val="00347012"/>
    <w:rsid w:val="003470B4"/>
    <w:rsid w:val="00347761"/>
    <w:rsid w:val="00347BA9"/>
    <w:rsid w:val="00350451"/>
    <w:rsid w:val="00350A71"/>
    <w:rsid w:val="00350D4C"/>
    <w:rsid w:val="00351170"/>
    <w:rsid w:val="0035166B"/>
    <w:rsid w:val="00351C81"/>
    <w:rsid w:val="00352499"/>
    <w:rsid w:val="00352863"/>
    <w:rsid w:val="003528B5"/>
    <w:rsid w:val="00352AD3"/>
    <w:rsid w:val="00352F8E"/>
    <w:rsid w:val="00352FCF"/>
    <w:rsid w:val="00353147"/>
    <w:rsid w:val="003532A6"/>
    <w:rsid w:val="00353318"/>
    <w:rsid w:val="00353909"/>
    <w:rsid w:val="00353ACA"/>
    <w:rsid w:val="00353B7E"/>
    <w:rsid w:val="00353F37"/>
    <w:rsid w:val="0035402B"/>
    <w:rsid w:val="00354443"/>
    <w:rsid w:val="00354CD5"/>
    <w:rsid w:val="00354E31"/>
    <w:rsid w:val="00354F11"/>
    <w:rsid w:val="0035500F"/>
    <w:rsid w:val="00355772"/>
    <w:rsid w:val="003559EA"/>
    <w:rsid w:val="00355DB0"/>
    <w:rsid w:val="00355DBF"/>
    <w:rsid w:val="00355F23"/>
    <w:rsid w:val="003561B8"/>
    <w:rsid w:val="00356260"/>
    <w:rsid w:val="0035628B"/>
    <w:rsid w:val="0035666F"/>
    <w:rsid w:val="0035679D"/>
    <w:rsid w:val="00356841"/>
    <w:rsid w:val="00356CE1"/>
    <w:rsid w:val="00356ED7"/>
    <w:rsid w:val="00357114"/>
    <w:rsid w:val="00357588"/>
    <w:rsid w:val="003577A5"/>
    <w:rsid w:val="00357C68"/>
    <w:rsid w:val="0036011E"/>
    <w:rsid w:val="00360375"/>
    <w:rsid w:val="00360714"/>
    <w:rsid w:val="00360928"/>
    <w:rsid w:val="00360C33"/>
    <w:rsid w:val="00360DE2"/>
    <w:rsid w:val="00360ECE"/>
    <w:rsid w:val="00361272"/>
    <w:rsid w:val="00361522"/>
    <w:rsid w:val="003617E9"/>
    <w:rsid w:val="00361AAA"/>
    <w:rsid w:val="00361AFB"/>
    <w:rsid w:val="00362333"/>
    <w:rsid w:val="00362373"/>
    <w:rsid w:val="003626EA"/>
    <w:rsid w:val="00362BA1"/>
    <w:rsid w:val="00362F33"/>
    <w:rsid w:val="003635F6"/>
    <w:rsid w:val="00363A81"/>
    <w:rsid w:val="00363B34"/>
    <w:rsid w:val="00363B51"/>
    <w:rsid w:val="00363DEE"/>
    <w:rsid w:val="00363EEE"/>
    <w:rsid w:val="00364032"/>
    <w:rsid w:val="00364670"/>
    <w:rsid w:val="0036508B"/>
    <w:rsid w:val="00365118"/>
    <w:rsid w:val="0036524A"/>
    <w:rsid w:val="00365F9C"/>
    <w:rsid w:val="00366186"/>
    <w:rsid w:val="00366238"/>
    <w:rsid w:val="00366543"/>
    <w:rsid w:val="0036677B"/>
    <w:rsid w:val="0036688C"/>
    <w:rsid w:val="00366F22"/>
    <w:rsid w:val="00367395"/>
    <w:rsid w:val="0036777E"/>
    <w:rsid w:val="00367990"/>
    <w:rsid w:val="00367DF1"/>
    <w:rsid w:val="003701D9"/>
    <w:rsid w:val="003703D6"/>
    <w:rsid w:val="0037040D"/>
    <w:rsid w:val="003708A7"/>
    <w:rsid w:val="0037140F"/>
    <w:rsid w:val="00372100"/>
    <w:rsid w:val="0037223B"/>
    <w:rsid w:val="00372468"/>
    <w:rsid w:val="00372475"/>
    <w:rsid w:val="0037248B"/>
    <w:rsid w:val="00372605"/>
    <w:rsid w:val="003726C1"/>
    <w:rsid w:val="003727F6"/>
    <w:rsid w:val="00372ACF"/>
    <w:rsid w:val="00372DCB"/>
    <w:rsid w:val="00373151"/>
    <w:rsid w:val="00373294"/>
    <w:rsid w:val="003734EE"/>
    <w:rsid w:val="003737C0"/>
    <w:rsid w:val="00373A77"/>
    <w:rsid w:val="00373B0D"/>
    <w:rsid w:val="00373CF0"/>
    <w:rsid w:val="00373E66"/>
    <w:rsid w:val="00373F12"/>
    <w:rsid w:val="00374107"/>
    <w:rsid w:val="00374317"/>
    <w:rsid w:val="003744C9"/>
    <w:rsid w:val="00374655"/>
    <w:rsid w:val="0037521B"/>
    <w:rsid w:val="0037535E"/>
    <w:rsid w:val="00375454"/>
    <w:rsid w:val="003759CE"/>
    <w:rsid w:val="00375AE9"/>
    <w:rsid w:val="00375BB0"/>
    <w:rsid w:val="003762B3"/>
    <w:rsid w:val="003762C2"/>
    <w:rsid w:val="003771B4"/>
    <w:rsid w:val="00377379"/>
    <w:rsid w:val="00377460"/>
    <w:rsid w:val="003776B8"/>
    <w:rsid w:val="003778D9"/>
    <w:rsid w:val="0037792D"/>
    <w:rsid w:val="003779C3"/>
    <w:rsid w:val="00377CC6"/>
    <w:rsid w:val="0038031E"/>
    <w:rsid w:val="003805D1"/>
    <w:rsid w:val="00380BC8"/>
    <w:rsid w:val="00380DD8"/>
    <w:rsid w:val="0038103B"/>
    <w:rsid w:val="0038113C"/>
    <w:rsid w:val="0038139F"/>
    <w:rsid w:val="00381C53"/>
    <w:rsid w:val="00381E75"/>
    <w:rsid w:val="0038217C"/>
    <w:rsid w:val="0038229E"/>
    <w:rsid w:val="00382311"/>
    <w:rsid w:val="00382729"/>
    <w:rsid w:val="00382CE0"/>
    <w:rsid w:val="003832DB"/>
    <w:rsid w:val="0038333B"/>
    <w:rsid w:val="00383999"/>
    <w:rsid w:val="00383AEB"/>
    <w:rsid w:val="00383AF2"/>
    <w:rsid w:val="00383DB0"/>
    <w:rsid w:val="00383FC4"/>
    <w:rsid w:val="00384101"/>
    <w:rsid w:val="003842E0"/>
    <w:rsid w:val="0038464F"/>
    <w:rsid w:val="003846CD"/>
    <w:rsid w:val="00384807"/>
    <w:rsid w:val="003848E8"/>
    <w:rsid w:val="0038494D"/>
    <w:rsid w:val="00384A2B"/>
    <w:rsid w:val="00385C0A"/>
    <w:rsid w:val="00385CF6"/>
    <w:rsid w:val="00385D82"/>
    <w:rsid w:val="00385E6F"/>
    <w:rsid w:val="00385FD8"/>
    <w:rsid w:val="00385FFB"/>
    <w:rsid w:val="0038600B"/>
    <w:rsid w:val="003869C6"/>
    <w:rsid w:val="00386BC5"/>
    <w:rsid w:val="00387A85"/>
    <w:rsid w:val="00387B10"/>
    <w:rsid w:val="003900D2"/>
    <w:rsid w:val="0039030A"/>
    <w:rsid w:val="00390493"/>
    <w:rsid w:val="00390575"/>
    <w:rsid w:val="003908B8"/>
    <w:rsid w:val="00390984"/>
    <w:rsid w:val="00390B1B"/>
    <w:rsid w:val="00390DCB"/>
    <w:rsid w:val="00390FEA"/>
    <w:rsid w:val="00391232"/>
    <w:rsid w:val="00391B3B"/>
    <w:rsid w:val="00391D38"/>
    <w:rsid w:val="0039211A"/>
    <w:rsid w:val="0039241B"/>
    <w:rsid w:val="00392713"/>
    <w:rsid w:val="00392948"/>
    <w:rsid w:val="00392B55"/>
    <w:rsid w:val="00392B5A"/>
    <w:rsid w:val="00392C84"/>
    <w:rsid w:val="00392CDD"/>
    <w:rsid w:val="00393167"/>
    <w:rsid w:val="003933A8"/>
    <w:rsid w:val="003934EA"/>
    <w:rsid w:val="00393567"/>
    <w:rsid w:val="0039356D"/>
    <w:rsid w:val="003937A8"/>
    <w:rsid w:val="00393B66"/>
    <w:rsid w:val="00394D69"/>
    <w:rsid w:val="00394E50"/>
    <w:rsid w:val="0039503A"/>
    <w:rsid w:val="00395135"/>
    <w:rsid w:val="003958D7"/>
    <w:rsid w:val="00395CE9"/>
    <w:rsid w:val="00395D64"/>
    <w:rsid w:val="0039604C"/>
    <w:rsid w:val="003960D4"/>
    <w:rsid w:val="003963F2"/>
    <w:rsid w:val="0039680F"/>
    <w:rsid w:val="00396AC0"/>
    <w:rsid w:val="00396AEA"/>
    <w:rsid w:val="00396C09"/>
    <w:rsid w:val="00396C54"/>
    <w:rsid w:val="00396D31"/>
    <w:rsid w:val="00396FB0"/>
    <w:rsid w:val="00397379"/>
    <w:rsid w:val="0039753B"/>
    <w:rsid w:val="003977E2"/>
    <w:rsid w:val="00397B76"/>
    <w:rsid w:val="00397CF1"/>
    <w:rsid w:val="003A027F"/>
    <w:rsid w:val="003A03D9"/>
    <w:rsid w:val="003A0415"/>
    <w:rsid w:val="003A0438"/>
    <w:rsid w:val="003A0533"/>
    <w:rsid w:val="003A07D0"/>
    <w:rsid w:val="003A0B63"/>
    <w:rsid w:val="003A0E17"/>
    <w:rsid w:val="003A1352"/>
    <w:rsid w:val="003A14FC"/>
    <w:rsid w:val="003A17E5"/>
    <w:rsid w:val="003A1A21"/>
    <w:rsid w:val="003A1D91"/>
    <w:rsid w:val="003A1FA6"/>
    <w:rsid w:val="003A2331"/>
    <w:rsid w:val="003A23EF"/>
    <w:rsid w:val="003A2877"/>
    <w:rsid w:val="003A2A86"/>
    <w:rsid w:val="003A2B97"/>
    <w:rsid w:val="003A2CBC"/>
    <w:rsid w:val="003A3B71"/>
    <w:rsid w:val="003A4581"/>
    <w:rsid w:val="003A4A96"/>
    <w:rsid w:val="003A4AF3"/>
    <w:rsid w:val="003A4C92"/>
    <w:rsid w:val="003A4EF6"/>
    <w:rsid w:val="003A511F"/>
    <w:rsid w:val="003A52D9"/>
    <w:rsid w:val="003A53FE"/>
    <w:rsid w:val="003A5522"/>
    <w:rsid w:val="003A5902"/>
    <w:rsid w:val="003A5ACB"/>
    <w:rsid w:val="003A5B1C"/>
    <w:rsid w:val="003A5B9E"/>
    <w:rsid w:val="003A5F5A"/>
    <w:rsid w:val="003A5FBA"/>
    <w:rsid w:val="003A61C2"/>
    <w:rsid w:val="003A61C5"/>
    <w:rsid w:val="003A652C"/>
    <w:rsid w:val="003A66C1"/>
    <w:rsid w:val="003A6860"/>
    <w:rsid w:val="003A6A40"/>
    <w:rsid w:val="003A6BAB"/>
    <w:rsid w:val="003A71E6"/>
    <w:rsid w:val="003A74A3"/>
    <w:rsid w:val="003A7CCC"/>
    <w:rsid w:val="003A7CF9"/>
    <w:rsid w:val="003B00C2"/>
    <w:rsid w:val="003B0174"/>
    <w:rsid w:val="003B03E1"/>
    <w:rsid w:val="003B07B3"/>
    <w:rsid w:val="003B0918"/>
    <w:rsid w:val="003B0AEC"/>
    <w:rsid w:val="003B0DD1"/>
    <w:rsid w:val="003B0ED6"/>
    <w:rsid w:val="003B12EF"/>
    <w:rsid w:val="003B14E3"/>
    <w:rsid w:val="003B1698"/>
    <w:rsid w:val="003B1861"/>
    <w:rsid w:val="003B190B"/>
    <w:rsid w:val="003B1C2D"/>
    <w:rsid w:val="003B1C34"/>
    <w:rsid w:val="003B2164"/>
    <w:rsid w:val="003B25E5"/>
    <w:rsid w:val="003B2816"/>
    <w:rsid w:val="003B2901"/>
    <w:rsid w:val="003B2B28"/>
    <w:rsid w:val="003B2D76"/>
    <w:rsid w:val="003B3220"/>
    <w:rsid w:val="003B328D"/>
    <w:rsid w:val="003B39BE"/>
    <w:rsid w:val="003B3A8D"/>
    <w:rsid w:val="003B3C6D"/>
    <w:rsid w:val="003B3E95"/>
    <w:rsid w:val="003B4422"/>
    <w:rsid w:val="003B45AE"/>
    <w:rsid w:val="003B47B1"/>
    <w:rsid w:val="003B482B"/>
    <w:rsid w:val="003B48D5"/>
    <w:rsid w:val="003B4A5D"/>
    <w:rsid w:val="003B4A7A"/>
    <w:rsid w:val="003B4B20"/>
    <w:rsid w:val="003B4CDD"/>
    <w:rsid w:val="003B5133"/>
    <w:rsid w:val="003B515D"/>
    <w:rsid w:val="003B59BE"/>
    <w:rsid w:val="003B5B99"/>
    <w:rsid w:val="003B5B9E"/>
    <w:rsid w:val="003B5DC3"/>
    <w:rsid w:val="003B674C"/>
    <w:rsid w:val="003B6A06"/>
    <w:rsid w:val="003B6A60"/>
    <w:rsid w:val="003B6DC7"/>
    <w:rsid w:val="003B6E7F"/>
    <w:rsid w:val="003B6E95"/>
    <w:rsid w:val="003B7723"/>
    <w:rsid w:val="003B7847"/>
    <w:rsid w:val="003B7DC4"/>
    <w:rsid w:val="003B7E2D"/>
    <w:rsid w:val="003C0658"/>
    <w:rsid w:val="003C09DC"/>
    <w:rsid w:val="003C0EAD"/>
    <w:rsid w:val="003C0F27"/>
    <w:rsid w:val="003C135C"/>
    <w:rsid w:val="003C1375"/>
    <w:rsid w:val="003C14BD"/>
    <w:rsid w:val="003C14FD"/>
    <w:rsid w:val="003C16A6"/>
    <w:rsid w:val="003C1A48"/>
    <w:rsid w:val="003C1DBA"/>
    <w:rsid w:val="003C20E3"/>
    <w:rsid w:val="003C2147"/>
    <w:rsid w:val="003C23C0"/>
    <w:rsid w:val="003C2520"/>
    <w:rsid w:val="003C254C"/>
    <w:rsid w:val="003C28F8"/>
    <w:rsid w:val="003C294E"/>
    <w:rsid w:val="003C2F8B"/>
    <w:rsid w:val="003C30C4"/>
    <w:rsid w:val="003C3310"/>
    <w:rsid w:val="003C3333"/>
    <w:rsid w:val="003C353F"/>
    <w:rsid w:val="003C3E6F"/>
    <w:rsid w:val="003C3F4D"/>
    <w:rsid w:val="003C416A"/>
    <w:rsid w:val="003C50E3"/>
    <w:rsid w:val="003C5135"/>
    <w:rsid w:val="003C59B9"/>
    <w:rsid w:val="003C5DA5"/>
    <w:rsid w:val="003C5ED6"/>
    <w:rsid w:val="003C5EEE"/>
    <w:rsid w:val="003C638B"/>
    <w:rsid w:val="003C6549"/>
    <w:rsid w:val="003C665F"/>
    <w:rsid w:val="003C676E"/>
    <w:rsid w:val="003C67EA"/>
    <w:rsid w:val="003C6CC4"/>
    <w:rsid w:val="003C6DB8"/>
    <w:rsid w:val="003C6F30"/>
    <w:rsid w:val="003C73A6"/>
    <w:rsid w:val="003C73E7"/>
    <w:rsid w:val="003C7779"/>
    <w:rsid w:val="003C7785"/>
    <w:rsid w:val="003C77B4"/>
    <w:rsid w:val="003C790E"/>
    <w:rsid w:val="003C7A26"/>
    <w:rsid w:val="003C7BA2"/>
    <w:rsid w:val="003C7C11"/>
    <w:rsid w:val="003D037A"/>
    <w:rsid w:val="003D03E0"/>
    <w:rsid w:val="003D04E8"/>
    <w:rsid w:val="003D0699"/>
    <w:rsid w:val="003D08B0"/>
    <w:rsid w:val="003D09E1"/>
    <w:rsid w:val="003D0B03"/>
    <w:rsid w:val="003D0BEC"/>
    <w:rsid w:val="003D0F0B"/>
    <w:rsid w:val="003D11A9"/>
    <w:rsid w:val="003D12E0"/>
    <w:rsid w:val="003D12ED"/>
    <w:rsid w:val="003D1F22"/>
    <w:rsid w:val="003D2835"/>
    <w:rsid w:val="003D28F1"/>
    <w:rsid w:val="003D2DA7"/>
    <w:rsid w:val="003D2F5C"/>
    <w:rsid w:val="003D344E"/>
    <w:rsid w:val="003D38CE"/>
    <w:rsid w:val="003D3A51"/>
    <w:rsid w:val="003D3DCF"/>
    <w:rsid w:val="003D432F"/>
    <w:rsid w:val="003D4411"/>
    <w:rsid w:val="003D4548"/>
    <w:rsid w:val="003D4B83"/>
    <w:rsid w:val="003D5238"/>
    <w:rsid w:val="003D52F8"/>
    <w:rsid w:val="003D5782"/>
    <w:rsid w:val="003D59F4"/>
    <w:rsid w:val="003D5D37"/>
    <w:rsid w:val="003D5D7C"/>
    <w:rsid w:val="003D5E7B"/>
    <w:rsid w:val="003D5F4B"/>
    <w:rsid w:val="003D601A"/>
    <w:rsid w:val="003D6246"/>
    <w:rsid w:val="003D686F"/>
    <w:rsid w:val="003D6A64"/>
    <w:rsid w:val="003D759B"/>
    <w:rsid w:val="003D78A5"/>
    <w:rsid w:val="003D7F6E"/>
    <w:rsid w:val="003E0025"/>
    <w:rsid w:val="003E0337"/>
    <w:rsid w:val="003E033D"/>
    <w:rsid w:val="003E03BB"/>
    <w:rsid w:val="003E03DC"/>
    <w:rsid w:val="003E068B"/>
    <w:rsid w:val="003E07DF"/>
    <w:rsid w:val="003E0BCE"/>
    <w:rsid w:val="003E0D11"/>
    <w:rsid w:val="003E0F89"/>
    <w:rsid w:val="003E11E0"/>
    <w:rsid w:val="003E16C4"/>
    <w:rsid w:val="003E16FC"/>
    <w:rsid w:val="003E1C37"/>
    <w:rsid w:val="003E1D30"/>
    <w:rsid w:val="003E1EBB"/>
    <w:rsid w:val="003E205A"/>
    <w:rsid w:val="003E2C08"/>
    <w:rsid w:val="003E2CB5"/>
    <w:rsid w:val="003E2D84"/>
    <w:rsid w:val="003E341E"/>
    <w:rsid w:val="003E3D6A"/>
    <w:rsid w:val="003E3E72"/>
    <w:rsid w:val="003E416F"/>
    <w:rsid w:val="003E4220"/>
    <w:rsid w:val="003E42C4"/>
    <w:rsid w:val="003E42E8"/>
    <w:rsid w:val="003E44D4"/>
    <w:rsid w:val="003E4AAF"/>
    <w:rsid w:val="003E4D6D"/>
    <w:rsid w:val="003E4E42"/>
    <w:rsid w:val="003E51C3"/>
    <w:rsid w:val="003E5985"/>
    <w:rsid w:val="003E5CD0"/>
    <w:rsid w:val="003E5ED6"/>
    <w:rsid w:val="003E6044"/>
    <w:rsid w:val="003E6120"/>
    <w:rsid w:val="003E66BC"/>
    <w:rsid w:val="003E6725"/>
    <w:rsid w:val="003E6FCE"/>
    <w:rsid w:val="003E7143"/>
    <w:rsid w:val="003E72F7"/>
    <w:rsid w:val="003E7569"/>
    <w:rsid w:val="003E7693"/>
    <w:rsid w:val="003E76D9"/>
    <w:rsid w:val="003E771A"/>
    <w:rsid w:val="003E77BC"/>
    <w:rsid w:val="003E7A02"/>
    <w:rsid w:val="003E7BF6"/>
    <w:rsid w:val="003E7C51"/>
    <w:rsid w:val="003E7E1D"/>
    <w:rsid w:val="003E7FDA"/>
    <w:rsid w:val="003F06E0"/>
    <w:rsid w:val="003F0722"/>
    <w:rsid w:val="003F0957"/>
    <w:rsid w:val="003F0B64"/>
    <w:rsid w:val="003F0B80"/>
    <w:rsid w:val="003F0C86"/>
    <w:rsid w:val="003F12BD"/>
    <w:rsid w:val="003F1341"/>
    <w:rsid w:val="003F1352"/>
    <w:rsid w:val="003F1CB2"/>
    <w:rsid w:val="003F1F70"/>
    <w:rsid w:val="003F20FD"/>
    <w:rsid w:val="003F2580"/>
    <w:rsid w:val="003F2787"/>
    <w:rsid w:val="003F2BA5"/>
    <w:rsid w:val="003F2FB9"/>
    <w:rsid w:val="003F3257"/>
    <w:rsid w:val="003F32F0"/>
    <w:rsid w:val="003F33B9"/>
    <w:rsid w:val="003F34B5"/>
    <w:rsid w:val="003F34B7"/>
    <w:rsid w:val="003F365C"/>
    <w:rsid w:val="003F36DA"/>
    <w:rsid w:val="003F36E5"/>
    <w:rsid w:val="003F38DE"/>
    <w:rsid w:val="003F4ABF"/>
    <w:rsid w:val="003F4C65"/>
    <w:rsid w:val="003F4FD5"/>
    <w:rsid w:val="003F514D"/>
    <w:rsid w:val="003F5839"/>
    <w:rsid w:val="003F6175"/>
    <w:rsid w:val="003F66E5"/>
    <w:rsid w:val="003F66EB"/>
    <w:rsid w:val="003F6B2B"/>
    <w:rsid w:val="003F6CAC"/>
    <w:rsid w:val="003F702F"/>
    <w:rsid w:val="003F7347"/>
    <w:rsid w:val="003F76B0"/>
    <w:rsid w:val="003F76CB"/>
    <w:rsid w:val="003F7A55"/>
    <w:rsid w:val="003F7F61"/>
    <w:rsid w:val="0040000D"/>
    <w:rsid w:val="004000A1"/>
    <w:rsid w:val="004001FF"/>
    <w:rsid w:val="00400482"/>
    <w:rsid w:val="00400522"/>
    <w:rsid w:val="0040066B"/>
    <w:rsid w:val="004007A7"/>
    <w:rsid w:val="0040097D"/>
    <w:rsid w:val="00400A7F"/>
    <w:rsid w:val="00400CB6"/>
    <w:rsid w:val="00400DA4"/>
    <w:rsid w:val="00400EF8"/>
    <w:rsid w:val="0040107A"/>
    <w:rsid w:val="0040120C"/>
    <w:rsid w:val="004012B4"/>
    <w:rsid w:val="004014FF"/>
    <w:rsid w:val="00401798"/>
    <w:rsid w:val="004017C0"/>
    <w:rsid w:val="00401EA7"/>
    <w:rsid w:val="00402139"/>
    <w:rsid w:val="00402601"/>
    <w:rsid w:val="004026C5"/>
    <w:rsid w:val="004026D3"/>
    <w:rsid w:val="00402AC5"/>
    <w:rsid w:val="00402F9C"/>
    <w:rsid w:val="00403014"/>
    <w:rsid w:val="004036D0"/>
    <w:rsid w:val="00403D99"/>
    <w:rsid w:val="00403E1D"/>
    <w:rsid w:val="00404061"/>
    <w:rsid w:val="00404518"/>
    <w:rsid w:val="00404845"/>
    <w:rsid w:val="00404DFC"/>
    <w:rsid w:val="0040524C"/>
    <w:rsid w:val="00405258"/>
    <w:rsid w:val="0040563A"/>
    <w:rsid w:val="00405B50"/>
    <w:rsid w:val="00406144"/>
    <w:rsid w:val="004064FF"/>
    <w:rsid w:val="0040666D"/>
    <w:rsid w:val="00406786"/>
    <w:rsid w:val="004069E6"/>
    <w:rsid w:val="00406A98"/>
    <w:rsid w:val="00406B87"/>
    <w:rsid w:val="00406D3F"/>
    <w:rsid w:val="004078AB"/>
    <w:rsid w:val="00410263"/>
    <w:rsid w:val="0041038D"/>
    <w:rsid w:val="004103CB"/>
    <w:rsid w:val="004104FC"/>
    <w:rsid w:val="0041050B"/>
    <w:rsid w:val="00410B6B"/>
    <w:rsid w:val="00410FAC"/>
    <w:rsid w:val="0041107F"/>
    <w:rsid w:val="004111D3"/>
    <w:rsid w:val="004111F9"/>
    <w:rsid w:val="00411B3B"/>
    <w:rsid w:val="00411D7C"/>
    <w:rsid w:val="00412219"/>
    <w:rsid w:val="004122A9"/>
    <w:rsid w:val="00412319"/>
    <w:rsid w:val="00412476"/>
    <w:rsid w:val="00412B19"/>
    <w:rsid w:val="00413183"/>
    <w:rsid w:val="004135BD"/>
    <w:rsid w:val="00413712"/>
    <w:rsid w:val="004137CB"/>
    <w:rsid w:val="004138D7"/>
    <w:rsid w:val="00413AD3"/>
    <w:rsid w:val="00413FEB"/>
    <w:rsid w:val="00414162"/>
    <w:rsid w:val="00414BB1"/>
    <w:rsid w:val="00414E7B"/>
    <w:rsid w:val="00414EF6"/>
    <w:rsid w:val="00414F4F"/>
    <w:rsid w:val="0041536F"/>
    <w:rsid w:val="00415634"/>
    <w:rsid w:val="00415E52"/>
    <w:rsid w:val="00415F9B"/>
    <w:rsid w:val="004160BD"/>
    <w:rsid w:val="004164B9"/>
    <w:rsid w:val="0041657E"/>
    <w:rsid w:val="004167FC"/>
    <w:rsid w:val="0041713E"/>
    <w:rsid w:val="004172E9"/>
    <w:rsid w:val="004174CF"/>
    <w:rsid w:val="00417924"/>
    <w:rsid w:val="00417E5C"/>
    <w:rsid w:val="00417FC4"/>
    <w:rsid w:val="00417FD4"/>
    <w:rsid w:val="00420025"/>
    <w:rsid w:val="0042080C"/>
    <w:rsid w:val="0042086B"/>
    <w:rsid w:val="00420B88"/>
    <w:rsid w:val="0042110A"/>
    <w:rsid w:val="0042127C"/>
    <w:rsid w:val="004212BF"/>
    <w:rsid w:val="00421756"/>
    <w:rsid w:val="004218EF"/>
    <w:rsid w:val="0042195B"/>
    <w:rsid w:val="00421D71"/>
    <w:rsid w:val="00422054"/>
    <w:rsid w:val="0042217D"/>
    <w:rsid w:val="004221DA"/>
    <w:rsid w:val="00422304"/>
    <w:rsid w:val="00422642"/>
    <w:rsid w:val="00422EED"/>
    <w:rsid w:val="0042316A"/>
    <w:rsid w:val="00423230"/>
    <w:rsid w:val="0042382F"/>
    <w:rsid w:val="0042386C"/>
    <w:rsid w:val="00423B28"/>
    <w:rsid w:val="00423C94"/>
    <w:rsid w:val="00423DF5"/>
    <w:rsid w:val="00424007"/>
    <w:rsid w:val="00424156"/>
    <w:rsid w:val="00424499"/>
    <w:rsid w:val="0042467C"/>
    <w:rsid w:val="00424834"/>
    <w:rsid w:val="0042486F"/>
    <w:rsid w:val="004249F9"/>
    <w:rsid w:val="00425331"/>
    <w:rsid w:val="0042564B"/>
    <w:rsid w:val="00425770"/>
    <w:rsid w:val="00425818"/>
    <w:rsid w:val="004258A8"/>
    <w:rsid w:val="004258D7"/>
    <w:rsid w:val="00425BBC"/>
    <w:rsid w:val="00425E07"/>
    <w:rsid w:val="00426200"/>
    <w:rsid w:val="00426469"/>
    <w:rsid w:val="0042664D"/>
    <w:rsid w:val="00426752"/>
    <w:rsid w:val="00426B0A"/>
    <w:rsid w:val="00426BD3"/>
    <w:rsid w:val="0042712E"/>
    <w:rsid w:val="00427411"/>
    <w:rsid w:val="00427696"/>
    <w:rsid w:val="00427794"/>
    <w:rsid w:val="004277EE"/>
    <w:rsid w:val="00427EDA"/>
    <w:rsid w:val="00430348"/>
    <w:rsid w:val="004303C7"/>
    <w:rsid w:val="004307AD"/>
    <w:rsid w:val="0043092A"/>
    <w:rsid w:val="00430F07"/>
    <w:rsid w:val="00430F78"/>
    <w:rsid w:val="004311A0"/>
    <w:rsid w:val="0043189E"/>
    <w:rsid w:val="00431C28"/>
    <w:rsid w:val="00431D3B"/>
    <w:rsid w:val="00431E56"/>
    <w:rsid w:val="00432356"/>
    <w:rsid w:val="00432379"/>
    <w:rsid w:val="0043254A"/>
    <w:rsid w:val="00432984"/>
    <w:rsid w:val="00432A08"/>
    <w:rsid w:val="004332F6"/>
    <w:rsid w:val="00433365"/>
    <w:rsid w:val="0043382A"/>
    <w:rsid w:val="00433D8F"/>
    <w:rsid w:val="00433F60"/>
    <w:rsid w:val="00434102"/>
    <w:rsid w:val="0043434C"/>
    <w:rsid w:val="00434613"/>
    <w:rsid w:val="00434A24"/>
    <w:rsid w:val="004358C4"/>
    <w:rsid w:val="00435C49"/>
    <w:rsid w:val="00436349"/>
    <w:rsid w:val="00436463"/>
    <w:rsid w:val="004365E3"/>
    <w:rsid w:val="00436760"/>
    <w:rsid w:val="004368C3"/>
    <w:rsid w:val="00436CA9"/>
    <w:rsid w:val="004374ED"/>
    <w:rsid w:val="004376B2"/>
    <w:rsid w:val="004407D5"/>
    <w:rsid w:val="00441BF2"/>
    <w:rsid w:val="00441ED1"/>
    <w:rsid w:val="004423F8"/>
    <w:rsid w:val="004432D2"/>
    <w:rsid w:val="004438E3"/>
    <w:rsid w:val="0044392D"/>
    <w:rsid w:val="00443E58"/>
    <w:rsid w:val="004442D3"/>
    <w:rsid w:val="004442E2"/>
    <w:rsid w:val="0044465C"/>
    <w:rsid w:val="004448B3"/>
    <w:rsid w:val="004448CD"/>
    <w:rsid w:val="00444921"/>
    <w:rsid w:val="00444A34"/>
    <w:rsid w:val="00444D99"/>
    <w:rsid w:val="00444F31"/>
    <w:rsid w:val="004453FD"/>
    <w:rsid w:val="00445895"/>
    <w:rsid w:val="00445AA5"/>
    <w:rsid w:val="00445D0B"/>
    <w:rsid w:val="00445D50"/>
    <w:rsid w:val="00445E4D"/>
    <w:rsid w:val="00446060"/>
    <w:rsid w:val="004461E9"/>
    <w:rsid w:val="0044643B"/>
    <w:rsid w:val="00446938"/>
    <w:rsid w:val="00446CCE"/>
    <w:rsid w:val="004470B1"/>
    <w:rsid w:val="00447AE9"/>
    <w:rsid w:val="00447D2B"/>
    <w:rsid w:val="0045003B"/>
    <w:rsid w:val="004500FC"/>
    <w:rsid w:val="00450791"/>
    <w:rsid w:val="00450A34"/>
    <w:rsid w:val="00450F11"/>
    <w:rsid w:val="004513CB"/>
    <w:rsid w:val="00451601"/>
    <w:rsid w:val="0045180E"/>
    <w:rsid w:val="00451B7A"/>
    <w:rsid w:val="00452218"/>
    <w:rsid w:val="00452413"/>
    <w:rsid w:val="0045257F"/>
    <w:rsid w:val="00452A10"/>
    <w:rsid w:val="00452DF6"/>
    <w:rsid w:val="00452F82"/>
    <w:rsid w:val="00453007"/>
    <w:rsid w:val="004530CD"/>
    <w:rsid w:val="0045374D"/>
    <w:rsid w:val="00454145"/>
    <w:rsid w:val="004541C4"/>
    <w:rsid w:val="00454553"/>
    <w:rsid w:val="00454974"/>
    <w:rsid w:val="00454D13"/>
    <w:rsid w:val="00454E4D"/>
    <w:rsid w:val="00454ECC"/>
    <w:rsid w:val="00454F56"/>
    <w:rsid w:val="00455189"/>
    <w:rsid w:val="0045530E"/>
    <w:rsid w:val="00455477"/>
    <w:rsid w:val="00455569"/>
    <w:rsid w:val="00455B50"/>
    <w:rsid w:val="00455E7A"/>
    <w:rsid w:val="00455F14"/>
    <w:rsid w:val="00456935"/>
    <w:rsid w:val="00456FA7"/>
    <w:rsid w:val="004576D0"/>
    <w:rsid w:val="0045790C"/>
    <w:rsid w:val="00457ECB"/>
    <w:rsid w:val="00460237"/>
    <w:rsid w:val="00460492"/>
    <w:rsid w:val="00460543"/>
    <w:rsid w:val="0046067F"/>
    <w:rsid w:val="004607AA"/>
    <w:rsid w:val="004608FB"/>
    <w:rsid w:val="004609D1"/>
    <w:rsid w:val="00460B56"/>
    <w:rsid w:val="00460CE1"/>
    <w:rsid w:val="00460E72"/>
    <w:rsid w:val="00460FC2"/>
    <w:rsid w:val="004610D8"/>
    <w:rsid w:val="004616A1"/>
    <w:rsid w:val="00461A02"/>
    <w:rsid w:val="004624E2"/>
    <w:rsid w:val="00462755"/>
    <w:rsid w:val="00463182"/>
    <w:rsid w:val="004633BA"/>
    <w:rsid w:val="00463924"/>
    <w:rsid w:val="00463B47"/>
    <w:rsid w:val="00463E6A"/>
    <w:rsid w:val="0046437C"/>
    <w:rsid w:val="0046438A"/>
    <w:rsid w:val="00464B4B"/>
    <w:rsid w:val="00464C76"/>
    <w:rsid w:val="00464E2B"/>
    <w:rsid w:val="00464F08"/>
    <w:rsid w:val="0046500C"/>
    <w:rsid w:val="00465154"/>
    <w:rsid w:val="004653F2"/>
    <w:rsid w:val="0046547C"/>
    <w:rsid w:val="00465ADF"/>
    <w:rsid w:val="00465BAD"/>
    <w:rsid w:val="00465BE6"/>
    <w:rsid w:val="00465F7C"/>
    <w:rsid w:val="004660EF"/>
    <w:rsid w:val="00466281"/>
    <w:rsid w:val="004665C7"/>
    <w:rsid w:val="00466B0F"/>
    <w:rsid w:val="00466C67"/>
    <w:rsid w:val="00466D70"/>
    <w:rsid w:val="00467136"/>
    <w:rsid w:val="00467148"/>
    <w:rsid w:val="0046783F"/>
    <w:rsid w:val="00467B6B"/>
    <w:rsid w:val="00467E17"/>
    <w:rsid w:val="00467EAF"/>
    <w:rsid w:val="004702E7"/>
    <w:rsid w:val="004704CF"/>
    <w:rsid w:val="00470811"/>
    <w:rsid w:val="00470EB5"/>
    <w:rsid w:val="004711B2"/>
    <w:rsid w:val="004713AB"/>
    <w:rsid w:val="004716E4"/>
    <w:rsid w:val="00471D0C"/>
    <w:rsid w:val="00471D78"/>
    <w:rsid w:val="00471F27"/>
    <w:rsid w:val="0047263B"/>
    <w:rsid w:val="0047279A"/>
    <w:rsid w:val="00472C25"/>
    <w:rsid w:val="00473070"/>
    <w:rsid w:val="00473071"/>
    <w:rsid w:val="0047336E"/>
    <w:rsid w:val="004737B7"/>
    <w:rsid w:val="00473B72"/>
    <w:rsid w:val="00473C85"/>
    <w:rsid w:val="004740CB"/>
    <w:rsid w:val="004742BB"/>
    <w:rsid w:val="00474E06"/>
    <w:rsid w:val="00474F7B"/>
    <w:rsid w:val="0047501D"/>
    <w:rsid w:val="0047595C"/>
    <w:rsid w:val="004759D3"/>
    <w:rsid w:val="00475BA4"/>
    <w:rsid w:val="00475C23"/>
    <w:rsid w:val="00475E0D"/>
    <w:rsid w:val="00475EB2"/>
    <w:rsid w:val="0047607E"/>
    <w:rsid w:val="0047610F"/>
    <w:rsid w:val="004764C7"/>
    <w:rsid w:val="0047671B"/>
    <w:rsid w:val="00476CE7"/>
    <w:rsid w:val="00476FB5"/>
    <w:rsid w:val="00477238"/>
    <w:rsid w:val="00477411"/>
    <w:rsid w:val="0047758F"/>
    <w:rsid w:val="004776F8"/>
    <w:rsid w:val="00477CDE"/>
    <w:rsid w:val="00477DB5"/>
    <w:rsid w:val="0048007C"/>
    <w:rsid w:val="004808BF"/>
    <w:rsid w:val="00481265"/>
    <w:rsid w:val="004813CF"/>
    <w:rsid w:val="004814B2"/>
    <w:rsid w:val="004814ED"/>
    <w:rsid w:val="004815B4"/>
    <w:rsid w:val="0048167D"/>
    <w:rsid w:val="0048193C"/>
    <w:rsid w:val="00481A37"/>
    <w:rsid w:val="00481BD0"/>
    <w:rsid w:val="00481C9A"/>
    <w:rsid w:val="00481FE7"/>
    <w:rsid w:val="004825F3"/>
    <w:rsid w:val="00482625"/>
    <w:rsid w:val="004828B1"/>
    <w:rsid w:val="004831CF"/>
    <w:rsid w:val="004834C6"/>
    <w:rsid w:val="0048363E"/>
    <w:rsid w:val="00483A53"/>
    <w:rsid w:val="00483DB0"/>
    <w:rsid w:val="00484034"/>
    <w:rsid w:val="0048489A"/>
    <w:rsid w:val="00484B01"/>
    <w:rsid w:val="00484E3C"/>
    <w:rsid w:val="00484FD1"/>
    <w:rsid w:val="00485273"/>
    <w:rsid w:val="00485605"/>
    <w:rsid w:val="0048564B"/>
    <w:rsid w:val="00485788"/>
    <w:rsid w:val="004857A2"/>
    <w:rsid w:val="00485A0A"/>
    <w:rsid w:val="00485A92"/>
    <w:rsid w:val="00485CEE"/>
    <w:rsid w:val="00485E28"/>
    <w:rsid w:val="004866EA"/>
    <w:rsid w:val="0048677C"/>
    <w:rsid w:val="00486CED"/>
    <w:rsid w:val="00487259"/>
    <w:rsid w:val="0048741B"/>
    <w:rsid w:val="004875A8"/>
    <w:rsid w:val="0048760A"/>
    <w:rsid w:val="00487626"/>
    <w:rsid w:val="004876CE"/>
    <w:rsid w:val="004876EC"/>
    <w:rsid w:val="004905CE"/>
    <w:rsid w:val="004908A4"/>
    <w:rsid w:val="00490961"/>
    <w:rsid w:val="00490BB0"/>
    <w:rsid w:val="00491215"/>
    <w:rsid w:val="0049121D"/>
    <w:rsid w:val="00491373"/>
    <w:rsid w:val="00491599"/>
    <w:rsid w:val="0049182C"/>
    <w:rsid w:val="004927A8"/>
    <w:rsid w:val="004929BD"/>
    <w:rsid w:val="00493588"/>
    <w:rsid w:val="00493707"/>
    <w:rsid w:val="004939B6"/>
    <w:rsid w:val="00493C16"/>
    <w:rsid w:val="00494078"/>
    <w:rsid w:val="0049408C"/>
    <w:rsid w:val="004943C1"/>
    <w:rsid w:val="0049440D"/>
    <w:rsid w:val="0049455C"/>
    <w:rsid w:val="00494788"/>
    <w:rsid w:val="00494A5F"/>
    <w:rsid w:val="00494E3A"/>
    <w:rsid w:val="004957D9"/>
    <w:rsid w:val="0049580B"/>
    <w:rsid w:val="00495C16"/>
    <w:rsid w:val="00495F2D"/>
    <w:rsid w:val="004964B5"/>
    <w:rsid w:val="004967A0"/>
    <w:rsid w:val="00496CB3"/>
    <w:rsid w:val="00496FF5"/>
    <w:rsid w:val="004970FC"/>
    <w:rsid w:val="0049778F"/>
    <w:rsid w:val="004978BE"/>
    <w:rsid w:val="004978DD"/>
    <w:rsid w:val="004979D2"/>
    <w:rsid w:val="00497B99"/>
    <w:rsid w:val="00497C8B"/>
    <w:rsid w:val="00497CCD"/>
    <w:rsid w:val="004A0129"/>
    <w:rsid w:val="004A0166"/>
    <w:rsid w:val="004A025D"/>
    <w:rsid w:val="004A068D"/>
    <w:rsid w:val="004A0937"/>
    <w:rsid w:val="004A0C18"/>
    <w:rsid w:val="004A0D9B"/>
    <w:rsid w:val="004A0F65"/>
    <w:rsid w:val="004A11A2"/>
    <w:rsid w:val="004A157E"/>
    <w:rsid w:val="004A1BEA"/>
    <w:rsid w:val="004A1FF2"/>
    <w:rsid w:val="004A21C2"/>
    <w:rsid w:val="004A2207"/>
    <w:rsid w:val="004A29F9"/>
    <w:rsid w:val="004A2F5A"/>
    <w:rsid w:val="004A2F7D"/>
    <w:rsid w:val="004A2FC6"/>
    <w:rsid w:val="004A304E"/>
    <w:rsid w:val="004A352E"/>
    <w:rsid w:val="004A42CA"/>
    <w:rsid w:val="004A4D8C"/>
    <w:rsid w:val="004A4F4B"/>
    <w:rsid w:val="004A518A"/>
    <w:rsid w:val="004A52D2"/>
    <w:rsid w:val="004A5774"/>
    <w:rsid w:val="004A609B"/>
    <w:rsid w:val="004A649E"/>
    <w:rsid w:val="004A64FB"/>
    <w:rsid w:val="004A6A0E"/>
    <w:rsid w:val="004A6C08"/>
    <w:rsid w:val="004A6C93"/>
    <w:rsid w:val="004A6F86"/>
    <w:rsid w:val="004A700F"/>
    <w:rsid w:val="004A713C"/>
    <w:rsid w:val="004A7167"/>
    <w:rsid w:val="004A7554"/>
    <w:rsid w:val="004A7602"/>
    <w:rsid w:val="004A77A9"/>
    <w:rsid w:val="004A7CC8"/>
    <w:rsid w:val="004A7DFF"/>
    <w:rsid w:val="004B0075"/>
    <w:rsid w:val="004B00C0"/>
    <w:rsid w:val="004B03FB"/>
    <w:rsid w:val="004B0866"/>
    <w:rsid w:val="004B14B0"/>
    <w:rsid w:val="004B15F3"/>
    <w:rsid w:val="004B18B5"/>
    <w:rsid w:val="004B1960"/>
    <w:rsid w:val="004B1F75"/>
    <w:rsid w:val="004B2194"/>
    <w:rsid w:val="004B22C0"/>
    <w:rsid w:val="004B22CE"/>
    <w:rsid w:val="004B2379"/>
    <w:rsid w:val="004B23A8"/>
    <w:rsid w:val="004B243D"/>
    <w:rsid w:val="004B2642"/>
    <w:rsid w:val="004B2AAA"/>
    <w:rsid w:val="004B2AD9"/>
    <w:rsid w:val="004B2D10"/>
    <w:rsid w:val="004B2D49"/>
    <w:rsid w:val="004B2E03"/>
    <w:rsid w:val="004B3274"/>
    <w:rsid w:val="004B34B5"/>
    <w:rsid w:val="004B362B"/>
    <w:rsid w:val="004B3784"/>
    <w:rsid w:val="004B3994"/>
    <w:rsid w:val="004B3FA5"/>
    <w:rsid w:val="004B43BF"/>
    <w:rsid w:val="004B4551"/>
    <w:rsid w:val="004B499C"/>
    <w:rsid w:val="004B4C2B"/>
    <w:rsid w:val="004B4C6D"/>
    <w:rsid w:val="004B56DF"/>
    <w:rsid w:val="004B58F3"/>
    <w:rsid w:val="004B5A00"/>
    <w:rsid w:val="004B5C55"/>
    <w:rsid w:val="004B612E"/>
    <w:rsid w:val="004B6130"/>
    <w:rsid w:val="004B6313"/>
    <w:rsid w:val="004B697B"/>
    <w:rsid w:val="004B6A83"/>
    <w:rsid w:val="004B6F89"/>
    <w:rsid w:val="004B74BC"/>
    <w:rsid w:val="004B75E0"/>
    <w:rsid w:val="004B76CD"/>
    <w:rsid w:val="004B776E"/>
    <w:rsid w:val="004B79FE"/>
    <w:rsid w:val="004B7F62"/>
    <w:rsid w:val="004C029F"/>
    <w:rsid w:val="004C0416"/>
    <w:rsid w:val="004C04D3"/>
    <w:rsid w:val="004C0702"/>
    <w:rsid w:val="004C099E"/>
    <w:rsid w:val="004C0BC5"/>
    <w:rsid w:val="004C12AE"/>
    <w:rsid w:val="004C1410"/>
    <w:rsid w:val="004C1493"/>
    <w:rsid w:val="004C1494"/>
    <w:rsid w:val="004C1849"/>
    <w:rsid w:val="004C1E6C"/>
    <w:rsid w:val="004C1FE6"/>
    <w:rsid w:val="004C203B"/>
    <w:rsid w:val="004C22C1"/>
    <w:rsid w:val="004C257D"/>
    <w:rsid w:val="004C2D71"/>
    <w:rsid w:val="004C3033"/>
    <w:rsid w:val="004C30D8"/>
    <w:rsid w:val="004C30F8"/>
    <w:rsid w:val="004C356F"/>
    <w:rsid w:val="004C3C2D"/>
    <w:rsid w:val="004C3C8E"/>
    <w:rsid w:val="004C3D0C"/>
    <w:rsid w:val="004C3D69"/>
    <w:rsid w:val="004C4442"/>
    <w:rsid w:val="004C497C"/>
    <w:rsid w:val="004C4BC1"/>
    <w:rsid w:val="004C4F28"/>
    <w:rsid w:val="004C563A"/>
    <w:rsid w:val="004C5FDC"/>
    <w:rsid w:val="004C61AE"/>
    <w:rsid w:val="004C6275"/>
    <w:rsid w:val="004C6347"/>
    <w:rsid w:val="004C63DF"/>
    <w:rsid w:val="004C6578"/>
    <w:rsid w:val="004C68F7"/>
    <w:rsid w:val="004C6D17"/>
    <w:rsid w:val="004C6EBA"/>
    <w:rsid w:val="004C7955"/>
    <w:rsid w:val="004D057C"/>
    <w:rsid w:val="004D0801"/>
    <w:rsid w:val="004D0CC3"/>
    <w:rsid w:val="004D1474"/>
    <w:rsid w:val="004D1589"/>
    <w:rsid w:val="004D207B"/>
    <w:rsid w:val="004D20D3"/>
    <w:rsid w:val="004D23C2"/>
    <w:rsid w:val="004D2803"/>
    <w:rsid w:val="004D2D53"/>
    <w:rsid w:val="004D3195"/>
    <w:rsid w:val="004D32AD"/>
    <w:rsid w:val="004D3A79"/>
    <w:rsid w:val="004D3E95"/>
    <w:rsid w:val="004D3ECD"/>
    <w:rsid w:val="004D43BF"/>
    <w:rsid w:val="004D4685"/>
    <w:rsid w:val="004D4A7D"/>
    <w:rsid w:val="004D51DF"/>
    <w:rsid w:val="004D52AE"/>
    <w:rsid w:val="004D52EC"/>
    <w:rsid w:val="004D5483"/>
    <w:rsid w:val="004D5569"/>
    <w:rsid w:val="004D568D"/>
    <w:rsid w:val="004D5821"/>
    <w:rsid w:val="004D5CC2"/>
    <w:rsid w:val="004D5E3F"/>
    <w:rsid w:val="004D5E43"/>
    <w:rsid w:val="004D5F02"/>
    <w:rsid w:val="004D6247"/>
    <w:rsid w:val="004D6353"/>
    <w:rsid w:val="004D638A"/>
    <w:rsid w:val="004D6682"/>
    <w:rsid w:val="004D7005"/>
    <w:rsid w:val="004D7462"/>
    <w:rsid w:val="004D765B"/>
    <w:rsid w:val="004D7677"/>
    <w:rsid w:val="004D7809"/>
    <w:rsid w:val="004D7A46"/>
    <w:rsid w:val="004D7F5E"/>
    <w:rsid w:val="004E02DE"/>
    <w:rsid w:val="004E0640"/>
    <w:rsid w:val="004E0772"/>
    <w:rsid w:val="004E0F71"/>
    <w:rsid w:val="004E143B"/>
    <w:rsid w:val="004E161A"/>
    <w:rsid w:val="004E1A76"/>
    <w:rsid w:val="004E1D8B"/>
    <w:rsid w:val="004E1E71"/>
    <w:rsid w:val="004E1F4C"/>
    <w:rsid w:val="004E226D"/>
    <w:rsid w:val="004E2272"/>
    <w:rsid w:val="004E2329"/>
    <w:rsid w:val="004E245C"/>
    <w:rsid w:val="004E251E"/>
    <w:rsid w:val="004E25F8"/>
    <w:rsid w:val="004E26F1"/>
    <w:rsid w:val="004E2944"/>
    <w:rsid w:val="004E2AAE"/>
    <w:rsid w:val="004E3479"/>
    <w:rsid w:val="004E352B"/>
    <w:rsid w:val="004E3C6C"/>
    <w:rsid w:val="004E4292"/>
    <w:rsid w:val="004E4492"/>
    <w:rsid w:val="004E4890"/>
    <w:rsid w:val="004E4C7C"/>
    <w:rsid w:val="004E4CBB"/>
    <w:rsid w:val="004E4CFB"/>
    <w:rsid w:val="004E4FA3"/>
    <w:rsid w:val="004E4FCA"/>
    <w:rsid w:val="004E5274"/>
    <w:rsid w:val="004E5B43"/>
    <w:rsid w:val="004E5C56"/>
    <w:rsid w:val="004E5C67"/>
    <w:rsid w:val="004E633E"/>
    <w:rsid w:val="004E644D"/>
    <w:rsid w:val="004E67EC"/>
    <w:rsid w:val="004E6978"/>
    <w:rsid w:val="004E69C6"/>
    <w:rsid w:val="004E7442"/>
    <w:rsid w:val="004E77F4"/>
    <w:rsid w:val="004E78A5"/>
    <w:rsid w:val="004F003C"/>
    <w:rsid w:val="004F0393"/>
    <w:rsid w:val="004F0416"/>
    <w:rsid w:val="004F09ED"/>
    <w:rsid w:val="004F0D19"/>
    <w:rsid w:val="004F0EBB"/>
    <w:rsid w:val="004F10CA"/>
    <w:rsid w:val="004F1256"/>
    <w:rsid w:val="004F12FC"/>
    <w:rsid w:val="004F13E9"/>
    <w:rsid w:val="004F1411"/>
    <w:rsid w:val="004F1527"/>
    <w:rsid w:val="004F2272"/>
    <w:rsid w:val="004F2401"/>
    <w:rsid w:val="004F25E7"/>
    <w:rsid w:val="004F2681"/>
    <w:rsid w:val="004F289D"/>
    <w:rsid w:val="004F2A2A"/>
    <w:rsid w:val="004F2B8B"/>
    <w:rsid w:val="004F3000"/>
    <w:rsid w:val="004F3061"/>
    <w:rsid w:val="004F38B6"/>
    <w:rsid w:val="004F396D"/>
    <w:rsid w:val="004F3A18"/>
    <w:rsid w:val="004F3ABF"/>
    <w:rsid w:val="004F3D72"/>
    <w:rsid w:val="004F3FB5"/>
    <w:rsid w:val="004F4633"/>
    <w:rsid w:val="004F4638"/>
    <w:rsid w:val="004F47D2"/>
    <w:rsid w:val="004F49FE"/>
    <w:rsid w:val="004F4C2A"/>
    <w:rsid w:val="004F53BF"/>
    <w:rsid w:val="004F54B6"/>
    <w:rsid w:val="004F5FAB"/>
    <w:rsid w:val="004F5FFF"/>
    <w:rsid w:val="004F606A"/>
    <w:rsid w:val="004F649E"/>
    <w:rsid w:val="004F7094"/>
    <w:rsid w:val="004F7638"/>
    <w:rsid w:val="004F77AB"/>
    <w:rsid w:val="005001E2"/>
    <w:rsid w:val="00500678"/>
    <w:rsid w:val="00500C21"/>
    <w:rsid w:val="00501E8F"/>
    <w:rsid w:val="00502065"/>
    <w:rsid w:val="0050258A"/>
    <w:rsid w:val="00502591"/>
    <w:rsid w:val="005025BE"/>
    <w:rsid w:val="005029DF"/>
    <w:rsid w:val="00502A1E"/>
    <w:rsid w:val="0050309B"/>
    <w:rsid w:val="00503366"/>
    <w:rsid w:val="005038EB"/>
    <w:rsid w:val="005039F7"/>
    <w:rsid w:val="005039F8"/>
    <w:rsid w:val="00503B90"/>
    <w:rsid w:val="00503CF4"/>
    <w:rsid w:val="005040A6"/>
    <w:rsid w:val="005043A8"/>
    <w:rsid w:val="00504841"/>
    <w:rsid w:val="00504887"/>
    <w:rsid w:val="00504D34"/>
    <w:rsid w:val="00504D92"/>
    <w:rsid w:val="00504F9E"/>
    <w:rsid w:val="00505163"/>
    <w:rsid w:val="005053A0"/>
    <w:rsid w:val="005053DB"/>
    <w:rsid w:val="0050580C"/>
    <w:rsid w:val="005058F8"/>
    <w:rsid w:val="00505D1C"/>
    <w:rsid w:val="00505DBB"/>
    <w:rsid w:val="005060C9"/>
    <w:rsid w:val="00506293"/>
    <w:rsid w:val="005062C7"/>
    <w:rsid w:val="00506504"/>
    <w:rsid w:val="00506A9B"/>
    <w:rsid w:val="005072A1"/>
    <w:rsid w:val="00507967"/>
    <w:rsid w:val="00507C3E"/>
    <w:rsid w:val="00510079"/>
    <w:rsid w:val="00510352"/>
    <w:rsid w:val="00510F20"/>
    <w:rsid w:val="00510FB0"/>
    <w:rsid w:val="0051102F"/>
    <w:rsid w:val="005112F3"/>
    <w:rsid w:val="005126BA"/>
    <w:rsid w:val="005128DA"/>
    <w:rsid w:val="00512917"/>
    <w:rsid w:val="00512950"/>
    <w:rsid w:val="00512F40"/>
    <w:rsid w:val="00513061"/>
    <w:rsid w:val="005134F9"/>
    <w:rsid w:val="00513C2E"/>
    <w:rsid w:val="00513C33"/>
    <w:rsid w:val="005140D8"/>
    <w:rsid w:val="0051419C"/>
    <w:rsid w:val="00514880"/>
    <w:rsid w:val="00514E2C"/>
    <w:rsid w:val="005156D3"/>
    <w:rsid w:val="00515AA8"/>
    <w:rsid w:val="00515EB8"/>
    <w:rsid w:val="00515F98"/>
    <w:rsid w:val="00516127"/>
    <w:rsid w:val="0051639D"/>
    <w:rsid w:val="00516621"/>
    <w:rsid w:val="00516CA7"/>
    <w:rsid w:val="00516E18"/>
    <w:rsid w:val="005175E2"/>
    <w:rsid w:val="00517D58"/>
    <w:rsid w:val="00517DDF"/>
    <w:rsid w:val="00517DE4"/>
    <w:rsid w:val="0052016B"/>
    <w:rsid w:val="0052092D"/>
    <w:rsid w:val="00520C21"/>
    <w:rsid w:val="00520D35"/>
    <w:rsid w:val="00520D6F"/>
    <w:rsid w:val="00520E4C"/>
    <w:rsid w:val="00521005"/>
    <w:rsid w:val="005211B3"/>
    <w:rsid w:val="00521231"/>
    <w:rsid w:val="005213C0"/>
    <w:rsid w:val="005216B1"/>
    <w:rsid w:val="005216E1"/>
    <w:rsid w:val="00521706"/>
    <w:rsid w:val="00521897"/>
    <w:rsid w:val="00521E81"/>
    <w:rsid w:val="00521FA1"/>
    <w:rsid w:val="005224D3"/>
    <w:rsid w:val="00522A4D"/>
    <w:rsid w:val="00522CE7"/>
    <w:rsid w:val="00522E15"/>
    <w:rsid w:val="00522E26"/>
    <w:rsid w:val="00523122"/>
    <w:rsid w:val="00523250"/>
    <w:rsid w:val="00523320"/>
    <w:rsid w:val="00523691"/>
    <w:rsid w:val="00523A8B"/>
    <w:rsid w:val="00523E22"/>
    <w:rsid w:val="00523F14"/>
    <w:rsid w:val="00524324"/>
    <w:rsid w:val="005243EE"/>
    <w:rsid w:val="0052449A"/>
    <w:rsid w:val="0052454C"/>
    <w:rsid w:val="00524A80"/>
    <w:rsid w:val="00524D09"/>
    <w:rsid w:val="00524DC7"/>
    <w:rsid w:val="00524E32"/>
    <w:rsid w:val="00524F29"/>
    <w:rsid w:val="005256AA"/>
    <w:rsid w:val="0052575A"/>
    <w:rsid w:val="0052586C"/>
    <w:rsid w:val="00525ACE"/>
    <w:rsid w:val="00526194"/>
    <w:rsid w:val="005264BF"/>
    <w:rsid w:val="00526AC9"/>
    <w:rsid w:val="00526B3A"/>
    <w:rsid w:val="00526BBF"/>
    <w:rsid w:val="00526BFA"/>
    <w:rsid w:val="005271A4"/>
    <w:rsid w:val="005273FB"/>
    <w:rsid w:val="00527660"/>
    <w:rsid w:val="005276A9"/>
    <w:rsid w:val="00527C77"/>
    <w:rsid w:val="00527EA5"/>
    <w:rsid w:val="00527F5D"/>
    <w:rsid w:val="0053003D"/>
    <w:rsid w:val="005301AD"/>
    <w:rsid w:val="005303A1"/>
    <w:rsid w:val="005309CF"/>
    <w:rsid w:val="00530C31"/>
    <w:rsid w:val="00530CB6"/>
    <w:rsid w:val="00530CC2"/>
    <w:rsid w:val="00530D2C"/>
    <w:rsid w:val="005311CC"/>
    <w:rsid w:val="005311D3"/>
    <w:rsid w:val="00531294"/>
    <w:rsid w:val="005312EB"/>
    <w:rsid w:val="00531463"/>
    <w:rsid w:val="005317CD"/>
    <w:rsid w:val="0053190D"/>
    <w:rsid w:val="00532499"/>
    <w:rsid w:val="00532772"/>
    <w:rsid w:val="0053287D"/>
    <w:rsid w:val="00532A8C"/>
    <w:rsid w:val="00532B71"/>
    <w:rsid w:val="00532B89"/>
    <w:rsid w:val="00532ECE"/>
    <w:rsid w:val="0053344F"/>
    <w:rsid w:val="00533C62"/>
    <w:rsid w:val="00533D59"/>
    <w:rsid w:val="00534342"/>
    <w:rsid w:val="0053452B"/>
    <w:rsid w:val="005346DA"/>
    <w:rsid w:val="00534E0A"/>
    <w:rsid w:val="00534E79"/>
    <w:rsid w:val="00535015"/>
    <w:rsid w:val="0053505E"/>
    <w:rsid w:val="005353AA"/>
    <w:rsid w:val="00535542"/>
    <w:rsid w:val="00535678"/>
    <w:rsid w:val="005358CD"/>
    <w:rsid w:val="00535E5B"/>
    <w:rsid w:val="00535F5B"/>
    <w:rsid w:val="00535F87"/>
    <w:rsid w:val="00535FDF"/>
    <w:rsid w:val="0053636A"/>
    <w:rsid w:val="00536A89"/>
    <w:rsid w:val="00536EAC"/>
    <w:rsid w:val="00537179"/>
    <w:rsid w:val="005371D8"/>
    <w:rsid w:val="00540808"/>
    <w:rsid w:val="00540870"/>
    <w:rsid w:val="00540935"/>
    <w:rsid w:val="00540961"/>
    <w:rsid w:val="00540BFD"/>
    <w:rsid w:val="00540F31"/>
    <w:rsid w:val="00540F39"/>
    <w:rsid w:val="0054121C"/>
    <w:rsid w:val="00541235"/>
    <w:rsid w:val="0054125C"/>
    <w:rsid w:val="005417D0"/>
    <w:rsid w:val="00542276"/>
    <w:rsid w:val="00542409"/>
    <w:rsid w:val="00542C18"/>
    <w:rsid w:val="0054305F"/>
    <w:rsid w:val="00543976"/>
    <w:rsid w:val="005439B7"/>
    <w:rsid w:val="00543B3F"/>
    <w:rsid w:val="00543B97"/>
    <w:rsid w:val="0054403B"/>
    <w:rsid w:val="0054412D"/>
    <w:rsid w:val="00544268"/>
    <w:rsid w:val="005442DF"/>
    <w:rsid w:val="0054434A"/>
    <w:rsid w:val="0054437E"/>
    <w:rsid w:val="005443C3"/>
    <w:rsid w:val="0054443C"/>
    <w:rsid w:val="005448C9"/>
    <w:rsid w:val="00544DC0"/>
    <w:rsid w:val="00545085"/>
    <w:rsid w:val="005454C8"/>
    <w:rsid w:val="00545626"/>
    <w:rsid w:val="0054633C"/>
    <w:rsid w:val="00546345"/>
    <w:rsid w:val="0054636E"/>
    <w:rsid w:val="00546700"/>
    <w:rsid w:val="00546A40"/>
    <w:rsid w:val="00546A86"/>
    <w:rsid w:val="00546CA1"/>
    <w:rsid w:val="00546DF1"/>
    <w:rsid w:val="00546EA7"/>
    <w:rsid w:val="0054786F"/>
    <w:rsid w:val="00547B82"/>
    <w:rsid w:val="00547BD9"/>
    <w:rsid w:val="00547D49"/>
    <w:rsid w:val="00550213"/>
    <w:rsid w:val="00550DB8"/>
    <w:rsid w:val="00551291"/>
    <w:rsid w:val="005513F9"/>
    <w:rsid w:val="00551563"/>
    <w:rsid w:val="0055187A"/>
    <w:rsid w:val="00551892"/>
    <w:rsid w:val="00551BE9"/>
    <w:rsid w:val="0055200A"/>
    <w:rsid w:val="0055214C"/>
    <w:rsid w:val="005523A5"/>
    <w:rsid w:val="00552828"/>
    <w:rsid w:val="00552BAD"/>
    <w:rsid w:val="005533C5"/>
    <w:rsid w:val="0055359B"/>
    <w:rsid w:val="0055391C"/>
    <w:rsid w:val="00554205"/>
    <w:rsid w:val="00554325"/>
    <w:rsid w:val="005543D5"/>
    <w:rsid w:val="005547B1"/>
    <w:rsid w:val="00554810"/>
    <w:rsid w:val="00554F38"/>
    <w:rsid w:val="00555153"/>
    <w:rsid w:val="005551B0"/>
    <w:rsid w:val="00555628"/>
    <w:rsid w:val="005558CC"/>
    <w:rsid w:val="00555D19"/>
    <w:rsid w:val="00555EB2"/>
    <w:rsid w:val="00556A44"/>
    <w:rsid w:val="00556E1D"/>
    <w:rsid w:val="00556E89"/>
    <w:rsid w:val="00557074"/>
    <w:rsid w:val="005572E6"/>
    <w:rsid w:val="0055747D"/>
    <w:rsid w:val="005576BE"/>
    <w:rsid w:val="00557706"/>
    <w:rsid w:val="00557BA4"/>
    <w:rsid w:val="00557D2B"/>
    <w:rsid w:val="00557DF1"/>
    <w:rsid w:val="00560197"/>
    <w:rsid w:val="00560618"/>
    <w:rsid w:val="00560725"/>
    <w:rsid w:val="005608B8"/>
    <w:rsid w:val="00560C55"/>
    <w:rsid w:val="00560D46"/>
    <w:rsid w:val="00560D75"/>
    <w:rsid w:val="00560EDF"/>
    <w:rsid w:val="00560F64"/>
    <w:rsid w:val="00560FAE"/>
    <w:rsid w:val="00561232"/>
    <w:rsid w:val="0056175C"/>
    <w:rsid w:val="0056189E"/>
    <w:rsid w:val="005619D9"/>
    <w:rsid w:val="00561BE5"/>
    <w:rsid w:val="00562019"/>
    <w:rsid w:val="005629C1"/>
    <w:rsid w:val="00562A31"/>
    <w:rsid w:val="00562B30"/>
    <w:rsid w:val="00562F7B"/>
    <w:rsid w:val="0056301A"/>
    <w:rsid w:val="00563642"/>
    <w:rsid w:val="00563756"/>
    <w:rsid w:val="0056473C"/>
    <w:rsid w:val="0056498C"/>
    <w:rsid w:val="005649BF"/>
    <w:rsid w:val="00564B8E"/>
    <w:rsid w:val="005651DD"/>
    <w:rsid w:val="0056520D"/>
    <w:rsid w:val="0056530E"/>
    <w:rsid w:val="005653EB"/>
    <w:rsid w:val="00565BA8"/>
    <w:rsid w:val="00565BC1"/>
    <w:rsid w:val="00565CE3"/>
    <w:rsid w:val="00565DB1"/>
    <w:rsid w:val="005661DC"/>
    <w:rsid w:val="0056639C"/>
    <w:rsid w:val="00566565"/>
    <w:rsid w:val="00567033"/>
    <w:rsid w:val="005677C0"/>
    <w:rsid w:val="00567AAE"/>
    <w:rsid w:val="00567B09"/>
    <w:rsid w:val="00567B9D"/>
    <w:rsid w:val="00567C2C"/>
    <w:rsid w:val="00567ECF"/>
    <w:rsid w:val="00570183"/>
    <w:rsid w:val="0057028C"/>
    <w:rsid w:val="005702CA"/>
    <w:rsid w:val="0057052F"/>
    <w:rsid w:val="00570A8E"/>
    <w:rsid w:val="00570CDF"/>
    <w:rsid w:val="00571233"/>
    <w:rsid w:val="00571393"/>
    <w:rsid w:val="00571F96"/>
    <w:rsid w:val="005721FD"/>
    <w:rsid w:val="00572249"/>
    <w:rsid w:val="0057304A"/>
    <w:rsid w:val="0057320B"/>
    <w:rsid w:val="00573557"/>
    <w:rsid w:val="0057378F"/>
    <w:rsid w:val="005738D3"/>
    <w:rsid w:val="00573A07"/>
    <w:rsid w:val="00573A99"/>
    <w:rsid w:val="00573C01"/>
    <w:rsid w:val="005745A6"/>
    <w:rsid w:val="00574CFA"/>
    <w:rsid w:val="00574E62"/>
    <w:rsid w:val="00575226"/>
    <w:rsid w:val="00575423"/>
    <w:rsid w:val="0057572C"/>
    <w:rsid w:val="00575917"/>
    <w:rsid w:val="0057591B"/>
    <w:rsid w:val="00575B46"/>
    <w:rsid w:val="0057627A"/>
    <w:rsid w:val="0057677F"/>
    <w:rsid w:val="00576AD3"/>
    <w:rsid w:val="00577289"/>
    <w:rsid w:val="005779FD"/>
    <w:rsid w:val="00577D42"/>
    <w:rsid w:val="00577E78"/>
    <w:rsid w:val="0058002C"/>
    <w:rsid w:val="0058020D"/>
    <w:rsid w:val="0058043D"/>
    <w:rsid w:val="005805CE"/>
    <w:rsid w:val="00580629"/>
    <w:rsid w:val="00580C90"/>
    <w:rsid w:val="00580DC9"/>
    <w:rsid w:val="00580FE6"/>
    <w:rsid w:val="00581321"/>
    <w:rsid w:val="00581375"/>
    <w:rsid w:val="005814A2"/>
    <w:rsid w:val="00581543"/>
    <w:rsid w:val="00581EB0"/>
    <w:rsid w:val="0058251E"/>
    <w:rsid w:val="00582900"/>
    <w:rsid w:val="00582BE0"/>
    <w:rsid w:val="00582D89"/>
    <w:rsid w:val="00583089"/>
    <w:rsid w:val="005833BD"/>
    <w:rsid w:val="00583711"/>
    <w:rsid w:val="00583743"/>
    <w:rsid w:val="005838F5"/>
    <w:rsid w:val="00583977"/>
    <w:rsid w:val="00583D78"/>
    <w:rsid w:val="0058400A"/>
    <w:rsid w:val="00584EF3"/>
    <w:rsid w:val="005852A1"/>
    <w:rsid w:val="005854F6"/>
    <w:rsid w:val="00586581"/>
    <w:rsid w:val="00586722"/>
    <w:rsid w:val="00586A14"/>
    <w:rsid w:val="00587004"/>
    <w:rsid w:val="0058722B"/>
    <w:rsid w:val="00587405"/>
    <w:rsid w:val="0058743C"/>
    <w:rsid w:val="005878A2"/>
    <w:rsid w:val="00587AB5"/>
    <w:rsid w:val="00587D67"/>
    <w:rsid w:val="005901CB"/>
    <w:rsid w:val="005901D3"/>
    <w:rsid w:val="005905D0"/>
    <w:rsid w:val="00590993"/>
    <w:rsid w:val="00590AF6"/>
    <w:rsid w:val="00590CA9"/>
    <w:rsid w:val="00590D7C"/>
    <w:rsid w:val="005910BD"/>
    <w:rsid w:val="005914FD"/>
    <w:rsid w:val="00591860"/>
    <w:rsid w:val="00591D4F"/>
    <w:rsid w:val="00591E10"/>
    <w:rsid w:val="00591EC2"/>
    <w:rsid w:val="005920BE"/>
    <w:rsid w:val="00592588"/>
    <w:rsid w:val="00592782"/>
    <w:rsid w:val="0059297B"/>
    <w:rsid w:val="00592B34"/>
    <w:rsid w:val="00592B97"/>
    <w:rsid w:val="00592C8F"/>
    <w:rsid w:val="00592E6C"/>
    <w:rsid w:val="00592ECD"/>
    <w:rsid w:val="00592F7D"/>
    <w:rsid w:val="00592F83"/>
    <w:rsid w:val="0059399F"/>
    <w:rsid w:val="00593CFD"/>
    <w:rsid w:val="00594047"/>
    <w:rsid w:val="005940F3"/>
    <w:rsid w:val="005944BB"/>
    <w:rsid w:val="0059459F"/>
    <w:rsid w:val="00595366"/>
    <w:rsid w:val="005955BD"/>
    <w:rsid w:val="00595622"/>
    <w:rsid w:val="00595975"/>
    <w:rsid w:val="00595A5F"/>
    <w:rsid w:val="00595C50"/>
    <w:rsid w:val="00595DAE"/>
    <w:rsid w:val="00595E3D"/>
    <w:rsid w:val="00596024"/>
    <w:rsid w:val="00596072"/>
    <w:rsid w:val="00596622"/>
    <w:rsid w:val="00596785"/>
    <w:rsid w:val="005967AD"/>
    <w:rsid w:val="0059680D"/>
    <w:rsid w:val="00596D9E"/>
    <w:rsid w:val="005971B3"/>
    <w:rsid w:val="0059766C"/>
    <w:rsid w:val="00597882"/>
    <w:rsid w:val="00597C40"/>
    <w:rsid w:val="00597D87"/>
    <w:rsid w:val="005A065E"/>
    <w:rsid w:val="005A07AF"/>
    <w:rsid w:val="005A0905"/>
    <w:rsid w:val="005A0917"/>
    <w:rsid w:val="005A0DB5"/>
    <w:rsid w:val="005A16B9"/>
    <w:rsid w:val="005A19B9"/>
    <w:rsid w:val="005A19EC"/>
    <w:rsid w:val="005A1BFA"/>
    <w:rsid w:val="005A23F5"/>
    <w:rsid w:val="005A246C"/>
    <w:rsid w:val="005A25D7"/>
    <w:rsid w:val="005A285E"/>
    <w:rsid w:val="005A2A63"/>
    <w:rsid w:val="005A32B7"/>
    <w:rsid w:val="005A3599"/>
    <w:rsid w:val="005A363C"/>
    <w:rsid w:val="005A373F"/>
    <w:rsid w:val="005A381C"/>
    <w:rsid w:val="005A3CB8"/>
    <w:rsid w:val="005A3DC3"/>
    <w:rsid w:val="005A411D"/>
    <w:rsid w:val="005A422D"/>
    <w:rsid w:val="005A45BC"/>
    <w:rsid w:val="005A4605"/>
    <w:rsid w:val="005A4625"/>
    <w:rsid w:val="005A4D96"/>
    <w:rsid w:val="005A5737"/>
    <w:rsid w:val="005A59E1"/>
    <w:rsid w:val="005A5ACD"/>
    <w:rsid w:val="005A5AE9"/>
    <w:rsid w:val="005A5C8A"/>
    <w:rsid w:val="005A5DB9"/>
    <w:rsid w:val="005A5E51"/>
    <w:rsid w:val="005A6008"/>
    <w:rsid w:val="005A6251"/>
    <w:rsid w:val="005A6776"/>
    <w:rsid w:val="005A6ACB"/>
    <w:rsid w:val="005A714C"/>
    <w:rsid w:val="005A735B"/>
    <w:rsid w:val="005A7A16"/>
    <w:rsid w:val="005A7ACF"/>
    <w:rsid w:val="005A7AE4"/>
    <w:rsid w:val="005A7B50"/>
    <w:rsid w:val="005A7C12"/>
    <w:rsid w:val="005A7CFB"/>
    <w:rsid w:val="005B01B2"/>
    <w:rsid w:val="005B084C"/>
    <w:rsid w:val="005B0A2D"/>
    <w:rsid w:val="005B0AA0"/>
    <w:rsid w:val="005B102F"/>
    <w:rsid w:val="005B10B7"/>
    <w:rsid w:val="005B129C"/>
    <w:rsid w:val="005B1302"/>
    <w:rsid w:val="005B132F"/>
    <w:rsid w:val="005B1617"/>
    <w:rsid w:val="005B177A"/>
    <w:rsid w:val="005B1D85"/>
    <w:rsid w:val="005B1DC1"/>
    <w:rsid w:val="005B1E54"/>
    <w:rsid w:val="005B1E7A"/>
    <w:rsid w:val="005B2073"/>
    <w:rsid w:val="005B2161"/>
    <w:rsid w:val="005B21C6"/>
    <w:rsid w:val="005B2223"/>
    <w:rsid w:val="005B222C"/>
    <w:rsid w:val="005B241E"/>
    <w:rsid w:val="005B287E"/>
    <w:rsid w:val="005B2939"/>
    <w:rsid w:val="005B2C71"/>
    <w:rsid w:val="005B2E7C"/>
    <w:rsid w:val="005B3055"/>
    <w:rsid w:val="005B31BA"/>
    <w:rsid w:val="005B36BD"/>
    <w:rsid w:val="005B38B0"/>
    <w:rsid w:val="005B391F"/>
    <w:rsid w:val="005B3C44"/>
    <w:rsid w:val="005B45E4"/>
    <w:rsid w:val="005B5377"/>
    <w:rsid w:val="005B5696"/>
    <w:rsid w:val="005B59DA"/>
    <w:rsid w:val="005B5CE0"/>
    <w:rsid w:val="005B6264"/>
    <w:rsid w:val="005B63AC"/>
    <w:rsid w:val="005B67D0"/>
    <w:rsid w:val="005B6D63"/>
    <w:rsid w:val="005B6D99"/>
    <w:rsid w:val="005B6F76"/>
    <w:rsid w:val="005B6FD8"/>
    <w:rsid w:val="005B7245"/>
    <w:rsid w:val="005B7B20"/>
    <w:rsid w:val="005B7D2B"/>
    <w:rsid w:val="005B7FE5"/>
    <w:rsid w:val="005C078E"/>
    <w:rsid w:val="005C0914"/>
    <w:rsid w:val="005C099C"/>
    <w:rsid w:val="005C0A61"/>
    <w:rsid w:val="005C118F"/>
    <w:rsid w:val="005C12BF"/>
    <w:rsid w:val="005C1556"/>
    <w:rsid w:val="005C162D"/>
    <w:rsid w:val="005C1673"/>
    <w:rsid w:val="005C17A3"/>
    <w:rsid w:val="005C17AE"/>
    <w:rsid w:val="005C1866"/>
    <w:rsid w:val="005C1BF9"/>
    <w:rsid w:val="005C1CA4"/>
    <w:rsid w:val="005C1D1B"/>
    <w:rsid w:val="005C1D4B"/>
    <w:rsid w:val="005C2216"/>
    <w:rsid w:val="005C2453"/>
    <w:rsid w:val="005C26C4"/>
    <w:rsid w:val="005C2B54"/>
    <w:rsid w:val="005C2B61"/>
    <w:rsid w:val="005C327B"/>
    <w:rsid w:val="005C342D"/>
    <w:rsid w:val="005C3AD2"/>
    <w:rsid w:val="005C3AEA"/>
    <w:rsid w:val="005C3AF6"/>
    <w:rsid w:val="005C3CC3"/>
    <w:rsid w:val="005C3E0E"/>
    <w:rsid w:val="005C44C9"/>
    <w:rsid w:val="005C487F"/>
    <w:rsid w:val="005C4CD9"/>
    <w:rsid w:val="005C4CF8"/>
    <w:rsid w:val="005C507A"/>
    <w:rsid w:val="005C5136"/>
    <w:rsid w:val="005C5632"/>
    <w:rsid w:val="005C5CDE"/>
    <w:rsid w:val="005C5F4B"/>
    <w:rsid w:val="005C63D9"/>
    <w:rsid w:val="005C65ED"/>
    <w:rsid w:val="005C6704"/>
    <w:rsid w:val="005C690D"/>
    <w:rsid w:val="005C70E0"/>
    <w:rsid w:val="005C7676"/>
    <w:rsid w:val="005C769B"/>
    <w:rsid w:val="005C7716"/>
    <w:rsid w:val="005C7E06"/>
    <w:rsid w:val="005C7F78"/>
    <w:rsid w:val="005D0050"/>
    <w:rsid w:val="005D009C"/>
    <w:rsid w:val="005D0883"/>
    <w:rsid w:val="005D0951"/>
    <w:rsid w:val="005D0E9E"/>
    <w:rsid w:val="005D103C"/>
    <w:rsid w:val="005D10BD"/>
    <w:rsid w:val="005D1134"/>
    <w:rsid w:val="005D128B"/>
    <w:rsid w:val="005D15C9"/>
    <w:rsid w:val="005D194B"/>
    <w:rsid w:val="005D1BD2"/>
    <w:rsid w:val="005D1C0E"/>
    <w:rsid w:val="005D2181"/>
    <w:rsid w:val="005D2DCF"/>
    <w:rsid w:val="005D3193"/>
    <w:rsid w:val="005D3687"/>
    <w:rsid w:val="005D38E3"/>
    <w:rsid w:val="005D3B7A"/>
    <w:rsid w:val="005D3D4D"/>
    <w:rsid w:val="005D40D0"/>
    <w:rsid w:val="005D4787"/>
    <w:rsid w:val="005D4D3D"/>
    <w:rsid w:val="005D500D"/>
    <w:rsid w:val="005D51B9"/>
    <w:rsid w:val="005D54E5"/>
    <w:rsid w:val="005D5796"/>
    <w:rsid w:val="005D597F"/>
    <w:rsid w:val="005D5C44"/>
    <w:rsid w:val="005D5D45"/>
    <w:rsid w:val="005D6034"/>
    <w:rsid w:val="005D62AD"/>
    <w:rsid w:val="005D636E"/>
    <w:rsid w:val="005D63BB"/>
    <w:rsid w:val="005D6487"/>
    <w:rsid w:val="005D6643"/>
    <w:rsid w:val="005D6993"/>
    <w:rsid w:val="005D6AD0"/>
    <w:rsid w:val="005D7505"/>
    <w:rsid w:val="005D762C"/>
    <w:rsid w:val="005D7C28"/>
    <w:rsid w:val="005E02CB"/>
    <w:rsid w:val="005E04F7"/>
    <w:rsid w:val="005E0BE1"/>
    <w:rsid w:val="005E0DA8"/>
    <w:rsid w:val="005E11DE"/>
    <w:rsid w:val="005E150A"/>
    <w:rsid w:val="005E1729"/>
    <w:rsid w:val="005E1770"/>
    <w:rsid w:val="005E1C18"/>
    <w:rsid w:val="005E1D6D"/>
    <w:rsid w:val="005E260C"/>
    <w:rsid w:val="005E276A"/>
    <w:rsid w:val="005E27C5"/>
    <w:rsid w:val="005E2827"/>
    <w:rsid w:val="005E2E92"/>
    <w:rsid w:val="005E2F17"/>
    <w:rsid w:val="005E2FA1"/>
    <w:rsid w:val="005E30DE"/>
    <w:rsid w:val="005E31ED"/>
    <w:rsid w:val="005E33F3"/>
    <w:rsid w:val="005E3617"/>
    <w:rsid w:val="005E37EC"/>
    <w:rsid w:val="005E3A17"/>
    <w:rsid w:val="005E3A51"/>
    <w:rsid w:val="005E3DB1"/>
    <w:rsid w:val="005E3E6E"/>
    <w:rsid w:val="005E4188"/>
    <w:rsid w:val="005E4380"/>
    <w:rsid w:val="005E4821"/>
    <w:rsid w:val="005E494D"/>
    <w:rsid w:val="005E4A6E"/>
    <w:rsid w:val="005E514E"/>
    <w:rsid w:val="005E55D1"/>
    <w:rsid w:val="005E56B5"/>
    <w:rsid w:val="005E672D"/>
    <w:rsid w:val="005E69A3"/>
    <w:rsid w:val="005E6B7C"/>
    <w:rsid w:val="005E6C23"/>
    <w:rsid w:val="005E6C7C"/>
    <w:rsid w:val="005E6C8F"/>
    <w:rsid w:val="005E6CD7"/>
    <w:rsid w:val="005E7036"/>
    <w:rsid w:val="005E7761"/>
    <w:rsid w:val="005E7A51"/>
    <w:rsid w:val="005E7B21"/>
    <w:rsid w:val="005E7B99"/>
    <w:rsid w:val="005F0109"/>
    <w:rsid w:val="005F0B4F"/>
    <w:rsid w:val="005F0BE1"/>
    <w:rsid w:val="005F113E"/>
    <w:rsid w:val="005F1274"/>
    <w:rsid w:val="005F1912"/>
    <w:rsid w:val="005F1B75"/>
    <w:rsid w:val="005F215C"/>
    <w:rsid w:val="005F217A"/>
    <w:rsid w:val="005F24BD"/>
    <w:rsid w:val="005F28EE"/>
    <w:rsid w:val="005F2AEE"/>
    <w:rsid w:val="005F2D15"/>
    <w:rsid w:val="005F2FF8"/>
    <w:rsid w:val="005F30A8"/>
    <w:rsid w:val="005F3853"/>
    <w:rsid w:val="005F3858"/>
    <w:rsid w:val="005F3DE9"/>
    <w:rsid w:val="005F42FE"/>
    <w:rsid w:val="005F4678"/>
    <w:rsid w:val="005F48B0"/>
    <w:rsid w:val="005F4A4A"/>
    <w:rsid w:val="005F4A99"/>
    <w:rsid w:val="005F50AE"/>
    <w:rsid w:val="005F54BC"/>
    <w:rsid w:val="005F5787"/>
    <w:rsid w:val="005F5C7C"/>
    <w:rsid w:val="005F5DDE"/>
    <w:rsid w:val="005F5FBA"/>
    <w:rsid w:val="005F6148"/>
    <w:rsid w:val="005F65F0"/>
    <w:rsid w:val="005F68BF"/>
    <w:rsid w:val="005F69A4"/>
    <w:rsid w:val="005F717B"/>
    <w:rsid w:val="005F720B"/>
    <w:rsid w:val="005F7642"/>
    <w:rsid w:val="005F7D51"/>
    <w:rsid w:val="005F7EB7"/>
    <w:rsid w:val="006004A8"/>
    <w:rsid w:val="006009D7"/>
    <w:rsid w:val="00600BB2"/>
    <w:rsid w:val="00600F2D"/>
    <w:rsid w:val="00601003"/>
    <w:rsid w:val="00601712"/>
    <w:rsid w:val="00601EBF"/>
    <w:rsid w:val="0060209C"/>
    <w:rsid w:val="006020C2"/>
    <w:rsid w:val="00602200"/>
    <w:rsid w:val="00602372"/>
    <w:rsid w:val="006026BC"/>
    <w:rsid w:val="006029CB"/>
    <w:rsid w:val="00602E94"/>
    <w:rsid w:val="00602F85"/>
    <w:rsid w:val="00603441"/>
    <w:rsid w:val="00603642"/>
    <w:rsid w:val="006037A2"/>
    <w:rsid w:val="006037D0"/>
    <w:rsid w:val="00603AC7"/>
    <w:rsid w:val="0060427B"/>
    <w:rsid w:val="006043B4"/>
    <w:rsid w:val="006045E3"/>
    <w:rsid w:val="00604948"/>
    <w:rsid w:val="006049F9"/>
    <w:rsid w:val="006050B5"/>
    <w:rsid w:val="006050CE"/>
    <w:rsid w:val="0060544F"/>
    <w:rsid w:val="006054A8"/>
    <w:rsid w:val="006054D4"/>
    <w:rsid w:val="0060551C"/>
    <w:rsid w:val="0060563F"/>
    <w:rsid w:val="00605B6E"/>
    <w:rsid w:val="00606085"/>
    <w:rsid w:val="00606155"/>
    <w:rsid w:val="006067C3"/>
    <w:rsid w:val="00606814"/>
    <w:rsid w:val="00606ABA"/>
    <w:rsid w:val="00606B12"/>
    <w:rsid w:val="00606D2E"/>
    <w:rsid w:val="006072BC"/>
    <w:rsid w:val="00607306"/>
    <w:rsid w:val="0060750A"/>
    <w:rsid w:val="006079D7"/>
    <w:rsid w:val="00607ABA"/>
    <w:rsid w:val="00607C9F"/>
    <w:rsid w:val="00607E3D"/>
    <w:rsid w:val="00607EA5"/>
    <w:rsid w:val="00607EDA"/>
    <w:rsid w:val="00607F07"/>
    <w:rsid w:val="00610086"/>
    <w:rsid w:val="0061032A"/>
    <w:rsid w:val="00610442"/>
    <w:rsid w:val="00610508"/>
    <w:rsid w:val="00610EC1"/>
    <w:rsid w:val="00611B15"/>
    <w:rsid w:val="00611DB6"/>
    <w:rsid w:val="00611E56"/>
    <w:rsid w:val="00612225"/>
    <w:rsid w:val="006125E5"/>
    <w:rsid w:val="006126E1"/>
    <w:rsid w:val="0061298F"/>
    <w:rsid w:val="00612A6D"/>
    <w:rsid w:val="006132FF"/>
    <w:rsid w:val="006134B7"/>
    <w:rsid w:val="006137C2"/>
    <w:rsid w:val="00613B68"/>
    <w:rsid w:val="00613CC4"/>
    <w:rsid w:val="00613D0C"/>
    <w:rsid w:val="006143D2"/>
    <w:rsid w:val="006144A5"/>
    <w:rsid w:val="006148DA"/>
    <w:rsid w:val="00614D0C"/>
    <w:rsid w:val="00614E7D"/>
    <w:rsid w:val="00614EB6"/>
    <w:rsid w:val="00614F77"/>
    <w:rsid w:val="00615613"/>
    <w:rsid w:val="006158E6"/>
    <w:rsid w:val="00615903"/>
    <w:rsid w:val="00615EF4"/>
    <w:rsid w:val="00616195"/>
    <w:rsid w:val="00616474"/>
    <w:rsid w:val="0061647F"/>
    <w:rsid w:val="0061670C"/>
    <w:rsid w:val="00616804"/>
    <w:rsid w:val="00616A0F"/>
    <w:rsid w:val="00616D68"/>
    <w:rsid w:val="00617336"/>
    <w:rsid w:val="006174A5"/>
    <w:rsid w:val="006174C8"/>
    <w:rsid w:val="00617666"/>
    <w:rsid w:val="00617DAF"/>
    <w:rsid w:val="00620119"/>
    <w:rsid w:val="00620296"/>
    <w:rsid w:val="00620C68"/>
    <w:rsid w:val="00620D77"/>
    <w:rsid w:val="00620DDB"/>
    <w:rsid w:val="00620F08"/>
    <w:rsid w:val="00621BE5"/>
    <w:rsid w:val="00621D96"/>
    <w:rsid w:val="00621E06"/>
    <w:rsid w:val="00622165"/>
    <w:rsid w:val="0062230D"/>
    <w:rsid w:val="00622469"/>
    <w:rsid w:val="00622511"/>
    <w:rsid w:val="00622607"/>
    <w:rsid w:val="006226A4"/>
    <w:rsid w:val="00622AC1"/>
    <w:rsid w:val="00622B50"/>
    <w:rsid w:val="00622E2D"/>
    <w:rsid w:val="00623023"/>
    <w:rsid w:val="0062310D"/>
    <w:rsid w:val="00623548"/>
    <w:rsid w:val="0062381F"/>
    <w:rsid w:val="00623939"/>
    <w:rsid w:val="00623B94"/>
    <w:rsid w:val="00624111"/>
    <w:rsid w:val="006241F3"/>
    <w:rsid w:val="00624946"/>
    <w:rsid w:val="00624CCF"/>
    <w:rsid w:val="00624EBF"/>
    <w:rsid w:val="00624F86"/>
    <w:rsid w:val="00624FDC"/>
    <w:rsid w:val="00625937"/>
    <w:rsid w:val="00625E4E"/>
    <w:rsid w:val="006260EB"/>
    <w:rsid w:val="00626341"/>
    <w:rsid w:val="00626479"/>
    <w:rsid w:val="00626CD1"/>
    <w:rsid w:val="00626D8D"/>
    <w:rsid w:val="00627632"/>
    <w:rsid w:val="00627A8A"/>
    <w:rsid w:val="00627D4C"/>
    <w:rsid w:val="00627E64"/>
    <w:rsid w:val="00627F1A"/>
    <w:rsid w:val="006301E6"/>
    <w:rsid w:val="006304DD"/>
    <w:rsid w:val="0063056A"/>
    <w:rsid w:val="006308F8"/>
    <w:rsid w:val="00630CC9"/>
    <w:rsid w:val="00630CEB"/>
    <w:rsid w:val="00630EA7"/>
    <w:rsid w:val="00630F38"/>
    <w:rsid w:val="0063104B"/>
    <w:rsid w:val="0063161B"/>
    <w:rsid w:val="0063177C"/>
    <w:rsid w:val="006318CE"/>
    <w:rsid w:val="00631994"/>
    <w:rsid w:val="006321BD"/>
    <w:rsid w:val="00632E5F"/>
    <w:rsid w:val="00633109"/>
    <w:rsid w:val="0063310B"/>
    <w:rsid w:val="0063361E"/>
    <w:rsid w:val="0063378C"/>
    <w:rsid w:val="0063387D"/>
    <w:rsid w:val="006339FE"/>
    <w:rsid w:val="006343F5"/>
    <w:rsid w:val="006344CE"/>
    <w:rsid w:val="0063476A"/>
    <w:rsid w:val="006349E6"/>
    <w:rsid w:val="00634A25"/>
    <w:rsid w:val="00634A2C"/>
    <w:rsid w:val="00634A42"/>
    <w:rsid w:val="00634B58"/>
    <w:rsid w:val="00634E37"/>
    <w:rsid w:val="00634E60"/>
    <w:rsid w:val="00634FAC"/>
    <w:rsid w:val="00635090"/>
    <w:rsid w:val="00635829"/>
    <w:rsid w:val="006358D9"/>
    <w:rsid w:val="0063630E"/>
    <w:rsid w:val="00636707"/>
    <w:rsid w:val="00636751"/>
    <w:rsid w:val="0063696F"/>
    <w:rsid w:val="00636B84"/>
    <w:rsid w:val="00636DFA"/>
    <w:rsid w:val="00637378"/>
    <w:rsid w:val="0063751E"/>
    <w:rsid w:val="00637BA6"/>
    <w:rsid w:val="00640369"/>
    <w:rsid w:val="006403C3"/>
    <w:rsid w:val="00640500"/>
    <w:rsid w:val="00640E87"/>
    <w:rsid w:val="00640F24"/>
    <w:rsid w:val="006410EC"/>
    <w:rsid w:val="006412C3"/>
    <w:rsid w:val="00641ABF"/>
    <w:rsid w:val="00641B0F"/>
    <w:rsid w:val="00641E04"/>
    <w:rsid w:val="00641FCC"/>
    <w:rsid w:val="00642394"/>
    <w:rsid w:val="00643003"/>
    <w:rsid w:val="006431DC"/>
    <w:rsid w:val="00643A9F"/>
    <w:rsid w:val="00643B0A"/>
    <w:rsid w:val="00643B98"/>
    <w:rsid w:val="00643E58"/>
    <w:rsid w:val="00643F8C"/>
    <w:rsid w:val="006441D6"/>
    <w:rsid w:val="00644208"/>
    <w:rsid w:val="006442C4"/>
    <w:rsid w:val="006444BB"/>
    <w:rsid w:val="00644683"/>
    <w:rsid w:val="00644759"/>
    <w:rsid w:val="0064481D"/>
    <w:rsid w:val="00644821"/>
    <w:rsid w:val="00644EC2"/>
    <w:rsid w:val="0064524F"/>
    <w:rsid w:val="0064557B"/>
    <w:rsid w:val="00645788"/>
    <w:rsid w:val="006458D3"/>
    <w:rsid w:val="00645906"/>
    <w:rsid w:val="00645CAD"/>
    <w:rsid w:val="00645CCB"/>
    <w:rsid w:val="00645D09"/>
    <w:rsid w:val="00645DA2"/>
    <w:rsid w:val="00645DBD"/>
    <w:rsid w:val="00645F51"/>
    <w:rsid w:val="00645FFD"/>
    <w:rsid w:val="00646148"/>
    <w:rsid w:val="006461E5"/>
    <w:rsid w:val="006465BF"/>
    <w:rsid w:val="0064692C"/>
    <w:rsid w:val="00646C94"/>
    <w:rsid w:val="00647005"/>
    <w:rsid w:val="0064740E"/>
    <w:rsid w:val="00647A5A"/>
    <w:rsid w:val="00647C08"/>
    <w:rsid w:val="00650160"/>
    <w:rsid w:val="0065029C"/>
    <w:rsid w:val="00650506"/>
    <w:rsid w:val="00650569"/>
    <w:rsid w:val="006509DA"/>
    <w:rsid w:val="00650CB3"/>
    <w:rsid w:val="00650D67"/>
    <w:rsid w:val="0065110D"/>
    <w:rsid w:val="006511A3"/>
    <w:rsid w:val="0065161F"/>
    <w:rsid w:val="00651744"/>
    <w:rsid w:val="0065189B"/>
    <w:rsid w:val="006520A9"/>
    <w:rsid w:val="00652147"/>
    <w:rsid w:val="0065338B"/>
    <w:rsid w:val="006535EF"/>
    <w:rsid w:val="0065360F"/>
    <w:rsid w:val="00653751"/>
    <w:rsid w:val="006538DD"/>
    <w:rsid w:val="0065413C"/>
    <w:rsid w:val="006541F3"/>
    <w:rsid w:val="006542EC"/>
    <w:rsid w:val="00654551"/>
    <w:rsid w:val="00654875"/>
    <w:rsid w:val="00654AF0"/>
    <w:rsid w:val="00654C78"/>
    <w:rsid w:val="00654D9C"/>
    <w:rsid w:val="00654E90"/>
    <w:rsid w:val="00654EFC"/>
    <w:rsid w:val="00655A53"/>
    <w:rsid w:val="00655C27"/>
    <w:rsid w:val="00655CF7"/>
    <w:rsid w:val="00655E08"/>
    <w:rsid w:val="00656463"/>
    <w:rsid w:val="00656468"/>
    <w:rsid w:val="00656577"/>
    <w:rsid w:val="006566CF"/>
    <w:rsid w:val="00656A23"/>
    <w:rsid w:val="00656C3B"/>
    <w:rsid w:val="00656D7C"/>
    <w:rsid w:val="00656E5D"/>
    <w:rsid w:val="00657261"/>
    <w:rsid w:val="0065776C"/>
    <w:rsid w:val="00657CFA"/>
    <w:rsid w:val="00660172"/>
    <w:rsid w:val="00660CA7"/>
    <w:rsid w:val="00661138"/>
    <w:rsid w:val="006612A8"/>
    <w:rsid w:val="00661350"/>
    <w:rsid w:val="006617EA"/>
    <w:rsid w:val="00661CD7"/>
    <w:rsid w:val="00661F60"/>
    <w:rsid w:val="00662B44"/>
    <w:rsid w:val="00662DD9"/>
    <w:rsid w:val="00662F63"/>
    <w:rsid w:val="00663489"/>
    <w:rsid w:val="00663499"/>
    <w:rsid w:val="00664062"/>
    <w:rsid w:val="006640BC"/>
    <w:rsid w:val="006644F0"/>
    <w:rsid w:val="0066472E"/>
    <w:rsid w:val="0066483B"/>
    <w:rsid w:val="006648C5"/>
    <w:rsid w:val="00664B69"/>
    <w:rsid w:val="00664CFF"/>
    <w:rsid w:val="00665085"/>
    <w:rsid w:val="006650A9"/>
    <w:rsid w:val="006654C9"/>
    <w:rsid w:val="006657B6"/>
    <w:rsid w:val="00665C22"/>
    <w:rsid w:val="00665E97"/>
    <w:rsid w:val="00666728"/>
    <w:rsid w:val="00666770"/>
    <w:rsid w:val="006667AB"/>
    <w:rsid w:val="0066688B"/>
    <w:rsid w:val="00666A4D"/>
    <w:rsid w:val="00666BFD"/>
    <w:rsid w:val="00667048"/>
    <w:rsid w:val="006671C3"/>
    <w:rsid w:val="0066733D"/>
    <w:rsid w:val="006674A0"/>
    <w:rsid w:val="006678A6"/>
    <w:rsid w:val="00667965"/>
    <w:rsid w:val="00667D47"/>
    <w:rsid w:val="00667E26"/>
    <w:rsid w:val="006700A1"/>
    <w:rsid w:val="006700EB"/>
    <w:rsid w:val="0067016D"/>
    <w:rsid w:val="00670740"/>
    <w:rsid w:val="00670765"/>
    <w:rsid w:val="00670789"/>
    <w:rsid w:val="00670AD9"/>
    <w:rsid w:val="00670D75"/>
    <w:rsid w:val="006713E2"/>
    <w:rsid w:val="0067151D"/>
    <w:rsid w:val="006715CE"/>
    <w:rsid w:val="006715DA"/>
    <w:rsid w:val="0067166C"/>
    <w:rsid w:val="00671972"/>
    <w:rsid w:val="00671FC0"/>
    <w:rsid w:val="00672017"/>
    <w:rsid w:val="00672144"/>
    <w:rsid w:val="006723DA"/>
    <w:rsid w:val="00672E5B"/>
    <w:rsid w:val="00672F2D"/>
    <w:rsid w:val="006735B5"/>
    <w:rsid w:val="006738BA"/>
    <w:rsid w:val="00673FBA"/>
    <w:rsid w:val="0067401C"/>
    <w:rsid w:val="00674064"/>
    <w:rsid w:val="00674244"/>
    <w:rsid w:val="006745B3"/>
    <w:rsid w:val="006746F8"/>
    <w:rsid w:val="0067476B"/>
    <w:rsid w:val="00674820"/>
    <w:rsid w:val="00675071"/>
    <w:rsid w:val="006751CA"/>
    <w:rsid w:val="00675274"/>
    <w:rsid w:val="00675448"/>
    <w:rsid w:val="006757E9"/>
    <w:rsid w:val="00675BDA"/>
    <w:rsid w:val="00675E15"/>
    <w:rsid w:val="00675FE0"/>
    <w:rsid w:val="00676283"/>
    <w:rsid w:val="00676302"/>
    <w:rsid w:val="0067631B"/>
    <w:rsid w:val="00676345"/>
    <w:rsid w:val="0067638B"/>
    <w:rsid w:val="00676471"/>
    <w:rsid w:val="0067656A"/>
    <w:rsid w:val="006766D1"/>
    <w:rsid w:val="0067684E"/>
    <w:rsid w:val="0067688E"/>
    <w:rsid w:val="006772DD"/>
    <w:rsid w:val="00677540"/>
    <w:rsid w:val="00677928"/>
    <w:rsid w:val="006779F7"/>
    <w:rsid w:val="00677C49"/>
    <w:rsid w:val="00677EB1"/>
    <w:rsid w:val="0068002F"/>
    <w:rsid w:val="0068079F"/>
    <w:rsid w:val="00680CC1"/>
    <w:rsid w:val="00680CFD"/>
    <w:rsid w:val="00680D1A"/>
    <w:rsid w:val="00681105"/>
    <w:rsid w:val="00681620"/>
    <w:rsid w:val="00681639"/>
    <w:rsid w:val="00681714"/>
    <w:rsid w:val="00681BF1"/>
    <w:rsid w:val="00681C35"/>
    <w:rsid w:val="00681EBF"/>
    <w:rsid w:val="00682886"/>
    <w:rsid w:val="00682B81"/>
    <w:rsid w:val="00682B89"/>
    <w:rsid w:val="00682C89"/>
    <w:rsid w:val="00682D28"/>
    <w:rsid w:val="00682DBC"/>
    <w:rsid w:val="006830B2"/>
    <w:rsid w:val="006830FF"/>
    <w:rsid w:val="006832A5"/>
    <w:rsid w:val="00683CBF"/>
    <w:rsid w:val="00683D62"/>
    <w:rsid w:val="00683EC2"/>
    <w:rsid w:val="006841D2"/>
    <w:rsid w:val="00684410"/>
    <w:rsid w:val="00684789"/>
    <w:rsid w:val="006847BB"/>
    <w:rsid w:val="00684D26"/>
    <w:rsid w:val="00684E94"/>
    <w:rsid w:val="00684FB7"/>
    <w:rsid w:val="0068503D"/>
    <w:rsid w:val="006855C7"/>
    <w:rsid w:val="00685600"/>
    <w:rsid w:val="00685AB9"/>
    <w:rsid w:val="00685B24"/>
    <w:rsid w:val="00686099"/>
    <w:rsid w:val="0068637F"/>
    <w:rsid w:val="0068643A"/>
    <w:rsid w:val="006865A8"/>
    <w:rsid w:val="006867C5"/>
    <w:rsid w:val="0068689A"/>
    <w:rsid w:val="006872CF"/>
    <w:rsid w:val="00687419"/>
    <w:rsid w:val="006874AB"/>
    <w:rsid w:val="006875A7"/>
    <w:rsid w:val="00687921"/>
    <w:rsid w:val="00687F75"/>
    <w:rsid w:val="00690198"/>
    <w:rsid w:val="006901B5"/>
    <w:rsid w:val="0069020F"/>
    <w:rsid w:val="0069033C"/>
    <w:rsid w:val="00690426"/>
    <w:rsid w:val="00690980"/>
    <w:rsid w:val="00690DA0"/>
    <w:rsid w:val="00691529"/>
    <w:rsid w:val="0069154C"/>
    <w:rsid w:val="006916AE"/>
    <w:rsid w:val="0069184A"/>
    <w:rsid w:val="006918C6"/>
    <w:rsid w:val="00691C5D"/>
    <w:rsid w:val="006924EF"/>
    <w:rsid w:val="006927F1"/>
    <w:rsid w:val="00692925"/>
    <w:rsid w:val="00692AEE"/>
    <w:rsid w:val="00692BB0"/>
    <w:rsid w:val="0069316E"/>
    <w:rsid w:val="00693760"/>
    <w:rsid w:val="0069381D"/>
    <w:rsid w:val="00693A48"/>
    <w:rsid w:val="00693A8F"/>
    <w:rsid w:val="00693F9D"/>
    <w:rsid w:val="00694218"/>
    <w:rsid w:val="00694551"/>
    <w:rsid w:val="006945D1"/>
    <w:rsid w:val="00694A36"/>
    <w:rsid w:val="00694CD4"/>
    <w:rsid w:val="00694CFA"/>
    <w:rsid w:val="006953B7"/>
    <w:rsid w:val="0069561D"/>
    <w:rsid w:val="0069591E"/>
    <w:rsid w:val="00695E40"/>
    <w:rsid w:val="006961B8"/>
    <w:rsid w:val="00696382"/>
    <w:rsid w:val="00696A46"/>
    <w:rsid w:val="00696A58"/>
    <w:rsid w:val="00696BB4"/>
    <w:rsid w:val="00696CCF"/>
    <w:rsid w:val="00696D26"/>
    <w:rsid w:val="00696FE6"/>
    <w:rsid w:val="006971AB"/>
    <w:rsid w:val="006972C3"/>
    <w:rsid w:val="006976D2"/>
    <w:rsid w:val="006976F9"/>
    <w:rsid w:val="0069799B"/>
    <w:rsid w:val="006979A3"/>
    <w:rsid w:val="006A011E"/>
    <w:rsid w:val="006A04C8"/>
    <w:rsid w:val="006A06B0"/>
    <w:rsid w:val="006A0B47"/>
    <w:rsid w:val="006A142D"/>
    <w:rsid w:val="006A16C5"/>
    <w:rsid w:val="006A1857"/>
    <w:rsid w:val="006A1867"/>
    <w:rsid w:val="006A19A4"/>
    <w:rsid w:val="006A2166"/>
    <w:rsid w:val="006A243E"/>
    <w:rsid w:val="006A28F8"/>
    <w:rsid w:val="006A307C"/>
    <w:rsid w:val="006A31D1"/>
    <w:rsid w:val="006A3201"/>
    <w:rsid w:val="006A3C19"/>
    <w:rsid w:val="006A3C50"/>
    <w:rsid w:val="006A3E9E"/>
    <w:rsid w:val="006A41D4"/>
    <w:rsid w:val="006A42D2"/>
    <w:rsid w:val="006A43F5"/>
    <w:rsid w:val="006A4757"/>
    <w:rsid w:val="006A4784"/>
    <w:rsid w:val="006A581E"/>
    <w:rsid w:val="006A5B01"/>
    <w:rsid w:val="006A5B6D"/>
    <w:rsid w:val="006A5F4E"/>
    <w:rsid w:val="006A6255"/>
    <w:rsid w:val="006A63CC"/>
    <w:rsid w:val="006A69B2"/>
    <w:rsid w:val="006A75C2"/>
    <w:rsid w:val="006A7DB9"/>
    <w:rsid w:val="006A7F7B"/>
    <w:rsid w:val="006A7F7F"/>
    <w:rsid w:val="006B0072"/>
    <w:rsid w:val="006B017F"/>
    <w:rsid w:val="006B094F"/>
    <w:rsid w:val="006B0D0C"/>
    <w:rsid w:val="006B0E44"/>
    <w:rsid w:val="006B0EF8"/>
    <w:rsid w:val="006B1060"/>
    <w:rsid w:val="006B1235"/>
    <w:rsid w:val="006B13FB"/>
    <w:rsid w:val="006B1A08"/>
    <w:rsid w:val="006B1D0C"/>
    <w:rsid w:val="006B1D93"/>
    <w:rsid w:val="006B221F"/>
    <w:rsid w:val="006B228D"/>
    <w:rsid w:val="006B23E4"/>
    <w:rsid w:val="006B264D"/>
    <w:rsid w:val="006B284F"/>
    <w:rsid w:val="006B28B4"/>
    <w:rsid w:val="006B2993"/>
    <w:rsid w:val="006B2B96"/>
    <w:rsid w:val="006B2C3B"/>
    <w:rsid w:val="006B32E3"/>
    <w:rsid w:val="006B3547"/>
    <w:rsid w:val="006B3EF8"/>
    <w:rsid w:val="006B4072"/>
    <w:rsid w:val="006B46AE"/>
    <w:rsid w:val="006B4E61"/>
    <w:rsid w:val="006B4E87"/>
    <w:rsid w:val="006B5172"/>
    <w:rsid w:val="006B5373"/>
    <w:rsid w:val="006B57AD"/>
    <w:rsid w:val="006B5AA2"/>
    <w:rsid w:val="006B5ABE"/>
    <w:rsid w:val="006B5B42"/>
    <w:rsid w:val="006B5CFC"/>
    <w:rsid w:val="006B5F0B"/>
    <w:rsid w:val="006B6202"/>
    <w:rsid w:val="006B621B"/>
    <w:rsid w:val="006B645A"/>
    <w:rsid w:val="006B669B"/>
    <w:rsid w:val="006B6704"/>
    <w:rsid w:val="006B68A0"/>
    <w:rsid w:val="006B699D"/>
    <w:rsid w:val="006B6BD5"/>
    <w:rsid w:val="006B6BDB"/>
    <w:rsid w:val="006B6D76"/>
    <w:rsid w:val="006B6EFC"/>
    <w:rsid w:val="006B7076"/>
    <w:rsid w:val="006B7409"/>
    <w:rsid w:val="006B7551"/>
    <w:rsid w:val="006B7BB4"/>
    <w:rsid w:val="006B7BB5"/>
    <w:rsid w:val="006B7C3F"/>
    <w:rsid w:val="006C0232"/>
    <w:rsid w:val="006C026F"/>
    <w:rsid w:val="006C0500"/>
    <w:rsid w:val="006C080D"/>
    <w:rsid w:val="006C0DBC"/>
    <w:rsid w:val="006C0F61"/>
    <w:rsid w:val="006C1065"/>
    <w:rsid w:val="006C1461"/>
    <w:rsid w:val="006C1787"/>
    <w:rsid w:val="006C1BF1"/>
    <w:rsid w:val="006C1C08"/>
    <w:rsid w:val="006C1FAB"/>
    <w:rsid w:val="006C2066"/>
    <w:rsid w:val="006C23C2"/>
    <w:rsid w:val="006C2530"/>
    <w:rsid w:val="006C2AA6"/>
    <w:rsid w:val="006C2B82"/>
    <w:rsid w:val="006C2BAB"/>
    <w:rsid w:val="006C2CB3"/>
    <w:rsid w:val="006C31BC"/>
    <w:rsid w:val="006C37CA"/>
    <w:rsid w:val="006C3ABB"/>
    <w:rsid w:val="006C3BD7"/>
    <w:rsid w:val="006C3CDA"/>
    <w:rsid w:val="006C3CED"/>
    <w:rsid w:val="006C3E9E"/>
    <w:rsid w:val="006C3ED0"/>
    <w:rsid w:val="006C45C3"/>
    <w:rsid w:val="006C5142"/>
    <w:rsid w:val="006C51E7"/>
    <w:rsid w:val="006C52BE"/>
    <w:rsid w:val="006C54B1"/>
    <w:rsid w:val="006C5582"/>
    <w:rsid w:val="006C5753"/>
    <w:rsid w:val="006C5B8E"/>
    <w:rsid w:val="006C5B96"/>
    <w:rsid w:val="006C5C9F"/>
    <w:rsid w:val="006C61CE"/>
    <w:rsid w:val="006C67E7"/>
    <w:rsid w:val="006C6C79"/>
    <w:rsid w:val="006C6F00"/>
    <w:rsid w:val="006C70D9"/>
    <w:rsid w:val="006C7AFD"/>
    <w:rsid w:val="006C7B64"/>
    <w:rsid w:val="006C7B90"/>
    <w:rsid w:val="006C7D30"/>
    <w:rsid w:val="006C7FD5"/>
    <w:rsid w:val="006D0006"/>
    <w:rsid w:val="006D00A1"/>
    <w:rsid w:val="006D0164"/>
    <w:rsid w:val="006D068A"/>
    <w:rsid w:val="006D0A96"/>
    <w:rsid w:val="006D0A9D"/>
    <w:rsid w:val="006D0B79"/>
    <w:rsid w:val="006D101A"/>
    <w:rsid w:val="006D1303"/>
    <w:rsid w:val="006D1371"/>
    <w:rsid w:val="006D1571"/>
    <w:rsid w:val="006D1718"/>
    <w:rsid w:val="006D1FCC"/>
    <w:rsid w:val="006D2187"/>
    <w:rsid w:val="006D23DF"/>
    <w:rsid w:val="006D290B"/>
    <w:rsid w:val="006D2F1A"/>
    <w:rsid w:val="006D2F2F"/>
    <w:rsid w:val="006D2FCA"/>
    <w:rsid w:val="006D30D6"/>
    <w:rsid w:val="006D382C"/>
    <w:rsid w:val="006D3B8F"/>
    <w:rsid w:val="006D3F61"/>
    <w:rsid w:val="006D3F7D"/>
    <w:rsid w:val="006D41DD"/>
    <w:rsid w:val="006D4320"/>
    <w:rsid w:val="006D4536"/>
    <w:rsid w:val="006D46C4"/>
    <w:rsid w:val="006D4908"/>
    <w:rsid w:val="006D4916"/>
    <w:rsid w:val="006D4D88"/>
    <w:rsid w:val="006D5188"/>
    <w:rsid w:val="006D5591"/>
    <w:rsid w:val="006D57CE"/>
    <w:rsid w:val="006D57F3"/>
    <w:rsid w:val="006D5CBC"/>
    <w:rsid w:val="006D5F68"/>
    <w:rsid w:val="006D6276"/>
    <w:rsid w:val="006D6599"/>
    <w:rsid w:val="006D66BF"/>
    <w:rsid w:val="006D66F0"/>
    <w:rsid w:val="006D6E92"/>
    <w:rsid w:val="006D7299"/>
    <w:rsid w:val="006D73DA"/>
    <w:rsid w:val="006D73DC"/>
    <w:rsid w:val="006D75D2"/>
    <w:rsid w:val="006D7945"/>
    <w:rsid w:val="006E04BC"/>
    <w:rsid w:val="006E0AA6"/>
    <w:rsid w:val="006E0C96"/>
    <w:rsid w:val="006E1C7F"/>
    <w:rsid w:val="006E1E58"/>
    <w:rsid w:val="006E201B"/>
    <w:rsid w:val="006E22B0"/>
    <w:rsid w:val="006E23E8"/>
    <w:rsid w:val="006E24F4"/>
    <w:rsid w:val="006E2559"/>
    <w:rsid w:val="006E2DCE"/>
    <w:rsid w:val="006E2EC2"/>
    <w:rsid w:val="006E30DC"/>
    <w:rsid w:val="006E3141"/>
    <w:rsid w:val="006E31BC"/>
    <w:rsid w:val="006E3866"/>
    <w:rsid w:val="006E3BF5"/>
    <w:rsid w:val="006E3C7C"/>
    <w:rsid w:val="006E4045"/>
    <w:rsid w:val="006E4479"/>
    <w:rsid w:val="006E464E"/>
    <w:rsid w:val="006E47AB"/>
    <w:rsid w:val="006E48D5"/>
    <w:rsid w:val="006E495D"/>
    <w:rsid w:val="006E4C56"/>
    <w:rsid w:val="006E4C81"/>
    <w:rsid w:val="006E4D05"/>
    <w:rsid w:val="006E4D28"/>
    <w:rsid w:val="006E4E11"/>
    <w:rsid w:val="006E4E75"/>
    <w:rsid w:val="006E4EA6"/>
    <w:rsid w:val="006E4F56"/>
    <w:rsid w:val="006E4F85"/>
    <w:rsid w:val="006E5080"/>
    <w:rsid w:val="006E537C"/>
    <w:rsid w:val="006E5667"/>
    <w:rsid w:val="006E5CD2"/>
    <w:rsid w:val="006E5CEA"/>
    <w:rsid w:val="006E5F14"/>
    <w:rsid w:val="006E5FA4"/>
    <w:rsid w:val="006E6060"/>
    <w:rsid w:val="006E618A"/>
    <w:rsid w:val="006E6904"/>
    <w:rsid w:val="006E6A64"/>
    <w:rsid w:val="006E6A6A"/>
    <w:rsid w:val="006E70E3"/>
    <w:rsid w:val="006E732F"/>
    <w:rsid w:val="006E7418"/>
    <w:rsid w:val="006E744A"/>
    <w:rsid w:val="006E7950"/>
    <w:rsid w:val="006E7A11"/>
    <w:rsid w:val="006E7C6D"/>
    <w:rsid w:val="006E7EDB"/>
    <w:rsid w:val="006F00F7"/>
    <w:rsid w:val="006F01A3"/>
    <w:rsid w:val="006F080C"/>
    <w:rsid w:val="006F094B"/>
    <w:rsid w:val="006F0B61"/>
    <w:rsid w:val="006F0CC9"/>
    <w:rsid w:val="006F0E6D"/>
    <w:rsid w:val="006F0EB1"/>
    <w:rsid w:val="006F1559"/>
    <w:rsid w:val="006F166C"/>
    <w:rsid w:val="006F1DCA"/>
    <w:rsid w:val="006F20D0"/>
    <w:rsid w:val="006F2159"/>
    <w:rsid w:val="006F23DB"/>
    <w:rsid w:val="006F247F"/>
    <w:rsid w:val="006F2583"/>
    <w:rsid w:val="006F295A"/>
    <w:rsid w:val="006F2B54"/>
    <w:rsid w:val="006F2B84"/>
    <w:rsid w:val="006F3252"/>
    <w:rsid w:val="006F3308"/>
    <w:rsid w:val="006F358B"/>
    <w:rsid w:val="006F380D"/>
    <w:rsid w:val="006F38B3"/>
    <w:rsid w:val="006F3B06"/>
    <w:rsid w:val="006F3BE7"/>
    <w:rsid w:val="006F3EC5"/>
    <w:rsid w:val="006F3EFF"/>
    <w:rsid w:val="006F48AD"/>
    <w:rsid w:val="006F49D0"/>
    <w:rsid w:val="006F4B5D"/>
    <w:rsid w:val="006F4DFF"/>
    <w:rsid w:val="006F50FB"/>
    <w:rsid w:val="006F5119"/>
    <w:rsid w:val="006F531F"/>
    <w:rsid w:val="006F53C1"/>
    <w:rsid w:val="006F5434"/>
    <w:rsid w:val="006F56F6"/>
    <w:rsid w:val="006F6225"/>
    <w:rsid w:val="006F630B"/>
    <w:rsid w:val="006F63C4"/>
    <w:rsid w:val="006F63E2"/>
    <w:rsid w:val="006F65A0"/>
    <w:rsid w:val="006F65F1"/>
    <w:rsid w:val="006F6615"/>
    <w:rsid w:val="006F6AD0"/>
    <w:rsid w:val="006F7B59"/>
    <w:rsid w:val="006F7B7E"/>
    <w:rsid w:val="00700045"/>
    <w:rsid w:val="00700274"/>
    <w:rsid w:val="00700449"/>
    <w:rsid w:val="0070071C"/>
    <w:rsid w:val="00700F9E"/>
    <w:rsid w:val="00700FD1"/>
    <w:rsid w:val="00701623"/>
    <w:rsid w:val="00701705"/>
    <w:rsid w:val="00701D85"/>
    <w:rsid w:val="00701E48"/>
    <w:rsid w:val="00701FD4"/>
    <w:rsid w:val="00702047"/>
    <w:rsid w:val="0070209B"/>
    <w:rsid w:val="00702248"/>
    <w:rsid w:val="007024F4"/>
    <w:rsid w:val="00702872"/>
    <w:rsid w:val="007028A5"/>
    <w:rsid w:val="00702C48"/>
    <w:rsid w:val="00702C49"/>
    <w:rsid w:val="00702EBC"/>
    <w:rsid w:val="00702FA5"/>
    <w:rsid w:val="00703144"/>
    <w:rsid w:val="007032C0"/>
    <w:rsid w:val="007036F9"/>
    <w:rsid w:val="00703891"/>
    <w:rsid w:val="007040F9"/>
    <w:rsid w:val="007042BD"/>
    <w:rsid w:val="0070443F"/>
    <w:rsid w:val="007045CD"/>
    <w:rsid w:val="00704938"/>
    <w:rsid w:val="00704A3D"/>
    <w:rsid w:val="00704AD6"/>
    <w:rsid w:val="007054B1"/>
    <w:rsid w:val="00705576"/>
    <w:rsid w:val="00705676"/>
    <w:rsid w:val="0070578A"/>
    <w:rsid w:val="007058B7"/>
    <w:rsid w:val="00705C0A"/>
    <w:rsid w:val="00705ED7"/>
    <w:rsid w:val="007060E4"/>
    <w:rsid w:val="00706159"/>
    <w:rsid w:val="00706977"/>
    <w:rsid w:val="00706984"/>
    <w:rsid w:val="00706BA4"/>
    <w:rsid w:val="00706DC6"/>
    <w:rsid w:val="007073FC"/>
    <w:rsid w:val="007076E9"/>
    <w:rsid w:val="0070779B"/>
    <w:rsid w:val="00707826"/>
    <w:rsid w:val="007079F4"/>
    <w:rsid w:val="0071001A"/>
    <w:rsid w:val="0071026F"/>
    <w:rsid w:val="007102F9"/>
    <w:rsid w:val="0071031C"/>
    <w:rsid w:val="007106E3"/>
    <w:rsid w:val="00710BBE"/>
    <w:rsid w:val="00710E7F"/>
    <w:rsid w:val="00711341"/>
    <w:rsid w:val="007113D2"/>
    <w:rsid w:val="007114E5"/>
    <w:rsid w:val="00711873"/>
    <w:rsid w:val="007118F1"/>
    <w:rsid w:val="00711C3A"/>
    <w:rsid w:val="00711DBE"/>
    <w:rsid w:val="007120E0"/>
    <w:rsid w:val="00712477"/>
    <w:rsid w:val="00712C17"/>
    <w:rsid w:val="007132AA"/>
    <w:rsid w:val="007138FB"/>
    <w:rsid w:val="00713E02"/>
    <w:rsid w:val="007141D1"/>
    <w:rsid w:val="00714406"/>
    <w:rsid w:val="0071505E"/>
    <w:rsid w:val="00715363"/>
    <w:rsid w:val="00715507"/>
    <w:rsid w:val="007159BC"/>
    <w:rsid w:val="00715A0F"/>
    <w:rsid w:val="00715B02"/>
    <w:rsid w:val="00715C89"/>
    <w:rsid w:val="00716594"/>
    <w:rsid w:val="00717406"/>
    <w:rsid w:val="0071764A"/>
    <w:rsid w:val="007176C8"/>
    <w:rsid w:val="00717B48"/>
    <w:rsid w:val="00717B8C"/>
    <w:rsid w:val="00717ECA"/>
    <w:rsid w:val="00717F19"/>
    <w:rsid w:val="00720D0C"/>
    <w:rsid w:val="00720D3A"/>
    <w:rsid w:val="00721188"/>
    <w:rsid w:val="0072147F"/>
    <w:rsid w:val="00721502"/>
    <w:rsid w:val="00721852"/>
    <w:rsid w:val="00721907"/>
    <w:rsid w:val="007221E3"/>
    <w:rsid w:val="00722280"/>
    <w:rsid w:val="007223A2"/>
    <w:rsid w:val="0072250E"/>
    <w:rsid w:val="007225B3"/>
    <w:rsid w:val="007228EB"/>
    <w:rsid w:val="007231E2"/>
    <w:rsid w:val="00723495"/>
    <w:rsid w:val="007237C4"/>
    <w:rsid w:val="00723884"/>
    <w:rsid w:val="007238EE"/>
    <w:rsid w:val="00723D24"/>
    <w:rsid w:val="00723EB0"/>
    <w:rsid w:val="00724436"/>
    <w:rsid w:val="007258EC"/>
    <w:rsid w:val="007259FF"/>
    <w:rsid w:val="00725A84"/>
    <w:rsid w:val="00725AC8"/>
    <w:rsid w:val="00726172"/>
    <w:rsid w:val="007263AC"/>
    <w:rsid w:val="00726457"/>
    <w:rsid w:val="0072660A"/>
    <w:rsid w:val="0072669E"/>
    <w:rsid w:val="00726CED"/>
    <w:rsid w:val="00727155"/>
    <w:rsid w:val="007271BE"/>
    <w:rsid w:val="00727294"/>
    <w:rsid w:val="00727313"/>
    <w:rsid w:val="007273B6"/>
    <w:rsid w:val="00727466"/>
    <w:rsid w:val="007275CD"/>
    <w:rsid w:val="00727664"/>
    <w:rsid w:val="00727766"/>
    <w:rsid w:val="00727A6E"/>
    <w:rsid w:val="00727A80"/>
    <w:rsid w:val="00730182"/>
    <w:rsid w:val="007301A8"/>
    <w:rsid w:val="007303E5"/>
    <w:rsid w:val="0073053C"/>
    <w:rsid w:val="00730878"/>
    <w:rsid w:val="00730977"/>
    <w:rsid w:val="00730C5C"/>
    <w:rsid w:val="0073255D"/>
    <w:rsid w:val="00732B8E"/>
    <w:rsid w:val="00732DB4"/>
    <w:rsid w:val="00732E94"/>
    <w:rsid w:val="00733497"/>
    <w:rsid w:val="00733668"/>
    <w:rsid w:val="00734380"/>
    <w:rsid w:val="00734635"/>
    <w:rsid w:val="00734872"/>
    <w:rsid w:val="00734AFF"/>
    <w:rsid w:val="00734D5F"/>
    <w:rsid w:val="00734DEE"/>
    <w:rsid w:val="00734E57"/>
    <w:rsid w:val="007353AB"/>
    <w:rsid w:val="0073547E"/>
    <w:rsid w:val="007357D7"/>
    <w:rsid w:val="00736135"/>
    <w:rsid w:val="00736694"/>
    <w:rsid w:val="00736758"/>
    <w:rsid w:val="00736D90"/>
    <w:rsid w:val="00737020"/>
    <w:rsid w:val="00737463"/>
    <w:rsid w:val="007375AF"/>
    <w:rsid w:val="0073774D"/>
    <w:rsid w:val="0073779A"/>
    <w:rsid w:val="007378C7"/>
    <w:rsid w:val="00737A62"/>
    <w:rsid w:val="00737BAA"/>
    <w:rsid w:val="0074023D"/>
    <w:rsid w:val="00740461"/>
    <w:rsid w:val="00740B03"/>
    <w:rsid w:val="00740C77"/>
    <w:rsid w:val="00740FA4"/>
    <w:rsid w:val="0074130F"/>
    <w:rsid w:val="0074145B"/>
    <w:rsid w:val="007417C7"/>
    <w:rsid w:val="00741960"/>
    <w:rsid w:val="00741CBD"/>
    <w:rsid w:val="00741F9A"/>
    <w:rsid w:val="00741FC1"/>
    <w:rsid w:val="00742555"/>
    <w:rsid w:val="00742558"/>
    <w:rsid w:val="00742BDB"/>
    <w:rsid w:val="00742BE1"/>
    <w:rsid w:val="00742F08"/>
    <w:rsid w:val="00742F32"/>
    <w:rsid w:val="00743473"/>
    <w:rsid w:val="007435CB"/>
    <w:rsid w:val="007437BC"/>
    <w:rsid w:val="007438FC"/>
    <w:rsid w:val="00743C2E"/>
    <w:rsid w:val="00743ED8"/>
    <w:rsid w:val="00743F4E"/>
    <w:rsid w:val="007441B6"/>
    <w:rsid w:val="007445E8"/>
    <w:rsid w:val="00744C0F"/>
    <w:rsid w:val="00744C49"/>
    <w:rsid w:val="00744CEE"/>
    <w:rsid w:val="00744EAF"/>
    <w:rsid w:val="00744FD3"/>
    <w:rsid w:val="0074500A"/>
    <w:rsid w:val="00745279"/>
    <w:rsid w:val="0074534C"/>
    <w:rsid w:val="00745475"/>
    <w:rsid w:val="007457ED"/>
    <w:rsid w:val="00745BD5"/>
    <w:rsid w:val="00746331"/>
    <w:rsid w:val="007463DB"/>
    <w:rsid w:val="007468BD"/>
    <w:rsid w:val="0074708F"/>
    <w:rsid w:val="00747298"/>
    <w:rsid w:val="007475A4"/>
    <w:rsid w:val="007476B3"/>
    <w:rsid w:val="00747773"/>
    <w:rsid w:val="00747B11"/>
    <w:rsid w:val="00747F2E"/>
    <w:rsid w:val="007507A8"/>
    <w:rsid w:val="0075113B"/>
    <w:rsid w:val="0075162C"/>
    <w:rsid w:val="00751792"/>
    <w:rsid w:val="007519A8"/>
    <w:rsid w:val="00751B4D"/>
    <w:rsid w:val="00751FD7"/>
    <w:rsid w:val="00752335"/>
    <w:rsid w:val="0075254B"/>
    <w:rsid w:val="00752844"/>
    <w:rsid w:val="00752AF3"/>
    <w:rsid w:val="00752BC5"/>
    <w:rsid w:val="00752F9E"/>
    <w:rsid w:val="00753060"/>
    <w:rsid w:val="00753242"/>
    <w:rsid w:val="00753720"/>
    <w:rsid w:val="00753747"/>
    <w:rsid w:val="007538FE"/>
    <w:rsid w:val="00753BA0"/>
    <w:rsid w:val="00753EBA"/>
    <w:rsid w:val="00754221"/>
    <w:rsid w:val="00754892"/>
    <w:rsid w:val="00754AAB"/>
    <w:rsid w:val="00754D2C"/>
    <w:rsid w:val="00754F0F"/>
    <w:rsid w:val="00755609"/>
    <w:rsid w:val="00755898"/>
    <w:rsid w:val="00755C6A"/>
    <w:rsid w:val="00755D77"/>
    <w:rsid w:val="0075622C"/>
    <w:rsid w:val="007569C3"/>
    <w:rsid w:val="007579E3"/>
    <w:rsid w:val="00757B5A"/>
    <w:rsid w:val="00757DC8"/>
    <w:rsid w:val="00757E07"/>
    <w:rsid w:val="0076022D"/>
    <w:rsid w:val="0076028F"/>
    <w:rsid w:val="00760C05"/>
    <w:rsid w:val="00760E58"/>
    <w:rsid w:val="00760ED2"/>
    <w:rsid w:val="00760F1D"/>
    <w:rsid w:val="007613A3"/>
    <w:rsid w:val="007618A4"/>
    <w:rsid w:val="00761A37"/>
    <w:rsid w:val="00761B6A"/>
    <w:rsid w:val="00761CFB"/>
    <w:rsid w:val="0076207A"/>
    <w:rsid w:val="00762236"/>
    <w:rsid w:val="00762541"/>
    <w:rsid w:val="00762821"/>
    <w:rsid w:val="00764013"/>
    <w:rsid w:val="007642BD"/>
    <w:rsid w:val="00764684"/>
    <w:rsid w:val="007646FA"/>
    <w:rsid w:val="00764911"/>
    <w:rsid w:val="00764BAB"/>
    <w:rsid w:val="00764C40"/>
    <w:rsid w:val="00764CE0"/>
    <w:rsid w:val="0076527E"/>
    <w:rsid w:val="007652C7"/>
    <w:rsid w:val="00765EAA"/>
    <w:rsid w:val="00765FF8"/>
    <w:rsid w:val="00766040"/>
    <w:rsid w:val="00766DAC"/>
    <w:rsid w:val="00766FE6"/>
    <w:rsid w:val="00767282"/>
    <w:rsid w:val="007674AE"/>
    <w:rsid w:val="00767A2A"/>
    <w:rsid w:val="00767DDB"/>
    <w:rsid w:val="00770106"/>
    <w:rsid w:val="00770178"/>
    <w:rsid w:val="0077045B"/>
    <w:rsid w:val="00770669"/>
    <w:rsid w:val="00770AAC"/>
    <w:rsid w:val="00770DA8"/>
    <w:rsid w:val="00770EB0"/>
    <w:rsid w:val="00771455"/>
    <w:rsid w:val="00771792"/>
    <w:rsid w:val="00771965"/>
    <w:rsid w:val="00772070"/>
    <w:rsid w:val="0077289D"/>
    <w:rsid w:val="00772A80"/>
    <w:rsid w:val="00772C33"/>
    <w:rsid w:val="00772E28"/>
    <w:rsid w:val="00772EE2"/>
    <w:rsid w:val="00773116"/>
    <w:rsid w:val="00773122"/>
    <w:rsid w:val="0077336C"/>
    <w:rsid w:val="007733C7"/>
    <w:rsid w:val="0077347B"/>
    <w:rsid w:val="00773769"/>
    <w:rsid w:val="00773794"/>
    <w:rsid w:val="007737A0"/>
    <w:rsid w:val="007737DA"/>
    <w:rsid w:val="0077399E"/>
    <w:rsid w:val="00774033"/>
    <w:rsid w:val="007740BE"/>
    <w:rsid w:val="007741B7"/>
    <w:rsid w:val="00774427"/>
    <w:rsid w:val="0077442A"/>
    <w:rsid w:val="0077449D"/>
    <w:rsid w:val="00774688"/>
    <w:rsid w:val="00774A00"/>
    <w:rsid w:val="007755B1"/>
    <w:rsid w:val="00775B36"/>
    <w:rsid w:val="00775CC6"/>
    <w:rsid w:val="00775E3A"/>
    <w:rsid w:val="00775F10"/>
    <w:rsid w:val="00775F7F"/>
    <w:rsid w:val="00775FE2"/>
    <w:rsid w:val="007765E0"/>
    <w:rsid w:val="00776617"/>
    <w:rsid w:val="00776BC3"/>
    <w:rsid w:val="00776BF4"/>
    <w:rsid w:val="00776EA5"/>
    <w:rsid w:val="00777019"/>
    <w:rsid w:val="0077720B"/>
    <w:rsid w:val="007774D1"/>
    <w:rsid w:val="007777C8"/>
    <w:rsid w:val="00777A7D"/>
    <w:rsid w:val="00777ABF"/>
    <w:rsid w:val="00777D65"/>
    <w:rsid w:val="00777EF5"/>
    <w:rsid w:val="0078000D"/>
    <w:rsid w:val="0078005C"/>
    <w:rsid w:val="007801B2"/>
    <w:rsid w:val="0078048B"/>
    <w:rsid w:val="00780492"/>
    <w:rsid w:val="007805AE"/>
    <w:rsid w:val="00780A84"/>
    <w:rsid w:val="00780DDB"/>
    <w:rsid w:val="00780EE0"/>
    <w:rsid w:val="00780F67"/>
    <w:rsid w:val="007811C0"/>
    <w:rsid w:val="00781788"/>
    <w:rsid w:val="00781801"/>
    <w:rsid w:val="007818AC"/>
    <w:rsid w:val="00781A00"/>
    <w:rsid w:val="00781D79"/>
    <w:rsid w:val="00782111"/>
    <w:rsid w:val="00782429"/>
    <w:rsid w:val="007829E9"/>
    <w:rsid w:val="00782BB3"/>
    <w:rsid w:val="0078350B"/>
    <w:rsid w:val="007835F9"/>
    <w:rsid w:val="007836D9"/>
    <w:rsid w:val="00783769"/>
    <w:rsid w:val="00783EA8"/>
    <w:rsid w:val="00783FAE"/>
    <w:rsid w:val="00783FB5"/>
    <w:rsid w:val="007840B5"/>
    <w:rsid w:val="007847EE"/>
    <w:rsid w:val="00784868"/>
    <w:rsid w:val="00784944"/>
    <w:rsid w:val="00784B4D"/>
    <w:rsid w:val="00784C96"/>
    <w:rsid w:val="007851FB"/>
    <w:rsid w:val="007852D2"/>
    <w:rsid w:val="007855C8"/>
    <w:rsid w:val="007856CC"/>
    <w:rsid w:val="00785C74"/>
    <w:rsid w:val="00785E5C"/>
    <w:rsid w:val="00786526"/>
    <w:rsid w:val="00786E54"/>
    <w:rsid w:val="00786EA4"/>
    <w:rsid w:val="00786EEA"/>
    <w:rsid w:val="007875B3"/>
    <w:rsid w:val="007877C8"/>
    <w:rsid w:val="0078788D"/>
    <w:rsid w:val="00787E12"/>
    <w:rsid w:val="007905F9"/>
    <w:rsid w:val="007907AC"/>
    <w:rsid w:val="00790C97"/>
    <w:rsid w:val="00790E40"/>
    <w:rsid w:val="00790F91"/>
    <w:rsid w:val="0079122D"/>
    <w:rsid w:val="00791417"/>
    <w:rsid w:val="0079268D"/>
    <w:rsid w:val="0079279E"/>
    <w:rsid w:val="007927BE"/>
    <w:rsid w:val="0079293D"/>
    <w:rsid w:val="00792A8D"/>
    <w:rsid w:val="00792B9B"/>
    <w:rsid w:val="00792EA4"/>
    <w:rsid w:val="00793A05"/>
    <w:rsid w:val="00793A98"/>
    <w:rsid w:val="0079404D"/>
    <w:rsid w:val="00794084"/>
    <w:rsid w:val="007940DE"/>
    <w:rsid w:val="00794368"/>
    <w:rsid w:val="007946A5"/>
    <w:rsid w:val="00794BEC"/>
    <w:rsid w:val="00794E2C"/>
    <w:rsid w:val="00795116"/>
    <w:rsid w:val="007955E1"/>
    <w:rsid w:val="007957FA"/>
    <w:rsid w:val="007958ED"/>
    <w:rsid w:val="00795925"/>
    <w:rsid w:val="00795C9A"/>
    <w:rsid w:val="00795DDF"/>
    <w:rsid w:val="00795E32"/>
    <w:rsid w:val="00795F02"/>
    <w:rsid w:val="00795F3D"/>
    <w:rsid w:val="007961B0"/>
    <w:rsid w:val="0079693D"/>
    <w:rsid w:val="00796A81"/>
    <w:rsid w:val="00797354"/>
    <w:rsid w:val="00797728"/>
    <w:rsid w:val="00797C0E"/>
    <w:rsid w:val="007A0192"/>
    <w:rsid w:val="007A02E6"/>
    <w:rsid w:val="007A0425"/>
    <w:rsid w:val="007A0624"/>
    <w:rsid w:val="007A0A56"/>
    <w:rsid w:val="007A0A5D"/>
    <w:rsid w:val="007A0A81"/>
    <w:rsid w:val="007A0B21"/>
    <w:rsid w:val="007A0CBD"/>
    <w:rsid w:val="007A0FDA"/>
    <w:rsid w:val="007A11E7"/>
    <w:rsid w:val="007A16E7"/>
    <w:rsid w:val="007A185D"/>
    <w:rsid w:val="007A1B8E"/>
    <w:rsid w:val="007A1BBD"/>
    <w:rsid w:val="007A23C1"/>
    <w:rsid w:val="007A31E1"/>
    <w:rsid w:val="007A361E"/>
    <w:rsid w:val="007A3B40"/>
    <w:rsid w:val="007A3D64"/>
    <w:rsid w:val="007A3E54"/>
    <w:rsid w:val="007A3F8C"/>
    <w:rsid w:val="007A400B"/>
    <w:rsid w:val="007A4092"/>
    <w:rsid w:val="007A4A6A"/>
    <w:rsid w:val="007A4B55"/>
    <w:rsid w:val="007A4D4B"/>
    <w:rsid w:val="007A4D5F"/>
    <w:rsid w:val="007A5252"/>
    <w:rsid w:val="007A57C6"/>
    <w:rsid w:val="007A6439"/>
    <w:rsid w:val="007A649C"/>
    <w:rsid w:val="007A68A1"/>
    <w:rsid w:val="007A69D9"/>
    <w:rsid w:val="007A6DEB"/>
    <w:rsid w:val="007A70A9"/>
    <w:rsid w:val="007A71BB"/>
    <w:rsid w:val="007A732D"/>
    <w:rsid w:val="007A751F"/>
    <w:rsid w:val="007A7885"/>
    <w:rsid w:val="007A7A42"/>
    <w:rsid w:val="007A7FCE"/>
    <w:rsid w:val="007B0225"/>
    <w:rsid w:val="007B039C"/>
    <w:rsid w:val="007B04E6"/>
    <w:rsid w:val="007B0AA9"/>
    <w:rsid w:val="007B0CA2"/>
    <w:rsid w:val="007B0E38"/>
    <w:rsid w:val="007B0E42"/>
    <w:rsid w:val="007B13EB"/>
    <w:rsid w:val="007B173A"/>
    <w:rsid w:val="007B1A15"/>
    <w:rsid w:val="007B20FA"/>
    <w:rsid w:val="007B21D7"/>
    <w:rsid w:val="007B23AB"/>
    <w:rsid w:val="007B23BF"/>
    <w:rsid w:val="007B25F8"/>
    <w:rsid w:val="007B26C7"/>
    <w:rsid w:val="007B26EF"/>
    <w:rsid w:val="007B270E"/>
    <w:rsid w:val="007B2A20"/>
    <w:rsid w:val="007B2F7E"/>
    <w:rsid w:val="007B30B3"/>
    <w:rsid w:val="007B3304"/>
    <w:rsid w:val="007B3A32"/>
    <w:rsid w:val="007B3CD9"/>
    <w:rsid w:val="007B424B"/>
    <w:rsid w:val="007B46B8"/>
    <w:rsid w:val="007B48B3"/>
    <w:rsid w:val="007B4F9A"/>
    <w:rsid w:val="007B5283"/>
    <w:rsid w:val="007B573B"/>
    <w:rsid w:val="007B5812"/>
    <w:rsid w:val="007B5F0F"/>
    <w:rsid w:val="007B5FCF"/>
    <w:rsid w:val="007B6173"/>
    <w:rsid w:val="007B6405"/>
    <w:rsid w:val="007B6524"/>
    <w:rsid w:val="007B65DB"/>
    <w:rsid w:val="007B695D"/>
    <w:rsid w:val="007B6FAE"/>
    <w:rsid w:val="007B72D7"/>
    <w:rsid w:val="007B737E"/>
    <w:rsid w:val="007B73FB"/>
    <w:rsid w:val="007B78C7"/>
    <w:rsid w:val="007B78F3"/>
    <w:rsid w:val="007C00D2"/>
    <w:rsid w:val="007C035D"/>
    <w:rsid w:val="007C05FD"/>
    <w:rsid w:val="007C06A4"/>
    <w:rsid w:val="007C09DF"/>
    <w:rsid w:val="007C0CBE"/>
    <w:rsid w:val="007C0F39"/>
    <w:rsid w:val="007C10B6"/>
    <w:rsid w:val="007C1A47"/>
    <w:rsid w:val="007C1B18"/>
    <w:rsid w:val="007C23C4"/>
    <w:rsid w:val="007C2413"/>
    <w:rsid w:val="007C25F1"/>
    <w:rsid w:val="007C2639"/>
    <w:rsid w:val="007C2A38"/>
    <w:rsid w:val="007C2D67"/>
    <w:rsid w:val="007C3198"/>
    <w:rsid w:val="007C3328"/>
    <w:rsid w:val="007C3377"/>
    <w:rsid w:val="007C35C1"/>
    <w:rsid w:val="007C3653"/>
    <w:rsid w:val="007C372B"/>
    <w:rsid w:val="007C3772"/>
    <w:rsid w:val="007C38FF"/>
    <w:rsid w:val="007C3C93"/>
    <w:rsid w:val="007C3E38"/>
    <w:rsid w:val="007C41D8"/>
    <w:rsid w:val="007C42CA"/>
    <w:rsid w:val="007C43B3"/>
    <w:rsid w:val="007C4774"/>
    <w:rsid w:val="007C49D9"/>
    <w:rsid w:val="007C4E05"/>
    <w:rsid w:val="007C51B2"/>
    <w:rsid w:val="007C54E3"/>
    <w:rsid w:val="007C5A18"/>
    <w:rsid w:val="007C5A4C"/>
    <w:rsid w:val="007C61E4"/>
    <w:rsid w:val="007C6439"/>
    <w:rsid w:val="007C6DE6"/>
    <w:rsid w:val="007C6F03"/>
    <w:rsid w:val="007C74A7"/>
    <w:rsid w:val="007C7968"/>
    <w:rsid w:val="007C79CC"/>
    <w:rsid w:val="007C7CA4"/>
    <w:rsid w:val="007C7F43"/>
    <w:rsid w:val="007D00EE"/>
    <w:rsid w:val="007D0154"/>
    <w:rsid w:val="007D069C"/>
    <w:rsid w:val="007D08E6"/>
    <w:rsid w:val="007D097E"/>
    <w:rsid w:val="007D14CC"/>
    <w:rsid w:val="007D1522"/>
    <w:rsid w:val="007D1D81"/>
    <w:rsid w:val="007D1E4E"/>
    <w:rsid w:val="007D21CB"/>
    <w:rsid w:val="007D22B5"/>
    <w:rsid w:val="007D2344"/>
    <w:rsid w:val="007D2B41"/>
    <w:rsid w:val="007D2BE6"/>
    <w:rsid w:val="007D2EE4"/>
    <w:rsid w:val="007D3584"/>
    <w:rsid w:val="007D3EB6"/>
    <w:rsid w:val="007D415F"/>
    <w:rsid w:val="007D4899"/>
    <w:rsid w:val="007D49FF"/>
    <w:rsid w:val="007D4B41"/>
    <w:rsid w:val="007D4FD6"/>
    <w:rsid w:val="007D5C81"/>
    <w:rsid w:val="007D634B"/>
    <w:rsid w:val="007D636D"/>
    <w:rsid w:val="007D6540"/>
    <w:rsid w:val="007D660E"/>
    <w:rsid w:val="007D6662"/>
    <w:rsid w:val="007D68C7"/>
    <w:rsid w:val="007D6AEE"/>
    <w:rsid w:val="007D6AF4"/>
    <w:rsid w:val="007D6CDB"/>
    <w:rsid w:val="007D71D0"/>
    <w:rsid w:val="007D739E"/>
    <w:rsid w:val="007D74B8"/>
    <w:rsid w:val="007D75AE"/>
    <w:rsid w:val="007D77A8"/>
    <w:rsid w:val="007E02A2"/>
    <w:rsid w:val="007E07A3"/>
    <w:rsid w:val="007E0AD3"/>
    <w:rsid w:val="007E0B72"/>
    <w:rsid w:val="007E0CAA"/>
    <w:rsid w:val="007E1558"/>
    <w:rsid w:val="007E1820"/>
    <w:rsid w:val="007E1850"/>
    <w:rsid w:val="007E186E"/>
    <w:rsid w:val="007E18D5"/>
    <w:rsid w:val="007E1DFA"/>
    <w:rsid w:val="007E201D"/>
    <w:rsid w:val="007E237A"/>
    <w:rsid w:val="007E25F5"/>
    <w:rsid w:val="007E2B18"/>
    <w:rsid w:val="007E2C48"/>
    <w:rsid w:val="007E315A"/>
    <w:rsid w:val="007E36C3"/>
    <w:rsid w:val="007E37F7"/>
    <w:rsid w:val="007E39BF"/>
    <w:rsid w:val="007E3B2A"/>
    <w:rsid w:val="007E3D29"/>
    <w:rsid w:val="007E3DC3"/>
    <w:rsid w:val="007E3FE6"/>
    <w:rsid w:val="007E4053"/>
    <w:rsid w:val="007E46BC"/>
    <w:rsid w:val="007E4836"/>
    <w:rsid w:val="007E51CE"/>
    <w:rsid w:val="007E52BB"/>
    <w:rsid w:val="007E52BE"/>
    <w:rsid w:val="007E534F"/>
    <w:rsid w:val="007E5510"/>
    <w:rsid w:val="007E5D22"/>
    <w:rsid w:val="007E5DC4"/>
    <w:rsid w:val="007E6094"/>
    <w:rsid w:val="007E64AA"/>
    <w:rsid w:val="007E66D5"/>
    <w:rsid w:val="007E67B3"/>
    <w:rsid w:val="007E67F9"/>
    <w:rsid w:val="007E68C7"/>
    <w:rsid w:val="007E6A66"/>
    <w:rsid w:val="007E6C0C"/>
    <w:rsid w:val="007E6F67"/>
    <w:rsid w:val="007E6FCF"/>
    <w:rsid w:val="007E6FDA"/>
    <w:rsid w:val="007E7105"/>
    <w:rsid w:val="007E7551"/>
    <w:rsid w:val="007E7786"/>
    <w:rsid w:val="007E7B29"/>
    <w:rsid w:val="007E7EEB"/>
    <w:rsid w:val="007F08FB"/>
    <w:rsid w:val="007F0E78"/>
    <w:rsid w:val="007F1301"/>
    <w:rsid w:val="007F140D"/>
    <w:rsid w:val="007F1587"/>
    <w:rsid w:val="007F1699"/>
    <w:rsid w:val="007F20B5"/>
    <w:rsid w:val="007F21A3"/>
    <w:rsid w:val="007F22ED"/>
    <w:rsid w:val="007F26AF"/>
    <w:rsid w:val="007F2C63"/>
    <w:rsid w:val="007F2C69"/>
    <w:rsid w:val="007F2CE1"/>
    <w:rsid w:val="007F3054"/>
    <w:rsid w:val="007F3177"/>
    <w:rsid w:val="007F335C"/>
    <w:rsid w:val="007F3960"/>
    <w:rsid w:val="007F39FA"/>
    <w:rsid w:val="007F3B11"/>
    <w:rsid w:val="007F3E8D"/>
    <w:rsid w:val="007F3F24"/>
    <w:rsid w:val="007F440E"/>
    <w:rsid w:val="007F44DA"/>
    <w:rsid w:val="007F49E7"/>
    <w:rsid w:val="007F4C4F"/>
    <w:rsid w:val="007F4C92"/>
    <w:rsid w:val="007F5102"/>
    <w:rsid w:val="007F51D5"/>
    <w:rsid w:val="007F5825"/>
    <w:rsid w:val="007F5AD5"/>
    <w:rsid w:val="007F6071"/>
    <w:rsid w:val="007F662D"/>
    <w:rsid w:val="007F6E0F"/>
    <w:rsid w:val="007F72A3"/>
    <w:rsid w:val="007F74C7"/>
    <w:rsid w:val="007F7504"/>
    <w:rsid w:val="007F7760"/>
    <w:rsid w:val="007F787C"/>
    <w:rsid w:val="007F79EF"/>
    <w:rsid w:val="007F7E8B"/>
    <w:rsid w:val="007F7FD6"/>
    <w:rsid w:val="00800079"/>
    <w:rsid w:val="00800759"/>
    <w:rsid w:val="008007DC"/>
    <w:rsid w:val="008009E5"/>
    <w:rsid w:val="00800A6E"/>
    <w:rsid w:val="00800BD6"/>
    <w:rsid w:val="00800C70"/>
    <w:rsid w:val="00800E2A"/>
    <w:rsid w:val="00800FFC"/>
    <w:rsid w:val="00801129"/>
    <w:rsid w:val="0080122B"/>
    <w:rsid w:val="0080134B"/>
    <w:rsid w:val="0080142D"/>
    <w:rsid w:val="00801E71"/>
    <w:rsid w:val="008024AE"/>
    <w:rsid w:val="008025CB"/>
    <w:rsid w:val="00802E8A"/>
    <w:rsid w:val="00803660"/>
    <w:rsid w:val="008037F0"/>
    <w:rsid w:val="00803AEA"/>
    <w:rsid w:val="00803B1A"/>
    <w:rsid w:val="00803B5B"/>
    <w:rsid w:val="00803C09"/>
    <w:rsid w:val="00803FED"/>
    <w:rsid w:val="0080467C"/>
    <w:rsid w:val="008048D3"/>
    <w:rsid w:val="00804963"/>
    <w:rsid w:val="00804C9C"/>
    <w:rsid w:val="00804D36"/>
    <w:rsid w:val="008057B9"/>
    <w:rsid w:val="00805954"/>
    <w:rsid w:val="00805BF8"/>
    <w:rsid w:val="00805F19"/>
    <w:rsid w:val="00805F1E"/>
    <w:rsid w:val="0080625A"/>
    <w:rsid w:val="00806800"/>
    <w:rsid w:val="00806A0F"/>
    <w:rsid w:val="0080719D"/>
    <w:rsid w:val="008074C0"/>
    <w:rsid w:val="00807960"/>
    <w:rsid w:val="00807A2A"/>
    <w:rsid w:val="00807D95"/>
    <w:rsid w:val="00807E35"/>
    <w:rsid w:val="0081021E"/>
    <w:rsid w:val="00810449"/>
    <w:rsid w:val="00810544"/>
    <w:rsid w:val="00810A0F"/>
    <w:rsid w:val="008112C4"/>
    <w:rsid w:val="00811596"/>
    <w:rsid w:val="00811873"/>
    <w:rsid w:val="00811878"/>
    <w:rsid w:val="008118A4"/>
    <w:rsid w:val="00811922"/>
    <w:rsid w:val="00811D28"/>
    <w:rsid w:val="0081216A"/>
    <w:rsid w:val="008122CF"/>
    <w:rsid w:val="00812874"/>
    <w:rsid w:val="00812A39"/>
    <w:rsid w:val="00812F11"/>
    <w:rsid w:val="008134CC"/>
    <w:rsid w:val="0081391B"/>
    <w:rsid w:val="00813DAC"/>
    <w:rsid w:val="00813E14"/>
    <w:rsid w:val="00814293"/>
    <w:rsid w:val="00814322"/>
    <w:rsid w:val="00814E78"/>
    <w:rsid w:val="0081515E"/>
    <w:rsid w:val="0081536C"/>
    <w:rsid w:val="008158B1"/>
    <w:rsid w:val="00815B46"/>
    <w:rsid w:val="00815D2F"/>
    <w:rsid w:val="00815F2D"/>
    <w:rsid w:val="00816259"/>
    <w:rsid w:val="00816749"/>
    <w:rsid w:val="00816809"/>
    <w:rsid w:val="00816F76"/>
    <w:rsid w:val="008170C7"/>
    <w:rsid w:val="0081716D"/>
    <w:rsid w:val="008174C4"/>
    <w:rsid w:val="00817D8A"/>
    <w:rsid w:val="008207E1"/>
    <w:rsid w:val="0082130D"/>
    <w:rsid w:val="00821591"/>
    <w:rsid w:val="008215E3"/>
    <w:rsid w:val="00821732"/>
    <w:rsid w:val="008221A0"/>
    <w:rsid w:val="008223A7"/>
    <w:rsid w:val="008229DA"/>
    <w:rsid w:val="00822B71"/>
    <w:rsid w:val="0082301B"/>
    <w:rsid w:val="008232AF"/>
    <w:rsid w:val="00823406"/>
    <w:rsid w:val="008238BB"/>
    <w:rsid w:val="00823BF2"/>
    <w:rsid w:val="0082422D"/>
    <w:rsid w:val="00824725"/>
    <w:rsid w:val="00824CE5"/>
    <w:rsid w:val="00824E11"/>
    <w:rsid w:val="00824E3E"/>
    <w:rsid w:val="008250BA"/>
    <w:rsid w:val="008254F6"/>
    <w:rsid w:val="008255E5"/>
    <w:rsid w:val="0082587A"/>
    <w:rsid w:val="00825F7A"/>
    <w:rsid w:val="008260B5"/>
    <w:rsid w:val="008266A4"/>
    <w:rsid w:val="008268C2"/>
    <w:rsid w:val="00826D6B"/>
    <w:rsid w:val="008272A6"/>
    <w:rsid w:val="008272B8"/>
    <w:rsid w:val="008272CA"/>
    <w:rsid w:val="00827363"/>
    <w:rsid w:val="00827386"/>
    <w:rsid w:val="008274B2"/>
    <w:rsid w:val="00827FCD"/>
    <w:rsid w:val="008300A1"/>
    <w:rsid w:val="0083010D"/>
    <w:rsid w:val="00830555"/>
    <w:rsid w:val="00830765"/>
    <w:rsid w:val="00830AA1"/>
    <w:rsid w:val="00830F8A"/>
    <w:rsid w:val="00831163"/>
    <w:rsid w:val="008312CB"/>
    <w:rsid w:val="00831316"/>
    <w:rsid w:val="00831449"/>
    <w:rsid w:val="008315C3"/>
    <w:rsid w:val="00831E01"/>
    <w:rsid w:val="0083278E"/>
    <w:rsid w:val="008327CF"/>
    <w:rsid w:val="00832E3D"/>
    <w:rsid w:val="0083307F"/>
    <w:rsid w:val="008331BB"/>
    <w:rsid w:val="008331CD"/>
    <w:rsid w:val="00833467"/>
    <w:rsid w:val="00833C2E"/>
    <w:rsid w:val="00833C3B"/>
    <w:rsid w:val="00833F5B"/>
    <w:rsid w:val="0083405D"/>
    <w:rsid w:val="008343BF"/>
    <w:rsid w:val="00834438"/>
    <w:rsid w:val="00834676"/>
    <w:rsid w:val="00834693"/>
    <w:rsid w:val="008347EC"/>
    <w:rsid w:val="008348A2"/>
    <w:rsid w:val="008349CA"/>
    <w:rsid w:val="0083506C"/>
    <w:rsid w:val="00835732"/>
    <w:rsid w:val="00835807"/>
    <w:rsid w:val="008358D3"/>
    <w:rsid w:val="008359F0"/>
    <w:rsid w:val="00835B12"/>
    <w:rsid w:val="00836515"/>
    <w:rsid w:val="00837C4D"/>
    <w:rsid w:val="008401B0"/>
    <w:rsid w:val="00840601"/>
    <w:rsid w:val="00840972"/>
    <w:rsid w:val="00840B93"/>
    <w:rsid w:val="00840C40"/>
    <w:rsid w:val="00840F18"/>
    <w:rsid w:val="008414BD"/>
    <w:rsid w:val="0084172E"/>
    <w:rsid w:val="00841735"/>
    <w:rsid w:val="008418FE"/>
    <w:rsid w:val="00841A49"/>
    <w:rsid w:val="00841B89"/>
    <w:rsid w:val="0084237E"/>
    <w:rsid w:val="00842535"/>
    <w:rsid w:val="00842A33"/>
    <w:rsid w:val="00842D8C"/>
    <w:rsid w:val="0084337E"/>
    <w:rsid w:val="0084366A"/>
    <w:rsid w:val="00843670"/>
    <w:rsid w:val="0084389A"/>
    <w:rsid w:val="0084399B"/>
    <w:rsid w:val="00843AAF"/>
    <w:rsid w:val="00843C36"/>
    <w:rsid w:val="00843F02"/>
    <w:rsid w:val="00844498"/>
    <w:rsid w:val="0084466C"/>
    <w:rsid w:val="00844D42"/>
    <w:rsid w:val="0084541D"/>
    <w:rsid w:val="00845540"/>
    <w:rsid w:val="00845995"/>
    <w:rsid w:val="00845999"/>
    <w:rsid w:val="00846414"/>
    <w:rsid w:val="00846697"/>
    <w:rsid w:val="008467B2"/>
    <w:rsid w:val="008467BA"/>
    <w:rsid w:val="0084689B"/>
    <w:rsid w:val="00846B74"/>
    <w:rsid w:val="00846D80"/>
    <w:rsid w:val="00846E28"/>
    <w:rsid w:val="00846EBB"/>
    <w:rsid w:val="008472DB"/>
    <w:rsid w:val="008476A0"/>
    <w:rsid w:val="008476B3"/>
    <w:rsid w:val="00847B9A"/>
    <w:rsid w:val="00847C7E"/>
    <w:rsid w:val="008500A3"/>
    <w:rsid w:val="008501AC"/>
    <w:rsid w:val="008507C9"/>
    <w:rsid w:val="008510C9"/>
    <w:rsid w:val="008517AB"/>
    <w:rsid w:val="0085190D"/>
    <w:rsid w:val="00851952"/>
    <w:rsid w:val="00851A38"/>
    <w:rsid w:val="00852288"/>
    <w:rsid w:val="008523CC"/>
    <w:rsid w:val="0085291F"/>
    <w:rsid w:val="00852FF8"/>
    <w:rsid w:val="008532B6"/>
    <w:rsid w:val="008532E4"/>
    <w:rsid w:val="00853B52"/>
    <w:rsid w:val="00853CD3"/>
    <w:rsid w:val="00853D8D"/>
    <w:rsid w:val="00853DEA"/>
    <w:rsid w:val="00854453"/>
    <w:rsid w:val="008544CC"/>
    <w:rsid w:val="008544CE"/>
    <w:rsid w:val="008546C3"/>
    <w:rsid w:val="00854E28"/>
    <w:rsid w:val="0085554F"/>
    <w:rsid w:val="00855571"/>
    <w:rsid w:val="00855611"/>
    <w:rsid w:val="008558E4"/>
    <w:rsid w:val="00855A02"/>
    <w:rsid w:val="00855C05"/>
    <w:rsid w:val="00855F5C"/>
    <w:rsid w:val="00855FF9"/>
    <w:rsid w:val="0085603D"/>
    <w:rsid w:val="00856517"/>
    <w:rsid w:val="00856948"/>
    <w:rsid w:val="00856C52"/>
    <w:rsid w:val="008571D9"/>
    <w:rsid w:val="00857577"/>
    <w:rsid w:val="00857B3D"/>
    <w:rsid w:val="00857D97"/>
    <w:rsid w:val="00857DE8"/>
    <w:rsid w:val="00857E29"/>
    <w:rsid w:val="00860091"/>
    <w:rsid w:val="008600C0"/>
    <w:rsid w:val="00860274"/>
    <w:rsid w:val="00860370"/>
    <w:rsid w:val="008604AC"/>
    <w:rsid w:val="00860DB9"/>
    <w:rsid w:val="00860FED"/>
    <w:rsid w:val="008612E3"/>
    <w:rsid w:val="00861C6B"/>
    <w:rsid w:val="00861CA5"/>
    <w:rsid w:val="0086220F"/>
    <w:rsid w:val="008622C5"/>
    <w:rsid w:val="008626DF"/>
    <w:rsid w:val="00862F76"/>
    <w:rsid w:val="0086340A"/>
    <w:rsid w:val="00863D54"/>
    <w:rsid w:val="00863F91"/>
    <w:rsid w:val="008647BA"/>
    <w:rsid w:val="008647FB"/>
    <w:rsid w:val="00864993"/>
    <w:rsid w:val="00865153"/>
    <w:rsid w:val="00865197"/>
    <w:rsid w:val="00865A11"/>
    <w:rsid w:val="00865A42"/>
    <w:rsid w:val="00865E95"/>
    <w:rsid w:val="008666A1"/>
    <w:rsid w:val="00867262"/>
    <w:rsid w:val="0086739B"/>
    <w:rsid w:val="00867500"/>
    <w:rsid w:val="00867674"/>
    <w:rsid w:val="00867F6A"/>
    <w:rsid w:val="00867FAA"/>
    <w:rsid w:val="008702FF"/>
    <w:rsid w:val="008709A1"/>
    <w:rsid w:val="00870CEC"/>
    <w:rsid w:val="00870E5E"/>
    <w:rsid w:val="00870E6D"/>
    <w:rsid w:val="00870FB7"/>
    <w:rsid w:val="0087231D"/>
    <w:rsid w:val="008728BD"/>
    <w:rsid w:val="008729F3"/>
    <w:rsid w:val="00872B2C"/>
    <w:rsid w:val="00872B32"/>
    <w:rsid w:val="00872C06"/>
    <w:rsid w:val="00872D89"/>
    <w:rsid w:val="00873522"/>
    <w:rsid w:val="0087378E"/>
    <w:rsid w:val="0087385E"/>
    <w:rsid w:val="00873C58"/>
    <w:rsid w:val="008742DB"/>
    <w:rsid w:val="0087432F"/>
    <w:rsid w:val="0087446A"/>
    <w:rsid w:val="00874731"/>
    <w:rsid w:val="00874A58"/>
    <w:rsid w:val="00874E23"/>
    <w:rsid w:val="00874E41"/>
    <w:rsid w:val="00874E63"/>
    <w:rsid w:val="0087500A"/>
    <w:rsid w:val="00875348"/>
    <w:rsid w:val="00875513"/>
    <w:rsid w:val="008758A4"/>
    <w:rsid w:val="008759BD"/>
    <w:rsid w:val="0087607F"/>
    <w:rsid w:val="00876479"/>
    <w:rsid w:val="00876530"/>
    <w:rsid w:val="0087680A"/>
    <w:rsid w:val="008769BA"/>
    <w:rsid w:val="00876D50"/>
    <w:rsid w:val="008770B0"/>
    <w:rsid w:val="00877368"/>
    <w:rsid w:val="008775B0"/>
    <w:rsid w:val="00877611"/>
    <w:rsid w:val="0087777E"/>
    <w:rsid w:val="0087785C"/>
    <w:rsid w:val="00877B6F"/>
    <w:rsid w:val="00877E45"/>
    <w:rsid w:val="00877EE1"/>
    <w:rsid w:val="0088022D"/>
    <w:rsid w:val="00880357"/>
    <w:rsid w:val="0088051B"/>
    <w:rsid w:val="00880623"/>
    <w:rsid w:val="0088069B"/>
    <w:rsid w:val="008806A6"/>
    <w:rsid w:val="00880AD8"/>
    <w:rsid w:val="00881044"/>
    <w:rsid w:val="008812B8"/>
    <w:rsid w:val="008813DA"/>
    <w:rsid w:val="0088142D"/>
    <w:rsid w:val="00881435"/>
    <w:rsid w:val="00881440"/>
    <w:rsid w:val="00881B73"/>
    <w:rsid w:val="00881CD4"/>
    <w:rsid w:val="00881EFF"/>
    <w:rsid w:val="00883307"/>
    <w:rsid w:val="008834A1"/>
    <w:rsid w:val="0088381A"/>
    <w:rsid w:val="0088388C"/>
    <w:rsid w:val="008839D4"/>
    <w:rsid w:val="00883A01"/>
    <w:rsid w:val="00883DB1"/>
    <w:rsid w:val="008841E6"/>
    <w:rsid w:val="00884497"/>
    <w:rsid w:val="00884662"/>
    <w:rsid w:val="008848C5"/>
    <w:rsid w:val="0088491B"/>
    <w:rsid w:val="00884B1B"/>
    <w:rsid w:val="008850BB"/>
    <w:rsid w:val="0088543F"/>
    <w:rsid w:val="008854D0"/>
    <w:rsid w:val="00885EF2"/>
    <w:rsid w:val="008860AD"/>
    <w:rsid w:val="008863A5"/>
    <w:rsid w:val="00886A9A"/>
    <w:rsid w:val="00886B5A"/>
    <w:rsid w:val="00886FFD"/>
    <w:rsid w:val="008871EA"/>
    <w:rsid w:val="008876FA"/>
    <w:rsid w:val="00887707"/>
    <w:rsid w:val="00887779"/>
    <w:rsid w:val="00887985"/>
    <w:rsid w:val="00887C57"/>
    <w:rsid w:val="00887D5B"/>
    <w:rsid w:val="00887DA8"/>
    <w:rsid w:val="0089024F"/>
    <w:rsid w:val="00890466"/>
    <w:rsid w:val="00890637"/>
    <w:rsid w:val="008909B0"/>
    <w:rsid w:val="00890A25"/>
    <w:rsid w:val="0089107E"/>
    <w:rsid w:val="00891A44"/>
    <w:rsid w:val="00891B42"/>
    <w:rsid w:val="00891E89"/>
    <w:rsid w:val="008920C4"/>
    <w:rsid w:val="008923AF"/>
    <w:rsid w:val="008924EC"/>
    <w:rsid w:val="0089262D"/>
    <w:rsid w:val="00892EA8"/>
    <w:rsid w:val="008933A8"/>
    <w:rsid w:val="0089390A"/>
    <w:rsid w:val="00893974"/>
    <w:rsid w:val="008939B3"/>
    <w:rsid w:val="00893B5F"/>
    <w:rsid w:val="00893CF8"/>
    <w:rsid w:val="00893DFC"/>
    <w:rsid w:val="00893E5B"/>
    <w:rsid w:val="00893EA0"/>
    <w:rsid w:val="008941DA"/>
    <w:rsid w:val="0089470D"/>
    <w:rsid w:val="00894720"/>
    <w:rsid w:val="00894764"/>
    <w:rsid w:val="00894882"/>
    <w:rsid w:val="00894B4C"/>
    <w:rsid w:val="00894E29"/>
    <w:rsid w:val="00894E34"/>
    <w:rsid w:val="008953C1"/>
    <w:rsid w:val="0089663F"/>
    <w:rsid w:val="00896767"/>
    <w:rsid w:val="008969FD"/>
    <w:rsid w:val="00896D82"/>
    <w:rsid w:val="00896DDB"/>
    <w:rsid w:val="00896FA0"/>
    <w:rsid w:val="008970DB"/>
    <w:rsid w:val="0089715C"/>
    <w:rsid w:val="008974C9"/>
    <w:rsid w:val="00897521"/>
    <w:rsid w:val="0089783C"/>
    <w:rsid w:val="00897A08"/>
    <w:rsid w:val="00897B95"/>
    <w:rsid w:val="00897E10"/>
    <w:rsid w:val="008A007E"/>
    <w:rsid w:val="008A1B72"/>
    <w:rsid w:val="008A1E79"/>
    <w:rsid w:val="008A28C9"/>
    <w:rsid w:val="008A2A2A"/>
    <w:rsid w:val="008A2B98"/>
    <w:rsid w:val="008A2C0D"/>
    <w:rsid w:val="008A2E55"/>
    <w:rsid w:val="008A2F63"/>
    <w:rsid w:val="008A35EE"/>
    <w:rsid w:val="008A39A9"/>
    <w:rsid w:val="008A39BF"/>
    <w:rsid w:val="008A3A29"/>
    <w:rsid w:val="008A3DD2"/>
    <w:rsid w:val="008A3F93"/>
    <w:rsid w:val="008A40AC"/>
    <w:rsid w:val="008A4C0D"/>
    <w:rsid w:val="008A4E30"/>
    <w:rsid w:val="008A4FFB"/>
    <w:rsid w:val="008A50EF"/>
    <w:rsid w:val="008A5371"/>
    <w:rsid w:val="008A547C"/>
    <w:rsid w:val="008A5716"/>
    <w:rsid w:val="008A57E4"/>
    <w:rsid w:val="008A67CE"/>
    <w:rsid w:val="008A67E1"/>
    <w:rsid w:val="008A6C09"/>
    <w:rsid w:val="008A6FC6"/>
    <w:rsid w:val="008A7005"/>
    <w:rsid w:val="008A7054"/>
    <w:rsid w:val="008A72DB"/>
    <w:rsid w:val="008A73DC"/>
    <w:rsid w:val="008A779F"/>
    <w:rsid w:val="008A798B"/>
    <w:rsid w:val="008A7A1A"/>
    <w:rsid w:val="008B0203"/>
    <w:rsid w:val="008B0AE6"/>
    <w:rsid w:val="008B172C"/>
    <w:rsid w:val="008B1950"/>
    <w:rsid w:val="008B1B1B"/>
    <w:rsid w:val="008B1B68"/>
    <w:rsid w:val="008B1C9E"/>
    <w:rsid w:val="008B1E03"/>
    <w:rsid w:val="008B1F9A"/>
    <w:rsid w:val="008B2408"/>
    <w:rsid w:val="008B2BD2"/>
    <w:rsid w:val="008B2E76"/>
    <w:rsid w:val="008B3042"/>
    <w:rsid w:val="008B345F"/>
    <w:rsid w:val="008B3516"/>
    <w:rsid w:val="008B353D"/>
    <w:rsid w:val="008B356E"/>
    <w:rsid w:val="008B3789"/>
    <w:rsid w:val="008B39D8"/>
    <w:rsid w:val="008B3AE4"/>
    <w:rsid w:val="008B3BAE"/>
    <w:rsid w:val="008B3D1D"/>
    <w:rsid w:val="008B3DC2"/>
    <w:rsid w:val="008B4114"/>
    <w:rsid w:val="008B4272"/>
    <w:rsid w:val="008B4301"/>
    <w:rsid w:val="008B43B5"/>
    <w:rsid w:val="008B455F"/>
    <w:rsid w:val="008B46E2"/>
    <w:rsid w:val="008B49D2"/>
    <w:rsid w:val="008B49D5"/>
    <w:rsid w:val="008B4B1D"/>
    <w:rsid w:val="008B4B21"/>
    <w:rsid w:val="008B4C4A"/>
    <w:rsid w:val="008B50C9"/>
    <w:rsid w:val="008B5365"/>
    <w:rsid w:val="008B5927"/>
    <w:rsid w:val="008B59C0"/>
    <w:rsid w:val="008B5B91"/>
    <w:rsid w:val="008B62F7"/>
    <w:rsid w:val="008B65FB"/>
    <w:rsid w:val="008B685A"/>
    <w:rsid w:val="008B69C0"/>
    <w:rsid w:val="008B6A60"/>
    <w:rsid w:val="008B6BDB"/>
    <w:rsid w:val="008B6EC4"/>
    <w:rsid w:val="008B700B"/>
    <w:rsid w:val="008B7298"/>
    <w:rsid w:val="008B7347"/>
    <w:rsid w:val="008B7418"/>
    <w:rsid w:val="008B777A"/>
    <w:rsid w:val="008B7872"/>
    <w:rsid w:val="008B79B9"/>
    <w:rsid w:val="008B7E47"/>
    <w:rsid w:val="008B7FBC"/>
    <w:rsid w:val="008C0563"/>
    <w:rsid w:val="008C0665"/>
    <w:rsid w:val="008C0808"/>
    <w:rsid w:val="008C1297"/>
    <w:rsid w:val="008C1365"/>
    <w:rsid w:val="008C140F"/>
    <w:rsid w:val="008C1420"/>
    <w:rsid w:val="008C14BC"/>
    <w:rsid w:val="008C1670"/>
    <w:rsid w:val="008C1696"/>
    <w:rsid w:val="008C16EE"/>
    <w:rsid w:val="008C1707"/>
    <w:rsid w:val="008C18F1"/>
    <w:rsid w:val="008C231C"/>
    <w:rsid w:val="008C27D0"/>
    <w:rsid w:val="008C28C4"/>
    <w:rsid w:val="008C29CB"/>
    <w:rsid w:val="008C3383"/>
    <w:rsid w:val="008C360C"/>
    <w:rsid w:val="008C39D9"/>
    <w:rsid w:val="008C39E5"/>
    <w:rsid w:val="008C3A14"/>
    <w:rsid w:val="008C4724"/>
    <w:rsid w:val="008C4C9A"/>
    <w:rsid w:val="008C4CA5"/>
    <w:rsid w:val="008C4E87"/>
    <w:rsid w:val="008C4F08"/>
    <w:rsid w:val="008C53F1"/>
    <w:rsid w:val="008C59C9"/>
    <w:rsid w:val="008C5A33"/>
    <w:rsid w:val="008C5C82"/>
    <w:rsid w:val="008C640D"/>
    <w:rsid w:val="008C6691"/>
    <w:rsid w:val="008C6782"/>
    <w:rsid w:val="008C68D5"/>
    <w:rsid w:val="008C6C72"/>
    <w:rsid w:val="008C6C8D"/>
    <w:rsid w:val="008C70A8"/>
    <w:rsid w:val="008C71AE"/>
    <w:rsid w:val="008C7392"/>
    <w:rsid w:val="008C7524"/>
    <w:rsid w:val="008C77E1"/>
    <w:rsid w:val="008C7C6B"/>
    <w:rsid w:val="008D0076"/>
    <w:rsid w:val="008D03E2"/>
    <w:rsid w:val="008D0627"/>
    <w:rsid w:val="008D06E1"/>
    <w:rsid w:val="008D0763"/>
    <w:rsid w:val="008D0B87"/>
    <w:rsid w:val="008D0D9B"/>
    <w:rsid w:val="008D12FB"/>
    <w:rsid w:val="008D15D1"/>
    <w:rsid w:val="008D1701"/>
    <w:rsid w:val="008D175E"/>
    <w:rsid w:val="008D1B66"/>
    <w:rsid w:val="008D1D17"/>
    <w:rsid w:val="008D201C"/>
    <w:rsid w:val="008D2EEB"/>
    <w:rsid w:val="008D2F28"/>
    <w:rsid w:val="008D313C"/>
    <w:rsid w:val="008D35C7"/>
    <w:rsid w:val="008D3978"/>
    <w:rsid w:val="008D397F"/>
    <w:rsid w:val="008D407C"/>
    <w:rsid w:val="008D430E"/>
    <w:rsid w:val="008D4814"/>
    <w:rsid w:val="008D50B5"/>
    <w:rsid w:val="008D51A8"/>
    <w:rsid w:val="008D534A"/>
    <w:rsid w:val="008D5375"/>
    <w:rsid w:val="008D5B54"/>
    <w:rsid w:val="008D635F"/>
    <w:rsid w:val="008D63AE"/>
    <w:rsid w:val="008D6754"/>
    <w:rsid w:val="008D6952"/>
    <w:rsid w:val="008D6AEE"/>
    <w:rsid w:val="008D6D01"/>
    <w:rsid w:val="008D6E88"/>
    <w:rsid w:val="008D7788"/>
    <w:rsid w:val="008E0147"/>
    <w:rsid w:val="008E03ED"/>
    <w:rsid w:val="008E057F"/>
    <w:rsid w:val="008E07F3"/>
    <w:rsid w:val="008E0B76"/>
    <w:rsid w:val="008E0E3E"/>
    <w:rsid w:val="008E12E2"/>
    <w:rsid w:val="008E14C8"/>
    <w:rsid w:val="008E1733"/>
    <w:rsid w:val="008E17AB"/>
    <w:rsid w:val="008E1A47"/>
    <w:rsid w:val="008E1FB2"/>
    <w:rsid w:val="008E20C2"/>
    <w:rsid w:val="008E26EB"/>
    <w:rsid w:val="008E29E0"/>
    <w:rsid w:val="008E2A39"/>
    <w:rsid w:val="008E2C87"/>
    <w:rsid w:val="008E2DE5"/>
    <w:rsid w:val="008E2F2A"/>
    <w:rsid w:val="008E3080"/>
    <w:rsid w:val="008E3098"/>
    <w:rsid w:val="008E3AC1"/>
    <w:rsid w:val="008E3FB6"/>
    <w:rsid w:val="008E4082"/>
    <w:rsid w:val="008E427C"/>
    <w:rsid w:val="008E4622"/>
    <w:rsid w:val="008E463A"/>
    <w:rsid w:val="008E4FDA"/>
    <w:rsid w:val="008E4FE6"/>
    <w:rsid w:val="008E5007"/>
    <w:rsid w:val="008E50B0"/>
    <w:rsid w:val="008E56C1"/>
    <w:rsid w:val="008E5843"/>
    <w:rsid w:val="008E585F"/>
    <w:rsid w:val="008E58BF"/>
    <w:rsid w:val="008E60D0"/>
    <w:rsid w:val="008E6442"/>
    <w:rsid w:val="008E650F"/>
    <w:rsid w:val="008E66BE"/>
    <w:rsid w:val="008E6A44"/>
    <w:rsid w:val="008E6B7F"/>
    <w:rsid w:val="008E6FBC"/>
    <w:rsid w:val="008E7188"/>
    <w:rsid w:val="008E7510"/>
    <w:rsid w:val="008E75D1"/>
    <w:rsid w:val="008E7651"/>
    <w:rsid w:val="008E7708"/>
    <w:rsid w:val="008E7889"/>
    <w:rsid w:val="008E7B8B"/>
    <w:rsid w:val="008E7E5C"/>
    <w:rsid w:val="008F0134"/>
    <w:rsid w:val="008F04D6"/>
    <w:rsid w:val="008F0B83"/>
    <w:rsid w:val="008F0E18"/>
    <w:rsid w:val="008F0E30"/>
    <w:rsid w:val="008F10BC"/>
    <w:rsid w:val="008F1261"/>
    <w:rsid w:val="008F174F"/>
    <w:rsid w:val="008F1769"/>
    <w:rsid w:val="008F19E8"/>
    <w:rsid w:val="008F1AA7"/>
    <w:rsid w:val="008F1BC3"/>
    <w:rsid w:val="008F1D68"/>
    <w:rsid w:val="008F1DFC"/>
    <w:rsid w:val="008F1E54"/>
    <w:rsid w:val="008F1FBC"/>
    <w:rsid w:val="008F20F4"/>
    <w:rsid w:val="008F24E1"/>
    <w:rsid w:val="008F2520"/>
    <w:rsid w:val="008F2B1F"/>
    <w:rsid w:val="008F2E5B"/>
    <w:rsid w:val="008F3435"/>
    <w:rsid w:val="008F36F4"/>
    <w:rsid w:val="008F3B84"/>
    <w:rsid w:val="008F3F09"/>
    <w:rsid w:val="008F477E"/>
    <w:rsid w:val="008F4B1F"/>
    <w:rsid w:val="008F4F59"/>
    <w:rsid w:val="008F5E47"/>
    <w:rsid w:val="008F61D3"/>
    <w:rsid w:val="008F65C2"/>
    <w:rsid w:val="008F6C2E"/>
    <w:rsid w:val="008F75EF"/>
    <w:rsid w:val="008F76C0"/>
    <w:rsid w:val="008F76CD"/>
    <w:rsid w:val="008F7713"/>
    <w:rsid w:val="008F77F2"/>
    <w:rsid w:val="009002CE"/>
    <w:rsid w:val="0090047C"/>
    <w:rsid w:val="0090122F"/>
    <w:rsid w:val="0090126B"/>
    <w:rsid w:val="00901333"/>
    <w:rsid w:val="009014D4"/>
    <w:rsid w:val="00901960"/>
    <w:rsid w:val="00901BDA"/>
    <w:rsid w:val="00901DD2"/>
    <w:rsid w:val="00901E2E"/>
    <w:rsid w:val="00902031"/>
    <w:rsid w:val="0090211A"/>
    <w:rsid w:val="00902135"/>
    <w:rsid w:val="0090234B"/>
    <w:rsid w:val="0090239A"/>
    <w:rsid w:val="00902572"/>
    <w:rsid w:val="00902607"/>
    <w:rsid w:val="0090269E"/>
    <w:rsid w:val="009027CD"/>
    <w:rsid w:val="00902854"/>
    <w:rsid w:val="00902DF2"/>
    <w:rsid w:val="009030C1"/>
    <w:rsid w:val="00903C83"/>
    <w:rsid w:val="00904075"/>
    <w:rsid w:val="0090418E"/>
    <w:rsid w:val="00904191"/>
    <w:rsid w:val="00904220"/>
    <w:rsid w:val="00904503"/>
    <w:rsid w:val="0090471A"/>
    <w:rsid w:val="009047A4"/>
    <w:rsid w:val="00905878"/>
    <w:rsid w:val="00905ACF"/>
    <w:rsid w:val="00905F11"/>
    <w:rsid w:val="0090618E"/>
    <w:rsid w:val="00906733"/>
    <w:rsid w:val="00906D3C"/>
    <w:rsid w:val="00907615"/>
    <w:rsid w:val="00910689"/>
    <w:rsid w:val="0091093B"/>
    <w:rsid w:val="009109DB"/>
    <w:rsid w:val="00910B0D"/>
    <w:rsid w:val="00910F28"/>
    <w:rsid w:val="0091112D"/>
    <w:rsid w:val="009111B1"/>
    <w:rsid w:val="0091139D"/>
    <w:rsid w:val="00911682"/>
    <w:rsid w:val="0091173C"/>
    <w:rsid w:val="00911CFE"/>
    <w:rsid w:val="00911DA3"/>
    <w:rsid w:val="00911DCE"/>
    <w:rsid w:val="00911E41"/>
    <w:rsid w:val="00912188"/>
    <w:rsid w:val="00912332"/>
    <w:rsid w:val="00912537"/>
    <w:rsid w:val="00912548"/>
    <w:rsid w:val="00912677"/>
    <w:rsid w:val="0091298B"/>
    <w:rsid w:val="009129EA"/>
    <w:rsid w:val="00912BC1"/>
    <w:rsid w:val="00912DB4"/>
    <w:rsid w:val="009133A0"/>
    <w:rsid w:val="009133DA"/>
    <w:rsid w:val="009134D9"/>
    <w:rsid w:val="009135BB"/>
    <w:rsid w:val="00913F41"/>
    <w:rsid w:val="0091402E"/>
    <w:rsid w:val="0091410A"/>
    <w:rsid w:val="0091425A"/>
    <w:rsid w:val="00914295"/>
    <w:rsid w:val="009142A7"/>
    <w:rsid w:val="009144A7"/>
    <w:rsid w:val="00914674"/>
    <w:rsid w:val="0091485A"/>
    <w:rsid w:val="0091495F"/>
    <w:rsid w:val="00914CD7"/>
    <w:rsid w:val="0091507B"/>
    <w:rsid w:val="009152EC"/>
    <w:rsid w:val="0091559A"/>
    <w:rsid w:val="0091567E"/>
    <w:rsid w:val="00915699"/>
    <w:rsid w:val="00915A04"/>
    <w:rsid w:val="00915C7E"/>
    <w:rsid w:val="00915EFE"/>
    <w:rsid w:val="009163B1"/>
    <w:rsid w:val="009166EB"/>
    <w:rsid w:val="009168BB"/>
    <w:rsid w:val="00916DD4"/>
    <w:rsid w:val="00916FE6"/>
    <w:rsid w:val="009173A6"/>
    <w:rsid w:val="00917812"/>
    <w:rsid w:val="009178EA"/>
    <w:rsid w:val="00917DA1"/>
    <w:rsid w:val="00920420"/>
    <w:rsid w:val="00920732"/>
    <w:rsid w:val="00920934"/>
    <w:rsid w:val="0092093A"/>
    <w:rsid w:val="0092099B"/>
    <w:rsid w:val="00920A99"/>
    <w:rsid w:val="00920DAF"/>
    <w:rsid w:val="00921066"/>
    <w:rsid w:val="009210F8"/>
    <w:rsid w:val="009214C9"/>
    <w:rsid w:val="009215D1"/>
    <w:rsid w:val="009219A9"/>
    <w:rsid w:val="00921DF6"/>
    <w:rsid w:val="0092243F"/>
    <w:rsid w:val="00922784"/>
    <w:rsid w:val="00922AB2"/>
    <w:rsid w:val="00923146"/>
    <w:rsid w:val="0092343F"/>
    <w:rsid w:val="0092344C"/>
    <w:rsid w:val="0092370C"/>
    <w:rsid w:val="009238B9"/>
    <w:rsid w:val="009238D2"/>
    <w:rsid w:val="0092393B"/>
    <w:rsid w:val="00923A56"/>
    <w:rsid w:val="00923C74"/>
    <w:rsid w:val="00923E96"/>
    <w:rsid w:val="0092419B"/>
    <w:rsid w:val="0092449D"/>
    <w:rsid w:val="00924BEF"/>
    <w:rsid w:val="00924D41"/>
    <w:rsid w:val="00924D7C"/>
    <w:rsid w:val="00924F63"/>
    <w:rsid w:val="00925467"/>
    <w:rsid w:val="00925699"/>
    <w:rsid w:val="00925960"/>
    <w:rsid w:val="009259E4"/>
    <w:rsid w:val="00925A76"/>
    <w:rsid w:val="00925D41"/>
    <w:rsid w:val="00925D80"/>
    <w:rsid w:val="00926355"/>
    <w:rsid w:val="00926618"/>
    <w:rsid w:val="00926624"/>
    <w:rsid w:val="00926E84"/>
    <w:rsid w:val="00926E96"/>
    <w:rsid w:val="00926EDF"/>
    <w:rsid w:val="00926F3C"/>
    <w:rsid w:val="009271B4"/>
    <w:rsid w:val="00927958"/>
    <w:rsid w:val="009279BD"/>
    <w:rsid w:val="00930223"/>
    <w:rsid w:val="00930271"/>
    <w:rsid w:val="00930B96"/>
    <w:rsid w:val="00930C25"/>
    <w:rsid w:val="00930EFF"/>
    <w:rsid w:val="00930FF7"/>
    <w:rsid w:val="00931067"/>
    <w:rsid w:val="009311B4"/>
    <w:rsid w:val="009316C3"/>
    <w:rsid w:val="00931CF9"/>
    <w:rsid w:val="009321D5"/>
    <w:rsid w:val="009325D8"/>
    <w:rsid w:val="00932781"/>
    <w:rsid w:val="0093289D"/>
    <w:rsid w:val="0093308A"/>
    <w:rsid w:val="0093308B"/>
    <w:rsid w:val="009333F3"/>
    <w:rsid w:val="00933577"/>
    <w:rsid w:val="00933921"/>
    <w:rsid w:val="00933BE3"/>
    <w:rsid w:val="00933C9F"/>
    <w:rsid w:val="00933EF9"/>
    <w:rsid w:val="009346C4"/>
    <w:rsid w:val="00934933"/>
    <w:rsid w:val="00934BA5"/>
    <w:rsid w:val="009351AC"/>
    <w:rsid w:val="009356B8"/>
    <w:rsid w:val="00935B32"/>
    <w:rsid w:val="00935B8D"/>
    <w:rsid w:val="0093611C"/>
    <w:rsid w:val="009361A8"/>
    <w:rsid w:val="009363D0"/>
    <w:rsid w:val="00936925"/>
    <w:rsid w:val="009371BD"/>
    <w:rsid w:val="009372D4"/>
    <w:rsid w:val="00937352"/>
    <w:rsid w:val="009374F9"/>
    <w:rsid w:val="009376CF"/>
    <w:rsid w:val="00937711"/>
    <w:rsid w:val="009379A4"/>
    <w:rsid w:val="00937D56"/>
    <w:rsid w:val="00937E18"/>
    <w:rsid w:val="00937E2E"/>
    <w:rsid w:val="00937F93"/>
    <w:rsid w:val="00940619"/>
    <w:rsid w:val="00940749"/>
    <w:rsid w:val="00940D9A"/>
    <w:rsid w:val="00940E51"/>
    <w:rsid w:val="00940E83"/>
    <w:rsid w:val="00940EB2"/>
    <w:rsid w:val="00940FDA"/>
    <w:rsid w:val="00941099"/>
    <w:rsid w:val="00941214"/>
    <w:rsid w:val="009413FB"/>
    <w:rsid w:val="00941408"/>
    <w:rsid w:val="00941D1B"/>
    <w:rsid w:val="009420CD"/>
    <w:rsid w:val="00942183"/>
    <w:rsid w:val="00942270"/>
    <w:rsid w:val="009422D0"/>
    <w:rsid w:val="009427A2"/>
    <w:rsid w:val="00942B2A"/>
    <w:rsid w:val="00943153"/>
    <w:rsid w:val="009431F5"/>
    <w:rsid w:val="009431FF"/>
    <w:rsid w:val="0094321D"/>
    <w:rsid w:val="00943483"/>
    <w:rsid w:val="00943657"/>
    <w:rsid w:val="009438A5"/>
    <w:rsid w:val="00943943"/>
    <w:rsid w:val="00943CEE"/>
    <w:rsid w:val="00943D3D"/>
    <w:rsid w:val="00943D6E"/>
    <w:rsid w:val="00943EBE"/>
    <w:rsid w:val="009442B0"/>
    <w:rsid w:val="009443DD"/>
    <w:rsid w:val="009446AA"/>
    <w:rsid w:val="00945076"/>
    <w:rsid w:val="00945169"/>
    <w:rsid w:val="00945436"/>
    <w:rsid w:val="0094543E"/>
    <w:rsid w:val="0094557E"/>
    <w:rsid w:val="00945658"/>
    <w:rsid w:val="00945A89"/>
    <w:rsid w:val="00945BF7"/>
    <w:rsid w:val="00946063"/>
    <w:rsid w:val="009462F0"/>
    <w:rsid w:val="009462FA"/>
    <w:rsid w:val="00946607"/>
    <w:rsid w:val="00946E6A"/>
    <w:rsid w:val="0094756A"/>
    <w:rsid w:val="009476C1"/>
    <w:rsid w:val="009477D3"/>
    <w:rsid w:val="00947918"/>
    <w:rsid w:val="00947BCD"/>
    <w:rsid w:val="00947EC2"/>
    <w:rsid w:val="00947EC4"/>
    <w:rsid w:val="009500EF"/>
    <w:rsid w:val="0095016E"/>
    <w:rsid w:val="00950230"/>
    <w:rsid w:val="00950559"/>
    <w:rsid w:val="009506F2"/>
    <w:rsid w:val="0095077F"/>
    <w:rsid w:val="009507DD"/>
    <w:rsid w:val="00950886"/>
    <w:rsid w:val="0095093B"/>
    <w:rsid w:val="009514B0"/>
    <w:rsid w:val="009519D3"/>
    <w:rsid w:val="00951C40"/>
    <w:rsid w:val="009522D3"/>
    <w:rsid w:val="00952609"/>
    <w:rsid w:val="00952AAE"/>
    <w:rsid w:val="00952AB6"/>
    <w:rsid w:val="00952FAC"/>
    <w:rsid w:val="00953258"/>
    <w:rsid w:val="009535A9"/>
    <w:rsid w:val="0095388A"/>
    <w:rsid w:val="00953DCD"/>
    <w:rsid w:val="009543B8"/>
    <w:rsid w:val="009546C5"/>
    <w:rsid w:val="00954776"/>
    <w:rsid w:val="00954E78"/>
    <w:rsid w:val="00954FE0"/>
    <w:rsid w:val="00955031"/>
    <w:rsid w:val="0095514F"/>
    <w:rsid w:val="0095530E"/>
    <w:rsid w:val="00955C52"/>
    <w:rsid w:val="00955C6A"/>
    <w:rsid w:val="00956323"/>
    <w:rsid w:val="00956AC7"/>
    <w:rsid w:val="00956D22"/>
    <w:rsid w:val="00956E01"/>
    <w:rsid w:val="009570EE"/>
    <w:rsid w:val="0095744A"/>
    <w:rsid w:val="00957497"/>
    <w:rsid w:val="009574E9"/>
    <w:rsid w:val="00957631"/>
    <w:rsid w:val="0095765A"/>
    <w:rsid w:val="00957722"/>
    <w:rsid w:val="00957771"/>
    <w:rsid w:val="009577C5"/>
    <w:rsid w:val="0095783C"/>
    <w:rsid w:val="0095798F"/>
    <w:rsid w:val="00957EAC"/>
    <w:rsid w:val="009600A3"/>
    <w:rsid w:val="0096027B"/>
    <w:rsid w:val="00960413"/>
    <w:rsid w:val="00960886"/>
    <w:rsid w:val="009609D5"/>
    <w:rsid w:val="00960A54"/>
    <w:rsid w:val="00960CDC"/>
    <w:rsid w:val="00960EF3"/>
    <w:rsid w:val="00960F26"/>
    <w:rsid w:val="00961175"/>
    <w:rsid w:val="009613A9"/>
    <w:rsid w:val="009617AF"/>
    <w:rsid w:val="009617EE"/>
    <w:rsid w:val="0096190F"/>
    <w:rsid w:val="00961A8F"/>
    <w:rsid w:val="00961D70"/>
    <w:rsid w:val="00961E6C"/>
    <w:rsid w:val="00961F0A"/>
    <w:rsid w:val="0096204C"/>
    <w:rsid w:val="00962095"/>
    <w:rsid w:val="00962134"/>
    <w:rsid w:val="009626E7"/>
    <w:rsid w:val="00962AFC"/>
    <w:rsid w:val="00962FA1"/>
    <w:rsid w:val="00963102"/>
    <w:rsid w:val="00963851"/>
    <w:rsid w:val="009639F7"/>
    <w:rsid w:val="00963A78"/>
    <w:rsid w:val="009645D0"/>
    <w:rsid w:val="009648D3"/>
    <w:rsid w:val="00964B4D"/>
    <w:rsid w:val="00964B7C"/>
    <w:rsid w:val="009651E6"/>
    <w:rsid w:val="009654E3"/>
    <w:rsid w:val="009656ED"/>
    <w:rsid w:val="00965A2B"/>
    <w:rsid w:val="00965B04"/>
    <w:rsid w:val="00965BAB"/>
    <w:rsid w:val="00965D6E"/>
    <w:rsid w:val="00965DE9"/>
    <w:rsid w:val="00965ECA"/>
    <w:rsid w:val="0096626E"/>
    <w:rsid w:val="009662B2"/>
    <w:rsid w:val="00966389"/>
    <w:rsid w:val="009663C3"/>
    <w:rsid w:val="0096645D"/>
    <w:rsid w:val="00966599"/>
    <w:rsid w:val="0096680A"/>
    <w:rsid w:val="009668A0"/>
    <w:rsid w:val="00966A6E"/>
    <w:rsid w:val="009674B7"/>
    <w:rsid w:val="00967AFA"/>
    <w:rsid w:val="00967E5E"/>
    <w:rsid w:val="00967F42"/>
    <w:rsid w:val="00970257"/>
    <w:rsid w:val="009702C1"/>
    <w:rsid w:val="009702F3"/>
    <w:rsid w:val="009703E3"/>
    <w:rsid w:val="00970C7F"/>
    <w:rsid w:val="00970F7D"/>
    <w:rsid w:val="00971293"/>
    <w:rsid w:val="00971C14"/>
    <w:rsid w:val="00971CD8"/>
    <w:rsid w:val="0097203C"/>
    <w:rsid w:val="009725F4"/>
    <w:rsid w:val="009726E1"/>
    <w:rsid w:val="00973848"/>
    <w:rsid w:val="00973CCE"/>
    <w:rsid w:val="00973F13"/>
    <w:rsid w:val="00974137"/>
    <w:rsid w:val="0097434D"/>
    <w:rsid w:val="00974527"/>
    <w:rsid w:val="00974605"/>
    <w:rsid w:val="0097475E"/>
    <w:rsid w:val="0097480B"/>
    <w:rsid w:val="00974866"/>
    <w:rsid w:val="00974F5A"/>
    <w:rsid w:val="0097504A"/>
    <w:rsid w:val="00975166"/>
    <w:rsid w:val="00975345"/>
    <w:rsid w:val="00975E60"/>
    <w:rsid w:val="009767A7"/>
    <w:rsid w:val="00976893"/>
    <w:rsid w:val="009773BE"/>
    <w:rsid w:val="009774DE"/>
    <w:rsid w:val="009775AA"/>
    <w:rsid w:val="009776F3"/>
    <w:rsid w:val="009777AB"/>
    <w:rsid w:val="009777F6"/>
    <w:rsid w:val="00977952"/>
    <w:rsid w:val="00977FFA"/>
    <w:rsid w:val="009804ED"/>
    <w:rsid w:val="009806EA"/>
    <w:rsid w:val="0098086C"/>
    <w:rsid w:val="00980AAA"/>
    <w:rsid w:val="00980BB5"/>
    <w:rsid w:val="00980F3A"/>
    <w:rsid w:val="00980FC9"/>
    <w:rsid w:val="00981232"/>
    <w:rsid w:val="00981A04"/>
    <w:rsid w:val="00981BF4"/>
    <w:rsid w:val="00981DA4"/>
    <w:rsid w:val="009826D9"/>
    <w:rsid w:val="00983DFC"/>
    <w:rsid w:val="00983E2A"/>
    <w:rsid w:val="00983F09"/>
    <w:rsid w:val="009841E5"/>
    <w:rsid w:val="0098427B"/>
    <w:rsid w:val="009842DD"/>
    <w:rsid w:val="0098464F"/>
    <w:rsid w:val="00984A78"/>
    <w:rsid w:val="00984AA3"/>
    <w:rsid w:val="00984D7A"/>
    <w:rsid w:val="009851FD"/>
    <w:rsid w:val="00985325"/>
    <w:rsid w:val="00985368"/>
    <w:rsid w:val="00985380"/>
    <w:rsid w:val="0098575F"/>
    <w:rsid w:val="00985A55"/>
    <w:rsid w:val="009861C3"/>
    <w:rsid w:val="00986A77"/>
    <w:rsid w:val="00986AAA"/>
    <w:rsid w:val="00986DD9"/>
    <w:rsid w:val="009872C4"/>
    <w:rsid w:val="009873C9"/>
    <w:rsid w:val="00987EB1"/>
    <w:rsid w:val="009905F1"/>
    <w:rsid w:val="0099078F"/>
    <w:rsid w:val="00990B2E"/>
    <w:rsid w:val="00990C49"/>
    <w:rsid w:val="009916AA"/>
    <w:rsid w:val="00991EE3"/>
    <w:rsid w:val="00992442"/>
    <w:rsid w:val="00992750"/>
    <w:rsid w:val="00992B2B"/>
    <w:rsid w:val="00992E8C"/>
    <w:rsid w:val="00993041"/>
    <w:rsid w:val="00993463"/>
    <w:rsid w:val="0099365E"/>
    <w:rsid w:val="0099379A"/>
    <w:rsid w:val="00993B02"/>
    <w:rsid w:val="00993F4B"/>
    <w:rsid w:val="0099412F"/>
    <w:rsid w:val="00994294"/>
    <w:rsid w:val="00994649"/>
    <w:rsid w:val="009946C3"/>
    <w:rsid w:val="00994A5F"/>
    <w:rsid w:val="00994D41"/>
    <w:rsid w:val="00994F74"/>
    <w:rsid w:val="009950AD"/>
    <w:rsid w:val="0099510E"/>
    <w:rsid w:val="00995497"/>
    <w:rsid w:val="0099556C"/>
    <w:rsid w:val="0099583F"/>
    <w:rsid w:val="00995A6B"/>
    <w:rsid w:val="00996324"/>
    <w:rsid w:val="0099668E"/>
    <w:rsid w:val="00996BED"/>
    <w:rsid w:val="00997188"/>
    <w:rsid w:val="009973A4"/>
    <w:rsid w:val="0099766E"/>
    <w:rsid w:val="0099775B"/>
    <w:rsid w:val="00997C26"/>
    <w:rsid w:val="00997D1B"/>
    <w:rsid w:val="00997D78"/>
    <w:rsid w:val="00997F9F"/>
    <w:rsid w:val="009A0106"/>
    <w:rsid w:val="009A0576"/>
    <w:rsid w:val="009A05E4"/>
    <w:rsid w:val="009A0624"/>
    <w:rsid w:val="009A073A"/>
    <w:rsid w:val="009A0AB1"/>
    <w:rsid w:val="009A0CAE"/>
    <w:rsid w:val="009A0DB9"/>
    <w:rsid w:val="009A0E67"/>
    <w:rsid w:val="009A104C"/>
    <w:rsid w:val="009A185B"/>
    <w:rsid w:val="009A1C58"/>
    <w:rsid w:val="009A2096"/>
    <w:rsid w:val="009A22CB"/>
    <w:rsid w:val="009A23B6"/>
    <w:rsid w:val="009A23E6"/>
    <w:rsid w:val="009A2841"/>
    <w:rsid w:val="009A2858"/>
    <w:rsid w:val="009A31FD"/>
    <w:rsid w:val="009A37A6"/>
    <w:rsid w:val="009A3AE4"/>
    <w:rsid w:val="009A3D37"/>
    <w:rsid w:val="009A3FB2"/>
    <w:rsid w:val="009A40C5"/>
    <w:rsid w:val="009A4D82"/>
    <w:rsid w:val="009A4EEF"/>
    <w:rsid w:val="009A5038"/>
    <w:rsid w:val="009A56B9"/>
    <w:rsid w:val="009A5BE5"/>
    <w:rsid w:val="009A5F66"/>
    <w:rsid w:val="009A6019"/>
    <w:rsid w:val="009A636B"/>
    <w:rsid w:val="009A6A50"/>
    <w:rsid w:val="009A6BCF"/>
    <w:rsid w:val="009A6DD4"/>
    <w:rsid w:val="009A6F7F"/>
    <w:rsid w:val="009A6FD5"/>
    <w:rsid w:val="009A77B9"/>
    <w:rsid w:val="009B035A"/>
    <w:rsid w:val="009B0810"/>
    <w:rsid w:val="009B0B47"/>
    <w:rsid w:val="009B1289"/>
    <w:rsid w:val="009B12EC"/>
    <w:rsid w:val="009B1391"/>
    <w:rsid w:val="009B147B"/>
    <w:rsid w:val="009B169A"/>
    <w:rsid w:val="009B17DE"/>
    <w:rsid w:val="009B2BD7"/>
    <w:rsid w:val="009B327E"/>
    <w:rsid w:val="009B347C"/>
    <w:rsid w:val="009B360B"/>
    <w:rsid w:val="009B3C23"/>
    <w:rsid w:val="009B3DF8"/>
    <w:rsid w:val="009B3EF5"/>
    <w:rsid w:val="009B408D"/>
    <w:rsid w:val="009B451E"/>
    <w:rsid w:val="009B4B94"/>
    <w:rsid w:val="009B4D31"/>
    <w:rsid w:val="009B4EBA"/>
    <w:rsid w:val="009B4F15"/>
    <w:rsid w:val="009B5788"/>
    <w:rsid w:val="009B5794"/>
    <w:rsid w:val="009B5CDC"/>
    <w:rsid w:val="009B5EE2"/>
    <w:rsid w:val="009B64C4"/>
    <w:rsid w:val="009B6579"/>
    <w:rsid w:val="009B6A7A"/>
    <w:rsid w:val="009B6E36"/>
    <w:rsid w:val="009B6FD1"/>
    <w:rsid w:val="009B704F"/>
    <w:rsid w:val="009B7349"/>
    <w:rsid w:val="009B7372"/>
    <w:rsid w:val="009B73D0"/>
    <w:rsid w:val="009B7B23"/>
    <w:rsid w:val="009B7B6F"/>
    <w:rsid w:val="009B7D4E"/>
    <w:rsid w:val="009B7DC5"/>
    <w:rsid w:val="009C012F"/>
    <w:rsid w:val="009C018A"/>
    <w:rsid w:val="009C042A"/>
    <w:rsid w:val="009C0F29"/>
    <w:rsid w:val="009C1076"/>
    <w:rsid w:val="009C16A2"/>
    <w:rsid w:val="009C197B"/>
    <w:rsid w:val="009C1B03"/>
    <w:rsid w:val="009C1E86"/>
    <w:rsid w:val="009C1EC3"/>
    <w:rsid w:val="009C1FEF"/>
    <w:rsid w:val="009C2029"/>
    <w:rsid w:val="009C20AF"/>
    <w:rsid w:val="009C210E"/>
    <w:rsid w:val="009C2189"/>
    <w:rsid w:val="009C21FE"/>
    <w:rsid w:val="009C23A5"/>
    <w:rsid w:val="009C289E"/>
    <w:rsid w:val="009C2A26"/>
    <w:rsid w:val="009C2E69"/>
    <w:rsid w:val="009C2E74"/>
    <w:rsid w:val="009C368B"/>
    <w:rsid w:val="009C3B8B"/>
    <w:rsid w:val="009C40E9"/>
    <w:rsid w:val="009C411E"/>
    <w:rsid w:val="009C4257"/>
    <w:rsid w:val="009C45B6"/>
    <w:rsid w:val="009C48FB"/>
    <w:rsid w:val="009C4B57"/>
    <w:rsid w:val="009C4EDF"/>
    <w:rsid w:val="009C4FFF"/>
    <w:rsid w:val="009C5081"/>
    <w:rsid w:val="009C518F"/>
    <w:rsid w:val="009C536E"/>
    <w:rsid w:val="009C54EB"/>
    <w:rsid w:val="009C55DC"/>
    <w:rsid w:val="009C5859"/>
    <w:rsid w:val="009C5B42"/>
    <w:rsid w:val="009C5E07"/>
    <w:rsid w:val="009C5E74"/>
    <w:rsid w:val="009C5EC5"/>
    <w:rsid w:val="009C6C5C"/>
    <w:rsid w:val="009C6F3C"/>
    <w:rsid w:val="009C6FBE"/>
    <w:rsid w:val="009C70BB"/>
    <w:rsid w:val="009C723C"/>
    <w:rsid w:val="009C77C1"/>
    <w:rsid w:val="009C7990"/>
    <w:rsid w:val="009D01F6"/>
    <w:rsid w:val="009D06DC"/>
    <w:rsid w:val="009D073C"/>
    <w:rsid w:val="009D0885"/>
    <w:rsid w:val="009D0B41"/>
    <w:rsid w:val="009D0EAE"/>
    <w:rsid w:val="009D0F5C"/>
    <w:rsid w:val="009D1607"/>
    <w:rsid w:val="009D198E"/>
    <w:rsid w:val="009D1A14"/>
    <w:rsid w:val="009D1AEA"/>
    <w:rsid w:val="009D1EE1"/>
    <w:rsid w:val="009D1FB6"/>
    <w:rsid w:val="009D20DE"/>
    <w:rsid w:val="009D229C"/>
    <w:rsid w:val="009D234C"/>
    <w:rsid w:val="009D2641"/>
    <w:rsid w:val="009D28C6"/>
    <w:rsid w:val="009D2A0A"/>
    <w:rsid w:val="009D2D97"/>
    <w:rsid w:val="009D2F80"/>
    <w:rsid w:val="009D3833"/>
    <w:rsid w:val="009D3CEC"/>
    <w:rsid w:val="009D3FE3"/>
    <w:rsid w:val="009D4414"/>
    <w:rsid w:val="009D4468"/>
    <w:rsid w:val="009D4508"/>
    <w:rsid w:val="009D47E1"/>
    <w:rsid w:val="009D4811"/>
    <w:rsid w:val="009D4930"/>
    <w:rsid w:val="009D49AC"/>
    <w:rsid w:val="009D4A5A"/>
    <w:rsid w:val="009D4FD7"/>
    <w:rsid w:val="009D5069"/>
    <w:rsid w:val="009D50AA"/>
    <w:rsid w:val="009D50F0"/>
    <w:rsid w:val="009D5100"/>
    <w:rsid w:val="009D51C8"/>
    <w:rsid w:val="009D5B41"/>
    <w:rsid w:val="009D5B61"/>
    <w:rsid w:val="009D621D"/>
    <w:rsid w:val="009D66DB"/>
    <w:rsid w:val="009D69F2"/>
    <w:rsid w:val="009D6DD7"/>
    <w:rsid w:val="009D6E08"/>
    <w:rsid w:val="009D6E46"/>
    <w:rsid w:val="009D7576"/>
    <w:rsid w:val="009D767F"/>
    <w:rsid w:val="009D77BD"/>
    <w:rsid w:val="009D782E"/>
    <w:rsid w:val="009D7986"/>
    <w:rsid w:val="009D7AF0"/>
    <w:rsid w:val="009D7E7B"/>
    <w:rsid w:val="009D7FA5"/>
    <w:rsid w:val="009E0740"/>
    <w:rsid w:val="009E078B"/>
    <w:rsid w:val="009E0923"/>
    <w:rsid w:val="009E0947"/>
    <w:rsid w:val="009E0C26"/>
    <w:rsid w:val="009E124A"/>
    <w:rsid w:val="009E1261"/>
    <w:rsid w:val="009E1A18"/>
    <w:rsid w:val="009E1A7A"/>
    <w:rsid w:val="009E2188"/>
    <w:rsid w:val="009E21C0"/>
    <w:rsid w:val="009E238F"/>
    <w:rsid w:val="009E28FC"/>
    <w:rsid w:val="009E2AEE"/>
    <w:rsid w:val="009E2E03"/>
    <w:rsid w:val="009E300D"/>
    <w:rsid w:val="009E33C4"/>
    <w:rsid w:val="009E37A6"/>
    <w:rsid w:val="009E3BC1"/>
    <w:rsid w:val="009E3FF5"/>
    <w:rsid w:val="009E411F"/>
    <w:rsid w:val="009E42DD"/>
    <w:rsid w:val="009E4A7D"/>
    <w:rsid w:val="009E4DD9"/>
    <w:rsid w:val="009E51CE"/>
    <w:rsid w:val="009E524E"/>
    <w:rsid w:val="009E53E6"/>
    <w:rsid w:val="009E56F8"/>
    <w:rsid w:val="009E5DCB"/>
    <w:rsid w:val="009E5E3D"/>
    <w:rsid w:val="009E64A0"/>
    <w:rsid w:val="009E671B"/>
    <w:rsid w:val="009E6737"/>
    <w:rsid w:val="009E6A6E"/>
    <w:rsid w:val="009E6F0D"/>
    <w:rsid w:val="009E6F2B"/>
    <w:rsid w:val="009E7014"/>
    <w:rsid w:val="009E702D"/>
    <w:rsid w:val="009E71D2"/>
    <w:rsid w:val="009E7454"/>
    <w:rsid w:val="009E77B2"/>
    <w:rsid w:val="009F0060"/>
    <w:rsid w:val="009F0087"/>
    <w:rsid w:val="009F02F2"/>
    <w:rsid w:val="009F0651"/>
    <w:rsid w:val="009F0C4E"/>
    <w:rsid w:val="009F0FA9"/>
    <w:rsid w:val="009F1035"/>
    <w:rsid w:val="009F104F"/>
    <w:rsid w:val="009F1328"/>
    <w:rsid w:val="009F13DB"/>
    <w:rsid w:val="009F175E"/>
    <w:rsid w:val="009F1899"/>
    <w:rsid w:val="009F1F3D"/>
    <w:rsid w:val="009F2381"/>
    <w:rsid w:val="009F254E"/>
    <w:rsid w:val="009F26C1"/>
    <w:rsid w:val="009F271B"/>
    <w:rsid w:val="009F278A"/>
    <w:rsid w:val="009F2BED"/>
    <w:rsid w:val="009F2EE8"/>
    <w:rsid w:val="009F2FB9"/>
    <w:rsid w:val="009F3211"/>
    <w:rsid w:val="009F37C3"/>
    <w:rsid w:val="009F3A6B"/>
    <w:rsid w:val="009F3BA9"/>
    <w:rsid w:val="009F3DDF"/>
    <w:rsid w:val="009F3DF9"/>
    <w:rsid w:val="009F3E2D"/>
    <w:rsid w:val="009F4163"/>
    <w:rsid w:val="009F4223"/>
    <w:rsid w:val="009F431F"/>
    <w:rsid w:val="009F4409"/>
    <w:rsid w:val="009F4D2F"/>
    <w:rsid w:val="009F4DAC"/>
    <w:rsid w:val="009F4DFF"/>
    <w:rsid w:val="009F4F74"/>
    <w:rsid w:val="009F522B"/>
    <w:rsid w:val="009F589C"/>
    <w:rsid w:val="009F59DE"/>
    <w:rsid w:val="009F5B0F"/>
    <w:rsid w:val="009F5DEB"/>
    <w:rsid w:val="009F5E37"/>
    <w:rsid w:val="009F65F8"/>
    <w:rsid w:val="009F6EFB"/>
    <w:rsid w:val="009F7037"/>
    <w:rsid w:val="009F7412"/>
    <w:rsid w:val="009F77B9"/>
    <w:rsid w:val="009F7881"/>
    <w:rsid w:val="009F7B28"/>
    <w:rsid w:val="009F7B62"/>
    <w:rsid w:val="009F7D0B"/>
    <w:rsid w:val="00A00CC0"/>
    <w:rsid w:val="00A00F74"/>
    <w:rsid w:val="00A00F78"/>
    <w:rsid w:val="00A0143D"/>
    <w:rsid w:val="00A01B1A"/>
    <w:rsid w:val="00A01CDB"/>
    <w:rsid w:val="00A020E6"/>
    <w:rsid w:val="00A025E1"/>
    <w:rsid w:val="00A02986"/>
    <w:rsid w:val="00A02D80"/>
    <w:rsid w:val="00A02F6E"/>
    <w:rsid w:val="00A031CC"/>
    <w:rsid w:val="00A0326B"/>
    <w:rsid w:val="00A0335C"/>
    <w:rsid w:val="00A036BD"/>
    <w:rsid w:val="00A03ADE"/>
    <w:rsid w:val="00A0426B"/>
    <w:rsid w:val="00A04C53"/>
    <w:rsid w:val="00A04D84"/>
    <w:rsid w:val="00A0519E"/>
    <w:rsid w:val="00A051B7"/>
    <w:rsid w:val="00A051FD"/>
    <w:rsid w:val="00A05286"/>
    <w:rsid w:val="00A0545B"/>
    <w:rsid w:val="00A0563B"/>
    <w:rsid w:val="00A05979"/>
    <w:rsid w:val="00A05A2F"/>
    <w:rsid w:val="00A05A85"/>
    <w:rsid w:val="00A05C4E"/>
    <w:rsid w:val="00A05E7D"/>
    <w:rsid w:val="00A05F6F"/>
    <w:rsid w:val="00A06202"/>
    <w:rsid w:val="00A0683D"/>
    <w:rsid w:val="00A06A12"/>
    <w:rsid w:val="00A06BD2"/>
    <w:rsid w:val="00A075CF"/>
    <w:rsid w:val="00A07730"/>
    <w:rsid w:val="00A1007A"/>
    <w:rsid w:val="00A10260"/>
    <w:rsid w:val="00A10349"/>
    <w:rsid w:val="00A10884"/>
    <w:rsid w:val="00A10B95"/>
    <w:rsid w:val="00A10DA0"/>
    <w:rsid w:val="00A1107F"/>
    <w:rsid w:val="00A114EC"/>
    <w:rsid w:val="00A115CB"/>
    <w:rsid w:val="00A116D8"/>
    <w:rsid w:val="00A117FC"/>
    <w:rsid w:val="00A117FD"/>
    <w:rsid w:val="00A11C68"/>
    <w:rsid w:val="00A12746"/>
    <w:rsid w:val="00A12893"/>
    <w:rsid w:val="00A12B7F"/>
    <w:rsid w:val="00A13758"/>
    <w:rsid w:val="00A13A4E"/>
    <w:rsid w:val="00A13C06"/>
    <w:rsid w:val="00A13C3B"/>
    <w:rsid w:val="00A13DB7"/>
    <w:rsid w:val="00A13EA4"/>
    <w:rsid w:val="00A1420E"/>
    <w:rsid w:val="00A146C3"/>
    <w:rsid w:val="00A14714"/>
    <w:rsid w:val="00A14B4B"/>
    <w:rsid w:val="00A14EAE"/>
    <w:rsid w:val="00A153CE"/>
    <w:rsid w:val="00A15CBE"/>
    <w:rsid w:val="00A15F88"/>
    <w:rsid w:val="00A16022"/>
    <w:rsid w:val="00A1615B"/>
    <w:rsid w:val="00A1626E"/>
    <w:rsid w:val="00A16446"/>
    <w:rsid w:val="00A1687D"/>
    <w:rsid w:val="00A16AEE"/>
    <w:rsid w:val="00A16B15"/>
    <w:rsid w:val="00A16C1E"/>
    <w:rsid w:val="00A16DD8"/>
    <w:rsid w:val="00A16EE0"/>
    <w:rsid w:val="00A16F53"/>
    <w:rsid w:val="00A170DC"/>
    <w:rsid w:val="00A17364"/>
    <w:rsid w:val="00A177FD"/>
    <w:rsid w:val="00A17830"/>
    <w:rsid w:val="00A17E97"/>
    <w:rsid w:val="00A17F09"/>
    <w:rsid w:val="00A2037C"/>
    <w:rsid w:val="00A20C06"/>
    <w:rsid w:val="00A2168C"/>
    <w:rsid w:val="00A21D1D"/>
    <w:rsid w:val="00A21DE6"/>
    <w:rsid w:val="00A224B4"/>
    <w:rsid w:val="00A2250A"/>
    <w:rsid w:val="00A227DA"/>
    <w:rsid w:val="00A22902"/>
    <w:rsid w:val="00A2306E"/>
    <w:rsid w:val="00A236E2"/>
    <w:rsid w:val="00A23727"/>
    <w:rsid w:val="00A23CCA"/>
    <w:rsid w:val="00A23E9D"/>
    <w:rsid w:val="00A24BD0"/>
    <w:rsid w:val="00A252CD"/>
    <w:rsid w:val="00A254F7"/>
    <w:rsid w:val="00A25BA0"/>
    <w:rsid w:val="00A25EAE"/>
    <w:rsid w:val="00A25F3A"/>
    <w:rsid w:val="00A26175"/>
    <w:rsid w:val="00A2638C"/>
    <w:rsid w:val="00A2673C"/>
    <w:rsid w:val="00A26ADD"/>
    <w:rsid w:val="00A26B9C"/>
    <w:rsid w:val="00A27117"/>
    <w:rsid w:val="00A27320"/>
    <w:rsid w:val="00A277B5"/>
    <w:rsid w:val="00A2795C"/>
    <w:rsid w:val="00A27A75"/>
    <w:rsid w:val="00A27AAE"/>
    <w:rsid w:val="00A27BD4"/>
    <w:rsid w:val="00A27DF5"/>
    <w:rsid w:val="00A301FA"/>
    <w:rsid w:val="00A303DD"/>
    <w:rsid w:val="00A30F0E"/>
    <w:rsid w:val="00A31026"/>
    <w:rsid w:val="00A311AE"/>
    <w:rsid w:val="00A31598"/>
    <w:rsid w:val="00A3162B"/>
    <w:rsid w:val="00A316E3"/>
    <w:rsid w:val="00A31AFB"/>
    <w:rsid w:val="00A31EE2"/>
    <w:rsid w:val="00A31F1D"/>
    <w:rsid w:val="00A321F4"/>
    <w:rsid w:val="00A32300"/>
    <w:rsid w:val="00A323C3"/>
    <w:rsid w:val="00A32B9B"/>
    <w:rsid w:val="00A32E56"/>
    <w:rsid w:val="00A33026"/>
    <w:rsid w:val="00A33173"/>
    <w:rsid w:val="00A3339D"/>
    <w:rsid w:val="00A33576"/>
    <w:rsid w:val="00A33BEE"/>
    <w:rsid w:val="00A341E0"/>
    <w:rsid w:val="00A343AD"/>
    <w:rsid w:val="00A343D6"/>
    <w:rsid w:val="00A34441"/>
    <w:rsid w:val="00A34851"/>
    <w:rsid w:val="00A3486F"/>
    <w:rsid w:val="00A348AF"/>
    <w:rsid w:val="00A34D78"/>
    <w:rsid w:val="00A34F49"/>
    <w:rsid w:val="00A351B9"/>
    <w:rsid w:val="00A355DD"/>
    <w:rsid w:val="00A35656"/>
    <w:rsid w:val="00A359C6"/>
    <w:rsid w:val="00A35CAF"/>
    <w:rsid w:val="00A35F0F"/>
    <w:rsid w:val="00A35F8F"/>
    <w:rsid w:val="00A36129"/>
    <w:rsid w:val="00A362BD"/>
    <w:rsid w:val="00A363E6"/>
    <w:rsid w:val="00A36484"/>
    <w:rsid w:val="00A36518"/>
    <w:rsid w:val="00A365DB"/>
    <w:rsid w:val="00A3689D"/>
    <w:rsid w:val="00A36A17"/>
    <w:rsid w:val="00A36E71"/>
    <w:rsid w:val="00A36E72"/>
    <w:rsid w:val="00A36FEC"/>
    <w:rsid w:val="00A37230"/>
    <w:rsid w:val="00A372BC"/>
    <w:rsid w:val="00A373CF"/>
    <w:rsid w:val="00A374A4"/>
    <w:rsid w:val="00A376DF"/>
    <w:rsid w:val="00A3777B"/>
    <w:rsid w:val="00A37803"/>
    <w:rsid w:val="00A37862"/>
    <w:rsid w:val="00A37BC1"/>
    <w:rsid w:val="00A37C97"/>
    <w:rsid w:val="00A401A0"/>
    <w:rsid w:val="00A40496"/>
    <w:rsid w:val="00A40701"/>
    <w:rsid w:val="00A4092A"/>
    <w:rsid w:val="00A40E6E"/>
    <w:rsid w:val="00A41137"/>
    <w:rsid w:val="00A41438"/>
    <w:rsid w:val="00A415D7"/>
    <w:rsid w:val="00A4162E"/>
    <w:rsid w:val="00A416AF"/>
    <w:rsid w:val="00A41C54"/>
    <w:rsid w:val="00A41E73"/>
    <w:rsid w:val="00A4218A"/>
    <w:rsid w:val="00A42308"/>
    <w:rsid w:val="00A42CAA"/>
    <w:rsid w:val="00A43176"/>
    <w:rsid w:val="00A43516"/>
    <w:rsid w:val="00A43869"/>
    <w:rsid w:val="00A43F67"/>
    <w:rsid w:val="00A44495"/>
    <w:rsid w:val="00A445B2"/>
    <w:rsid w:val="00A44BEC"/>
    <w:rsid w:val="00A450B1"/>
    <w:rsid w:val="00A45370"/>
    <w:rsid w:val="00A453C1"/>
    <w:rsid w:val="00A45696"/>
    <w:rsid w:val="00A45A21"/>
    <w:rsid w:val="00A45D2D"/>
    <w:rsid w:val="00A45E1E"/>
    <w:rsid w:val="00A46023"/>
    <w:rsid w:val="00A460EC"/>
    <w:rsid w:val="00A462A2"/>
    <w:rsid w:val="00A46405"/>
    <w:rsid w:val="00A4648D"/>
    <w:rsid w:val="00A46499"/>
    <w:rsid w:val="00A46550"/>
    <w:rsid w:val="00A465AD"/>
    <w:rsid w:val="00A46826"/>
    <w:rsid w:val="00A46A89"/>
    <w:rsid w:val="00A471B3"/>
    <w:rsid w:val="00A4782C"/>
    <w:rsid w:val="00A47A24"/>
    <w:rsid w:val="00A47EFC"/>
    <w:rsid w:val="00A50075"/>
    <w:rsid w:val="00A50541"/>
    <w:rsid w:val="00A50B15"/>
    <w:rsid w:val="00A50D04"/>
    <w:rsid w:val="00A50E6F"/>
    <w:rsid w:val="00A50ECC"/>
    <w:rsid w:val="00A50FB2"/>
    <w:rsid w:val="00A5123C"/>
    <w:rsid w:val="00A51502"/>
    <w:rsid w:val="00A51622"/>
    <w:rsid w:val="00A51C78"/>
    <w:rsid w:val="00A51D47"/>
    <w:rsid w:val="00A5210F"/>
    <w:rsid w:val="00A523DE"/>
    <w:rsid w:val="00A52430"/>
    <w:rsid w:val="00A52C1B"/>
    <w:rsid w:val="00A52CD8"/>
    <w:rsid w:val="00A52D40"/>
    <w:rsid w:val="00A532D3"/>
    <w:rsid w:val="00A53D95"/>
    <w:rsid w:val="00A53E93"/>
    <w:rsid w:val="00A53F46"/>
    <w:rsid w:val="00A54366"/>
    <w:rsid w:val="00A544DA"/>
    <w:rsid w:val="00A54667"/>
    <w:rsid w:val="00A546E0"/>
    <w:rsid w:val="00A54872"/>
    <w:rsid w:val="00A5492E"/>
    <w:rsid w:val="00A549FD"/>
    <w:rsid w:val="00A54BBA"/>
    <w:rsid w:val="00A5509B"/>
    <w:rsid w:val="00A55348"/>
    <w:rsid w:val="00A55B83"/>
    <w:rsid w:val="00A55EA2"/>
    <w:rsid w:val="00A55F73"/>
    <w:rsid w:val="00A5613C"/>
    <w:rsid w:val="00A565EC"/>
    <w:rsid w:val="00A56683"/>
    <w:rsid w:val="00A567A5"/>
    <w:rsid w:val="00A56A44"/>
    <w:rsid w:val="00A56F53"/>
    <w:rsid w:val="00A575E1"/>
    <w:rsid w:val="00A57735"/>
    <w:rsid w:val="00A57AA7"/>
    <w:rsid w:val="00A57DF2"/>
    <w:rsid w:val="00A57E2D"/>
    <w:rsid w:val="00A6013F"/>
    <w:rsid w:val="00A604E1"/>
    <w:rsid w:val="00A604E7"/>
    <w:rsid w:val="00A60776"/>
    <w:rsid w:val="00A607A0"/>
    <w:rsid w:val="00A609B2"/>
    <w:rsid w:val="00A609F0"/>
    <w:rsid w:val="00A60BE8"/>
    <w:rsid w:val="00A60E10"/>
    <w:rsid w:val="00A610FE"/>
    <w:rsid w:val="00A61493"/>
    <w:rsid w:val="00A61583"/>
    <w:rsid w:val="00A617C4"/>
    <w:rsid w:val="00A61BD5"/>
    <w:rsid w:val="00A61DF7"/>
    <w:rsid w:val="00A61EAD"/>
    <w:rsid w:val="00A61F94"/>
    <w:rsid w:val="00A622F9"/>
    <w:rsid w:val="00A624E9"/>
    <w:rsid w:val="00A624EB"/>
    <w:rsid w:val="00A626C9"/>
    <w:rsid w:val="00A62A6A"/>
    <w:rsid w:val="00A62E5D"/>
    <w:rsid w:val="00A62F7C"/>
    <w:rsid w:val="00A63207"/>
    <w:rsid w:val="00A63742"/>
    <w:rsid w:val="00A6391B"/>
    <w:rsid w:val="00A63BFA"/>
    <w:rsid w:val="00A63D60"/>
    <w:rsid w:val="00A64365"/>
    <w:rsid w:val="00A6470D"/>
    <w:rsid w:val="00A64731"/>
    <w:rsid w:val="00A647C4"/>
    <w:rsid w:val="00A658E3"/>
    <w:rsid w:val="00A659F7"/>
    <w:rsid w:val="00A65AEE"/>
    <w:rsid w:val="00A662A5"/>
    <w:rsid w:val="00A663AA"/>
    <w:rsid w:val="00A66610"/>
    <w:rsid w:val="00A66668"/>
    <w:rsid w:val="00A6697A"/>
    <w:rsid w:val="00A66A37"/>
    <w:rsid w:val="00A66D08"/>
    <w:rsid w:val="00A67036"/>
    <w:rsid w:val="00A6767A"/>
    <w:rsid w:val="00A67C37"/>
    <w:rsid w:val="00A67DD6"/>
    <w:rsid w:val="00A7014A"/>
    <w:rsid w:val="00A7038B"/>
    <w:rsid w:val="00A709E4"/>
    <w:rsid w:val="00A70B53"/>
    <w:rsid w:val="00A70D64"/>
    <w:rsid w:val="00A71090"/>
    <w:rsid w:val="00A712C6"/>
    <w:rsid w:val="00A713F2"/>
    <w:rsid w:val="00A7182B"/>
    <w:rsid w:val="00A71D8A"/>
    <w:rsid w:val="00A71FEC"/>
    <w:rsid w:val="00A722CE"/>
    <w:rsid w:val="00A723F4"/>
    <w:rsid w:val="00A724E5"/>
    <w:rsid w:val="00A728C8"/>
    <w:rsid w:val="00A729A7"/>
    <w:rsid w:val="00A72AF1"/>
    <w:rsid w:val="00A72C75"/>
    <w:rsid w:val="00A72D78"/>
    <w:rsid w:val="00A72DBF"/>
    <w:rsid w:val="00A7306F"/>
    <w:rsid w:val="00A735F1"/>
    <w:rsid w:val="00A7367E"/>
    <w:rsid w:val="00A73708"/>
    <w:rsid w:val="00A73D58"/>
    <w:rsid w:val="00A73E1A"/>
    <w:rsid w:val="00A73FBD"/>
    <w:rsid w:val="00A741D0"/>
    <w:rsid w:val="00A747AC"/>
    <w:rsid w:val="00A747C9"/>
    <w:rsid w:val="00A74AA6"/>
    <w:rsid w:val="00A74C68"/>
    <w:rsid w:val="00A74CF2"/>
    <w:rsid w:val="00A74D21"/>
    <w:rsid w:val="00A74E2B"/>
    <w:rsid w:val="00A74E99"/>
    <w:rsid w:val="00A74F9B"/>
    <w:rsid w:val="00A7577D"/>
    <w:rsid w:val="00A75BBE"/>
    <w:rsid w:val="00A75F19"/>
    <w:rsid w:val="00A76072"/>
    <w:rsid w:val="00A76379"/>
    <w:rsid w:val="00A763C1"/>
    <w:rsid w:val="00A76547"/>
    <w:rsid w:val="00A76795"/>
    <w:rsid w:val="00A767F1"/>
    <w:rsid w:val="00A76DFF"/>
    <w:rsid w:val="00A76E44"/>
    <w:rsid w:val="00A774C1"/>
    <w:rsid w:val="00A77563"/>
    <w:rsid w:val="00A776E2"/>
    <w:rsid w:val="00A779F3"/>
    <w:rsid w:val="00A77DF3"/>
    <w:rsid w:val="00A77FC9"/>
    <w:rsid w:val="00A8005B"/>
    <w:rsid w:val="00A80569"/>
    <w:rsid w:val="00A80A18"/>
    <w:rsid w:val="00A80ABD"/>
    <w:rsid w:val="00A80B23"/>
    <w:rsid w:val="00A81710"/>
    <w:rsid w:val="00A81A35"/>
    <w:rsid w:val="00A81BEA"/>
    <w:rsid w:val="00A81C9E"/>
    <w:rsid w:val="00A81D20"/>
    <w:rsid w:val="00A81D97"/>
    <w:rsid w:val="00A81F39"/>
    <w:rsid w:val="00A82342"/>
    <w:rsid w:val="00A82668"/>
    <w:rsid w:val="00A8271D"/>
    <w:rsid w:val="00A829A8"/>
    <w:rsid w:val="00A82B73"/>
    <w:rsid w:val="00A82DB1"/>
    <w:rsid w:val="00A82DC9"/>
    <w:rsid w:val="00A82DD3"/>
    <w:rsid w:val="00A82FB3"/>
    <w:rsid w:val="00A8338A"/>
    <w:rsid w:val="00A83A2B"/>
    <w:rsid w:val="00A83A7D"/>
    <w:rsid w:val="00A84014"/>
    <w:rsid w:val="00A847DB"/>
    <w:rsid w:val="00A8494E"/>
    <w:rsid w:val="00A84A32"/>
    <w:rsid w:val="00A84A5C"/>
    <w:rsid w:val="00A85146"/>
    <w:rsid w:val="00A85B66"/>
    <w:rsid w:val="00A85C14"/>
    <w:rsid w:val="00A85E31"/>
    <w:rsid w:val="00A85E90"/>
    <w:rsid w:val="00A85F8D"/>
    <w:rsid w:val="00A860B5"/>
    <w:rsid w:val="00A86D14"/>
    <w:rsid w:val="00A86D86"/>
    <w:rsid w:val="00A86FE9"/>
    <w:rsid w:val="00A87A44"/>
    <w:rsid w:val="00A87E4C"/>
    <w:rsid w:val="00A900B3"/>
    <w:rsid w:val="00A9010F"/>
    <w:rsid w:val="00A9031A"/>
    <w:rsid w:val="00A906BF"/>
    <w:rsid w:val="00A90A9A"/>
    <w:rsid w:val="00A90DC7"/>
    <w:rsid w:val="00A910AA"/>
    <w:rsid w:val="00A910E3"/>
    <w:rsid w:val="00A911F0"/>
    <w:rsid w:val="00A91287"/>
    <w:rsid w:val="00A9136B"/>
    <w:rsid w:val="00A914BC"/>
    <w:rsid w:val="00A917BF"/>
    <w:rsid w:val="00A91D35"/>
    <w:rsid w:val="00A91E72"/>
    <w:rsid w:val="00A92361"/>
    <w:rsid w:val="00A92539"/>
    <w:rsid w:val="00A92682"/>
    <w:rsid w:val="00A92AC7"/>
    <w:rsid w:val="00A92B93"/>
    <w:rsid w:val="00A92E1A"/>
    <w:rsid w:val="00A92F1C"/>
    <w:rsid w:val="00A9319A"/>
    <w:rsid w:val="00A936D9"/>
    <w:rsid w:val="00A93738"/>
    <w:rsid w:val="00A93786"/>
    <w:rsid w:val="00A937B1"/>
    <w:rsid w:val="00A938E3"/>
    <w:rsid w:val="00A9407C"/>
    <w:rsid w:val="00A941B5"/>
    <w:rsid w:val="00A947E5"/>
    <w:rsid w:val="00A94821"/>
    <w:rsid w:val="00A94993"/>
    <w:rsid w:val="00A94A9B"/>
    <w:rsid w:val="00A94AEB"/>
    <w:rsid w:val="00A9504A"/>
    <w:rsid w:val="00A952E3"/>
    <w:rsid w:val="00A954B7"/>
    <w:rsid w:val="00A956E0"/>
    <w:rsid w:val="00A95D11"/>
    <w:rsid w:val="00A95FD7"/>
    <w:rsid w:val="00A964DF"/>
    <w:rsid w:val="00A966A6"/>
    <w:rsid w:val="00A96804"/>
    <w:rsid w:val="00A96A63"/>
    <w:rsid w:val="00A96C04"/>
    <w:rsid w:val="00A96C8E"/>
    <w:rsid w:val="00A97216"/>
    <w:rsid w:val="00A9739B"/>
    <w:rsid w:val="00A976CA"/>
    <w:rsid w:val="00A977A4"/>
    <w:rsid w:val="00A979E4"/>
    <w:rsid w:val="00A97CE8"/>
    <w:rsid w:val="00AA0509"/>
    <w:rsid w:val="00AA0665"/>
    <w:rsid w:val="00AA10EF"/>
    <w:rsid w:val="00AA1215"/>
    <w:rsid w:val="00AA1412"/>
    <w:rsid w:val="00AA1866"/>
    <w:rsid w:val="00AA192E"/>
    <w:rsid w:val="00AA1D75"/>
    <w:rsid w:val="00AA211E"/>
    <w:rsid w:val="00AA2ECC"/>
    <w:rsid w:val="00AA3869"/>
    <w:rsid w:val="00AA38AC"/>
    <w:rsid w:val="00AA3AC3"/>
    <w:rsid w:val="00AA3EFD"/>
    <w:rsid w:val="00AA43DA"/>
    <w:rsid w:val="00AA4621"/>
    <w:rsid w:val="00AA4655"/>
    <w:rsid w:val="00AA4680"/>
    <w:rsid w:val="00AA50CA"/>
    <w:rsid w:val="00AA538D"/>
    <w:rsid w:val="00AA56BD"/>
    <w:rsid w:val="00AA591B"/>
    <w:rsid w:val="00AA59F0"/>
    <w:rsid w:val="00AA5C69"/>
    <w:rsid w:val="00AA63C4"/>
    <w:rsid w:val="00AA6757"/>
    <w:rsid w:val="00AA6B1D"/>
    <w:rsid w:val="00AA787E"/>
    <w:rsid w:val="00AA798B"/>
    <w:rsid w:val="00AA79F3"/>
    <w:rsid w:val="00AB00B3"/>
    <w:rsid w:val="00AB0155"/>
    <w:rsid w:val="00AB0394"/>
    <w:rsid w:val="00AB06BD"/>
    <w:rsid w:val="00AB0921"/>
    <w:rsid w:val="00AB0AFA"/>
    <w:rsid w:val="00AB0B96"/>
    <w:rsid w:val="00AB0C23"/>
    <w:rsid w:val="00AB0D99"/>
    <w:rsid w:val="00AB0E78"/>
    <w:rsid w:val="00AB12AF"/>
    <w:rsid w:val="00AB12D8"/>
    <w:rsid w:val="00AB1B2E"/>
    <w:rsid w:val="00AB1BEB"/>
    <w:rsid w:val="00AB1D9E"/>
    <w:rsid w:val="00AB1DF7"/>
    <w:rsid w:val="00AB2081"/>
    <w:rsid w:val="00AB20A8"/>
    <w:rsid w:val="00AB2217"/>
    <w:rsid w:val="00AB23D3"/>
    <w:rsid w:val="00AB25A4"/>
    <w:rsid w:val="00AB2986"/>
    <w:rsid w:val="00AB2C61"/>
    <w:rsid w:val="00AB2C66"/>
    <w:rsid w:val="00AB2D04"/>
    <w:rsid w:val="00AB2DF0"/>
    <w:rsid w:val="00AB3B71"/>
    <w:rsid w:val="00AB3FD2"/>
    <w:rsid w:val="00AB43CD"/>
    <w:rsid w:val="00AB45F1"/>
    <w:rsid w:val="00AB46F7"/>
    <w:rsid w:val="00AB4A96"/>
    <w:rsid w:val="00AB4B71"/>
    <w:rsid w:val="00AB4BFC"/>
    <w:rsid w:val="00AB4E1F"/>
    <w:rsid w:val="00AB4E3B"/>
    <w:rsid w:val="00AB4E4E"/>
    <w:rsid w:val="00AB4F85"/>
    <w:rsid w:val="00AB5581"/>
    <w:rsid w:val="00AB55D3"/>
    <w:rsid w:val="00AB57E7"/>
    <w:rsid w:val="00AB5852"/>
    <w:rsid w:val="00AB586E"/>
    <w:rsid w:val="00AB5B3A"/>
    <w:rsid w:val="00AB5C1D"/>
    <w:rsid w:val="00AB5E8A"/>
    <w:rsid w:val="00AB5FA6"/>
    <w:rsid w:val="00AB65BD"/>
    <w:rsid w:val="00AB6733"/>
    <w:rsid w:val="00AB6764"/>
    <w:rsid w:val="00AB67D5"/>
    <w:rsid w:val="00AB6CB9"/>
    <w:rsid w:val="00AB6F6D"/>
    <w:rsid w:val="00AB7033"/>
    <w:rsid w:val="00AB7608"/>
    <w:rsid w:val="00AB798D"/>
    <w:rsid w:val="00AB7FCB"/>
    <w:rsid w:val="00AC006C"/>
    <w:rsid w:val="00AC063E"/>
    <w:rsid w:val="00AC09DF"/>
    <w:rsid w:val="00AC0EC0"/>
    <w:rsid w:val="00AC0FF6"/>
    <w:rsid w:val="00AC10C4"/>
    <w:rsid w:val="00AC1208"/>
    <w:rsid w:val="00AC172C"/>
    <w:rsid w:val="00AC17DD"/>
    <w:rsid w:val="00AC182D"/>
    <w:rsid w:val="00AC1A40"/>
    <w:rsid w:val="00AC26E0"/>
    <w:rsid w:val="00AC290B"/>
    <w:rsid w:val="00AC2A13"/>
    <w:rsid w:val="00AC2AFE"/>
    <w:rsid w:val="00AC39E3"/>
    <w:rsid w:val="00AC3B30"/>
    <w:rsid w:val="00AC4194"/>
    <w:rsid w:val="00AC4508"/>
    <w:rsid w:val="00AC4595"/>
    <w:rsid w:val="00AC47B0"/>
    <w:rsid w:val="00AC47D6"/>
    <w:rsid w:val="00AC4E34"/>
    <w:rsid w:val="00AC4F8C"/>
    <w:rsid w:val="00AC50DB"/>
    <w:rsid w:val="00AC5267"/>
    <w:rsid w:val="00AC53A6"/>
    <w:rsid w:val="00AC61C4"/>
    <w:rsid w:val="00AC63C2"/>
    <w:rsid w:val="00AC73AD"/>
    <w:rsid w:val="00AC7A03"/>
    <w:rsid w:val="00AC7B9E"/>
    <w:rsid w:val="00AC7CCF"/>
    <w:rsid w:val="00AD02A5"/>
    <w:rsid w:val="00AD053C"/>
    <w:rsid w:val="00AD05CE"/>
    <w:rsid w:val="00AD068A"/>
    <w:rsid w:val="00AD0925"/>
    <w:rsid w:val="00AD0A4A"/>
    <w:rsid w:val="00AD0D6C"/>
    <w:rsid w:val="00AD0E4C"/>
    <w:rsid w:val="00AD0FB5"/>
    <w:rsid w:val="00AD115E"/>
    <w:rsid w:val="00AD1285"/>
    <w:rsid w:val="00AD1308"/>
    <w:rsid w:val="00AD15AC"/>
    <w:rsid w:val="00AD185B"/>
    <w:rsid w:val="00AD185F"/>
    <w:rsid w:val="00AD18DA"/>
    <w:rsid w:val="00AD1A10"/>
    <w:rsid w:val="00AD21B7"/>
    <w:rsid w:val="00AD21D0"/>
    <w:rsid w:val="00AD2CB2"/>
    <w:rsid w:val="00AD2F8E"/>
    <w:rsid w:val="00AD3228"/>
    <w:rsid w:val="00AD322B"/>
    <w:rsid w:val="00AD32D2"/>
    <w:rsid w:val="00AD36CB"/>
    <w:rsid w:val="00AD3AC0"/>
    <w:rsid w:val="00AD4124"/>
    <w:rsid w:val="00AD412C"/>
    <w:rsid w:val="00AD4215"/>
    <w:rsid w:val="00AD4824"/>
    <w:rsid w:val="00AD4FC1"/>
    <w:rsid w:val="00AD5158"/>
    <w:rsid w:val="00AD5BED"/>
    <w:rsid w:val="00AD5F57"/>
    <w:rsid w:val="00AD6468"/>
    <w:rsid w:val="00AD6676"/>
    <w:rsid w:val="00AD6698"/>
    <w:rsid w:val="00AD66A7"/>
    <w:rsid w:val="00AD682D"/>
    <w:rsid w:val="00AD6C4F"/>
    <w:rsid w:val="00AD6ED8"/>
    <w:rsid w:val="00AD708D"/>
    <w:rsid w:val="00AD7378"/>
    <w:rsid w:val="00AD7914"/>
    <w:rsid w:val="00AD7967"/>
    <w:rsid w:val="00AD79DA"/>
    <w:rsid w:val="00AD7CEE"/>
    <w:rsid w:val="00AE023E"/>
    <w:rsid w:val="00AE024D"/>
    <w:rsid w:val="00AE029A"/>
    <w:rsid w:val="00AE0368"/>
    <w:rsid w:val="00AE053F"/>
    <w:rsid w:val="00AE084C"/>
    <w:rsid w:val="00AE08EA"/>
    <w:rsid w:val="00AE0B79"/>
    <w:rsid w:val="00AE0F81"/>
    <w:rsid w:val="00AE14D4"/>
    <w:rsid w:val="00AE2164"/>
    <w:rsid w:val="00AE231F"/>
    <w:rsid w:val="00AE2AA5"/>
    <w:rsid w:val="00AE2DCE"/>
    <w:rsid w:val="00AE2EA6"/>
    <w:rsid w:val="00AE35E5"/>
    <w:rsid w:val="00AE3C22"/>
    <w:rsid w:val="00AE3E9C"/>
    <w:rsid w:val="00AE3FBA"/>
    <w:rsid w:val="00AE4054"/>
    <w:rsid w:val="00AE4117"/>
    <w:rsid w:val="00AE4326"/>
    <w:rsid w:val="00AE435C"/>
    <w:rsid w:val="00AE4C7C"/>
    <w:rsid w:val="00AE4CC4"/>
    <w:rsid w:val="00AE584D"/>
    <w:rsid w:val="00AE65D3"/>
    <w:rsid w:val="00AE6702"/>
    <w:rsid w:val="00AE6764"/>
    <w:rsid w:val="00AE6BCD"/>
    <w:rsid w:val="00AE6D02"/>
    <w:rsid w:val="00AE6F2F"/>
    <w:rsid w:val="00AE7314"/>
    <w:rsid w:val="00AE7408"/>
    <w:rsid w:val="00AE7733"/>
    <w:rsid w:val="00AE77DC"/>
    <w:rsid w:val="00AE7964"/>
    <w:rsid w:val="00AE79E4"/>
    <w:rsid w:val="00AE7F13"/>
    <w:rsid w:val="00AF01C1"/>
    <w:rsid w:val="00AF046F"/>
    <w:rsid w:val="00AF0720"/>
    <w:rsid w:val="00AF075F"/>
    <w:rsid w:val="00AF0AB0"/>
    <w:rsid w:val="00AF0DAE"/>
    <w:rsid w:val="00AF0E02"/>
    <w:rsid w:val="00AF0EE7"/>
    <w:rsid w:val="00AF124D"/>
    <w:rsid w:val="00AF1363"/>
    <w:rsid w:val="00AF14E4"/>
    <w:rsid w:val="00AF1925"/>
    <w:rsid w:val="00AF196D"/>
    <w:rsid w:val="00AF19F2"/>
    <w:rsid w:val="00AF19F4"/>
    <w:rsid w:val="00AF1BFF"/>
    <w:rsid w:val="00AF1D9D"/>
    <w:rsid w:val="00AF2902"/>
    <w:rsid w:val="00AF2AA8"/>
    <w:rsid w:val="00AF2D5B"/>
    <w:rsid w:val="00AF2E79"/>
    <w:rsid w:val="00AF2E91"/>
    <w:rsid w:val="00AF2FDD"/>
    <w:rsid w:val="00AF349A"/>
    <w:rsid w:val="00AF3507"/>
    <w:rsid w:val="00AF38D9"/>
    <w:rsid w:val="00AF3C7E"/>
    <w:rsid w:val="00AF48F1"/>
    <w:rsid w:val="00AF49DB"/>
    <w:rsid w:val="00AF4D01"/>
    <w:rsid w:val="00AF5367"/>
    <w:rsid w:val="00AF552F"/>
    <w:rsid w:val="00AF555E"/>
    <w:rsid w:val="00AF5843"/>
    <w:rsid w:val="00AF5979"/>
    <w:rsid w:val="00AF5A0E"/>
    <w:rsid w:val="00AF5AE8"/>
    <w:rsid w:val="00AF5B29"/>
    <w:rsid w:val="00AF5B3B"/>
    <w:rsid w:val="00AF5CA3"/>
    <w:rsid w:val="00AF5CFF"/>
    <w:rsid w:val="00AF60BF"/>
    <w:rsid w:val="00AF63A1"/>
    <w:rsid w:val="00AF65A2"/>
    <w:rsid w:val="00AF6AC8"/>
    <w:rsid w:val="00AF6B6D"/>
    <w:rsid w:val="00AF6CB0"/>
    <w:rsid w:val="00AF7771"/>
    <w:rsid w:val="00AF78D2"/>
    <w:rsid w:val="00AF7E91"/>
    <w:rsid w:val="00B002A1"/>
    <w:rsid w:val="00B00543"/>
    <w:rsid w:val="00B00659"/>
    <w:rsid w:val="00B00B26"/>
    <w:rsid w:val="00B00C43"/>
    <w:rsid w:val="00B010C2"/>
    <w:rsid w:val="00B01756"/>
    <w:rsid w:val="00B01765"/>
    <w:rsid w:val="00B017FA"/>
    <w:rsid w:val="00B0191A"/>
    <w:rsid w:val="00B019FC"/>
    <w:rsid w:val="00B01C02"/>
    <w:rsid w:val="00B01CC8"/>
    <w:rsid w:val="00B03206"/>
    <w:rsid w:val="00B03313"/>
    <w:rsid w:val="00B03471"/>
    <w:rsid w:val="00B03B03"/>
    <w:rsid w:val="00B0405E"/>
    <w:rsid w:val="00B04339"/>
    <w:rsid w:val="00B04364"/>
    <w:rsid w:val="00B044B6"/>
    <w:rsid w:val="00B047C7"/>
    <w:rsid w:val="00B049C5"/>
    <w:rsid w:val="00B0501E"/>
    <w:rsid w:val="00B05096"/>
    <w:rsid w:val="00B050FB"/>
    <w:rsid w:val="00B051EF"/>
    <w:rsid w:val="00B05A14"/>
    <w:rsid w:val="00B06189"/>
    <w:rsid w:val="00B0624D"/>
    <w:rsid w:val="00B06403"/>
    <w:rsid w:val="00B06430"/>
    <w:rsid w:val="00B066A7"/>
    <w:rsid w:val="00B0681E"/>
    <w:rsid w:val="00B06D90"/>
    <w:rsid w:val="00B06E0F"/>
    <w:rsid w:val="00B06FB3"/>
    <w:rsid w:val="00B0709E"/>
    <w:rsid w:val="00B07211"/>
    <w:rsid w:val="00B07283"/>
    <w:rsid w:val="00B0769F"/>
    <w:rsid w:val="00B07900"/>
    <w:rsid w:val="00B07941"/>
    <w:rsid w:val="00B10116"/>
    <w:rsid w:val="00B10440"/>
    <w:rsid w:val="00B1066E"/>
    <w:rsid w:val="00B10826"/>
    <w:rsid w:val="00B11025"/>
    <w:rsid w:val="00B1186F"/>
    <w:rsid w:val="00B11BC5"/>
    <w:rsid w:val="00B1202A"/>
    <w:rsid w:val="00B1253E"/>
    <w:rsid w:val="00B12591"/>
    <w:rsid w:val="00B12AD9"/>
    <w:rsid w:val="00B12EA7"/>
    <w:rsid w:val="00B13937"/>
    <w:rsid w:val="00B13BCD"/>
    <w:rsid w:val="00B13E8F"/>
    <w:rsid w:val="00B14500"/>
    <w:rsid w:val="00B145C0"/>
    <w:rsid w:val="00B146F7"/>
    <w:rsid w:val="00B1482E"/>
    <w:rsid w:val="00B1499E"/>
    <w:rsid w:val="00B15117"/>
    <w:rsid w:val="00B15725"/>
    <w:rsid w:val="00B15B35"/>
    <w:rsid w:val="00B16142"/>
    <w:rsid w:val="00B168F7"/>
    <w:rsid w:val="00B16A2D"/>
    <w:rsid w:val="00B16B32"/>
    <w:rsid w:val="00B16DB1"/>
    <w:rsid w:val="00B16F17"/>
    <w:rsid w:val="00B1732C"/>
    <w:rsid w:val="00B17A0A"/>
    <w:rsid w:val="00B17B45"/>
    <w:rsid w:val="00B17BD1"/>
    <w:rsid w:val="00B17BF1"/>
    <w:rsid w:val="00B17FA1"/>
    <w:rsid w:val="00B202D3"/>
    <w:rsid w:val="00B202EE"/>
    <w:rsid w:val="00B2054B"/>
    <w:rsid w:val="00B2058E"/>
    <w:rsid w:val="00B207F5"/>
    <w:rsid w:val="00B209DB"/>
    <w:rsid w:val="00B20C3A"/>
    <w:rsid w:val="00B20DE2"/>
    <w:rsid w:val="00B2156D"/>
    <w:rsid w:val="00B21685"/>
    <w:rsid w:val="00B21B13"/>
    <w:rsid w:val="00B21B29"/>
    <w:rsid w:val="00B21DF8"/>
    <w:rsid w:val="00B21E66"/>
    <w:rsid w:val="00B21F2B"/>
    <w:rsid w:val="00B21FE2"/>
    <w:rsid w:val="00B22383"/>
    <w:rsid w:val="00B22A27"/>
    <w:rsid w:val="00B22AAD"/>
    <w:rsid w:val="00B22CA1"/>
    <w:rsid w:val="00B2310B"/>
    <w:rsid w:val="00B2317E"/>
    <w:rsid w:val="00B23488"/>
    <w:rsid w:val="00B23644"/>
    <w:rsid w:val="00B236A7"/>
    <w:rsid w:val="00B23816"/>
    <w:rsid w:val="00B2390D"/>
    <w:rsid w:val="00B23B0A"/>
    <w:rsid w:val="00B23BF9"/>
    <w:rsid w:val="00B24013"/>
    <w:rsid w:val="00B24207"/>
    <w:rsid w:val="00B24817"/>
    <w:rsid w:val="00B2484D"/>
    <w:rsid w:val="00B24949"/>
    <w:rsid w:val="00B24A2A"/>
    <w:rsid w:val="00B24C5A"/>
    <w:rsid w:val="00B24DD7"/>
    <w:rsid w:val="00B25066"/>
    <w:rsid w:val="00B25286"/>
    <w:rsid w:val="00B252FE"/>
    <w:rsid w:val="00B2539E"/>
    <w:rsid w:val="00B254FB"/>
    <w:rsid w:val="00B25816"/>
    <w:rsid w:val="00B25B82"/>
    <w:rsid w:val="00B25FF8"/>
    <w:rsid w:val="00B26079"/>
    <w:rsid w:val="00B263BC"/>
    <w:rsid w:val="00B2667B"/>
    <w:rsid w:val="00B26D79"/>
    <w:rsid w:val="00B2706C"/>
    <w:rsid w:val="00B272B1"/>
    <w:rsid w:val="00B274D5"/>
    <w:rsid w:val="00B2754D"/>
    <w:rsid w:val="00B30364"/>
    <w:rsid w:val="00B30606"/>
    <w:rsid w:val="00B30C97"/>
    <w:rsid w:val="00B30D26"/>
    <w:rsid w:val="00B30D46"/>
    <w:rsid w:val="00B30DB6"/>
    <w:rsid w:val="00B30ED8"/>
    <w:rsid w:val="00B3135D"/>
    <w:rsid w:val="00B314CD"/>
    <w:rsid w:val="00B319DB"/>
    <w:rsid w:val="00B31A3B"/>
    <w:rsid w:val="00B31C8B"/>
    <w:rsid w:val="00B31EEF"/>
    <w:rsid w:val="00B32127"/>
    <w:rsid w:val="00B32198"/>
    <w:rsid w:val="00B32282"/>
    <w:rsid w:val="00B323E3"/>
    <w:rsid w:val="00B32534"/>
    <w:rsid w:val="00B328F5"/>
    <w:rsid w:val="00B32BC2"/>
    <w:rsid w:val="00B32DC4"/>
    <w:rsid w:val="00B32DC8"/>
    <w:rsid w:val="00B32EB7"/>
    <w:rsid w:val="00B33329"/>
    <w:rsid w:val="00B3376E"/>
    <w:rsid w:val="00B33801"/>
    <w:rsid w:val="00B33F48"/>
    <w:rsid w:val="00B34385"/>
    <w:rsid w:val="00B3439B"/>
    <w:rsid w:val="00B345DD"/>
    <w:rsid w:val="00B3486F"/>
    <w:rsid w:val="00B34889"/>
    <w:rsid w:val="00B34951"/>
    <w:rsid w:val="00B34E7D"/>
    <w:rsid w:val="00B34FD3"/>
    <w:rsid w:val="00B34FD5"/>
    <w:rsid w:val="00B359F4"/>
    <w:rsid w:val="00B35A38"/>
    <w:rsid w:val="00B36277"/>
    <w:rsid w:val="00B36F40"/>
    <w:rsid w:val="00B3700E"/>
    <w:rsid w:val="00B37073"/>
    <w:rsid w:val="00B3769D"/>
    <w:rsid w:val="00B37E37"/>
    <w:rsid w:val="00B401D7"/>
    <w:rsid w:val="00B4029F"/>
    <w:rsid w:val="00B4064C"/>
    <w:rsid w:val="00B40BCB"/>
    <w:rsid w:val="00B40DDC"/>
    <w:rsid w:val="00B40DEE"/>
    <w:rsid w:val="00B40E85"/>
    <w:rsid w:val="00B414AE"/>
    <w:rsid w:val="00B416E8"/>
    <w:rsid w:val="00B41726"/>
    <w:rsid w:val="00B418DA"/>
    <w:rsid w:val="00B41C99"/>
    <w:rsid w:val="00B41EAE"/>
    <w:rsid w:val="00B41F5E"/>
    <w:rsid w:val="00B41F89"/>
    <w:rsid w:val="00B41FAF"/>
    <w:rsid w:val="00B41FF4"/>
    <w:rsid w:val="00B42C20"/>
    <w:rsid w:val="00B432C5"/>
    <w:rsid w:val="00B438FC"/>
    <w:rsid w:val="00B43B4B"/>
    <w:rsid w:val="00B44380"/>
    <w:rsid w:val="00B4447F"/>
    <w:rsid w:val="00B445DD"/>
    <w:rsid w:val="00B447C9"/>
    <w:rsid w:val="00B44D89"/>
    <w:rsid w:val="00B453DA"/>
    <w:rsid w:val="00B454EE"/>
    <w:rsid w:val="00B4580C"/>
    <w:rsid w:val="00B45C69"/>
    <w:rsid w:val="00B4613F"/>
    <w:rsid w:val="00B46750"/>
    <w:rsid w:val="00B4685B"/>
    <w:rsid w:val="00B46A92"/>
    <w:rsid w:val="00B46AB3"/>
    <w:rsid w:val="00B477FA"/>
    <w:rsid w:val="00B47A33"/>
    <w:rsid w:val="00B47BB3"/>
    <w:rsid w:val="00B47E89"/>
    <w:rsid w:val="00B47FEF"/>
    <w:rsid w:val="00B5013E"/>
    <w:rsid w:val="00B50299"/>
    <w:rsid w:val="00B50597"/>
    <w:rsid w:val="00B50D35"/>
    <w:rsid w:val="00B50E4F"/>
    <w:rsid w:val="00B50F99"/>
    <w:rsid w:val="00B511C9"/>
    <w:rsid w:val="00B51511"/>
    <w:rsid w:val="00B516B9"/>
    <w:rsid w:val="00B517E2"/>
    <w:rsid w:val="00B51BC0"/>
    <w:rsid w:val="00B51C26"/>
    <w:rsid w:val="00B5236A"/>
    <w:rsid w:val="00B52519"/>
    <w:rsid w:val="00B525CD"/>
    <w:rsid w:val="00B528E5"/>
    <w:rsid w:val="00B528F0"/>
    <w:rsid w:val="00B52A21"/>
    <w:rsid w:val="00B52C36"/>
    <w:rsid w:val="00B52FC5"/>
    <w:rsid w:val="00B53176"/>
    <w:rsid w:val="00B5326B"/>
    <w:rsid w:val="00B533AF"/>
    <w:rsid w:val="00B53660"/>
    <w:rsid w:val="00B53CCB"/>
    <w:rsid w:val="00B53F1D"/>
    <w:rsid w:val="00B54204"/>
    <w:rsid w:val="00B543D9"/>
    <w:rsid w:val="00B546B2"/>
    <w:rsid w:val="00B54996"/>
    <w:rsid w:val="00B54A5A"/>
    <w:rsid w:val="00B54F98"/>
    <w:rsid w:val="00B55233"/>
    <w:rsid w:val="00B55410"/>
    <w:rsid w:val="00B55B11"/>
    <w:rsid w:val="00B55D8E"/>
    <w:rsid w:val="00B56043"/>
    <w:rsid w:val="00B56303"/>
    <w:rsid w:val="00B5640F"/>
    <w:rsid w:val="00B5647E"/>
    <w:rsid w:val="00B56B08"/>
    <w:rsid w:val="00B56C05"/>
    <w:rsid w:val="00B572F4"/>
    <w:rsid w:val="00B57603"/>
    <w:rsid w:val="00B57934"/>
    <w:rsid w:val="00B57CBB"/>
    <w:rsid w:val="00B57ECE"/>
    <w:rsid w:val="00B60005"/>
    <w:rsid w:val="00B6001B"/>
    <w:rsid w:val="00B600E5"/>
    <w:rsid w:val="00B60217"/>
    <w:rsid w:val="00B6037A"/>
    <w:rsid w:val="00B606F5"/>
    <w:rsid w:val="00B60A20"/>
    <w:rsid w:val="00B60A5C"/>
    <w:rsid w:val="00B60C82"/>
    <w:rsid w:val="00B60C9A"/>
    <w:rsid w:val="00B60DD3"/>
    <w:rsid w:val="00B61C86"/>
    <w:rsid w:val="00B61EAC"/>
    <w:rsid w:val="00B61F81"/>
    <w:rsid w:val="00B62246"/>
    <w:rsid w:val="00B62837"/>
    <w:rsid w:val="00B63042"/>
    <w:rsid w:val="00B6391B"/>
    <w:rsid w:val="00B63AC9"/>
    <w:rsid w:val="00B63B38"/>
    <w:rsid w:val="00B63D71"/>
    <w:rsid w:val="00B64145"/>
    <w:rsid w:val="00B6438F"/>
    <w:rsid w:val="00B647BB"/>
    <w:rsid w:val="00B64E2C"/>
    <w:rsid w:val="00B64EF0"/>
    <w:rsid w:val="00B64F22"/>
    <w:rsid w:val="00B64F91"/>
    <w:rsid w:val="00B650F4"/>
    <w:rsid w:val="00B65413"/>
    <w:rsid w:val="00B654A9"/>
    <w:rsid w:val="00B65708"/>
    <w:rsid w:val="00B657B5"/>
    <w:rsid w:val="00B65D56"/>
    <w:rsid w:val="00B661C7"/>
    <w:rsid w:val="00B6623D"/>
    <w:rsid w:val="00B66318"/>
    <w:rsid w:val="00B6641F"/>
    <w:rsid w:val="00B66645"/>
    <w:rsid w:val="00B66665"/>
    <w:rsid w:val="00B66847"/>
    <w:rsid w:val="00B66A62"/>
    <w:rsid w:val="00B66B7C"/>
    <w:rsid w:val="00B66DEA"/>
    <w:rsid w:val="00B66E32"/>
    <w:rsid w:val="00B66F6A"/>
    <w:rsid w:val="00B66FB9"/>
    <w:rsid w:val="00B6719E"/>
    <w:rsid w:val="00B6731B"/>
    <w:rsid w:val="00B67485"/>
    <w:rsid w:val="00B678AD"/>
    <w:rsid w:val="00B678C3"/>
    <w:rsid w:val="00B67BE4"/>
    <w:rsid w:val="00B67C21"/>
    <w:rsid w:val="00B67C8E"/>
    <w:rsid w:val="00B701BC"/>
    <w:rsid w:val="00B704FF"/>
    <w:rsid w:val="00B70848"/>
    <w:rsid w:val="00B708AF"/>
    <w:rsid w:val="00B70A1D"/>
    <w:rsid w:val="00B70A70"/>
    <w:rsid w:val="00B71046"/>
    <w:rsid w:val="00B71320"/>
    <w:rsid w:val="00B714D5"/>
    <w:rsid w:val="00B714F9"/>
    <w:rsid w:val="00B71684"/>
    <w:rsid w:val="00B718D3"/>
    <w:rsid w:val="00B71A2F"/>
    <w:rsid w:val="00B71D5F"/>
    <w:rsid w:val="00B71D9D"/>
    <w:rsid w:val="00B71F65"/>
    <w:rsid w:val="00B71FF7"/>
    <w:rsid w:val="00B72253"/>
    <w:rsid w:val="00B7230B"/>
    <w:rsid w:val="00B723CE"/>
    <w:rsid w:val="00B72439"/>
    <w:rsid w:val="00B72543"/>
    <w:rsid w:val="00B7274F"/>
    <w:rsid w:val="00B72FA8"/>
    <w:rsid w:val="00B72FCC"/>
    <w:rsid w:val="00B731DF"/>
    <w:rsid w:val="00B734AB"/>
    <w:rsid w:val="00B734FA"/>
    <w:rsid w:val="00B736CB"/>
    <w:rsid w:val="00B739D4"/>
    <w:rsid w:val="00B73EEA"/>
    <w:rsid w:val="00B7481A"/>
    <w:rsid w:val="00B748CE"/>
    <w:rsid w:val="00B749FA"/>
    <w:rsid w:val="00B74EC0"/>
    <w:rsid w:val="00B7532E"/>
    <w:rsid w:val="00B7569D"/>
    <w:rsid w:val="00B758D7"/>
    <w:rsid w:val="00B75BB4"/>
    <w:rsid w:val="00B767B2"/>
    <w:rsid w:val="00B7683A"/>
    <w:rsid w:val="00B768B3"/>
    <w:rsid w:val="00B76A13"/>
    <w:rsid w:val="00B76E23"/>
    <w:rsid w:val="00B76E31"/>
    <w:rsid w:val="00B77206"/>
    <w:rsid w:val="00B7733E"/>
    <w:rsid w:val="00B77428"/>
    <w:rsid w:val="00B7752C"/>
    <w:rsid w:val="00B776AD"/>
    <w:rsid w:val="00B77B6A"/>
    <w:rsid w:val="00B77BCB"/>
    <w:rsid w:val="00B80186"/>
    <w:rsid w:val="00B80271"/>
    <w:rsid w:val="00B80283"/>
    <w:rsid w:val="00B8066B"/>
    <w:rsid w:val="00B806C5"/>
    <w:rsid w:val="00B80D8C"/>
    <w:rsid w:val="00B811F2"/>
    <w:rsid w:val="00B816F1"/>
    <w:rsid w:val="00B8179B"/>
    <w:rsid w:val="00B81AE1"/>
    <w:rsid w:val="00B81CCF"/>
    <w:rsid w:val="00B81E18"/>
    <w:rsid w:val="00B8236F"/>
    <w:rsid w:val="00B82446"/>
    <w:rsid w:val="00B8253E"/>
    <w:rsid w:val="00B82673"/>
    <w:rsid w:val="00B82AF0"/>
    <w:rsid w:val="00B83121"/>
    <w:rsid w:val="00B83592"/>
    <w:rsid w:val="00B838F8"/>
    <w:rsid w:val="00B83ABA"/>
    <w:rsid w:val="00B83C3F"/>
    <w:rsid w:val="00B83C9B"/>
    <w:rsid w:val="00B83E2F"/>
    <w:rsid w:val="00B84477"/>
    <w:rsid w:val="00B84598"/>
    <w:rsid w:val="00B845F0"/>
    <w:rsid w:val="00B84786"/>
    <w:rsid w:val="00B847BB"/>
    <w:rsid w:val="00B847D2"/>
    <w:rsid w:val="00B84A7B"/>
    <w:rsid w:val="00B850CF"/>
    <w:rsid w:val="00B8533A"/>
    <w:rsid w:val="00B8533C"/>
    <w:rsid w:val="00B854FE"/>
    <w:rsid w:val="00B859F9"/>
    <w:rsid w:val="00B85F39"/>
    <w:rsid w:val="00B86213"/>
    <w:rsid w:val="00B86517"/>
    <w:rsid w:val="00B865C4"/>
    <w:rsid w:val="00B86F32"/>
    <w:rsid w:val="00B87035"/>
    <w:rsid w:val="00B87291"/>
    <w:rsid w:val="00B876ED"/>
    <w:rsid w:val="00B87E27"/>
    <w:rsid w:val="00B9063D"/>
    <w:rsid w:val="00B90707"/>
    <w:rsid w:val="00B9074C"/>
    <w:rsid w:val="00B907C0"/>
    <w:rsid w:val="00B90AE7"/>
    <w:rsid w:val="00B90C59"/>
    <w:rsid w:val="00B90C91"/>
    <w:rsid w:val="00B91071"/>
    <w:rsid w:val="00B91189"/>
    <w:rsid w:val="00B9121A"/>
    <w:rsid w:val="00B9131E"/>
    <w:rsid w:val="00B9149D"/>
    <w:rsid w:val="00B918B9"/>
    <w:rsid w:val="00B9191D"/>
    <w:rsid w:val="00B91955"/>
    <w:rsid w:val="00B91971"/>
    <w:rsid w:val="00B919DE"/>
    <w:rsid w:val="00B91BF2"/>
    <w:rsid w:val="00B92093"/>
    <w:rsid w:val="00B927AA"/>
    <w:rsid w:val="00B928A4"/>
    <w:rsid w:val="00B92D7E"/>
    <w:rsid w:val="00B93050"/>
    <w:rsid w:val="00B933E0"/>
    <w:rsid w:val="00B93477"/>
    <w:rsid w:val="00B938B9"/>
    <w:rsid w:val="00B938CE"/>
    <w:rsid w:val="00B938E3"/>
    <w:rsid w:val="00B93B28"/>
    <w:rsid w:val="00B93DFE"/>
    <w:rsid w:val="00B94067"/>
    <w:rsid w:val="00B940E8"/>
    <w:rsid w:val="00B94433"/>
    <w:rsid w:val="00B94500"/>
    <w:rsid w:val="00B948C5"/>
    <w:rsid w:val="00B949E3"/>
    <w:rsid w:val="00B94A1E"/>
    <w:rsid w:val="00B95052"/>
    <w:rsid w:val="00B953C2"/>
    <w:rsid w:val="00B953DB"/>
    <w:rsid w:val="00B955BA"/>
    <w:rsid w:val="00B957A3"/>
    <w:rsid w:val="00B95800"/>
    <w:rsid w:val="00B9588F"/>
    <w:rsid w:val="00B958FF"/>
    <w:rsid w:val="00B959A1"/>
    <w:rsid w:val="00B95A76"/>
    <w:rsid w:val="00B95DA2"/>
    <w:rsid w:val="00B960E8"/>
    <w:rsid w:val="00B96214"/>
    <w:rsid w:val="00B96382"/>
    <w:rsid w:val="00B96594"/>
    <w:rsid w:val="00B9694E"/>
    <w:rsid w:val="00B96C73"/>
    <w:rsid w:val="00B96C91"/>
    <w:rsid w:val="00B9771B"/>
    <w:rsid w:val="00B9784D"/>
    <w:rsid w:val="00BA01F2"/>
    <w:rsid w:val="00BA050E"/>
    <w:rsid w:val="00BA086B"/>
    <w:rsid w:val="00BA0B0A"/>
    <w:rsid w:val="00BA0B46"/>
    <w:rsid w:val="00BA0CEA"/>
    <w:rsid w:val="00BA0D10"/>
    <w:rsid w:val="00BA0D99"/>
    <w:rsid w:val="00BA0E37"/>
    <w:rsid w:val="00BA0FB0"/>
    <w:rsid w:val="00BA0FC8"/>
    <w:rsid w:val="00BA1010"/>
    <w:rsid w:val="00BA109A"/>
    <w:rsid w:val="00BA10B7"/>
    <w:rsid w:val="00BA10F6"/>
    <w:rsid w:val="00BA1549"/>
    <w:rsid w:val="00BA17E0"/>
    <w:rsid w:val="00BA1B70"/>
    <w:rsid w:val="00BA2240"/>
    <w:rsid w:val="00BA2633"/>
    <w:rsid w:val="00BA27C2"/>
    <w:rsid w:val="00BA2DBC"/>
    <w:rsid w:val="00BA3030"/>
    <w:rsid w:val="00BA358F"/>
    <w:rsid w:val="00BA35E1"/>
    <w:rsid w:val="00BA4224"/>
    <w:rsid w:val="00BA42D1"/>
    <w:rsid w:val="00BA4BBF"/>
    <w:rsid w:val="00BA4E47"/>
    <w:rsid w:val="00BA4E95"/>
    <w:rsid w:val="00BA5002"/>
    <w:rsid w:val="00BA50A7"/>
    <w:rsid w:val="00BA5F1E"/>
    <w:rsid w:val="00BA601F"/>
    <w:rsid w:val="00BA64BB"/>
    <w:rsid w:val="00BA6701"/>
    <w:rsid w:val="00BA67EF"/>
    <w:rsid w:val="00BA6E6F"/>
    <w:rsid w:val="00BA6E8A"/>
    <w:rsid w:val="00BA6F97"/>
    <w:rsid w:val="00BA7466"/>
    <w:rsid w:val="00BA783A"/>
    <w:rsid w:val="00BA7CE0"/>
    <w:rsid w:val="00BB0370"/>
    <w:rsid w:val="00BB0D6E"/>
    <w:rsid w:val="00BB0E0E"/>
    <w:rsid w:val="00BB0F00"/>
    <w:rsid w:val="00BB133D"/>
    <w:rsid w:val="00BB176B"/>
    <w:rsid w:val="00BB184B"/>
    <w:rsid w:val="00BB1B8E"/>
    <w:rsid w:val="00BB1C5B"/>
    <w:rsid w:val="00BB1DF6"/>
    <w:rsid w:val="00BB2433"/>
    <w:rsid w:val="00BB276A"/>
    <w:rsid w:val="00BB28A5"/>
    <w:rsid w:val="00BB2E9E"/>
    <w:rsid w:val="00BB2EDF"/>
    <w:rsid w:val="00BB3210"/>
    <w:rsid w:val="00BB32EE"/>
    <w:rsid w:val="00BB3829"/>
    <w:rsid w:val="00BB392F"/>
    <w:rsid w:val="00BB3AB9"/>
    <w:rsid w:val="00BB3BBF"/>
    <w:rsid w:val="00BB4204"/>
    <w:rsid w:val="00BB454B"/>
    <w:rsid w:val="00BB4685"/>
    <w:rsid w:val="00BB4B72"/>
    <w:rsid w:val="00BB520B"/>
    <w:rsid w:val="00BB5977"/>
    <w:rsid w:val="00BB5A4D"/>
    <w:rsid w:val="00BB5B30"/>
    <w:rsid w:val="00BB5BF7"/>
    <w:rsid w:val="00BB638B"/>
    <w:rsid w:val="00BB65D0"/>
    <w:rsid w:val="00BB7187"/>
    <w:rsid w:val="00BB72D4"/>
    <w:rsid w:val="00BB74C4"/>
    <w:rsid w:val="00BB77B2"/>
    <w:rsid w:val="00BB7993"/>
    <w:rsid w:val="00BB7ED5"/>
    <w:rsid w:val="00BB7F20"/>
    <w:rsid w:val="00BC01FE"/>
    <w:rsid w:val="00BC1372"/>
    <w:rsid w:val="00BC16B3"/>
    <w:rsid w:val="00BC1A65"/>
    <w:rsid w:val="00BC1B42"/>
    <w:rsid w:val="00BC1F6E"/>
    <w:rsid w:val="00BC2135"/>
    <w:rsid w:val="00BC2226"/>
    <w:rsid w:val="00BC2517"/>
    <w:rsid w:val="00BC256D"/>
    <w:rsid w:val="00BC303D"/>
    <w:rsid w:val="00BC3198"/>
    <w:rsid w:val="00BC3259"/>
    <w:rsid w:val="00BC3751"/>
    <w:rsid w:val="00BC37C6"/>
    <w:rsid w:val="00BC38B0"/>
    <w:rsid w:val="00BC3B50"/>
    <w:rsid w:val="00BC3C0D"/>
    <w:rsid w:val="00BC3FB3"/>
    <w:rsid w:val="00BC412E"/>
    <w:rsid w:val="00BC4904"/>
    <w:rsid w:val="00BC4C3A"/>
    <w:rsid w:val="00BC5052"/>
    <w:rsid w:val="00BC544F"/>
    <w:rsid w:val="00BC5597"/>
    <w:rsid w:val="00BC5FBC"/>
    <w:rsid w:val="00BC6107"/>
    <w:rsid w:val="00BC61CF"/>
    <w:rsid w:val="00BC636C"/>
    <w:rsid w:val="00BC65EA"/>
    <w:rsid w:val="00BC689B"/>
    <w:rsid w:val="00BC6926"/>
    <w:rsid w:val="00BC6977"/>
    <w:rsid w:val="00BC6E8D"/>
    <w:rsid w:val="00BC7245"/>
    <w:rsid w:val="00BC7762"/>
    <w:rsid w:val="00BC7952"/>
    <w:rsid w:val="00BC7B5F"/>
    <w:rsid w:val="00BC7E73"/>
    <w:rsid w:val="00BC7FA9"/>
    <w:rsid w:val="00BD052A"/>
    <w:rsid w:val="00BD052C"/>
    <w:rsid w:val="00BD0590"/>
    <w:rsid w:val="00BD09BA"/>
    <w:rsid w:val="00BD09D6"/>
    <w:rsid w:val="00BD0AFF"/>
    <w:rsid w:val="00BD15AD"/>
    <w:rsid w:val="00BD175D"/>
    <w:rsid w:val="00BD1786"/>
    <w:rsid w:val="00BD18B2"/>
    <w:rsid w:val="00BD1A0F"/>
    <w:rsid w:val="00BD1C8F"/>
    <w:rsid w:val="00BD1E7B"/>
    <w:rsid w:val="00BD1ED7"/>
    <w:rsid w:val="00BD2189"/>
    <w:rsid w:val="00BD2597"/>
    <w:rsid w:val="00BD283B"/>
    <w:rsid w:val="00BD29D6"/>
    <w:rsid w:val="00BD2AC6"/>
    <w:rsid w:val="00BD2B57"/>
    <w:rsid w:val="00BD2E06"/>
    <w:rsid w:val="00BD367D"/>
    <w:rsid w:val="00BD379F"/>
    <w:rsid w:val="00BD3A4E"/>
    <w:rsid w:val="00BD3FD1"/>
    <w:rsid w:val="00BD43CE"/>
    <w:rsid w:val="00BD44FA"/>
    <w:rsid w:val="00BD4E76"/>
    <w:rsid w:val="00BD52A9"/>
    <w:rsid w:val="00BD5395"/>
    <w:rsid w:val="00BD58CD"/>
    <w:rsid w:val="00BD5AA7"/>
    <w:rsid w:val="00BD5E8F"/>
    <w:rsid w:val="00BD5FEB"/>
    <w:rsid w:val="00BD61DE"/>
    <w:rsid w:val="00BD69A2"/>
    <w:rsid w:val="00BD6D73"/>
    <w:rsid w:val="00BD6E4E"/>
    <w:rsid w:val="00BD6F60"/>
    <w:rsid w:val="00BD6FEE"/>
    <w:rsid w:val="00BD7387"/>
    <w:rsid w:val="00BD7AE8"/>
    <w:rsid w:val="00BD7B88"/>
    <w:rsid w:val="00BD7BBD"/>
    <w:rsid w:val="00BD7C55"/>
    <w:rsid w:val="00BD7F1E"/>
    <w:rsid w:val="00BE002A"/>
    <w:rsid w:val="00BE006B"/>
    <w:rsid w:val="00BE0903"/>
    <w:rsid w:val="00BE0A0E"/>
    <w:rsid w:val="00BE0B68"/>
    <w:rsid w:val="00BE112D"/>
    <w:rsid w:val="00BE1A33"/>
    <w:rsid w:val="00BE1BD6"/>
    <w:rsid w:val="00BE2003"/>
    <w:rsid w:val="00BE220D"/>
    <w:rsid w:val="00BE2212"/>
    <w:rsid w:val="00BE238C"/>
    <w:rsid w:val="00BE23BF"/>
    <w:rsid w:val="00BE2516"/>
    <w:rsid w:val="00BE2768"/>
    <w:rsid w:val="00BE27FD"/>
    <w:rsid w:val="00BE2E31"/>
    <w:rsid w:val="00BE2F54"/>
    <w:rsid w:val="00BE32B4"/>
    <w:rsid w:val="00BE3319"/>
    <w:rsid w:val="00BE3421"/>
    <w:rsid w:val="00BE3486"/>
    <w:rsid w:val="00BE3ED5"/>
    <w:rsid w:val="00BE4217"/>
    <w:rsid w:val="00BE48BF"/>
    <w:rsid w:val="00BE4AC9"/>
    <w:rsid w:val="00BE4B14"/>
    <w:rsid w:val="00BE5031"/>
    <w:rsid w:val="00BE5042"/>
    <w:rsid w:val="00BE5313"/>
    <w:rsid w:val="00BE5351"/>
    <w:rsid w:val="00BE552D"/>
    <w:rsid w:val="00BE560F"/>
    <w:rsid w:val="00BE57D9"/>
    <w:rsid w:val="00BE58E5"/>
    <w:rsid w:val="00BE5A12"/>
    <w:rsid w:val="00BE5BA7"/>
    <w:rsid w:val="00BE5BDB"/>
    <w:rsid w:val="00BE5DA5"/>
    <w:rsid w:val="00BE5EC2"/>
    <w:rsid w:val="00BE684B"/>
    <w:rsid w:val="00BE693A"/>
    <w:rsid w:val="00BE6C43"/>
    <w:rsid w:val="00BE6C79"/>
    <w:rsid w:val="00BE7127"/>
    <w:rsid w:val="00BE72BC"/>
    <w:rsid w:val="00BE743E"/>
    <w:rsid w:val="00BE77FF"/>
    <w:rsid w:val="00BE7A74"/>
    <w:rsid w:val="00BE7B0A"/>
    <w:rsid w:val="00BE7C2E"/>
    <w:rsid w:val="00BF09DC"/>
    <w:rsid w:val="00BF0D95"/>
    <w:rsid w:val="00BF0F94"/>
    <w:rsid w:val="00BF12AB"/>
    <w:rsid w:val="00BF136A"/>
    <w:rsid w:val="00BF140C"/>
    <w:rsid w:val="00BF151F"/>
    <w:rsid w:val="00BF18EE"/>
    <w:rsid w:val="00BF19A2"/>
    <w:rsid w:val="00BF1C8B"/>
    <w:rsid w:val="00BF1EEE"/>
    <w:rsid w:val="00BF2055"/>
    <w:rsid w:val="00BF22A4"/>
    <w:rsid w:val="00BF2A58"/>
    <w:rsid w:val="00BF2D38"/>
    <w:rsid w:val="00BF2E1A"/>
    <w:rsid w:val="00BF3147"/>
    <w:rsid w:val="00BF33F2"/>
    <w:rsid w:val="00BF3441"/>
    <w:rsid w:val="00BF4233"/>
    <w:rsid w:val="00BF4763"/>
    <w:rsid w:val="00BF4A0F"/>
    <w:rsid w:val="00BF4A1A"/>
    <w:rsid w:val="00BF4ABC"/>
    <w:rsid w:val="00BF4C0B"/>
    <w:rsid w:val="00BF4F1F"/>
    <w:rsid w:val="00BF5199"/>
    <w:rsid w:val="00BF55B5"/>
    <w:rsid w:val="00BF57AA"/>
    <w:rsid w:val="00BF59D1"/>
    <w:rsid w:val="00BF5B66"/>
    <w:rsid w:val="00BF6334"/>
    <w:rsid w:val="00BF63C6"/>
    <w:rsid w:val="00BF6621"/>
    <w:rsid w:val="00BF6682"/>
    <w:rsid w:val="00BF690F"/>
    <w:rsid w:val="00BF6A53"/>
    <w:rsid w:val="00BF6AD3"/>
    <w:rsid w:val="00BF6BA2"/>
    <w:rsid w:val="00BF73A7"/>
    <w:rsid w:val="00BF7CB1"/>
    <w:rsid w:val="00BF7D0D"/>
    <w:rsid w:val="00BF7D82"/>
    <w:rsid w:val="00C00870"/>
    <w:rsid w:val="00C009BB"/>
    <w:rsid w:val="00C00F6B"/>
    <w:rsid w:val="00C0107E"/>
    <w:rsid w:val="00C0159E"/>
    <w:rsid w:val="00C0162B"/>
    <w:rsid w:val="00C02088"/>
    <w:rsid w:val="00C0236D"/>
    <w:rsid w:val="00C02436"/>
    <w:rsid w:val="00C026C7"/>
    <w:rsid w:val="00C0276A"/>
    <w:rsid w:val="00C027CB"/>
    <w:rsid w:val="00C02BBE"/>
    <w:rsid w:val="00C02FEC"/>
    <w:rsid w:val="00C02FF1"/>
    <w:rsid w:val="00C03258"/>
    <w:rsid w:val="00C03592"/>
    <w:rsid w:val="00C035B2"/>
    <w:rsid w:val="00C03A04"/>
    <w:rsid w:val="00C03A24"/>
    <w:rsid w:val="00C03D47"/>
    <w:rsid w:val="00C04198"/>
    <w:rsid w:val="00C04676"/>
    <w:rsid w:val="00C04752"/>
    <w:rsid w:val="00C04FF6"/>
    <w:rsid w:val="00C050E8"/>
    <w:rsid w:val="00C0518C"/>
    <w:rsid w:val="00C05230"/>
    <w:rsid w:val="00C05934"/>
    <w:rsid w:val="00C05F55"/>
    <w:rsid w:val="00C06030"/>
    <w:rsid w:val="00C061DC"/>
    <w:rsid w:val="00C062E6"/>
    <w:rsid w:val="00C06407"/>
    <w:rsid w:val="00C06416"/>
    <w:rsid w:val="00C068F6"/>
    <w:rsid w:val="00C06A57"/>
    <w:rsid w:val="00C06B7E"/>
    <w:rsid w:val="00C06D5F"/>
    <w:rsid w:val="00C06E78"/>
    <w:rsid w:val="00C07103"/>
    <w:rsid w:val="00C07538"/>
    <w:rsid w:val="00C07BEE"/>
    <w:rsid w:val="00C07CCC"/>
    <w:rsid w:val="00C07EA4"/>
    <w:rsid w:val="00C101DA"/>
    <w:rsid w:val="00C10502"/>
    <w:rsid w:val="00C10567"/>
    <w:rsid w:val="00C10835"/>
    <w:rsid w:val="00C10C6E"/>
    <w:rsid w:val="00C11101"/>
    <w:rsid w:val="00C111A5"/>
    <w:rsid w:val="00C11293"/>
    <w:rsid w:val="00C119F4"/>
    <w:rsid w:val="00C11C34"/>
    <w:rsid w:val="00C11F06"/>
    <w:rsid w:val="00C11F97"/>
    <w:rsid w:val="00C1248D"/>
    <w:rsid w:val="00C1288F"/>
    <w:rsid w:val="00C129B0"/>
    <w:rsid w:val="00C12AAF"/>
    <w:rsid w:val="00C12D03"/>
    <w:rsid w:val="00C12E2C"/>
    <w:rsid w:val="00C1397E"/>
    <w:rsid w:val="00C139B3"/>
    <w:rsid w:val="00C14175"/>
    <w:rsid w:val="00C1468D"/>
    <w:rsid w:val="00C14714"/>
    <w:rsid w:val="00C14DD9"/>
    <w:rsid w:val="00C14E3A"/>
    <w:rsid w:val="00C150E4"/>
    <w:rsid w:val="00C15542"/>
    <w:rsid w:val="00C157DF"/>
    <w:rsid w:val="00C1585A"/>
    <w:rsid w:val="00C15BC4"/>
    <w:rsid w:val="00C15C7A"/>
    <w:rsid w:val="00C15CA0"/>
    <w:rsid w:val="00C16564"/>
    <w:rsid w:val="00C16620"/>
    <w:rsid w:val="00C16DE3"/>
    <w:rsid w:val="00C171E2"/>
    <w:rsid w:val="00C17414"/>
    <w:rsid w:val="00C1781F"/>
    <w:rsid w:val="00C17967"/>
    <w:rsid w:val="00C17AF8"/>
    <w:rsid w:val="00C2006D"/>
    <w:rsid w:val="00C20421"/>
    <w:rsid w:val="00C206BA"/>
    <w:rsid w:val="00C20728"/>
    <w:rsid w:val="00C2092B"/>
    <w:rsid w:val="00C2095E"/>
    <w:rsid w:val="00C209E2"/>
    <w:rsid w:val="00C20A60"/>
    <w:rsid w:val="00C20BB4"/>
    <w:rsid w:val="00C20D96"/>
    <w:rsid w:val="00C20ECE"/>
    <w:rsid w:val="00C20F1E"/>
    <w:rsid w:val="00C2128E"/>
    <w:rsid w:val="00C21512"/>
    <w:rsid w:val="00C2195F"/>
    <w:rsid w:val="00C21CB3"/>
    <w:rsid w:val="00C21D7E"/>
    <w:rsid w:val="00C21E21"/>
    <w:rsid w:val="00C222DD"/>
    <w:rsid w:val="00C225E7"/>
    <w:rsid w:val="00C22667"/>
    <w:rsid w:val="00C228DF"/>
    <w:rsid w:val="00C22ABA"/>
    <w:rsid w:val="00C22E43"/>
    <w:rsid w:val="00C22F38"/>
    <w:rsid w:val="00C2316E"/>
    <w:rsid w:val="00C23230"/>
    <w:rsid w:val="00C23D9C"/>
    <w:rsid w:val="00C24397"/>
    <w:rsid w:val="00C244D8"/>
    <w:rsid w:val="00C2458C"/>
    <w:rsid w:val="00C24638"/>
    <w:rsid w:val="00C247BF"/>
    <w:rsid w:val="00C24803"/>
    <w:rsid w:val="00C253EA"/>
    <w:rsid w:val="00C25492"/>
    <w:rsid w:val="00C257E5"/>
    <w:rsid w:val="00C25943"/>
    <w:rsid w:val="00C25CE0"/>
    <w:rsid w:val="00C25CF0"/>
    <w:rsid w:val="00C25D1D"/>
    <w:rsid w:val="00C260EF"/>
    <w:rsid w:val="00C26412"/>
    <w:rsid w:val="00C265ED"/>
    <w:rsid w:val="00C2663C"/>
    <w:rsid w:val="00C2670E"/>
    <w:rsid w:val="00C26779"/>
    <w:rsid w:val="00C268C7"/>
    <w:rsid w:val="00C26954"/>
    <w:rsid w:val="00C269BE"/>
    <w:rsid w:val="00C26F74"/>
    <w:rsid w:val="00C27063"/>
    <w:rsid w:val="00C273E9"/>
    <w:rsid w:val="00C27848"/>
    <w:rsid w:val="00C27D1C"/>
    <w:rsid w:val="00C27D91"/>
    <w:rsid w:val="00C27E9F"/>
    <w:rsid w:val="00C3011A"/>
    <w:rsid w:val="00C30192"/>
    <w:rsid w:val="00C304EF"/>
    <w:rsid w:val="00C306D8"/>
    <w:rsid w:val="00C30A36"/>
    <w:rsid w:val="00C30AA6"/>
    <w:rsid w:val="00C30AD9"/>
    <w:rsid w:val="00C3100F"/>
    <w:rsid w:val="00C31232"/>
    <w:rsid w:val="00C31256"/>
    <w:rsid w:val="00C3145C"/>
    <w:rsid w:val="00C314D0"/>
    <w:rsid w:val="00C315B6"/>
    <w:rsid w:val="00C31753"/>
    <w:rsid w:val="00C31913"/>
    <w:rsid w:val="00C319C1"/>
    <w:rsid w:val="00C31C33"/>
    <w:rsid w:val="00C31F0A"/>
    <w:rsid w:val="00C3204D"/>
    <w:rsid w:val="00C3213F"/>
    <w:rsid w:val="00C32259"/>
    <w:rsid w:val="00C323AE"/>
    <w:rsid w:val="00C32830"/>
    <w:rsid w:val="00C32839"/>
    <w:rsid w:val="00C328A5"/>
    <w:rsid w:val="00C3299C"/>
    <w:rsid w:val="00C33641"/>
    <w:rsid w:val="00C33B0C"/>
    <w:rsid w:val="00C33BD9"/>
    <w:rsid w:val="00C33CE3"/>
    <w:rsid w:val="00C33F1F"/>
    <w:rsid w:val="00C33F54"/>
    <w:rsid w:val="00C3404E"/>
    <w:rsid w:val="00C345B8"/>
    <w:rsid w:val="00C34825"/>
    <w:rsid w:val="00C34910"/>
    <w:rsid w:val="00C34B04"/>
    <w:rsid w:val="00C34B63"/>
    <w:rsid w:val="00C356C7"/>
    <w:rsid w:val="00C358FE"/>
    <w:rsid w:val="00C35975"/>
    <w:rsid w:val="00C35B95"/>
    <w:rsid w:val="00C35CDA"/>
    <w:rsid w:val="00C36201"/>
    <w:rsid w:val="00C36C30"/>
    <w:rsid w:val="00C36D0B"/>
    <w:rsid w:val="00C36E11"/>
    <w:rsid w:val="00C37102"/>
    <w:rsid w:val="00C374A4"/>
    <w:rsid w:val="00C3769F"/>
    <w:rsid w:val="00C37774"/>
    <w:rsid w:val="00C37CAF"/>
    <w:rsid w:val="00C37FAF"/>
    <w:rsid w:val="00C40242"/>
    <w:rsid w:val="00C4024D"/>
    <w:rsid w:val="00C405F5"/>
    <w:rsid w:val="00C40B36"/>
    <w:rsid w:val="00C410A1"/>
    <w:rsid w:val="00C41393"/>
    <w:rsid w:val="00C41647"/>
    <w:rsid w:val="00C419EE"/>
    <w:rsid w:val="00C41D4E"/>
    <w:rsid w:val="00C424EA"/>
    <w:rsid w:val="00C42541"/>
    <w:rsid w:val="00C42914"/>
    <w:rsid w:val="00C42E28"/>
    <w:rsid w:val="00C4351D"/>
    <w:rsid w:val="00C43629"/>
    <w:rsid w:val="00C4397C"/>
    <w:rsid w:val="00C439B7"/>
    <w:rsid w:val="00C43F13"/>
    <w:rsid w:val="00C44265"/>
    <w:rsid w:val="00C444C0"/>
    <w:rsid w:val="00C44968"/>
    <w:rsid w:val="00C44A7A"/>
    <w:rsid w:val="00C454AC"/>
    <w:rsid w:val="00C4574C"/>
    <w:rsid w:val="00C45C4D"/>
    <w:rsid w:val="00C45C50"/>
    <w:rsid w:val="00C45F37"/>
    <w:rsid w:val="00C45FBA"/>
    <w:rsid w:val="00C46115"/>
    <w:rsid w:val="00C4612C"/>
    <w:rsid w:val="00C4649F"/>
    <w:rsid w:val="00C4671A"/>
    <w:rsid w:val="00C46AA6"/>
    <w:rsid w:val="00C46BEE"/>
    <w:rsid w:val="00C4709C"/>
    <w:rsid w:val="00C47218"/>
    <w:rsid w:val="00C4781A"/>
    <w:rsid w:val="00C4789D"/>
    <w:rsid w:val="00C479DB"/>
    <w:rsid w:val="00C47A3A"/>
    <w:rsid w:val="00C47E2E"/>
    <w:rsid w:val="00C501DA"/>
    <w:rsid w:val="00C50353"/>
    <w:rsid w:val="00C50598"/>
    <w:rsid w:val="00C506CD"/>
    <w:rsid w:val="00C50A87"/>
    <w:rsid w:val="00C50DFC"/>
    <w:rsid w:val="00C51E5E"/>
    <w:rsid w:val="00C522C2"/>
    <w:rsid w:val="00C523E0"/>
    <w:rsid w:val="00C5272A"/>
    <w:rsid w:val="00C52A65"/>
    <w:rsid w:val="00C52BCF"/>
    <w:rsid w:val="00C52DF1"/>
    <w:rsid w:val="00C534A7"/>
    <w:rsid w:val="00C53AC7"/>
    <w:rsid w:val="00C540D3"/>
    <w:rsid w:val="00C549E0"/>
    <w:rsid w:val="00C54A84"/>
    <w:rsid w:val="00C54BDB"/>
    <w:rsid w:val="00C551E8"/>
    <w:rsid w:val="00C5547A"/>
    <w:rsid w:val="00C558C3"/>
    <w:rsid w:val="00C56462"/>
    <w:rsid w:val="00C5649C"/>
    <w:rsid w:val="00C565EE"/>
    <w:rsid w:val="00C567FE"/>
    <w:rsid w:val="00C569D5"/>
    <w:rsid w:val="00C56C54"/>
    <w:rsid w:val="00C570F9"/>
    <w:rsid w:val="00C571B2"/>
    <w:rsid w:val="00C57257"/>
    <w:rsid w:val="00C573CF"/>
    <w:rsid w:val="00C57C77"/>
    <w:rsid w:val="00C57FC3"/>
    <w:rsid w:val="00C6000B"/>
    <w:rsid w:val="00C603AE"/>
    <w:rsid w:val="00C609AA"/>
    <w:rsid w:val="00C60CE4"/>
    <w:rsid w:val="00C61366"/>
    <w:rsid w:val="00C61581"/>
    <w:rsid w:val="00C618FD"/>
    <w:rsid w:val="00C61DC9"/>
    <w:rsid w:val="00C61E97"/>
    <w:rsid w:val="00C62078"/>
    <w:rsid w:val="00C6214D"/>
    <w:rsid w:val="00C62587"/>
    <w:rsid w:val="00C6268B"/>
    <w:rsid w:val="00C62C26"/>
    <w:rsid w:val="00C630CF"/>
    <w:rsid w:val="00C63116"/>
    <w:rsid w:val="00C63201"/>
    <w:rsid w:val="00C63CAD"/>
    <w:rsid w:val="00C63E33"/>
    <w:rsid w:val="00C64133"/>
    <w:rsid w:val="00C641E7"/>
    <w:rsid w:val="00C642EE"/>
    <w:rsid w:val="00C64397"/>
    <w:rsid w:val="00C645F1"/>
    <w:rsid w:val="00C64B92"/>
    <w:rsid w:val="00C64BC7"/>
    <w:rsid w:val="00C64EC1"/>
    <w:rsid w:val="00C64F55"/>
    <w:rsid w:val="00C652C8"/>
    <w:rsid w:val="00C653E6"/>
    <w:rsid w:val="00C6554D"/>
    <w:rsid w:val="00C65670"/>
    <w:rsid w:val="00C65C90"/>
    <w:rsid w:val="00C65C9E"/>
    <w:rsid w:val="00C65D6E"/>
    <w:rsid w:val="00C65DD7"/>
    <w:rsid w:val="00C66025"/>
    <w:rsid w:val="00C660C0"/>
    <w:rsid w:val="00C667B7"/>
    <w:rsid w:val="00C6699D"/>
    <w:rsid w:val="00C669C2"/>
    <w:rsid w:val="00C66C0A"/>
    <w:rsid w:val="00C66D3E"/>
    <w:rsid w:val="00C67180"/>
    <w:rsid w:val="00C67228"/>
    <w:rsid w:val="00C67332"/>
    <w:rsid w:val="00C673C3"/>
    <w:rsid w:val="00C676B4"/>
    <w:rsid w:val="00C67E1F"/>
    <w:rsid w:val="00C70280"/>
    <w:rsid w:val="00C70973"/>
    <w:rsid w:val="00C710D6"/>
    <w:rsid w:val="00C71146"/>
    <w:rsid w:val="00C7137A"/>
    <w:rsid w:val="00C71713"/>
    <w:rsid w:val="00C71996"/>
    <w:rsid w:val="00C71E8A"/>
    <w:rsid w:val="00C72496"/>
    <w:rsid w:val="00C7303E"/>
    <w:rsid w:val="00C739E8"/>
    <w:rsid w:val="00C73D0E"/>
    <w:rsid w:val="00C73D6F"/>
    <w:rsid w:val="00C73E9D"/>
    <w:rsid w:val="00C743EC"/>
    <w:rsid w:val="00C74462"/>
    <w:rsid w:val="00C744F2"/>
    <w:rsid w:val="00C746DD"/>
    <w:rsid w:val="00C74F14"/>
    <w:rsid w:val="00C750FA"/>
    <w:rsid w:val="00C758D6"/>
    <w:rsid w:val="00C76793"/>
    <w:rsid w:val="00C768C3"/>
    <w:rsid w:val="00C7696C"/>
    <w:rsid w:val="00C76BDA"/>
    <w:rsid w:val="00C76DFB"/>
    <w:rsid w:val="00C77109"/>
    <w:rsid w:val="00C773BA"/>
    <w:rsid w:val="00C77AF9"/>
    <w:rsid w:val="00C77BF4"/>
    <w:rsid w:val="00C77F24"/>
    <w:rsid w:val="00C801B7"/>
    <w:rsid w:val="00C80828"/>
    <w:rsid w:val="00C80A45"/>
    <w:rsid w:val="00C80EBE"/>
    <w:rsid w:val="00C810D6"/>
    <w:rsid w:val="00C81B2E"/>
    <w:rsid w:val="00C8222A"/>
    <w:rsid w:val="00C8235F"/>
    <w:rsid w:val="00C8271F"/>
    <w:rsid w:val="00C82E15"/>
    <w:rsid w:val="00C83342"/>
    <w:rsid w:val="00C8362E"/>
    <w:rsid w:val="00C838D6"/>
    <w:rsid w:val="00C83A0B"/>
    <w:rsid w:val="00C83B85"/>
    <w:rsid w:val="00C8429A"/>
    <w:rsid w:val="00C843F6"/>
    <w:rsid w:val="00C845B7"/>
    <w:rsid w:val="00C84639"/>
    <w:rsid w:val="00C84791"/>
    <w:rsid w:val="00C84818"/>
    <w:rsid w:val="00C84C59"/>
    <w:rsid w:val="00C84C69"/>
    <w:rsid w:val="00C84DB1"/>
    <w:rsid w:val="00C84E7F"/>
    <w:rsid w:val="00C853ED"/>
    <w:rsid w:val="00C854A9"/>
    <w:rsid w:val="00C85604"/>
    <w:rsid w:val="00C85C7F"/>
    <w:rsid w:val="00C85D8B"/>
    <w:rsid w:val="00C85DF8"/>
    <w:rsid w:val="00C8611D"/>
    <w:rsid w:val="00C865AB"/>
    <w:rsid w:val="00C86784"/>
    <w:rsid w:val="00C86BB8"/>
    <w:rsid w:val="00C87041"/>
    <w:rsid w:val="00C8730B"/>
    <w:rsid w:val="00C875C8"/>
    <w:rsid w:val="00C876A2"/>
    <w:rsid w:val="00C87773"/>
    <w:rsid w:val="00C87915"/>
    <w:rsid w:val="00C87EEB"/>
    <w:rsid w:val="00C900FB"/>
    <w:rsid w:val="00C9023B"/>
    <w:rsid w:val="00C902F3"/>
    <w:rsid w:val="00C905AA"/>
    <w:rsid w:val="00C90932"/>
    <w:rsid w:val="00C90993"/>
    <w:rsid w:val="00C90D1E"/>
    <w:rsid w:val="00C9117E"/>
    <w:rsid w:val="00C91184"/>
    <w:rsid w:val="00C911C2"/>
    <w:rsid w:val="00C9129F"/>
    <w:rsid w:val="00C91392"/>
    <w:rsid w:val="00C914F5"/>
    <w:rsid w:val="00C91A7C"/>
    <w:rsid w:val="00C91AFD"/>
    <w:rsid w:val="00C91B95"/>
    <w:rsid w:val="00C91CA4"/>
    <w:rsid w:val="00C91F80"/>
    <w:rsid w:val="00C920EB"/>
    <w:rsid w:val="00C923A2"/>
    <w:rsid w:val="00C927B1"/>
    <w:rsid w:val="00C9302A"/>
    <w:rsid w:val="00C93BD7"/>
    <w:rsid w:val="00C93F7B"/>
    <w:rsid w:val="00C9401D"/>
    <w:rsid w:val="00C9406C"/>
    <w:rsid w:val="00C942D3"/>
    <w:rsid w:val="00C94555"/>
    <w:rsid w:val="00C948CC"/>
    <w:rsid w:val="00C94913"/>
    <w:rsid w:val="00C94B0F"/>
    <w:rsid w:val="00C94B15"/>
    <w:rsid w:val="00C9506E"/>
    <w:rsid w:val="00C9522C"/>
    <w:rsid w:val="00C95831"/>
    <w:rsid w:val="00C95CCD"/>
    <w:rsid w:val="00C963DC"/>
    <w:rsid w:val="00C9686C"/>
    <w:rsid w:val="00C96AA0"/>
    <w:rsid w:val="00C96BBE"/>
    <w:rsid w:val="00C96BCA"/>
    <w:rsid w:val="00C96F5A"/>
    <w:rsid w:val="00C97421"/>
    <w:rsid w:val="00C97502"/>
    <w:rsid w:val="00C97C89"/>
    <w:rsid w:val="00CA0B72"/>
    <w:rsid w:val="00CA0D6E"/>
    <w:rsid w:val="00CA1434"/>
    <w:rsid w:val="00CA162A"/>
    <w:rsid w:val="00CA1971"/>
    <w:rsid w:val="00CA215B"/>
    <w:rsid w:val="00CA22F5"/>
    <w:rsid w:val="00CA23AB"/>
    <w:rsid w:val="00CA29A0"/>
    <w:rsid w:val="00CA2D45"/>
    <w:rsid w:val="00CA2EBD"/>
    <w:rsid w:val="00CA3984"/>
    <w:rsid w:val="00CA39FD"/>
    <w:rsid w:val="00CA3B08"/>
    <w:rsid w:val="00CA3BC2"/>
    <w:rsid w:val="00CA4803"/>
    <w:rsid w:val="00CA48C7"/>
    <w:rsid w:val="00CA516E"/>
    <w:rsid w:val="00CA5171"/>
    <w:rsid w:val="00CA52BE"/>
    <w:rsid w:val="00CA52F9"/>
    <w:rsid w:val="00CA583A"/>
    <w:rsid w:val="00CA5E30"/>
    <w:rsid w:val="00CA5E9C"/>
    <w:rsid w:val="00CA5F63"/>
    <w:rsid w:val="00CA68A4"/>
    <w:rsid w:val="00CA6AE6"/>
    <w:rsid w:val="00CA6BF0"/>
    <w:rsid w:val="00CA72B2"/>
    <w:rsid w:val="00CA7A07"/>
    <w:rsid w:val="00CA7C2E"/>
    <w:rsid w:val="00CB00E1"/>
    <w:rsid w:val="00CB0267"/>
    <w:rsid w:val="00CB062D"/>
    <w:rsid w:val="00CB0953"/>
    <w:rsid w:val="00CB0F5B"/>
    <w:rsid w:val="00CB11C4"/>
    <w:rsid w:val="00CB15A6"/>
    <w:rsid w:val="00CB1888"/>
    <w:rsid w:val="00CB1916"/>
    <w:rsid w:val="00CB1C2E"/>
    <w:rsid w:val="00CB22DF"/>
    <w:rsid w:val="00CB256E"/>
    <w:rsid w:val="00CB291D"/>
    <w:rsid w:val="00CB312F"/>
    <w:rsid w:val="00CB348F"/>
    <w:rsid w:val="00CB3E37"/>
    <w:rsid w:val="00CB4001"/>
    <w:rsid w:val="00CB41C8"/>
    <w:rsid w:val="00CB423F"/>
    <w:rsid w:val="00CB45CF"/>
    <w:rsid w:val="00CB4899"/>
    <w:rsid w:val="00CB48DD"/>
    <w:rsid w:val="00CB49E1"/>
    <w:rsid w:val="00CB4CE4"/>
    <w:rsid w:val="00CB4DC8"/>
    <w:rsid w:val="00CB4FE8"/>
    <w:rsid w:val="00CB538D"/>
    <w:rsid w:val="00CB568A"/>
    <w:rsid w:val="00CB587C"/>
    <w:rsid w:val="00CB5931"/>
    <w:rsid w:val="00CB5961"/>
    <w:rsid w:val="00CB5DA9"/>
    <w:rsid w:val="00CB6071"/>
    <w:rsid w:val="00CB6087"/>
    <w:rsid w:val="00CB6676"/>
    <w:rsid w:val="00CB6849"/>
    <w:rsid w:val="00CB6950"/>
    <w:rsid w:val="00CB6BF3"/>
    <w:rsid w:val="00CB6E85"/>
    <w:rsid w:val="00CB7064"/>
    <w:rsid w:val="00CB70DA"/>
    <w:rsid w:val="00CB71B3"/>
    <w:rsid w:val="00CB725F"/>
    <w:rsid w:val="00CB72E3"/>
    <w:rsid w:val="00CB744B"/>
    <w:rsid w:val="00CB7A39"/>
    <w:rsid w:val="00CB7A3B"/>
    <w:rsid w:val="00CB7ABC"/>
    <w:rsid w:val="00CB7DD2"/>
    <w:rsid w:val="00CC0016"/>
    <w:rsid w:val="00CC004C"/>
    <w:rsid w:val="00CC00F3"/>
    <w:rsid w:val="00CC0117"/>
    <w:rsid w:val="00CC0141"/>
    <w:rsid w:val="00CC0173"/>
    <w:rsid w:val="00CC065C"/>
    <w:rsid w:val="00CC07DA"/>
    <w:rsid w:val="00CC0C0E"/>
    <w:rsid w:val="00CC0FE5"/>
    <w:rsid w:val="00CC11E0"/>
    <w:rsid w:val="00CC1825"/>
    <w:rsid w:val="00CC1C42"/>
    <w:rsid w:val="00CC22BB"/>
    <w:rsid w:val="00CC234A"/>
    <w:rsid w:val="00CC2704"/>
    <w:rsid w:val="00CC33DA"/>
    <w:rsid w:val="00CC3472"/>
    <w:rsid w:val="00CC3843"/>
    <w:rsid w:val="00CC39B2"/>
    <w:rsid w:val="00CC3B22"/>
    <w:rsid w:val="00CC3FFE"/>
    <w:rsid w:val="00CC4068"/>
    <w:rsid w:val="00CC4348"/>
    <w:rsid w:val="00CC446A"/>
    <w:rsid w:val="00CC4756"/>
    <w:rsid w:val="00CC4797"/>
    <w:rsid w:val="00CC4820"/>
    <w:rsid w:val="00CC5A85"/>
    <w:rsid w:val="00CC5BC0"/>
    <w:rsid w:val="00CC60E8"/>
    <w:rsid w:val="00CC6339"/>
    <w:rsid w:val="00CC63E1"/>
    <w:rsid w:val="00CC658B"/>
    <w:rsid w:val="00CC663D"/>
    <w:rsid w:val="00CC68B5"/>
    <w:rsid w:val="00CC6C63"/>
    <w:rsid w:val="00CC6DC1"/>
    <w:rsid w:val="00CC719D"/>
    <w:rsid w:val="00CC727A"/>
    <w:rsid w:val="00CC73DB"/>
    <w:rsid w:val="00CC7484"/>
    <w:rsid w:val="00CC7546"/>
    <w:rsid w:val="00CC7B77"/>
    <w:rsid w:val="00CC7C80"/>
    <w:rsid w:val="00CC7E81"/>
    <w:rsid w:val="00CC7FB2"/>
    <w:rsid w:val="00CD0489"/>
    <w:rsid w:val="00CD06C1"/>
    <w:rsid w:val="00CD097B"/>
    <w:rsid w:val="00CD19E3"/>
    <w:rsid w:val="00CD1A71"/>
    <w:rsid w:val="00CD1AC8"/>
    <w:rsid w:val="00CD1DCA"/>
    <w:rsid w:val="00CD2636"/>
    <w:rsid w:val="00CD26F1"/>
    <w:rsid w:val="00CD2764"/>
    <w:rsid w:val="00CD27A5"/>
    <w:rsid w:val="00CD294D"/>
    <w:rsid w:val="00CD2AF2"/>
    <w:rsid w:val="00CD3ADB"/>
    <w:rsid w:val="00CD3C9D"/>
    <w:rsid w:val="00CD406D"/>
    <w:rsid w:val="00CD47F1"/>
    <w:rsid w:val="00CD4891"/>
    <w:rsid w:val="00CD4A7C"/>
    <w:rsid w:val="00CD5489"/>
    <w:rsid w:val="00CD5699"/>
    <w:rsid w:val="00CD596E"/>
    <w:rsid w:val="00CD5BE3"/>
    <w:rsid w:val="00CD5CD0"/>
    <w:rsid w:val="00CD6DCB"/>
    <w:rsid w:val="00CD6EB3"/>
    <w:rsid w:val="00CD7089"/>
    <w:rsid w:val="00CD7229"/>
    <w:rsid w:val="00CD74A3"/>
    <w:rsid w:val="00CD754E"/>
    <w:rsid w:val="00CD77E2"/>
    <w:rsid w:val="00CD7A28"/>
    <w:rsid w:val="00CD7B5E"/>
    <w:rsid w:val="00CD7EA4"/>
    <w:rsid w:val="00CD7F98"/>
    <w:rsid w:val="00CE01DA"/>
    <w:rsid w:val="00CE0913"/>
    <w:rsid w:val="00CE09F4"/>
    <w:rsid w:val="00CE0A0E"/>
    <w:rsid w:val="00CE0F9B"/>
    <w:rsid w:val="00CE11BE"/>
    <w:rsid w:val="00CE145B"/>
    <w:rsid w:val="00CE1516"/>
    <w:rsid w:val="00CE1655"/>
    <w:rsid w:val="00CE2013"/>
    <w:rsid w:val="00CE210E"/>
    <w:rsid w:val="00CE2711"/>
    <w:rsid w:val="00CE2921"/>
    <w:rsid w:val="00CE2C85"/>
    <w:rsid w:val="00CE2DB3"/>
    <w:rsid w:val="00CE32BF"/>
    <w:rsid w:val="00CE3673"/>
    <w:rsid w:val="00CE3ADB"/>
    <w:rsid w:val="00CE3B0B"/>
    <w:rsid w:val="00CE3D01"/>
    <w:rsid w:val="00CE3FD8"/>
    <w:rsid w:val="00CE4574"/>
    <w:rsid w:val="00CE4C86"/>
    <w:rsid w:val="00CE5169"/>
    <w:rsid w:val="00CE5706"/>
    <w:rsid w:val="00CE5C47"/>
    <w:rsid w:val="00CE5EBF"/>
    <w:rsid w:val="00CE67F9"/>
    <w:rsid w:val="00CE6BBB"/>
    <w:rsid w:val="00CE6CE7"/>
    <w:rsid w:val="00CE6D68"/>
    <w:rsid w:val="00CE7BB4"/>
    <w:rsid w:val="00CE7DB1"/>
    <w:rsid w:val="00CE7F5A"/>
    <w:rsid w:val="00CF00E5"/>
    <w:rsid w:val="00CF020B"/>
    <w:rsid w:val="00CF0395"/>
    <w:rsid w:val="00CF03D0"/>
    <w:rsid w:val="00CF08AD"/>
    <w:rsid w:val="00CF0B15"/>
    <w:rsid w:val="00CF0F81"/>
    <w:rsid w:val="00CF1151"/>
    <w:rsid w:val="00CF12BE"/>
    <w:rsid w:val="00CF169B"/>
    <w:rsid w:val="00CF1A67"/>
    <w:rsid w:val="00CF1C61"/>
    <w:rsid w:val="00CF1F91"/>
    <w:rsid w:val="00CF20C3"/>
    <w:rsid w:val="00CF226E"/>
    <w:rsid w:val="00CF2568"/>
    <w:rsid w:val="00CF284F"/>
    <w:rsid w:val="00CF29BF"/>
    <w:rsid w:val="00CF2A73"/>
    <w:rsid w:val="00CF2B64"/>
    <w:rsid w:val="00CF2C49"/>
    <w:rsid w:val="00CF318E"/>
    <w:rsid w:val="00CF3198"/>
    <w:rsid w:val="00CF32A8"/>
    <w:rsid w:val="00CF3486"/>
    <w:rsid w:val="00CF3700"/>
    <w:rsid w:val="00CF39A8"/>
    <w:rsid w:val="00CF403E"/>
    <w:rsid w:val="00CF44D1"/>
    <w:rsid w:val="00CF469B"/>
    <w:rsid w:val="00CF46B9"/>
    <w:rsid w:val="00CF47A8"/>
    <w:rsid w:val="00CF4928"/>
    <w:rsid w:val="00CF50ED"/>
    <w:rsid w:val="00CF5683"/>
    <w:rsid w:val="00CF5689"/>
    <w:rsid w:val="00CF5A46"/>
    <w:rsid w:val="00CF6268"/>
    <w:rsid w:val="00CF6444"/>
    <w:rsid w:val="00CF648B"/>
    <w:rsid w:val="00CF67DE"/>
    <w:rsid w:val="00CF695F"/>
    <w:rsid w:val="00CF6A2F"/>
    <w:rsid w:val="00CF6AEA"/>
    <w:rsid w:val="00CF6EE7"/>
    <w:rsid w:val="00CF6F0E"/>
    <w:rsid w:val="00CF71F6"/>
    <w:rsid w:val="00CF72C3"/>
    <w:rsid w:val="00CF72F3"/>
    <w:rsid w:val="00CF7593"/>
    <w:rsid w:val="00CF7695"/>
    <w:rsid w:val="00CF794C"/>
    <w:rsid w:val="00CF7C5D"/>
    <w:rsid w:val="00D00314"/>
    <w:rsid w:val="00D003B1"/>
    <w:rsid w:val="00D00447"/>
    <w:rsid w:val="00D00A5C"/>
    <w:rsid w:val="00D00A89"/>
    <w:rsid w:val="00D00B2F"/>
    <w:rsid w:val="00D00B8D"/>
    <w:rsid w:val="00D0117D"/>
    <w:rsid w:val="00D0168C"/>
    <w:rsid w:val="00D01DA1"/>
    <w:rsid w:val="00D01EF7"/>
    <w:rsid w:val="00D02A5B"/>
    <w:rsid w:val="00D02BB7"/>
    <w:rsid w:val="00D0348D"/>
    <w:rsid w:val="00D034BA"/>
    <w:rsid w:val="00D03AA5"/>
    <w:rsid w:val="00D03C30"/>
    <w:rsid w:val="00D04115"/>
    <w:rsid w:val="00D04763"/>
    <w:rsid w:val="00D04A81"/>
    <w:rsid w:val="00D04C34"/>
    <w:rsid w:val="00D04C69"/>
    <w:rsid w:val="00D04CFA"/>
    <w:rsid w:val="00D04DDB"/>
    <w:rsid w:val="00D04EE4"/>
    <w:rsid w:val="00D055B9"/>
    <w:rsid w:val="00D05B8B"/>
    <w:rsid w:val="00D05D14"/>
    <w:rsid w:val="00D06038"/>
    <w:rsid w:val="00D060D4"/>
    <w:rsid w:val="00D06458"/>
    <w:rsid w:val="00D064CE"/>
    <w:rsid w:val="00D06F5F"/>
    <w:rsid w:val="00D0701E"/>
    <w:rsid w:val="00D0746E"/>
    <w:rsid w:val="00D0772D"/>
    <w:rsid w:val="00D07884"/>
    <w:rsid w:val="00D078D9"/>
    <w:rsid w:val="00D07D81"/>
    <w:rsid w:val="00D1001A"/>
    <w:rsid w:val="00D101AD"/>
    <w:rsid w:val="00D10340"/>
    <w:rsid w:val="00D10407"/>
    <w:rsid w:val="00D1093B"/>
    <w:rsid w:val="00D10952"/>
    <w:rsid w:val="00D10AC5"/>
    <w:rsid w:val="00D10BE7"/>
    <w:rsid w:val="00D10CD2"/>
    <w:rsid w:val="00D10D32"/>
    <w:rsid w:val="00D111FF"/>
    <w:rsid w:val="00D1154D"/>
    <w:rsid w:val="00D11737"/>
    <w:rsid w:val="00D11772"/>
    <w:rsid w:val="00D11A2D"/>
    <w:rsid w:val="00D12268"/>
    <w:rsid w:val="00D12280"/>
    <w:rsid w:val="00D1245D"/>
    <w:rsid w:val="00D12504"/>
    <w:rsid w:val="00D12828"/>
    <w:rsid w:val="00D12B05"/>
    <w:rsid w:val="00D12B85"/>
    <w:rsid w:val="00D1339E"/>
    <w:rsid w:val="00D13CB1"/>
    <w:rsid w:val="00D14138"/>
    <w:rsid w:val="00D14557"/>
    <w:rsid w:val="00D1464F"/>
    <w:rsid w:val="00D14B4E"/>
    <w:rsid w:val="00D14C25"/>
    <w:rsid w:val="00D14D1C"/>
    <w:rsid w:val="00D14DC9"/>
    <w:rsid w:val="00D14F95"/>
    <w:rsid w:val="00D1500F"/>
    <w:rsid w:val="00D15477"/>
    <w:rsid w:val="00D157AB"/>
    <w:rsid w:val="00D160F9"/>
    <w:rsid w:val="00D16455"/>
    <w:rsid w:val="00D166AB"/>
    <w:rsid w:val="00D16ADA"/>
    <w:rsid w:val="00D16CD3"/>
    <w:rsid w:val="00D16D58"/>
    <w:rsid w:val="00D16E90"/>
    <w:rsid w:val="00D17339"/>
    <w:rsid w:val="00D179F1"/>
    <w:rsid w:val="00D17D49"/>
    <w:rsid w:val="00D2015C"/>
    <w:rsid w:val="00D20253"/>
    <w:rsid w:val="00D206A3"/>
    <w:rsid w:val="00D206FE"/>
    <w:rsid w:val="00D20744"/>
    <w:rsid w:val="00D20A19"/>
    <w:rsid w:val="00D210BE"/>
    <w:rsid w:val="00D213F1"/>
    <w:rsid w:val="00D21B9B"/>
    <w:rsid w:val="00D21CDA"/>
    <w:rsid w:val="00D21F2E"/>
    <w:rsid w:val="00D22260"/>
    <w:rsid w:val="00D22266"/>
    <w:rsid w:val="00D22A26"/>
    <w:rsid w:val="00D22D35"/>
    <w:rsid w:val="00D22E4A"/>
    <w:rsid w:val="00D238D6"/>
    <w:rsid w:val="00D238FF"/>
    <w:rsid w:val="00D23DEF"/>
    <w:rsid w:val="00D23F97"/>
    <w:rsid w:val="00D243EB"/>
    <w:rsid w:val="00D2495F"/>
    <w:rsid w:val="00D249A6"/>
    <w:rsid w:val="00D249C6"/>
    <w:rsid w:val="00D24E2B"/>
    <w:rsid w:val="00D25353"/>
    <w:rsid w:val="00D256EE"/>
    <w:rsid w:val="00D258A6"/>
    <w:rsid w:val="00D25F43"/>
    <w:rsid w:val="00D26272"/>
    <w:rsid w:val="00D2635B"/>
    <w:rsid w:val="00D26588"/>
    <w:rsid w:val="00D266F7"/>
    <w:rsid w:val="00D269AC"/>
    <w:rsid w:val="00D26BB9"/>
    <w:rsid w:val="00D26E5C"/>
    <w:rsid w:val="00D27373"/>
    <w:rsid w:val="00D273DC"/>
    <w:rsid w:val="00D27567"/>
    <w:rsid w:val="00D276A0"/>
    <w:rsid w:val="00D27F74"/>
    <w:rsid w:val="00D30381"/>
    <w:rsid w:val="00D30646"/>
    <w:rsid w:val="00D306F9"/>
    <w:rsid w:val="00D307D3"/>
    <w:rsid w:val="00D309D0"/>
    <w:rsid w:val="00D30E47"/>
    <w:rsid w:val="00D310AB"/>
    <w:rsid w:val="00D3114B"/>
    <w:rsid w:val="00D31339"/>
    <w:rsid w:val="00D31446"/>
    <w:rsid w:val="00D314C8"/>
    <w:rsid w:val="00D315CF"/>
    <w:rsid w:val="00D318DE"/>
    <w:rsid w:val="00D31EDA"/>
    <w:rsid w:val="00D31FCB"/>
    <w:rsid w:val="00D32089"/>
    <w:rsid w:val="00D32518"/>
    <w:rsid w:val="00D3294A"/>
    <w:rsid w:val="00D32AE4"/>
    <w:rsid w:val="00D32F93"/>
    <w:rsid w:val="00D339FF"/>
    <w:rsid w:val="00D345DC"/>
    <w:rsid w:val="00D34646"/>
    <w:rsid w:val="00D34A04"/>
    <w:rsid w:val="00D34C4C"/>
    <w:rsid w:val="00D34D6B"/>
    <w:rsid w:val="00D34E09"/>
    <w:rsid w:val="00D35264"/>
    <w:rsid w:val="00D35284"/>
    <w:rsid w:val="00D3559D"/>
    <w:rsid w:val="00D35784"/>
    <w:rsid w:val="00D3583A"/>
    <w:rsid w:val="00D35B76"/>
    <w:rsid w:val="00D35D7F"/>
    <w:rsid w:val="00D36049"/>
    <w:rsid w:val="00D3629F"/>
    <w:rsid w:val="00D365B4"/>
    <w:rsid w:val="00D36732"/>
    <w:rsid w:val="00D36E0F"/>
    <w:rsid w:val="00D37282"/>
    <w:rsid w:val="00D379BF"/>
    <w:rsid w:val="00D379CD"/>
    <w:rsid w:val="00D40235"/>
    <w:rsid w:val="00D40B83"/>
    <w:rsid w:val="00D40F0B"/>
    <w:rsid w:val="00D41039"/>
    <w:rsid w:val="00D41C12"/>
    <w:rsid w:val="00D41F6C"/>
    <w:rsid w:val="00D41FB4"/>
    <w:rsid w:val="00D42103"/>
    <w:rsid w:val="00D4269A"/>
    <w:rsid w:val="00D42846"/>
    <w:rsid w:val="00D42CD1"/>
    <w:rsid w:val="00D42FBD"/>
    <w:rsid w:val="00D43032"/>
    <w:rsid w:val="00D430D1"/>
    <w:rsid w:val="00D432CD"/>
    <w:rsid w:val="00D434A4"/>
    <w:rsid w:val="00D43678"/>
    <w:rsid w:val="00D43B70"/>
    <w:rsid w:val="00D43DCE"/>
    <w:rsid w:val="00D43E54"/>
    <w:rsid w:val="00D443C0"/>
    <w:rsid w:val="00D443C7"/>
    <w:rsid w:val="00D4469A"/>
    <w:rsid w:val="00D448CC"/>
    <w:rsid w:val="00D4492C"/>
    <w:rsid w:val="00D449ED"/>
    <w:rsid w:val="00D44A9F"/>
    <w:rsid w:val="00D44CBB"/>
    <w:rsid w:val="00D44D18"/>
    <w:rsid w:val="00D44E5E"/>
    <w:rsid w:val="00D44E6E"/>
    <w:rsid w:val="00D44ED2"/>
    <w:rsid w:val="00D452E4"/>
    <w:rsid w:val="00D45671"/>
    <w:rsid w:val="00D45CCF"/>
    <w:rsid w:val="00D45FE3"/>
    <w:rsid w:val="00D46179"/>
    <w:rsid w:val="00D46182"/>
    <w:rsid w:val="00D46836"/>
    <w:rsid w:val="00D469DE"/>
    <w:rsid w:val="00D46C84"/>
    <w:rsid w:val="00D46F51"/>
    <w:rsid w:val="00D4704D"/>
    <w:rsid w:val="00D47139"/>
    <w:rsid w:val="00D47240"/>
    <w:rsid w:val="00D47444"/>
    <w:rsid w:val="00D4796A"/>
    <w:rsid w:val="00D479DB"/>
    <w:rsid w:val="00D47B54"/>
    <w:rsid w:val="00D501F9"/>
    <w:rsid w:val="00D50215"/>
    <w:rsid w:val="00D503C6"/>
    <w:rsid w:val="00D505F6"/>
    <w:rsid w:val="00D507FA"/>
    <w:rsid w:val="00D50989"/>
    <w:rsid w:val="00D50A70"/>
    <w:rsid w:val="00D510EE"/>
    <w:rsid w:val="00D5126E"/>
    <w:rsid w:val="00D51379"/>
    <w:rsid w:val="00D5147E"/>
    <w:rsid w:val="00D5156F"/>
    <w:rsid w:val="00D518A5"/>
    <w:rsid w:val="00D519D7"/>
    <w:rsid w:val="00D51B0E"/>
    <w:rsid w:val="00D525F2"/>
    <w:rsid w:val="00D52629"/>
    <w:rsid w:val="00D52833"/>
    <w:rsid w:val="00D529E4"/>
    <w:rsid w:val="00D52A69"/>
    <w:rsid w:val="00D52E8D"/>
    <w:rsid w:val="00D52FFC"/>
    <w:rsid w:val="00D5341A"/>
    <w:rsid w:val="00D537F2"/>
    <w:rsid w:val="00D53A3D"/>
    <w:rsid w:val="00D53F11"/>
    <w:rsid w:val="00D54216"/>
    <w:rsid w:val="00D54648"/>
    <w:rsid w:val="00D54958"/>
    <w:rsid w:val="00D549BB"/>
    <w:rsid w:val="00D54B28"/>
    <w:rsid w:val="00D55452"/>
    <w:rsid w:val="00D5574D"/>
    <w:rsid w:val="00D55DB4"/>
    <w:rsid w:val="00D560C3"/>
    <w:rsid w:val="00D565A4"/>
    <w:rsid w:val="00D567E5"/>
    <w:rsid w:val="00D569B1"/>
    <w:rsid w:val="00D56C4C"/>
    <w:rsid w:val="00D56DF8"/>
    <w:rsid w:val="00D56E78"/>
    <w:rsid w:val="00D57B44"/>
    <w:rsid w:val="00D57C15"/>
    <w:rsid w:val="00D57DE3"/>
    <w:rsid w:val="00D57F95"/>
    <w:rsid w:val="00D60128"/>
    <w:rsid w:val="00D601E4"/>
    <w:rsid w:val="00D60343"/>
    <w:rsid w:val="00D60353"/>
    <w:rsid w:val="00D6046A"/>
    <w:rsid w:val="00D6047E"/>
    <w:rsid w:val="00D60781"/>
    <w:rsid w:val="00D6126F"/>
    <w:rsid w:val="00D61B8E"/>
    <w:rsid w:val="00D61C01"/>
    <w:rsid w:val="00D61C02"/>
    <w:rsid w:val="00D61EBD"/>
    <w:rsid w:val="00D620F0"/>
    <w:rsid w:val="00D621A0"/>
    <w:rsid w:val="00D6233B"/>
    <w:rsid w:val="00D6234B"/>
    <w:rsid w:val="00D62626"/>
    <w:rsid w:val="00D6271E"/>
    <w:rsid w:val="00D62888"/>
    <w:rsid w:val="00D62CD4"/>
    <w:rsid w:val="00D62CF0"/>
    <w:rsid w:val="00D62ED6"/>
    <w:rsid w:val="00D63117"/>
    <w:rsid w:val="00D639E4"/>
    <w:rsid w:val="00D63A6F"/>
    <w:rsid w:val="00D63AC2"/>
    <w:rsid w:val="00D63C4C"/>
    <w:rsid w:val="00D63D08"/>
    <w:rsid w:val="00D6440C"/>
    <w:rsid w:val="00D644C8"/>
    <w:rsid w:val="00D645C7"/>
    <w:rsid w:val="00D647BC"/>
    <w:rsid w:val="00D649F7"/>
    <w:rsid w:val="00D64A6A"/>
    <w:rsid w:val="00D64B1A"/>
    <w:rsid w:val="00D64C54"/>
    <w:rsid w:val="00D6502E"/>
    <w:rsid w:val="00D65289"/>
    <w:rsid w:val="00D65661"/>
    <w:rsid w:val="00D657F3"/>
    <w:rsid w:val="00D65B7E"/>
    <w:rsid w:val="00D65B87"/>
    <w:rsid w:val="00D65E28"/>
    <w:rsid w:val="00D66147"/>
    <w:rsid w:val="00D66253"/>
    <w:rsid w:val="00D66BBA"/>
    <w:rsid w:val="00D671D4"/>
    <w:rsid w:val="00D671EA"/>
    <w:rsid w:val="00D673F5"/>
    <w:rsid w:val="00D6774F"/>
    <w:rsid w:val="00D67A22"/>
    <w:rsid w:val="00D67BBF"/>
    <w:rsid w:val="00D67E7C"/>
    <w:rsid w:val="00D70426"/>
    <w:rsid w:val="00D70CE5"/>
    <w:rsid w:val="00D711F2"/>
    <w:rsid w:val="00D71761"/>
    <w:rsid w:val="00D719E9"/>
    <w:rsid w:val="00D71A6E"/>
    <w:rsid w:val="00D71B2A"/>
    <w:rsid w:val="00D72375"/>
    <w:rsid w:val="00D72AD4"/>
    <w:rsid w:val="00D72E7C"/>
    <w:rsid w:val="00D735C4"/>
    <w:rsid w:val="00D738FE"/>
    <w:rsid w:val="00D73B2E"/>
    <w:rsid w:val="00D73B90"/>
    <w:rsid w:val="00D73D25"/>
    <w:rsid w:val="00D73FB4"/>
    <w:rsid w:val="00D745F2"/>
    <w:rsid w:val="00D74BE9"/>
    <w:rsid w:val="00D74F7E"/>
    <w:rsid w:val="00D74FE7"/>
    <w:rsid w:val="00D754BA"/>
    <w:rsid w:val="00D75974"/>
    <w:rsid w:val="00D75EE3"/>
    <w:rsid w:val="00D760D9"/>
    <w:rsid w:val="00D7618C"/>
    <w:rsid w:val="00D7622D"/>
    <w:rsid w:val="00D76575"/>
    <w:rsid w:val="00D769F7"/>
    <w:rsid w:val="00D76C1F"/>
    <w:rsid w:val="00D772D7"/>
    <w:rsid w:val="00D77475"/>
    <w:rsid w:val="00D774B8"/>
    <w:rsid w:val="00D7751B"/>
    <w:rsid w:val="00D7798A"/>
    <w:rsid w:val="00D77B63"/>
    <w:rsid w:val="00D77C27"/>
    <w:rsid w:val="00D804DB"/>
    <w:rsid w:val="00D81629"/>
    <w:rsid w:val="00D81997"/>
    <w:rsid w:val="00D81AD0"/>
    <w:rsid w:val="00D81C62"/>
    <w:rsid w:val="00D81FAA"/>
    <w:rsid w:val="00D82637"/>
    <w:rsid w:val="00D826C3"/>
    <w:rsid w:val="00D82E05"/>
    <w:rsid w:val="00D82E5C"/>
    <w:rsid w:val="00D836C5"/>
    <w:rsid w:val="00D838B7"/>
    <w:rsid w:val="00D83D47"/>
    <w:rsid w:val="00D83DAF"/>
    <w:rsid w:val="00D83DEA"/>
    <w:rsid w:val="00D847F7"/>
    <w:rsid w:val="00D848E3"/>
    <w:rsid w:val="00D84AB7"/>
    <w:rsid w:val="00D84CBA"/>
    <w:rsid w:val="00D84D38"/>
    <w:rsid w:val="00D850C4"/>
    <w:rsid w:val="00D8513C"/>
    <w:rsid w:val="00D85946"/>
    <w:rsid w:val="00D85AE8"/>
    <w:rsid w:val="00D85AFE"/>
    <w:rsid w:val="00D85DBC"/>
    <w:rsid w:val="00D85DC2"/>
    <w:rsid w:val="00D860A3"/>
    <w:rsid w:val="00D861DE"/>
    <w:rsid w:val="00D864BC"/>
    <w:rsid w:val="00D86FFD"/>
    <w:rsid w:val="00D87114"/>
    <w:rsid w:val="00D8769A"/>
    <w:rsid w:val="00D876A3"/>
    <w:rsid w:val="00D877DD"/>
    <w:rsid w:val="00D8799B"/>
    <w:rsid w:val="00D87EA3"/>
    <w:rsid w:val="00D9076E"/>
    <w:rsid w:val="00D90C2C"/>
    <w:rsid w:val="00D90D91"/>
    <w:rsid w:val="00D90DCC"/>
    <w:rsid w:val="00D91034"/>
    <w:rsid w:val="00D9108A"/>
    <w:rsid w:val="00D915DD"/>
    <w:rsid w:val="00D916B3"/>
    <w:rsid w:val="00D9196F"/>
    <w:rsid w:val="00D91B13"/>
    <w:rsid w:val="00D91C77"/>
    <w:rsid w:val="00D91CB6"/>
    <w:rsid w:val="00D91CEB"/>
    <w:rsid w:val="00D92542"/>
    <w:rsid w:val="00D9268A"/>
    <w:rsid w:val="00D927A2"/>
    <w:rsid w:val="00D92849"/>
    <w:rsid w:val="00D929EB"/>
    <w:rsid w:val="00D92A87"/>
    <w:rsid w:val="00D92E07"/>
    <w:rsid w:val="00D92E7F"/>
    <w:rsid w:val="00D93575"/>
    <w:rsid w:val="00D9362A"/>
    <w:rsid w:val="00D9382E"/>
    <w:rsid w:val="00D93C47"/>
    <w:rsid w:val="00D93DBE"/>
    <w:rsid w:val="00D93DEC"/>
    <w:rsid w:val="00D93E36"/>
    <w:rsid w:val="00D93EC4"/>
    <w:rsid w:val="00D94462"/>
    <w:rsid w:val="00D944CE"/>
    <w:rsid w:val="00D94782"/>
    <w:rsid w:val="00D94B34"/>
    <w:rsid w:val="00D94CF1"/>
    <w:rsid w:val="00D94F6F"/>
    <w:rsid w:val="00D95A3D"/>
    <w:rsid w:val="00D96A61"/>
    <w:rsid w:val="00D97C63"/>
    <w:rsid w:val="00DA0440"/>
    <w:rsid w:val="00DA0865"/>
    <w:rsid w:val="00DA0ED5"/>
    <w:rsid w:val="00DA1229"/>
    <w:rsid w:val="00DA1705"/>
    <w:rsid w:val="00DA1E9A"/>
    <w:rsid w:val="00DA23E3"/>
    <w:rsid w:val="00DA2458"/>
    <w:rsid w:val="00DA254B"/>
    <w:rsid w:val="00DA2A80"/>
    <w:rsid w:val="00DA2C9D"/>
    <w:rsid w:val="00DA2E25"/>
    <w:rsid w:val="00DA3250"/>
    <w:rsid w:val="00DA35EA"/>
    <w:rsid w:val="00DA4216"/>
    <w:rsid w:val="00DA45F7"/>
    <w:rsid w:val="00DA4809"/>
    <w:rsid w:val="00DA4AF7"/>
    <w:rsid w:val="00DA4D99"/>
    <w:rsid w:val="00DA4EDF"/>
    <w:rsid w:val="00DA544B"/>
    <w:rsid w:val="00DA571F"/>
    <w:rsid w:val="00DA58C8"/>
    <w:rsid w:val="00DA596C"/>
    <w:rsid w:val="00DA5A5C"/>
    <w:rsid w:val="00DA5B3D"/>
    <w:rsid w:val="00DA5D65"/>
    <w:rsid w:val="00DA6096"/>
    <w:rsid w:val="00DA6515"/>
    <w:rsid w:val="00DA65B8"/>
    <w:rsid w:val="00DA6787"/>
    <w:rsid w:val="00DA6A0C"/>
    <w:rsid w:val="00DA6A11"/>
    <w:rsid w:val="00DA6A58"/>
    <w:rsid w:val="00DA6D35"/>
    <w:rsid w:val="00DA6E18"/>
    <w:rsid w:val="00DA6FD8"/>
    <w:rsid w:val="00DA7012"/>
    <w:rsid w:val="00DA75B7"/>
    <w:rsid w:val="00DA7D27"/>
    <w:rsid w:val="00DB0462"/>
    <w:rsid w:val="00DB0EA6"/>
    <w:rsid w:val="00DB11CB"/>
    <w:rsid w:val="00DB19C0"/>
    <w:rsid w:val="00DB1A7E"/>
    <w:rsid w:val="00DB1A96"/>
    <w:rsid w:val="00DB1B75"/>
    <w:rsid w:val="00DB1F6E"/>
    <w:rsid w:val="00DB2337"/>
    <w:rsid w:val="00DB251A"/>
    <w:rsid w:val="00DB26AA"/>
    <w:rsid w:val="00DB2AD8"/>
    <w:rsid w:val="00DB2B03"/>
    <w:rsid w:val="00DB2F06"/>
    <w:rsid w:val="00DB314F"/>
    <w:rsid w:val="00DB3268"/>
    <w:rsid w:val="00DB33A0"/>
    <w:rsid w:val="00DB393A"/>
    <w:rsid w:val="00DB3A80"/>
    <w:rsid w:val="00DB3CDC"/>
    <w:rsid w:val="00DB4219"/>
    <w:rsid w:val="00DB4464"/>
    <w:rsid w:val="00DB453E"/>
    <w:rsid w:val="00DB476C"/>
    <w:rsid w:val="00DB479B"/>
    <w:rsid w:val="00DB4DF4"/>
    <w:rsid w:val="00DB4F2B"/>
    <w:rsid w:val="00DB52AB"/>
    <w:rsid w:val="00DB557D"/>
    <w:rsid w:val="00DB5AEF"/>
    <w:rsid w:val="00DB6303"/>
    <w:rsid w:val="00DB6711"/>
    <w:rsid w:val="00DB67F2"/>
    <w:rsid w:val="00DB6B99"/>
    <w:rsid w:val="00DB6BA0"/>
    <w:rsid w:val="00DB6D34"/>
    <w:rsid w:val="00DB7008"/>
    <w:rsid w:val="00DB7263"/>
    <w:rsid w:val="00DB7550"/>
    <w:rsid w:val="00DB7864"/>
    <w:rsid w:val="00DB7867"/>
    <w:rsid w:val="00DB7E0B"/>
    <w:rsid w:val="00DB7EC4"/>
    <w:rsid w:val="00DC00A9"/>
    <w:rsid w:val="00DC023A"/>
    <w:rsid w:val="00DC04D6"/>
    <w:rsid w:val="00DC0695"/>
    <w:rsid w:val="00DC0874"/>
    <w:rsid w:val="00DC097F"/>
    <w:rsid w:val="00DC09C4"/>
    <w:rsid w:val="00DC0E11"/>
    <w:rsid w:val="00DC141A"/>
    <w:rsid w:val="00DC169E"/>
    <w:rsid w:val="00DC1760"/>
    <w:rsid w:val="00DC1A91"/>
    <w:rsid w:val="00DC1CFB"/>
    <w:rsid w:val="00DC1D70"/>
    <w:rsid w:val="00DC1FB7"/>
    <w:rsid w:val="00DC22A4"/>
    <w:rsid w:val="00DC2317"/>
    <w:rsid w:val="00DC237F"/>
    <w:rsid w:val="00DC259C"/>
    <w:rsid w:val="00DC25FF"/>
    <w:rsid w:val="00DC292A"/>
    <w:rsid w:val="00DC2C11"/>
    <w:rsid w:val="00DC30A3"/>
    <w:rsid w:val="00DC33D2"/>
    <w:rsid w:val="00DC33D3"/>
    <w:rsid w:val="00DC3715"/>
    <w:rsid w:val="00DC3A63"/>
    <w:rsid w:val="00DC3FA4"/>
    <w:rsid w:val="00DC42CF"/>
    <w:rsid w:val="00DC4D10"/>
    <w:rsid w:val="00DC5037"/>
    <w:rsid w:val="00DC531E"/>
    <w:rsid w:val="00DC54E6"/>
    <w:rsid w:val="00DC57D4"/>
    <w:rsid w:val="00DC603B"/>
    <w:rsid w:val="00DC6331"/>
    <w:rsid w:val="00DC6379"/>
    <w:rsid w:val="00DC6754"/>
    <w:rsid w:val="00DC6772"/>
    <w:rsid w:val="00DC6BB6"/>
    <w:rsid w:val="00DC6D97"/>
    <w:rsid w:val="00DC6F3C"/>
    <w:rsid w:val="00DC6F5E"/>
    <w:rsid w:val="00DC7003"/>
    <w:rsid w:val="00DC7060"/>
    <w:rsid w:val="00DC7312"/>
    <w:rsid w:val="00DC747D"/>
    <w:rsid w:val="00DC7499"/>
    <w:rsid w:val="00DC765F"/>
    <w:rsid w:val="00DC77FC"/>
    <w:rsid w:val="00DC7801"/>
    <w:rsid w:val="00DC7C3A"/>
    <w:rsid w:val="00DC7EC2"/>
    <w:rsid w:val="00DD05CE"/>
    <w:rsid w:val="00DD08F9"/>
    <w:rsid w:val="00DD0C6B"/>
    <w:rsid w:val="00DD0CA1"/>
    <w:rsid w:val="00DD0CE3"/>
    <w:rsid w:val="00DD0DE8"/>
    <w:rsid w:val="00DD13DE"/>
    <w:rsid w:val="00DD14B5"/>
    <w:rsid w:val="00DD1729"/>
    <w:rsid w:val="00DD1806"/>
    <w:rsid w:val="00DD1911"/>
    <w:rsid w:val="00DD210B"/>
    <w:rsid w:val="00DD2351"/>
    <w:rsid w:val="00DD2C0E"/>
    <w:rsid w:val="00DD2D13"/>
    <w:rsid w:val="00DD2D74"/>
    <w:rsid w:val="00DD3096"/>
    <w:rsid w:val="00DD3557"/>
    <w:rsid w:val="00DD3589"/>
    <w:rsid w:val="00DD3A12"/>
    <w:rsid w:val="00DD3C87"/>
    <w:rsid w:val="00DD3D3B"/>
    <w:rsid w:val="00DD3DC8"/>
    <w:rsid w:val="00DD4133"/>
    <w:rsid w:val="00DD4320"/>
    <w:rsid w:val="00DD44BD"/>
    <w:rsid w:val="00DD4736"/>
    <w:rsid w:val="00DD473B"/>
    <w:rsid w:val="00DD47C8"/>
    <w:rsid w:val="00DD47F2"/>
    <w:rsid w:val="00DD4AE4"/>
    <w:rsid w:val="00DD521C"/>
    <w:rsid w:val="00DD53FB"/>
    <w:rsid w:val="00DD54B5"/>
    <w:rsid w:val="00DD56C3"/>
    <w:rsid w:val="00DD574A"/>
    <w:rsid w:val="00DD5A44"/>
    <w:rsid w:val="00DD5DAD"/>
    <w:rsid w:val="00DD5E0E"/>
    <w:rsid w:val="00DD648B"/>
    <w:rsid w:val="00DD65C4"/>
    <w:rsid w:val="00DD698A"/>
    <w:rsid w:val="00DD6DAC"/>
    <w:rsid w:val="00DD6E53"/>
    <w:rsid w:val="00DD77FE"/>
    <w:rsid w:val="00DD7815"/>
    <w:rsid w:val="00DD7937"/>
    <w:rsid w:val="00DD7A4B"/>
    <w:rsid w:val="00DD7B6A"/>
    <w:rsid w:val="00DE0447"/>
    <w:rsid w:val="00DE0723"/>
    <w:rsid w:val="00DE0A3D"/>
    <w:rsid w:val="00DE0AAF"/>
    <w:rsid w:val="00DE0BA9"/>
    <w:rsid w:val="00DE0CCC"/>
    <w:rsid w:val="00DE14B4"/>
    <w:rsid w:val="00DE1B61"/>
    <w:rsid w:val="00DE1F0B"/>
    <w:rsid w:val="00DE1FA8"/>
    <w:rsid w:val="00DE1FDC"/>
    <w:rsid w:val="00DE213B"/>
    <w:rsid w:val="00DE2B60"/>
    <w:rsid w:val="00DE2CE0"/>
    <w:rsid w:val="00DE30BE"/>
    <w:rsid w:val="00DE324C"/>
    <w:rsid w:val="00DE32CF"/>
    <w:rsid w:val="00DE3487"/>
    <w:rsid w:val="00DE369B"/>
    <w:rsid w:val="00DE37E8"/>
    <w:rsid w:val="00DE38A4"/>
    <w:rsid w:val="00DE3B48"/>
    <w:rsid w:val="00DE3BD6"/>
    <w:rsid w:val="00DE3C9F"/>
    <w:rsid w:val="00DE41F5"/>
    <w:rsid w:val="00DE4562"/>
    <w:rsid w:val="00DE47B1"/>
    <w:rsid w:val="00DE481E"/>
    <w:rsid w:val="00DE4883"/>
    <w:rsid w:val="00DE4A73"/>
    <w:rsid w:val="00DE4CDE"/>
    <w:rsid w:val="00DE4D55"/>
    <w:rsid w:val="00DE4D72"/>
    <w:rsid w:val="00DE4FC6"/>
    <w:rsid w:val="00DE5010"/>
    <w:rsid w:val="00DE52D4"/>
    <w:rsid w:val="00DE5370"/>
    <w:rsid w:val="00DE554B"/>
    <w:rsid w:val="00DE55C4"/>
    <w:rsid w:val="00DE5623"/>
    <w:rsid w:val="00DE5675"/>
    <w:rsid w:val="00DE5C3D"/>
    <w:rsid w:val="00DE5EF8"/>
    <w:rsid w:val="00DE5FB2"/>
    <w:rsid w:val="00DE6616"/>
    <w:rsid w:val="00DE6B41"/>
    <w:rsid w:val="00DE7010"/>
    <w:rsid w:val="00DE7613"/>
    <w:rsid w:val="00DE7671"/>
    <w:rsid w:val="00DE7850"/>
    <w:rsid w:val="00DE7874"/>
    <w:rsid w:val="00DE7930"/>
    <w:rsid w:val="00DE7E0E"/>
    <w:rsid w:val="00DF000D"/>
    <w:rsid w:val="00DF0516"/>
    <w:rsid w:val="00DF07CB"/>
    <w:rsid w:val="00DF082E"/>
    <w:rsid w:val="00DF08CA"/>
    <w:rsid w:val="00DF0976"/>
    <w:rsid w:val="00DF0FC0"/>
    <w:rsid w:val="00DF1621"/>
    <w:rsid w:val="00DF18A3"/>
    <w:rsid w:val="00DF1B48"/>
    <w:rsid w:val="00DF2109"/>
    <w:rsid w:val="00DF27C4"/>
    <w:rsid w:val="00DF2988"/>
    <w:rsid w:val="00DF2B85"/>
    <w:rsid w:val="00DF32C8"/>
    <w:rsid w:val="00DF366A"/>
    <w:rsid w:val="00DF37A3"/>
    <w:rsid w:val="00DF3DA3"/>
    <w:rsid w:val="00DF3DA8"/>
    <w:rsid w:val="00DF423A"/>
    <w:rsid w:val="00DF4265"/>
    <w:rsid w:val="00DF44BA"/>
    <w:rsid w:val="00DF45F5"/>
    <w:rsid w:val="00DF4701"/>
    <w:rsid w:val="00DF4803"/>
    <w:rsid w:val="00DF4B34"/>
    <w:rsid w:val="00DF4D22"/>
    <w:rsid w:val="00DF534D"/>
    <w:rsid w:val="00DF6672"/>
    <w:rsid w:val="00DF66D4"/>
    <w:rsid w:val="00DF68F2"/>
    <w:rsid w:val="00DF6F9A"/>
    <w:rsid w:val="00DF7048"/>
    <w:rsid w:val="00DF7193"/>
    <w:rsid w:val="00DF7323"/>
    <w:rsid w:val="00DF73D0"/>
    <w:rsid w:val="00DF7459"/>
    <w:rsid w:val="00DF7A07"/>
    <w:rsid w:val="00DF7D54"/>
    <w:rsid w:val="00E000C0"/>
    <w:rsid w:val="00E00561"/>
    <w:rsid w:val="00E005B3"/>
    <w:rsid w:val="00E01085"/>
    <w:rsid w:val="00E011CC"/>
    <w:rsid w:val="00E01210"/>
    <w:rsid w:val="00E01296"/>
    <w:rsid w:val="00E01594"/>
    <w:rsid w:val="00E0191C"/>
    <w:rsid w:val="00E01935"/>
    <w:rsid w:val="00E01A48"/>
    <w:rsid w:val="00E01D26"/>
    <w:rsid w:val="00E01D48"/>
    <w:rsid w:val="00E01FF3"/>
    <w:rsid w:val="00E020C2"/>
    <w:rsid w:val="00E02325"/>
    <w:rsid w:val="00E024CE"/>
    <w:rsid w:val="00E027C2"/>
    <w:rsid w:val="00E028B5"/>
    <w:rsid w:val="00E02CE7"/>
    <w:rsid w:val="00E02F63"/>
    <w:rsid w:val="00E0308C"/>
    <w:rsid w:val="00E03210"/>
    <w:rsid w:val="00E0357F"/>
    <w:rsid w:val="00E03AAA"/>
    <w:rsid w:val="00E03D80"/>
    <w:rsid w:val="00E03EED"/>
    <w:rsid w:val="00E049D2"/>
    <w:rsid w:val="00E04E8F"/>
    <w:rsid w:val="00E04F1E"/>
    <w:rsid w:val="00E04F95"/>
    <w:rsid w:val="00E04FB5"/>
    <w:rsid w:val="00E0511B"/>
    <w:rsid w:val="00E05616"/>
    <w:rsid w:val="00E057C3"/>
    <w:rsid w:val="00E0599A"/>
    <w:rsid w:val="00E05E01"/>
    <w:rsid w:val="00E06070"/>
    <w:rsid w:val="00E060C5"/>
    <w:rsid w:val="00E0645C"/>
    <w:rsid w:val="00E0652F"/>
    <w:rsid w:val="00E066EE"/>
    <w:rsid w:val="00E067D2"/>
    <w:rsid w:val="00E0700D"/>
    <w:rsid w:val="00E07122"/>
    <w:rsid w:val="00E101CD"/>
    <w:rsid w:val="00E105C8"/>
    <w:rsid w:val="00E106B3"/>
    <w:rsid w:val="00E1084F"/>
    <w:rsid w:val="00E109D1"/>
    <w:rsid w:val="00E109DA"/>
    <w:rsid w:val="00E10B12"/>
    <w:rsid w:val="00E10C64"/>
    <w:rsid w:val="00E10D5C"/>
    <w:rsid w:val="00E10E7E"/>
    <w:rsid w:val="00E10F4F"/>
    <w:rsid w:val="00E111FD"/>
    <w:rsid w:val="00E11886"/>
    <w:rsid w:val="00E1198D"/>
    <w:rsid w:val="00E119AB"/>
    <w:rsid w:val="00E11C2C"/>
    <w:rsid w:val="00E11F29"/>
    <w:rsid w:val="00E12396"/>
    <w:rsid w:val="00E123A0"/>
    <w:rsid w:val="00E12469"/>
    <w:rsid w:val="00E124F8"/>
    <w:rsid w:val="00E1254E"/>
    <w:rsid w:val="00E1261C"/>
    <w:rsid w:val="00E128B6"/>
    <w:rsid w:val="00E12D11"/>
    <w:rsid w:val="00E12F10"/>
    <w:rsid w:val="00E13801"/>
    <w:rsid w:val="00E13C8F"/>
    <w:rsid w:val="00E13DF5"/>
    <w:rsid w:val="00E13E5A"/>
    <w:rsid w:val="00E1495B"/>
    <w:rsid w:val="00E14DBF"/>
    <w:rsid w:val="00E14E14"/>
    <w:rsid w:val="00E1523F"/>
    <w:rsid w:val="00E15249"/>
    <w:rsid w:val="00E1533F"/>
    <w:rsid w:val="00E15447"/>
    <w:rsid w:val="00E1560E"/>
    <w:rsid w:val="00E15945"/>
    <w:rsid w:val="00E15B52"/>
    <w:rsid w:val="00E15C64"/>
    <w:rsid w:val="00E15E24"/>
    <w:rsid w:val="00E164DD"/>
    <w:rsid w:val="00E16585"/>
    <w:rsid w:val="00E165AD"/>
    <w:rsid w:val="00E16685"/>
    <w:rsid w:val="00E16729"/>
    <w:rsid w:val="00E167BF"/>
    <w:rsid w:val="00E17007"/>
    <w:rsid w:val="00E1710E"/>
    <w:rsid w:val="00E17236"/>
    <w:rsid w:val="00E174CC"/>
    <w:rsid w:val="00E175B5"/>
    <w:rsid w:val="00E177A5"/>
    <w:rsid w:val="00E17907"/>
    <w:rsid w:val="00E203E7"/>
    <w:rsid w:val="00E20630"/>
    <w:rsid w:val="00E20710"/>
    <w:rsid w:val="00E21763"/>
    <w:rsid w:val="00E21975"/>
    <w:rsid w:val="00E21988"/>
    <w:rsid w:val="00E21B75"/>
    <w:rsid w:val="00E21C26"/>
    <w:rsid w:val="00E21CF3"/>
    <w:rsid w:val="00E21F0E"/>
    <w:rsid w:val="00E2229D"/>
    <w:rsid w:val="00E225C1"/>
    <w:rsid w:val="00E226A0"/>
    <w:rsid w:val="00E22790"/>
    <w:rsid w:val="00E22E18"/>
    <w:rsid w:val="00E22E26"/>
    <w:rsid w:val="00E2347A"/>
    <w:rsid w:val="00E237B6"/>
    <w:rsid w:val="00E2383F"/>
    <w:rsid w:val="00E239CE"/>
    <w:rsid w:val="00E23A0D"/>
    <w:rsid w:val="00E23A42"/>
    <w:rsid w:val="00E242F7"/>
    <w:rsid w:val="00E24942"/>
    <w:rsid w:val="00E24D27"/>
    <w:rsid w:val="00E252A0"/>
    <w:rsid w:val="00E25673"/>
    <w:rsid w:val="00E25F86"/>
    <w:rsid w:val="00E25FBC"/>
    <w:rsid w:val="00E25FF3"/>
    <w:rsid w:val="00E26134"/>
    <w:rsid w:val="00E262E4"/>
    <w:rsid w:val="00E26502"/>
    <w:rsid w:val="00E265D2"/>
    <w:rsid w:val="00E26812"/>
    <w:rsid w:val="00E26933"/>
    <w:rsid w:val="00E26A16"/>
    <w:rsid w:val="00E26BA3"/>
    <w:rsid w:val="00E26E80"/>
    <w:rsid w:val="00E27120"/>
    <w:rsid w:val="00E2762C"/>
    <w:rsid w:val="00E27B7A"/>
    <w:rsid w:val="00E27BCF"/>
    <w:rsid w:val="00E27C62"/>
    <w:rsid w:val="00E30005"/>
    <w:rsid w:val="00E30610"/>
    <w:rsid w:val="00E30FB7"/>
    <w:rsid w:val="00E311FB"/>
    <w:rsid w:val="00E31222"/>
    <w:rsid w:val="00E314B0"/>
    <w:rsid w:val="00E3165E"/>
    <w:rsid w:val="00E3166B"/>
    <w:rsid w:val="00E31AEC"/>
    <w:rsid w:val="00E3204D"/>
    <w:rsid w:val="00E3208A"/>
    <w:rsid w:val="00E321F2"/>
    <w:rsid w:val="00E3220D"/>
    <w:rsid w:val="00E326E4"/>
    <w:rsid w:val="00E32B23"/>
    <w:rsid w:val="00E32D8D"/>
    <w:rsid w:val="00E32EC1"/>
    <w:rsid w:val="00E33351"/>
    <w:rsid w:val="00E33520"/>
    <w:rsid w:val="00E335B7"/>
    <w:rsid w:val="00E33690"/>
    <w:rsid w:val="00E33A0E"/>
    <w:rsid w:val="00E33A30"/>
    <w:rsid w:val="00E34158"/>
    <w:rsid w:val="00E34663"/>
    <w:rsid w:val="00E34730"/>
    <w:rsid w:val="00E34AEB"/>
    <w:rsid w:val="00E34D8E"/>
    <w:rsid w:val="00E3503C"/>
    <w:rsid w:val="00E35141"/>
    <w:rsid w:val="00E3523A"/>
    <w:rsid w:val="00E35533"/>
    <w:rsid w:val="00E359C3"/>
    <w:rsid w:val="00E35BD8"/>
    <w:rsid w:val="00E35CAF"/>
    <w:rsid w:val="00E35D52"/>
    <w:rsid w:val="00E35F72"/>
    <w:rsid w:val="00E361A1"/>
    <w:rsid w:val="00E363AF"/>
    <w:rsid w:val="00E369F2"/>
    <w:rsid w:val="00E36A11"/>
    <w:rsid w:val="00E3713B"/>
    <w:rsid w:val="00E373B6"/>
    <w:rsid w:val="00E37618"/>
    <w:rsid w:val="00E37784"/>
    <w:rsid w:val="00E377F1"/>
    <w:rsid w:val="00E378C7"/>
    <w:rsid w:val="00E37C95"/>
    <w:rsid w:val="00E37DE5"/>
    <w:rsid w:val="00E4029A"/>
    <w:rsid w:val="00E40331"/>
    <w:rsid w:val="00E40376"/>
    <w:rsid w:val="00E4079D"/>
    <w:rsid w:val="00E409EC"/>
    <w:rsid w:val="00E40AF4"/>
    <w:rsid w:val="00E40B50"/>
    <w:rsid w:val="00E40C07"/>
    <w:rsid w:val="00E4138A"/>
    <w:rsid w:val="00E416E8"/>
    <w:rsid w:val="00E41F2A"/>
    <w:rsid w:val="00E42371"/>
    <w:rsid w:val="00E427AD"/>
    <w:rsid w:val="00E42B17"/>
    <w:rsid w:val="00E42D6F"/>
    <w:rsid w:val="00E42F7A"/>
    <w:rsid w:val="00E4315F"/>
    <w:rsid w:val="00E4448A"/>
    <w:rsid w:val="00E444A2"/>
    <w:rsid w:val="00E444C2"/>
    <w:rsid w:val="00E446B0"/>
    <w:rsid w:val="00E447C7"/>
    <w:rsid w:val="00E44CD2"/>
    <w:rsid w:val="00E44F6A"/>
    <w:rsid w:val="00E451FF"/>
    <w:rsid w:val="00E45204"/>
    <w:rsid w:val="00E454FF"/>
    <w:rsid w:val="00E4561A"/>
    <w:rsid w:val="00E45929"/>
    <w:rsid w:val="00E45C95"/>
    <w:rsid w:val="00E46099"/>
    <w:rsid w:val="00E4684F"/>
    <w:rsid w:val="00E46D19"/>
    <w:rsid w:val="00E46F09"/>
    <w:rsid w:val="00E47409"/>
    <w:rsid w:val="00E474DB"/>
    <w:rsid w:val="00E47AD7"/>
    <w:rsid w:val="00E47F3A"/>
    <w:rsid w:val="00E50AEB"/>
    <w:rsid w:val="00E50D04"/>
    <w:rsid w:val="00E50DDF"/>
    <w:rsid w:val="00E50EAD"/>
    <w:rsid w:val="00E50FC0"/>
    <w:rsid w:val="00E512ED"/>
    <w:rsid w:val="00E512F7"/>
    <w:rsid w:val="00E51510"/>
    <w:rsid w:val="00E515B0"/>
    <w:rsid w:val="00E515E8"/>
    <w:rsid w:val="00E51689"/>
    <w:rsid w:val="00E5180B"/>
    <w:rsid w:val="00E51BF8"/>
    <w:rsid w:val="00E51DFE"/>
    <w:rsid w:val="00E51EB6"/>
    <w:rsid w:val="00E52019"/>
    <w:rsid w:val="00E53557"/>
    <w:rsid w:val="00E53775"/>
    <w:rsid w:val="00E537BE"/>
    <w:rsid w:val="00E53DB0"/>
    <w:rsid w:val="00E53EBD"/>
    <w:rsid w:val="00E5405D"/>
    <w:rsid w:val="00E540A0"/>
    <w:rsid w:val="00E541FA"/>
    <w:rsid w:val="00E55018"/>
    <w:rsid w:val="00E55229"/>
    <w:rsid w:val="00E554C7"/>
    <w:rsid w:val="00E556AF"/>
    <w:rsid w:val="00E558F1"/>
    <w:rsid w:val="00E5602A"/>
    <w:rsid w:val="00E56061"/>
    <w:rsid w:val="00E56165"/>
    <w:rsid w:val="00E5625A"/>
    <w:rsid w:val="00E56B25"/>
    <w:rsid w:val="00E56C7A"/>
    <w:rsid w:val="00E56CD9"/>
    <w:rsid w:val="00E57183"/>
    <w:rsid w:val="00E572F3"/>
    <w:rsid w:val="00E60228"/>
    <w:rsid w:val="00E60440"/>
    <w:rsid w:val="00E60454"/>
    <w:rsid w:val="00E607CF"/>
    <w:rsid w:val="00E60C9F"/>
    <w:rsid w:val="00E60DDA"/>
    <w:rsid w:val="00E60E55"/>
    <w:rsid w:val="00E60F6E"/>
    <w:rsid w:val="00E61B8E"/>
    <w:rsid w:val="00E61CE2"/>
    <w:rsid w:val="00E620C9"/>
    <w:rsid w:val="00E623F2"/>
    <w:rsid w:val="00E62545"/>
    <w:rsid w:val="00E626F9"/>
    <w:rsid w:val="00E6275A"/>
    <w:rsid w:val="00E6287C"/>
    <w:rsid w:val="00E628C2"/>
    <w:rsid w:val="00E631BA"/>
    <w:rsid w:val="00E6326C"/>
    <w:rsid w:val="00E6335F"/>
    <w:rsid w:val="00E6336C"/>
    <w:rsid w:val="00E63821"/>
    <w:rsid w:val="00E63858"/>
    <w:rsid w:val="00E63E44"/>
    <w:rsid w:val="00E64058"/>
    <w:rsid w:val="00E640CC"/>
    <w:rsid w:val="00E644FF"/>
    <w:rsid w:val="00E6463E"/>
    <w:rsid w:val="00E64D11"/>
    <w:rsid w:val="00E64F4C"/>
    <w:rsid w:val="00E64F50"/>
    <w:rsid w:val="00E64FCA"/>
    <w:rsid w:val="00E651CA"/>
    <w:rsid w:val="00E6539B"/>
    <w:rsid w:val="00E6551C"/>
    <w:rsid w:val="00E65A02"/>
    <w:rsid w:val="00E65A3B"/>
    <w:rsid w:val="00E65AD8"/>
    <w:rsid w:val="00E65C4A"/>
    <w:rsid w:val="00E65D0A"/>
    <w:rsid w:val="00E65D43"/>
    <w:rsid w:val="00E65F62"/>
    <w:rsid w:val="00E6628D"/>
    <w:rsid w:val="00E66B39"/>
    <w:rsid w:val="00E66C6E"/>
    <w:rsid w:val="00E67135"/>
    <w:rsid w:val="00E6752A"/>
    <w:rsid w:val="00E6767C"/>
    <w:rsid w:val="00E677CF"/>
    <w:rsid w:val="00E67881"/>
    <w:rsid w:val="00E67A91"/>
    <w:rsid w:val="00E67B19"/>
    <w:rsid w:val="00E67BE0"/>
    <w:rsid w:val="00E67CDC"/>
    <w:rsid w:val="00E67DCD"/>
    <w:rsid w:val="00E67ED6"/>
    <w:rsid w:val="00E702D2"/>
    <w:rsid w:val="00E7036E"/>
    <w:rsid w:val="00E7072B"/>
    <w:rsid w:val="00E70A0A"/>
    <w:rsid w:val="00E71500"/>
    <w:rsid w:val="00E7154F"/>
    <w:rsid w:val="00E715B7"/>
    <w:rsid w:val="00E71A0B"/>
    <w:rsid w:val="00E71A52"/>
    <w:rsid w:val="00E72021"/>
    <w:rsid w:val="00E720EC"/>
    <w:rsid w:val="00E7293F"/>
    <w:rsid w:val="00E73293"/>
    <w:rsid w:val="00E734FA"/>
    <w:rsid w:val="00E73762"/>
    <w:rsid w:val="00E739A2"/>
    <w:rsid w:val="00E73B76"/>
    <w:rsid w:val="00E73BD8"/>
    <w:rsid w:val="00E73D65"/>
    <w:rsid w:val="00E748CE"/>
    <w:rsid w:val="00E74928"/>
    <w:rsid w:val="00E74A5C"/>
    <w:rsid w:val="00E74B90"/>
    <w:rsid w:val="00E74BDE"/>
    <w:rsid w:val="00E74D8E"/>
    <w:rsid w:val="00E74EFF"/>
    <w:rsid w:val="00E7517D"/>
    <w:rsid w:val="00E754F9"/>
    <w:rsid w:val="00E7554B"/>
    <w:rsid w:val="00E75619"/>
    <w:rsid w:val="00E75A7A"/>
    <w:rsid w:val="00E75B9B"/>
    <w:rsid w:val="00E75E84"/>
    <w:rsid w:val="00E76165"/>
    <w:rsid w:val="00E7637E"/>
    <w:rsid w:val="00E764B8"/>
    <w:rsid w:val="00E76959"/>
    <w:rsid w:val="00E76B1C"/>
    <w:rsid w:val="00E76C8B"/>
    <w:rsid w:val="00E76D6E"/>
    <w:rsid w:val="00E76E07"/>
    <w:rsid w:val="00E76F61"/>
    <w:rsid w:val="00E76FDF"/>
    <w:rsid w:val="00E774DF"/>
    <w:rsid w:val="00E77BD9"/>
    <w:rsid w:val="00E77D82"/>
    <w:rsid w:val="00E80ACD"/>
    <w:rsid w:val="00E80B23"/>
    <w:rsid w:val="00E80BBE"/>
    <w:rsid w:val="00E80E4D"/>
    <w:rsid w:val="00E80F7C"/>
    <w:rsid w:val="00E8131F"/>
    <w:rsid w:val="00E814CF"/>
    <w:rsid w:val="00E817D7"/>
    <w:rsid w:val="00E81F1B"/>
    <w:rsid w:val="00E82010"/>
    <w:rsid w:val="00E82130"/>
    <w:rsid w:val="00E8216E"/>
    <w:rsid w:val="00E82399"/>
    <w:rsid w:val="00E829A1"/>
    <w:rsid w:val="00E83090"/>
    <w:rsid w:val="00E8318F"/>
    <w:rsid w:val="00E831DF"/>
    <w:rsid w:val="00E83554"/>
    <w:rsid w:val="00E83560"/>
    <w:rsid w:val="00E83657"/>
    <w:rsid w:val="00E8376F"/>
    <w:rsid w:val="00E84164"/>
    <w:rsid w:val="00E844EB"/>
    <w:rsid w:val="00E84A78"/>
    <w:rsid w:val="00E84C46"/>
    <w:rsid w:val="00E84FFF"/>
    <w:rsid w:val="00E8575F"/>
    <w:rsid w:val="00E85BAD"/>
    <w:rsid w:val="00E85C79"/>
    <w:rsid w:val="00E86023"/>
    <w:rsid w:val="00E860F6"/>
    <w:rsid w:val="00E86523"/>
    <w:rsid w:val="00E867AC"/>
    <w:rsid w:val="00E871DA"/>
    <w:rsid w:val="00E877F4"/>
    <w:rsid w:val="00E87A1B"/>
    <w:rsid w:val="00E87B4F"/>
    <w:rsid w:val="00E87B5F"/>
    <w:rsid w:val="00E87BA0"/>
    <w:rsid w:val="00E87CF9"/>
    <w:rsid w:val="00E90053"/>
    <w:rsid w:val="00E901C4"/>
    <w:rsid w:val="00E90945"/>
    <w:rsid w:val="00E90973"/>
    <w:rsid w:val="00E90B03"/>
    <w:rsid w:val="00E90D60"/>
    <w:rsid w:val="00E90DDA"/>
    <w:rsid w:val="00E90F91"/>
    <w:rsid w:val="00E91033"/>
    <w:rsid w:val="00E912A6"/>
    <w:rsid w:val="00E91AF1"/>
    <w:rsid w:val="00E91FC0"/>
    <w:rsid w:val="00E9297F"/>
    <w:rsid w:val="00E9335C"/>
    <w:rsid w:val="00E93433"/>
    <w:rsid w:val="00E93D35"/>
    <w:rsid w:val="00E93EB7"/>
    <w:rsid w:val="00E9466B"/>
    <w:rsid w:val="00E9470D"/>
    <w:rsid w:val="00E947F8"/>
    <w:rsid w:val="00E949D0"/>
    <w:rsid w:val="00E94A70"/>
    <w:rsid w:val="00E94B43"/>
    <w:rsid w:val="00E9519F"/>
    <w:rsid w:val="00E953E0"/>
    <w:rsid w:val="00E953F2"/>
    <w:rsid w:val="00E9562A"/>
    <w:rsid w:val="00E95ABD"/>
    <w:rsid w:val="00E95C3B"/>
    <w:rsid w:val="00E95F05"/>
    <w:rsid w:val="00E95F88"/>
    <w:rsid w:val="00E95FB4"/>
    <w:rsid w:val="00E960E4"/>
    <w:rsid w:val="00E9646F"/>
    <w:rsid w:val="00E964AA"/>
    <w:rsid w:val="00E96938"/>
    <w:rsid w:val="00E96B17"/>
    <w:rsid w:val="00E9749D"/>
    <w:rsid w:val="00E97CC2"/>
    <w:rsid w:val="00E97E83"/>
    <w:rsid w:val="00EA054E"/>
    <w:rsid w:val="00EA077E"/>
    <w:rsid w:val="00EA08B7"/>
    <w:rsid w:val="00EA0E14"/>
    <w:rsid w:val="00EA0E84"/>
    <w:rsid w:val="00EA1D0C"/>
    <w:rsid w:val="00EA213B"/>
    <w:rsid w:val="00EA22EC"/>
    <w:rsid w:val="00EA266A"/>
    <w:rsid w:val="00EA2C9B"/>
    <w:rsid w:val="00EA2D74"/>
    <w:rsid w:val="00EA3077"/>
    <w:rsid w:val="00EA30EE"/>
    <w:rsid w:val="00EA3174"/>
    <w:rsid w:val="00EA365F"/>
    <w:rsid w:val="00EA3AF1"/>
    <w:rsid w:val="00EA3DBD"/>
    <w:rsid w:val="00EA4155"/>
    <w:rsid w:val="00EA4672"/>
    <w:rsid w:val="00EA4693"/>
    <w:rsid w:val="00EA476A"/>
    <w:rsid w:val="00EA4961"/>
    <w:rsid w:val="00EA4A98"/>
    <w:rsid w:val="00EA4BF0"/>
    <w:rsid w:val="00EA543C"/>
    <w:rsid w:val="00EA547A"/>
    <w:rsid w:val="00EA57AE"/>
    <w:rsid w:val="00EA5868"/>
    <w:rsid w:val="00EA66A7"/>
    <w:rsid w:val="00EA6B30"/>
    <w:rsid w:val="00EA6DBA"/>
    <w:rsid w:val="00EA70B2"/>
    <w:rsid w:val="00EA720F"/>
    <w:rsid w:val="00EA74A9"/>
    <w:rsid w:val="00EA7BE4"/>
    <w:rsid w:val="00EA7C77"/>
    <w:rsid w:val="00EA7D2D"/>
    <w:rsid w:val="00EA7E5D"/>
    <w:rsid w:val="00EA7EFF"/>
    <w:rsid w:val="00EB0122"/>
    <w:rsid w:val="00EB046B"/>
    <w:rsid w:val="00EB060F"/>
    <w:rsid w:val="00EB096B"/>
    <w:rsid w:val="00EB0B0B"/>
    <w:rsid w:val="00EB12CE"/>
    <w:rsid w:val="00EB17A3"/>
    <w:rsid w:val="00EB1AC4"/>
    <w:rsid w:val="00EB1F32"/>
    <w:rsid w:val="00EB1FB4"/>
    <w:rsid w:val="00EB2A8F"/>
    <w:rsid w:val="00EB2ADF"/>
    <w:rsid w:val="00EB2B83"/>
    <w:rsid w:val="00EB2E1C"/>
    <w:rsid w:val="00EB2EA9"/>
    <w:rsid w:val="00EB2ED2"/>
    <w:rsid w:val="00EB2F4B"/>
    <w:rsid w:val="00EB3103"/>
    <w:rsid w:val="00EB3CCC"/>
    <w:rsid w:val="00EB4363"/>
    <w:rsid w:val="00EB4802"/>
    <w:rsid w:val="00EB4AE0"/>
    <w:rsid w:val="00EB4B44"/>
    <w:rsid w:val="00EB4C67"/>
    <w:rsid w:val="00EB4DA2"/>
    <w:rsid w:val="00EB4E5A"/>
    <w:rsid w:val="00EB5082"/>
    <w:rsid w:val="00EB532D"/>
    <w:rsid w:val="00EB53BF"/>
    <w:rsid w:val="00EB55CE"/>
    <w:rsid w:val="00EB598A"/>
    <w:rsid w:val="00EB5CD6"/>
    <w:rsid w:val="00EB5DE2"/>
    <w:rsid w:val="00EB6002"/>
    <w:rsid w:val="00EB606B"/>
    <w:rsid w:val="00EB6ACA"/>
    <w:rsid w:val="00EB6FB7"/>
    <w:rsid w:val="00EB7338"/>
    <w:rsid w:val="00EB7454"/>
    <w:rsid w:val="00EB7494"/>
    <w:rsid w:val="00EB7521"/>
    <w:rsid w:val="00EB75B0"/>
    <w:rsid w:val="00EB7666"/>
    <w:rsid w:val="00EC0066"/>
    <w:rsid w:val="00EC0266"/>
    <w:rsid w:val="00EC0781"/>
    <w:rsid w:val="00EC09C8"/>
    <w:rsid w:val="00EC0B1E"/>
    <w:rsid w:val="00EC0B61"/>
    <w:rsid w:val="00EC0CCD"/>
    <w:rsid w:val="00EC0F93"/>
    <w:rsid w:val="00EC0F99"/>
    <w:rsid w:val="00EC129E"/>
    <w:rsid w:val="00EC1A8E"/>
    <w:rsid w:val="00EC2682"/>
    <w:rsid w:val="00EC2684"/>
    <w:rsid w:val="00EC28C5"/>
    <w:rsid w:val="00EC2995"/>
    <w:rsid w:val="00EC2BF0"/>
    <w:rsid w:val="00EC2C95"/>
    <w:rsid w:val="00EC31BE"/>
    <w:rsid w:val="00EC34EF"/>
    <w:rsid w:val="00EC35CC"/>
    <w:rsid w:val="00EC35EA"/>
    <w:rsid w:val="00EC4100"/>
    <w:rsid w:val="00EC434F"/>
    <w:rsid w:val="00EC4527"/>
    <w:rsid w:val="00EC4928"/>
    <w:rsid w:val="00EC4ABF"/>
    <w:rsid w:val="00EC4AC6"/>
    <w:rsid w:val="00EC4C77"/>
    <w:rsid w:val="00EC4EF1"/>
    <w:rsid w:val="00EC5282"/>
    <w:rsid w:val="00EC5C51"/>
    <w:rsid w:val="00EC5D2F"/>
    <w:rsid w:val="00EC6558"/>
    <w:rsid w:val="00EC6609"/>
    <w:rsid w:val="00EC6AA7"/>
    <w:rsid w:val="00EC6B15"/>
    <w:rsid w:val="00EC6C5F"/>
    <w:rsid w:val="00EC6C7A"/>
    <w:rsid w:val="00EC6E58"/>
    <w:rsid w:val="00EC6E76"/>
    <w:rsid w:val="00EC7043"/>
    <w:rsid w:val="00EC70BE"/>
    <w:rsid w:val="00EC73CD"/>
    <w:rsid w:val="00EC75BA"/>
    <w:rsid w:val="00EC76B8"/>
    <w:rsid w:val="00EC7716"/>
    <w:rsid w:val="00EC7748"/>
    <w:rsid w:val="00EC792B"/>
    <w:rsid w:val="00EC796E"/>
    <w:rsid w:val="00EC7AC5"/>
    <w:rsid w:val="00EC7CE0"/>
    <w:rsid w:val="00EC7DB2"/>
    <w:rsid w:val="00EC7FC6"/>
    <w:rsid w:val="00ED0013"/>
    <w:rsid w:val="00ED05AD"/>
    <w:rsid w:val="00ED079A"/>
    <w:rsid w:val="00ED0E23"/>
    <w:rsid w:val="00ED0FB6"/>
    <w:rsid w:val="00ED1007"/>
    <w:rsid w:val="00ED12A8"/>
    <w:rsid w:val="00ED1491"/>
    <w:rsid w:val="00ED14B7"/>
    <w:rsid w:val="00ED162E"/>
    <w:rsid w:val="00ED18B9"/>
    <w:rsid w:val="00ED19F9"/>
    <w:rsid w:val="00ED2382"/>
    <w:rsid w:val="00ED27C6"/>
    <w:rsid w:val="00ED2C7E"/>
    <w:rsid w:val="00ED32BB"/>
    <w:rsid w:val="00ED34B8"/>
    <w:rsid w:val="00ED3652"/>
    <w:rsid w:val="00ED37E5"/>
    <w:rsid w:val="00ED3B00"/>
    <w:rsid w:val="00ED3BBD"/>
    <w:rsid w:val="00ED456B"/>
    <w:rsid w:val="00ED48E7"/>
    <w:rsid w:val="00ED4A97"/>
    <w:rsid w:val="00ED4D04"/>
    <w:rsid w:val="00ED4F37"/>
    <w:rsid w:val="00ED5209"/>
    <w:rsid w:val="00ED57D9"/>
    <w:rsid w:val="00ED60C2"/>
    <w:rsid w:val="00ED61F8"/>
    <w:rsid w:val="00ED623C"/>
    <w:rsid w:val="00ED6276"/>
    <w:rsid w:val="00ED62B2"/>
    <w:rsid w:val="00ED65D9"/>
    <w:rsid w:val="00ED6929"/>
    <w:rsid w:val="00ED6B6E"/>
    <w:rsid w:val="00ED6D93"/>
    <w:rsid w:val="00ED731F"/>
    <w:rsid w:val="00ED73DB"/>
    <w:rsid w:val="00ED7441"/>
    <w:rsid w:val="00ED746D"/>
    <w:rsid w:val="00ED78ED"/>
    <w:rsid w:val="00ED7917"/>
    <w:rsid w:val="00ED7BD9"/>
    <w:rsid w:val="00EE0327"/>
    <w:rsid w:val="00EE07FA"/>
    <w:rsid w:val="00EE0E35"/>
    <w:rsid w:val="00EE116E"/>
    <w:rsid w:val="00EE11E7"/>
    <w:rsid w:val="00EE1BCD"/>
    <w:rsid w:val="00EE22C4"/>
    <w:rsid w:val="00EE28D7"/>
    <w:rsid w:val="00EE2978"/>
    <w:rsid w:val="00EE2ABC"/>
    <w:rsid w:val="00EE2AC8"/>
    <w:rsid w:val="00EE2B52"/>
    <w:rsid w:val="00EE3DCE"/>
    <w:rsid w:val="00EE4487"/>
    <w:rsid w:val="00EE44B3"/>
    <w:rsid w:val="00EE510D"/>
    <w:rsid w:val="00EE528F"/>
    <w:rsid w:val="00EE53FA"/>
    <w:rsid w:val="00EE5472"/>
    <w:rsid w:val="00EE56A5"/>
    <w:rsid w:val="00EE56D2"/>
    <w:rsid w:val="00EE572E"/>
    <w:rsid w:val="00EE585C"/>
    <w:rsid w:val="00EE5866"/>
    <w:rsid w:val="00EE5B33"/>
    <w:rsid w:val="00EE5B63"/>
    <w:rsid w:val="00EE5D9C"/>
    <w:rsid w:val="00EE5F23"/>
    <w:rsid w:val="00EE6111"/>
    <w:rsid w:val="00EE615B"/>
    <w:rsid w:val="00EE6492"/>
    <w:rsid w:val="00EE66C2"/>
    <w:rsid w:val="00EE69C1"/>
    <w:rsid w:val="00EE780E"/>
    <w:rsid w:val="00EF0213"/>
    <w:rsid w:val="00EF0953"/>
    <w:rsid w:val="00EF0988"/>
    <w:rsid w:val="00EF0D9B"/>
    <w:rsid w:val="00EF12B2"/>
    <w:rsid w:val="00EF13BC"/>
    <w:rsid w:val="00EF14D3"/>
    <w:rsid w:val="00EF1520"/>
    <w:rsid w:val="00EF1829"/>
    <w:rsid w:val="00EF1922"/>
    <w:rsid w:val="00EF1A7F"/>
    <w:rsid w:val="00EF1FCA"/>
    <w:rsid w:val="00EF21FA"/>
    <w:rsid w:val="00EF30E0"/>
    <w:rsid w:val="00EF3249"/>
    <w:rsid w:val="00EF35AC"/>
    <w:rsid w:val="00EF35E0"/>
    <w:rsid w:val="00EF3790"/>
    <w:rsid w:val="00EF38EE"/>
    <w:rsid w:val="00EF3A15"/>
    <w:rsid w:val="00EF3A5C"/>
    <w:rsid w:val="00EF3DF5"/>
    <w:rsid w:val="00EF4292"/>
    <w:rsid w:val="00EF43DB"/>
    <w:rsid w:val="00EF451E"/>
    <w:rsid w:val="00EF472C"/>
    <w:rsid w:val="00EF501E"/>
    <w:rsid w:val="00EF551D"/>
    <w:rsid w:val="00EF56E6"/>
    <w:rsid w:val="00EF5745"/>
    <w:rsid w:val="00EF58ED"/>
    <w:rsid w:val="00EF5B50"/>
    <w:rsid w:val="00EF5D85"/>
    <w:rsid w:val="00EF60D0"/>
    <w:rsid w:val="00EF6527"/>
    <w:rsid w:val="00EF6A12"/>
    <w:rsid w:val="00EF6C41"/>
    <w:rsid w:val="00EF7362"/>
    <w:rsid w:val="00EF7590"/>
    <w:rsid w:val="00EF760A"/>
    <w:rsid w:val="00EF7A48"/>
    <w:rsid w:val="00F00007"/>
    <w:rsid w:val="00F007F2"/>
    <w:rsid w:val="00F00893"/>
    <w:rsid w:val="00F008FD"/>
    <w:rsid w:val="00F00C68"/>
    <w:rsid w:val="00F010B9"/>
    <w:rsid w:val="00F0156E"/>
    <w:rsid w:val="00F017C9"/>
    <w:rsid w:val="00F0189E"/>
    <w:rsid w:val="00F01929"/>
    <w:rsid w:val="00F01D89"/>
    <w:rsid w:val="00F0208E"/>
    <w:rsid w:val="00F02516"/>
    <w:rsid w:val="00F0262E"/>
    <w:rsid w:val="00F02697"/>
    <w:rsid w:val="00F02A95"/>
    <w:rsid w:val="00F02C0A"/>
    <w:rsid w:val="00F02E46"/>
    <w:rsid w:val="00F02E92"/>
    <w:rsid w:val="00F034DC"/>
    <w:rsid w:val="00F0361D"/>
    <w:rsid w:val="00F03707"/>
    <w:rsid w:val="00F03AB6"/>
    <w:rsid w:val="00F03DE2"/>
    <w:rsid w:val="00F03E73"/>
    <w:rsid w:val="00F04854"/>
    <w:rsid w:val="00F04C05"/>
    <w:rsid w:val="00F05CE4"/>
    <w:rsid w:val="00F06090"/>
    <w:rsid w:val="00F061D2"/>
    <w:rsid w:val="00F0634B"/>
    <w:rsid w:val="00F0644B"/>
    <w:rsid w:val="00F064AD"/>
    <w:rsid w:val="00F065FA"/>
    <w:rsid w:val="00F0660F"/>
    <w:rsid w:val="00F06643"/>
    <w:rsid w:val="00F0672F"/>
    <w:rsid w:val="00F068F1"/>
    <w:rsid w:val="00F071D7"/>
    <w:rsid w:val="00F072FC"/>
    <w:rsid w:val="00F07983"/>
    <w:rsid w:val="00F07B32"/>
    <w:rsid w:val="00F07C70"/>
    <w:rsid w:val="00F07EAF"/>
    <w:rsid w:val="00F102AB"/>
    <w:rsid w:val="00F10BAA"/>
    <w:rsid w:val="00F10E6C"/>
    <w:rsid w:val="00F110F9"/>
    <w:rsid w:val="00F1140E"/>
    <w:rsid w:val="00F11427"/>
    <w:rsid w:val="00F11894"/>
    <w:rsid w:val="00F11B49"/>
    <w:rsid w:val="00F11DC8"/>
    <w:rsid w:val="00F11E00"/>
    <w:rsid w:val="00F11E75"/>
    <w:rsid w:val="00F11E89"/>
    <w:rsid w:val="00F12457"/>
    <w:rsid w:val="00F125F7"/>
    <w:rsid w:val="00F127C6"/>
    <w:rsid w:val="00F12818"/>
    <w:rsid w:val="00F12C6D"/>
    <w:rsid w:val="00F130B2"/>
    <w:rsid w:val="00F13845"/>
    <w:rsid w:val="00F1386A"/>
    <w:rsid w:val="00F13BED"/>
    <w:rsid w:val="00F13EBF"/>
    <w:rsid w:val="00F14397"/>
    <w:rsid w:val="00F14ADD"/>
    <w:rsid w:val="00F14F0F"/>
    <w:rsid w:val="00F1510B"/>
    <w:rsid w:val="00F1549E"/>
    <w:rsid w:val="00F15565"/>
    <w:rsid w:val="00F157A3"/>
    <w:rsid w:val="00F157D7"/>
    <w:rsid w:val="00F15A83"/>
    <w:rsid w:val="00F15F22"/>
    <w:rsid w:val="00F16548"/>
    <w:rsid w:val="00F1691F"/>
    <w:rsid w:val="00F16AA3"/>
    <w:rsid w:val="00F16B03"/>
    <w:rsid w:val="00F16BE5"/>
    <w:rsid w:val="00F16E45"/>
    <w:rsid w:val="00F17153"/>
    <w:rsid w:val="00F1726F"/>
    <w:rsid w:val="00F17399"/>
    <w:rsid w:val="00F17743"/>
    <w:rsid w:val="00F17799"/>
    <w:rsid w:val="00F17B77"/>
    <w:rsid w:val="00F17CA1"/>
    <w:rsid w:val="00F20082"/>
    <w:rsid w:val="00F2026A"/>
    <w:rsid w:val="00F202CE"/>
    <w:rsid w:val="00F20654"/>
    <w:rsid w:val="00F207D1"/>
    <w:rsid w:val="00F20B1A"/>
    <w:rsid w:val="00F20B74"/>
    <w:rsid w:val="00F212A6"/>
    <w:rsid w:val="00F21C9C"/>
    <w:rsid w:val="00F22711"/>
    <w:rsid w:val="00F2273F"/>
    <w:rsid w:val="00F228FA"/>
    <w:rsid w:val="00F22948"/>
    <w:rsid w:val="00F22BE4"/>
    <w:rsid w:val="00F230E9"/>
    <w:rsid w:val="00F2315A"/>
    <w:rsid w:val="00F2363F"/>
    <w:rsid w:val="00F23E06"/>
    <w:rsid w:val="00F2423E"/>
    <w:rsid w:val="00F243C6"/>
    <w:rsid w:val="00F247E9"/>
    <w:rsid w:val="00F25493"/>
    <w:rsid w:val="00F256F0"/>
    <w:rsid w:val="00F258AC"/>
    <w:rsid w:val="00F2598E"/>
    <w:rsid w:val="00F259B9"/>
    <w:rsid w:val="00F26053"/>
    <w:rsid w:val="00F26094"/>
    <w:rsid w:val="00F2618B"/>
    <w:rsid w:val="00F26223"/>
    <w:rsid w:val="00F26318"/>
    <w:rsid w:val="00F26507"/>
    <w:rsid w:val="00F2721A"/>
    <w:rsid w:val="00F27282"/>
    <w:rsid w:val="00F2740A"/>
    <w:rsid w:val="00F2746B"/>
    <w:rsid w:val="00F27F4C"/>
    <w:rsid w:val="00F27FF2"/>
    <w:rsid w:val="00F302C2"/>
    <w:rsid w:val="00F303AE"/>
    <w:rsid w:val="00F30643"/>
    <w:rsid w:val="00F30A63"/>
    <w:rsid w:val="00F30C75"/>
    <w:rsid w:val="00F312C8"/>
    <w:rsid w:val="00F314CD"/>
    <w:rsid w:val="00F31A0A"/>
    <w:rsid w:val="00F32330"/>
    <w:rsid w:val="00F32347"/>
    <w:rsid w:val="00F326A1"/>
    <w:rsid w:val="00F32836"/>
    <w:rsid w:val="00F32AB8"/>
    <w:rsid w:val="00F3305C"/>
    <w:rsid w:val="00F334A6"/>
    <w:rsid w:val="00F33723"/>
    <w:rsid w:val="00F33CF1"/>
    <w:rsid w:val="00F34129"/>
    <w:rsid w:val="00F3448C"/>
    <w:rsid w:val="00F3470D"/>
    <w:rsid w:val="00F3475A"/>
    <w:rsid w:val="00F349FE"/>
    <w:rsid w:val="00F34C57"/>
    <w:rsid w:val="00F34E76"/>
    <w:rsid w:val="00F35057"/>
    <w:rsid w:val="00F3506B"/>
    <w:rsid w:val="00F35259"/>
    <w:rsid w:val="00F352BD"/>
    <w:rsid w:val="00F357B3"/>
    <w:rsid w:val="00F3640B"/>
    <w:rsid w:val="00F36419"/>
    <w:rsid w:val="00F36480"/>
    <w:rsid w:val="00F367C1"/>
    <w:rsid w:val="00F37ABF"/>
    <w:rsid w:val="00F401B0"/>
    <w:rsid w:val="00F40383"/>
    <w:rsid w:val="00F40388"/>
    <w:rsid w:val="00F40792"/>
    <w:rsid w:val="00F407D5"/>
    <w:rsid w:val="00F40C2E"/>
    <w:rsid w:val="00F412A6"/>
    <w:rsid w:val="00F413F2"/>
    <w:rsid w:val="00F41794"/>
    <w:rsid w:val="00F4277C"/>
    <w:rsid w:val="00F42AE4"/>
    <w:rsid w:val="00F42B8D"/>
    <w:rsid w:val="00F42BB4"/>
    <w:rsid w:val="00F42D4A"/>
    <w:rsid w:val="00F42DD2"/>
    <w:rsid w:val="00F432C9"/>
    <w:rsid w:val="00F43334"/>
    <w:rsid w:val="00F4336A"/>
    <w:rsid w:val="00F433C1"/>
    <w:rsid w:val="00F439CE"/>
    <w:rsid w:val="00F43C34"/>
    <w:rsid w:val="00F43EDF"/>
    <w:rsid w:val="00F44026"/>
    <w:rsid w:val="00F442FC"/>
    <w:rsid w:val="00F44725"/>
    <w:rsid w:val="00F448E1"/>
    <w:rsid w:val="00F449F1"/>
    <w:rsid w:val="00F44EEE"/>
    <w:rsid w:val="00F45182"/>
    <w:rsid w:val="00F45532"/>
    <w:rsid w:val="00F45AE0"/>
    <w:rsid w:val="00F45C12"/>
    <w:rsid w:val="00F45DCA"/>
    <w:rsid w:val="00F4659F"/>
    <w:rsid w:val="00F46733"/>
    <w:rsid w:val="00F467D8"/>
    <w:rsid w:val="00F469C8"/>
    <w:rsid w:val="00F46A0A"/>
    <w:rsid w:val="00F47096"/>
    <w:rsid w:val="00F472D2"/>
    <w:rsid w:val="00F47521"/>
    <w:rsid w:val="00F47DF1"/>
    <w:rsid w:val="00F50404"/>
    <w:rsid w:val="00F50589"/>
    <w:rsid w:val="00F5070A"/>
    <w:rsid w:val="00F50BB1"/>
    <w:rsid w:val="00F50CE1"/>
    <w:rsid w:val="00F51000"/>
    <w:rsid w:val="00F518BD"/>
    <w:rsid w:val="00F51A36"/>
    <w:rsid w:val="00F5222D"/>
    <w:rsid w:val="00F5227F"/>
    <w:rsid w:val="00F52313"/>
    <w:rsid w:val="00F52607"/>
    <w:rsid w:val="00F5281F"/>
    <w:rsid w:val="00F52BA8"/>
    <w:rsid w:val="00F52D15"/>
    <w:rsid w:val="00F52FC1"/>
    <w:rsid w:val="00F530AB"/>
    <w:rsid w:val="00F533B4"/>
    <w:rsid w:val="00F537B0"/>
    <w:rsid w:val="00F53873"/>
    <w:rsid w:val="00F54078"/>
    <w:rsid w:val="00F54164"/>
    <w:rsid w:val="00F541B7"/>
    <w:rsid w:val="00F543C2"/>
    <w:rsid w:val="00F54410"/>
    <w:rsid w:val="00F5490D"/>
    <w:rsid w:val="00F54CC3"/>
    <w:rsid w:val="00F54CEA"/>
    <w:rsid w:val="00F54F82"/>
    <w:rsid w:val="00F55096"/>
    <w:rsid w:val="00F55270"/>
    <w:rsid w:val="00F552EC"/>
    <w:rsid w:val="00F554F5"/>
    <w:rsid w:val="00F55C26"/>
    <w:rsid w:val="00F55E3C"/>
    <w:rsid w:val="00F55E97"/>
    <w:rsid w:val="00F55F35"/>
    <w:rsid w:val="00F56307"/>
    <w:rsid w:val="00F56426"/>
    <w:rsid w:val="00F56812"/>
    <w:rsid w:val="00F56A71"/>
    <w:rsid w:val="00F56BAE"/>
    <w:rsid w:val="00F5762B"/>
    <w:rsid w:val="00F57F0B"/>
    <w:rsid w:val="00F601E1"/>
    <w:rsid w:val="00F607FA"/>
    <w:rsid w:val="00F60807"/>
    <w:rsid w:val="00F60989"/>
    <w:rsid w:val="00F60B1C"/>
    <w:rsid w:val="00F60CDA"/>
    <w:rsid w:val="00F60EC1"/>
    <w:rsid w:val="00F60FC8"/>
    <w:rsid w:val="00F610CB"/>
    <w:rsid w:val="00F619B0"/>
    <w:rsid w:val="00F62052"/>
    <w:rsid w:val="00F62102"/>
    <w:rsid w:val="00F625EE"/>
    <w:rsid w:val="00F627C7"/>
    <w:rsid w:val="00F62985"/>
    <w:rsid w:val="00F62A1D"/>
    <w:rsid w:val="00F62C86"/>
    <w:rsid w:val="00F630A3"/>
    <w:rsid w:val="00F634BE"/>
    <w:rsid w:val="00F6362E"/>
    <w:rsid w:val="00F63864"/>
    <w:rsid w:val="00F63BCF"/>
    <w:rsid w:val="00F63F9A"/>
    <w:rsid w:val="00F651C4"/>
    <w:rsid w:val="00F651E3"/>
    <w:rsid w:val="00F655CE"/>
    <w:rsid w:val="00F65A0E"/>
    <w:rsid w:val="00F65B2F"/>
    <w:rsid w:val="00F65DCB"/>
    <w:rsid w:val="00F65F33"/>
    <w:rsid w:val="00F66047"/>
    <w:rsid w:val="00F66161"/>
    <w:rsid w:val="00F66233"/>
    <w:rsid w:val="00F6636C"/>
    <w:rsid w:val="00F663A7"/>
    <w:rsid w:val="00F6670E"/>
    <w:rsid w:val="00F66D2E"/>
    <w:rsid w:val="00F66D3C"/>
    <w:rsid w:val="00F670E4"/>
    <w:rsid w:val="00F677DB"/>
    <w:rsid w:val="00F67BDE"/>
    <w:rsid w:val="00F67D6E"/>
    <w:rsid w:val="00F67DBC"/>
    <w:rsid w:val="00F67EFE"/>
    <w:rsid w:val="00F70152"/>
    <w:rsid w:val="00F7015C"/>
    <w:rsid w:val="00F70204"/>
    <w:rsid w:val="00F702AA"/>
    <w:rsid w:val="00F703FA"/>
    <w:rsid w:val="00F70650"/>
    <w:rsid w:val="00F706F5"/>
    <w:rsid w:val="00F70B11"/>
    <w:rsid w:val="00F70D4A"/>
    <w:rsid w:val="00F71365"/>
    <w:rsid w:val="00F713CA"/>
    <w:rsid w:val="00F714CC"/>
    <w:rsid w:val="00F719E3"/>
    <w:rsid w:val="00F71E3E"/>
    <w:rsid w:val="00F71EC0"/>
    <w:rsid w:val="00F720C2"/>
    <w:rsid w:val="00F725CD"/>
    <w:rsid w:val="00F726A3"/>
    <w:rsid w:val="00F72A33"/>
    <w:rsid w:val="00F72D93"/>
    <w:rsid w:val="00F72E31"/>
    <w:rsid w:val="00F72E90"/>
    <w:rsid w:val="00F72F12"/>
    <w:rsid w:val="00F72FB4"/>
    <w:rsid w:val="00F735C6"/>
    <w:rsid w:val="00F73672"/>
    <w:rsid w:val="00F738B7"/>
    <w:rsid w:val="00F73A85"/>
    <w:rsid w:val="00F742F9"/>
    <w:rsid w:val="00F74735"/>
    <w:rsid w:val="00F749CA"/>
    <w:rsid w:val="00F74E19"/>
    <w:rsid w:val="00F74E6B"/>
    <w:rsid w:val="00F75062"/>
    <w:rsid w:val="00F75113"/>
    <w:rsid w:val="00F7526D"/>
    <w:rsid w:val="00F753FB"/>
    <w:rsid w:val="00F75624"/>
    <w:rsid w:val="00F759E3"/>
    <w:rsid w:val="00F759F2"/>
    <w:rsid w:val="00F75F61"/>
    <w:rsid w:val="00F763DF"/>
    <w:rsid w:val="00F76783"/>
    <w:rsid w:val="00F76BAF"/>
    <w:rsid w:val="00F76C9B"/>
    <w:rsid w:val="00F76CCF"/>
    <w:rsid w:val="00F7763E"/>
    <w:rsid w:val="00F77795"/>
    <w:rsid w:val="00F77965"/>
    <w:rsid w:val="00F77BD6"/>
    <w:rsid w:val="00F77DB0"/>
    <w:rsid w:val="00F77E7B"/>
    <w:rsid w:val="00F77F81"/>
    <w:rsid w:val="00F77FBD"/>
    <w:rsid w:val="00F803E9"/>
    <w:rsid w:val="00F80486"/>
    <w:rsid w:val="00F804BB"/>
    <w:rsid w:val="00F80EB0"/>
    <w:rsid w:val="00F80EB6"/>
    <w:rsid w:val="00F810B2"/>
    <w:rsid w:val="00F817BC"/>
    <w:rsid w:val="00F818AC"/>
    <w:rsid w:val="00F82599"/>
    <w:rsid w:val="00F82688"/>
    <w:rsid w:val="00F829BC"/>
    <w:rsid w:val="00F82DCC"/>
    <w:rsid w:val="00F8321D"/>
    <w:rsid w:val="00F8351D"/>
    <w:rsid w:val="00F83CBD"/>
    <w:rsid w:val="00F83FBF"/>
    <w:rsid w:val="00F84185"/>
    <w:rsid w:val="00F84432"/>
    <w:rsid w:val="00F84754"/>
    <w:rsid w:val="00F84758"/>
    <w:rsid w:val="00F84AD3"/>
    <w:rsid w:val="00F84E0A"/>
    <w:rsid w:val="00F84EF6"/>
    <w:rsid w:val="00F851C8"/>
    <w:rsid w:val="00F85561"/>
    <w:rsid w:val="00F8557C"/>
    <w:rsid w:val="00F858AC"/>
    <w:rsid w:val="00F85DB7"/>
    <w:rsid w:val="00F85E5A"/>
    <w:rsid w:val="00F862BB"/>
    <w:rsid w:val="00F862FF"/>
    <w:rsid w:val="00F86591"/>
    <w:rsid w:val="00F86733"/>
    <w:rsid w:val="00F86807"/>
    <w:rsid w:val="00F86BEE"/>
    <w:rsid w:val="00F86DC1"/>
    <w:rsid w:val="00F8730D"/>
    <w:rsid w:val="00F907B5"/>
    <w:rsid w:val="00F90DF1"/>
    <w:rsid w:val="00F90E60"/>
    <w:rsid w:val="00F90EBA"/>
    <w:rsid w:val="00F90FAA"/>
    <w:rsid w:val="00F912F2"/>
    <w:rsid w:val="00F914CA"/>
    <w:rsid w:val="00F9155C"/>
    <w:rsid w:val="00F915E8"/>
    <w:rsid w:val="00F9206E"/>
    <w:rsid w:val="00F92327"/>
    <w:rsid w:val="00F92499"/>
    <w:rsid w:val="00F924C8"/>
    <w:rsid w:val="00F928A1"/>
    <w:rsid w:val="00F92E07"/>
    <w:rsid w:val="00F92E57"/>
    <w:rsid w:val="00F92F11"/>
    <w:rsid w:val="00F9316E"/>
    <w:rsid w:val="00F93349"/>
    <w:rsid w:val="00F935EA"/>
    <w:rsid w:val="00F93CAA"/>
    <w:rsid w:val="00F94221"/>
    <w:rsid w:val="00F942E0"/>
    <w:rsid w:val="00F94395"/>
    <w:rsid w:val="00F94485"/>
    <w:rsid w:val="00F94493"/>
    <w:rsid w:val="00F94539"/>
    <w:rsid w:val="00F945D1"/>
    <w:rsid w:val="00F94A36"/>
    <w:rsid w:val="00F94BFE"/>
    <w:rsid w:val="00F94FBA"/>
    <w:rsid w:val="00F951E0"/>
    <w:rsid w:val="00F9556C"/>
    <w:rsid w:val="00F95873"/>
    <w:rsid w:val="00F9598A"/>
    <w:rsid w:val="00F964E9"/>
    <w:rsid w:val="00F9661C"/>
    <w:rsid w:val="00F970DE"/>
    <w:rsid w:val="00F970EC"/>
    <w:rsid w:val="00F97125"/>
    <w:rsid w:val="00F97615"/>
    <w:rsid w:val="00F97B11"/>
    <w:rsid w:val="00FA0085"/>
    <w:rsid w:val="00FA02F7"/>
    <w:rsid w:val="00FA066B"/>
    <w:rsid w:val="00FA0864"/>
    <w:rsid w:val="00FA0868"/>
    <w:rsid w:val="00FA0BA5"/>
    <w:rsid w:val="00FA0C27"/>
    <w:rsid w:val="00FA0FA8"/>
    <w:rsid w:val="00FA1125"/>
    <w:rsid w:val="00FA16DE"/>
    <w:rsid w:val="00FA16F2"/>
    <w:rsid w:val="00FA1937"/>
    <w:rsid w:val="00FA1E42"/>
    <w:rsid w:val="00FA2934"/>
    <w:rsid w:val="00FA2A41"/>
    <w:rsid w:val="00FA2A58"/>
    <w:rsid w:val="00FA2C3F"/>
    <w:rsid w:val="00FA2E59"/>
    <w:rsid w:val="00FA321C"/>
    <w:rsid w:val="00FA362F"/>
    <w:rsid w:val="00FA3648"/>
    <w:rsid w:val="00FA3711"/>
    <w:rsid w:val="00FA41F9"/>
    <w:rsid w:val="00FA467A"/>
    <w:rsid w:val="00FA4713"/>
    <w:rsid w:val="00FA4E89"/>
    <w:rsid w:val="00FA4F60"/>
    <w:rsid w:val="00FA5017"/>
    <w:rsid w:val="00FA571A"/>
    <w:rsid w:val="00FA5F3D"/>
    <w:rsid w:val="00FA6729"/>
    <w:rsid w:val="00FA682A"/>
    <w:rsid w:val="00FA6851"/>
    <w:rsid w:val="00FA6A25"/>
    <w:rsid w:val="00FA6A3D"/>
    <w:rsid w:val="00FA6F54"/>
    <w:rsid w:val="00FA71A4"/>
    <w:rsid w:val="00FA75A3"/>
    <w:rsid w:val="00FA75B7"/>
    <w:rsid w:val="00FA7AFF"/>
    <w:rsid w:val="00FA7ED0"/>
    <w:rsid w:val="00FB00E8"/>
    <w:rsid w:val="00FB0366"/>
    <w:rsid w:val="00FB0D56"/>
    <w:rsid w:val="00FB0F2A"/>
    <w:rsid w:val="00FB17A5"/>
    <w:rsid w:val="00FB17EE"/>
    <w:rsid w:val="00FB1862"/>
    <w:rsid w:val="00FB2012"/>
    <w:rsid w:val="00FB2672"/>
    <w:rsid w:val="00FB273A"/>
    <w:rsid w:val="00FB3029"/>
    <w:rsid w:val="00FB31A0"/>
    <w:rsid w:val="00FB3310"/>
    <w:rsid w:val="00FB39B6"/>
    <w:rsid w:val="00FB3AD2"/>
    <w:rsid w:val="00FB3DA3"/>
    <w:rsid w:val="00FB405A"/>
    <w:rsid w:val="00FB4113"/>
    <w:rsid w:val="00FB43A2"/>
    <w:rsid w:val="00FB4435"/>
    <w:rsid w:val="00FB473B"/>
    <w:rsid w:val="00FB4881"/>
    <w:rsid w:val="00FB4922"/>
    <w:rsid w:val="00FB4C75"/>
    <w:rsid w:val="00FB4D63"/>
    <w:rsid w:val="00FB4FED"/>
    <w:rsid w:val="00FB504B"/>
    <w:rsid w:val="00FB52F2"/>
    <w:rsid w:val="00FB59C7"/>
    <w:rsid w:val="00FB608D"/>
    <w:rsid w:val="00FB6284"/>
    <w:rsid w:val="00FB69B5"/>
    <w:rsid w:val="00FB6BC1"/>
    <w:rsid w:val="00FB6BC7"/>
    <w:rsid w:val="00FB6CF2"/>
    <w:rsid w:val="00FB6D20"/>
    <w:rsid w:val="00FC029D"/>
    <w:rsid w:val="00FC04C0"/>
    <w:rsid w:val="00FC08BC"/>
    <w:rsid w:val="00FC0E38"/>
    <w:rsid w:val="00FC0EBF"/>
    <w:rsid w:val="00FC0FF1"/>
    <w:rsid w:val="00FC0FF9"/>
    <w:rsid w:val="00FC1180"/>
    <w:rsid w:val="00FC1251"/>
    <w:rsid w:val="00FC1355"/>
    <w:rsid w:val="00FC1383"/>
    <w:rsid w:val="00FC145C"/>
    <w:rsid w:val="00FC152F"/>
    <w:rsid w:val="00FC1563"/>
    <w:rsid w:val="00FC1D9A"/>
    <w:rsid w:val="00FC2073"/>
    <w:rsid w:val="00FC24DA"/>
    <w:rsid w:val="00FC293A"/>
    <w:rsid w:val="00FC2EE1"/>
    <w:rsid w:val="00FC3124"/>
    <w:rsid w:val="00FC3217"/>
    <w:rsid w:val="00FC34CC"/>
    <w:rsid w:val="00FC3742"/>
    <w:rsid w:val="00FC3B7A"/>
    <w:rsid w:val="00FC409C"/>
    <w:rsid w:val="00FC41EA"/>
    <w:rsid w:val="00FC4355"/>
    <w:rsid w:val="00FC450F"/>
    <w:rsid w:val="00FC495C"/>
    <w:rsid w:val="00FC49B7"/>
    <w:rsid w:val="00FC4EBB"/>
    <w:rsid w:val="00FC5005"/>
    <w:rsid w:val="00FC550D"/>
    <w:rsid w:val="00FC5BD9"/>
    <w:rsid w:val="00FC5CD1"/>
    <w:rsid w:val="00FC5E56"/>
    <w:rsid w:val="00FC610A"/>
    <w:rsid w:val="00FC6323"/>
    <w:rsid w:val="00FC645C"/>
    <w:rsid w:val="00FC6A21"/>
    <w:rsid w:val="00FC6B1C"/>
    <w:rsid w:val="00FC6DFD"/>
    <w:rsid w:val="00FC71A3"/>
    <w:rsid w:val="00FC7218"/>
    <w:rsid w:val="00FC780F"/>
    <w:rsid w:val="00FC797F"/>
    <w:rsid w:val="00FC7BB6"/>
    <w:rsid w:val="00FD00D4"/>
    <w:rsid w:val="00FD0145"/>
    <w:rsid w:val="00FD045A"/>
    <w:rsid w:val="00FD0742"/>
    <w:rsid w:val="00FD076A"/>
    <w:rsid w:val="00FD07ED"/>
    <w:rsid w:val="00FD0962"/>
    <w:rsid w:val="00FD1042"/>
    <w:rsid w:val="00FD10B6"/>
    <w:rsid w:val="00FD1206"/>
    <w:rsid w:val="00FD13B8"/>
    <w:rsid w:val="00FD1590"/>
    <w:rsid w:val="00FD1601"/>
    <w:rsid w:val="00FD1D01"/>
    <w:rsid w:val="00FD1F06"/>
    <w:rsid w:val="00FD2125"/>
    <w:rsid w:val="00FD23B4"/>
    <w:rsid w:val="00FD2E5B"/>
    <w:rsid w:val="00FD3172"/>
    <w:rsid w:val="00FD3264"/>
    <w:rsid w:val="00FD3671"/>
    <w:rsid w:val="00FD39F3"/>
    <w:rsid w:val="00FD3B01"/>
    <w:rsid w:val="00FD3C7A"/>
    <w:rsid w:val="00FD3F0F"/>
    <w:rsid w:val="00FD422E"/>
    <w:rsid w:val="00FD4BFB"/>
    <w:rsid w:val="00FD4C0D"/>
    <w:rsid w:val="00FD4C23"/>
    <w:rsid w:val="00FD4D36"/>
    <w:rsid w:val="00FD5097"/>
    <w:rsid w:val="00FD51B5"/>
    <w:rsid w:val="00FD58AF"/>
    <w:rsid w:val="00FD58B8"/>
    <w:rsid w:val="00FD5B68"/>
    <w:rsid w:val="00FD6045"/>
    <w:rsid w:val="00FD6222"/>
    <w:rsid w:val="00FD6A4E"/>
    <w:rsid w:val="00FD6D59"/>
    <w:rsid w:val="00FD6F3C"/>
    <w:rsid w:val="00FD71E9"/>
    <w:rsid w:val="00FD73B9"/>
    <w:rsid w:val="00FD776D"/>
    <w:rsid w:val="00FD77EB"/>
    <w:rsid w:val="00FD7958"/>
    <w:rsid w:val="00FD79CC"/>
    <w:rsid w:val="00FE02AA"/>
    <w:rsid w:val="00FE03C2"/>
    <w:rsid w:val="00FE05CB"/>
    <w:rsid w:val="00FE0853"/>
    <w:rsid w:val="00FE0E2D"/>
    <w:rsid w:val="00FE1235"/>
    <w:rsid w:val="00FE155A"/>
    <w:rsid w:val="00FE1780"/>
    <w:rsid w:val="00FE1A7C"/>
    <w:rsid w:val="00FE1B9D"/>
    <w:rsid w:val="00FE1BA5"/>
    <w:rsid w:val="00FE1E6B"/>
    <w:rsid w:val="00FE268C"/>
    <w:rsid w:val="00FE287B"/>
    <w:rsid w:val="00FE28EE"/>
    <w:rsid w:val="00FE31BA"/>
    <w:rsid w:val="00FE322A"/>
    <w:rsid w:val="00FE352D"/>
    <w:rsid w:val="00FE3AFB"/>
    <w:rsid w:val="00FE4396"/>
    <w:rsid w:val="00FE4896"/>
    <w:rsid w:val="00FE4CBC"/>
    <w:rsid w:val="00FE4DD1"/>
    <w:rsid w:val="00FE558D"/>
    <w:rsid w:val="00FE55EA"/>
    <w:rsid w:val="00FE5F0C"/>
    <w:rsid w:val="00FE5FF8"/>
    <w:rsid w:val="00FE645D"/>
    <w:rsid w:val="00FE6A3B"/>
    <w:rsid w:val="00FE6E93"/>
    <w:rsid w:val="00FE70D9"/>
    <w:rsid w:val="00FE7649"/>
    <w:rsid w:val="00FE7726"/>
    <w:rsid w:val="00FE79B6"/>
    <w:rsid w:val="00FE7B20"/>
    <w:rsid w:val="00FE7E76"/>
    <w:rsid w:val="00FE7F79"/>
    <w:rsid w:val="00FF03AB"/>
    <w:rsid w:val="00FF0562"/>
    <w:rsid w:val="00FF059A"/>
    <w:rsid w:val="00FF097D"/>
    <w:rsid w:val="00FF0A02"/>
    <w:rsid w:val="00FF0ADB"/>
    <w:rsid w:val="00FF0BBC"/>
    <w:rsid w:val="00FF0BBF"/>
    <w:rsid w:val="00FF0DE2"/>
    <w:rsid w:val="00FF0DE4"/>
    <w:rsid w:val="00FF11EE"/>
    <w:rsid w:val="00FF1204"/>
    <w:rsid w:val="00FF166B"/>
    <w:rsid w:val="00FF17B1"/>
    <w:rsid w:val="00FF1993"/>
    <w:rsid w:val="00FF1BA2"/>
    <w:rsid w:val="00FF1FD9"/>
    <w:rsid w:val="00FF20A3"/>
    <w:rsid w:val="00FF2259"/>
    <w:rsid w:val="00FF286F"/>
    <w:rsid w:val="00FF2BF8"/>
    <w:rsid w:val="00FF2D00"/>
    <w:rsid w:val="00FF2DB9"/>
    <w:rsid w:val="00FF2F20"/>
    <w:rsid w:val="00FF2F44"/>
    <w:rsid w:val="00FF304C"/>
    <w:rsid w:val="00FF31FC"/>
    <w:rsid w:val="00FF33DA"/>
    <w:rsid w:val="00FF34A8"/>
    <w:rsid w:val="00FF3B2F"/>
    <w:rsid w:val="00FF3BBC"/>
    <w:rsid w:val="00FF3EA9"/>
    <w:rsid w:val="00FF4123"/>
    <w:rsid w:val="00FF42CE"/>
    <w:rsid w:val="00FF438C"/>
    <w:rsid w:val="00FF4599"/>
    <w:rsid w:val="00FF4709"/>
    <w:rsid w:val="00FF4756"/>
    <w:rsid w:val="00FF47D8"/>
    <w:rsid w:val="00FF487C"/>
    <w:rsid w:val="00FF4C6A"/>
    <w:rsid w:val="00FF4F99"/>
    <w:rsid w:val="00FF5136"/>
    <w:rsid w:val="00FF53D2"/>
    <w:rsid w:val="00FF5622"/>
    <w:rsid w:val="00FF5B18"/>
    <w:rsid w:val="00FF5CC3"/>
    <w:rsid w:val="00FF66CC"/>
    <w:rsid w:val="00FF6A42"/>
    <w:rsid w:val="00FF6AA6"/>
    <w:rsid w:val="00FF6EB5"/>
    <w:rsid w:val="00FF6EF9"/>
    <w:rsid w:val="00FF7832"/>
    <w:rsid w:val="00FF7893"/>
    <w:rsid w:val="00FF7925"/>
    <w:rsid w:val="02DE402C"/>
    <w:rsid w:val="043DA164"/>
    <w:rsid w:val="0447F760"/>
    <w:rsid w:val="05553A8B"/>
    <w:rsid w:val="092546BA"/>
    <w:rsid w:val="0FCC8A84"/>
    <w:rsid w:val="163AB8B2"/>
    <w:rsid w:val="1788F76D"/>
    <w:rsid w:val="18D595FA"/>
    <w:rsid w:val="1B3F4A74"/>
    <w:rsid w:val="1BD88CB1"/>
    <w:rsid w:val="1CC825AF"/>
    <w:rsid w:val="1EA63FAE"/>
    <w:rsid w:val="203BDF62"/>
    <w:rsid w:val="207D897D"/>
    <w:rsid w:val="2093804C"/>
    <w:rsid w:val="21F0C43A"/>
    <w:rsid w:val="2291142B"/>
    <w:rsid w:val="232765E4"/>
    <w:rsid w:val="27083F14"/>
    <w:rsid w:val="28C51222"/>
    <w:rsid w:val="28E2CF99"/>
    <w:rsid w:val="29ACA0CB"/>
    <w:rsid w:val="29F45AC7"/>
    <w:rsid w:val="2C502078"/>
    <w:rsid w:val="2D47A11B"/>
    <w:rsid w:val="2D6E29F9"/>
    <w:rsid w:val="2DD06CBC"/>
    <w:rsid w:val="2E052DB3"/>
    <w:rsid w:val="2F5FA022"/>
    <w:rsid w:val="30891728"/>
    <w:rsid w:val="35D8DB1E"/>
    <w:rsid w:val="3887197A"/>
    <w:rsid w:val="3AA2B3C6"/>
    <w:rsid w:val="3E91BEA7"/>
    <w:rsid w:val="41F1974B"/>
    <w:rsid w:val="437F55DB"/>
    <w:rsid w:val="46BEAA7B"/>
    <w:rsid w:val="47EA88FE"/>
    <w:rsid w:val="4922EFEB"/>
    <w:rsid w:val="51CD5D50"/>
    <w:rsid w:val="527482AF"/>
    <w:rsid w:val="5997181A"/>
    <w:rsid w:val="5E7D8D04"/>
    <w:rsid w:val="61864E6F"/>
    <w:rsid w:val="63D845F8"/>
    <w:rsid w:val="66307C59"/>
    <w:rsid w:val="69FB4936"/>
    <w:rsid w:val="6A1BB15D"/>
    <w:rsid w:val="6B0A3B39"/>
    <w:rsid w:val="6CFC9418"/>
    <w:rsid w:val="6F5672FD"/>
    <w:rsid w:val="73C091AA"/>
    <w:rsid w:val="78955726"/>
    <w:rsid w:val="7A495620"/>
    <w:rsid w:val="7A6705D2"/>
    <w:rsid w:val="7F7E3D1C"/>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4:docId w14:val="5D4F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36C30"/>
    <w:pPr>
      <w:spacing w:after="120"/>
      <w:jc w:val="both"/>
    </w:pPr>
    <w:rPr>
      <w:sz w:val="26"/>
    </w:rPr>
  </w:style>
  <w:style w:type="paragraph" w:styleId="Cmsor1">
    <w:name w:val="heading 1"/>
    <w:basedOn w:val="Norml"/>
    <w:next w:val="Norml"/>
    <w:qFormat/>
    <w:pPr>
      <w:keepNext/>
      <w:spacing w:before="240" w:after="60"/>
      <w:outlineLvl w:val="0"/>
    </w:pPr>
    <w:rPr>
      <w:b/>
      <w:kern w:val="28"/>
      <w:sz w:val="30"/>
    </w:rPr>
  </w:style>
  <w:style w:type="paragraph" w:styleId="Cmsor2">
    <w:name w:val="heading 2"/>
    <w:basedOn w:val="Norml"/>
    <w:next w:val="Norml"/>
    <w:link w:val="Cmsor2Char"/>
    <w:qFormat/>
    <w:rsid w:val="000961B9"/>
    <w:pPr>
      <w:keepNext/>
      <w:spacing w:before="240" w:after="60"/>
      <w:jc w:val="center"/>
      <w:outlineLvl w:val="1"/>
    </w:pPr>
    <w:rPr>
      <w:b/>
      <w:iCs/>
      <w:caps/>
    </w:rPr>
  </w:style>
  <w:style w:type="paragraph" w:styleId="Cmsor3">
    <w:name w:val="heading 3"/>
    <w:basedOn w:val="Norml"/>
    <w:next w:val="Norml"/>
    <w:qFormat/>
    <w:pPr>
      <w:keepNext/>
      <w:spacing w:before="240" w:after="60"/>
      <w:jc w:val="center"/>
      <w:outlineLvl w:val="2"/>
    </w:pPr>
    <w:rPr>
      <w:b/>
      <w:bCs/>
      <w:smallCaps/>
      <w:sz w:val="28"/>
    </w:rPr>
  </w:style>
  <w:style w:type="paragraph" w:styleId="Cmsor4">
    <w:name w:val="heading 4"/>
    <w:basedOn w:val="Norml"/>
    <w:next w:val="Norml"/>
    <w:link w:val="Cmsor4Char"/>
    <w:qFormat/>
    <w:pPr>
      <w:keepNext/>
      <w:ind w:left="425" w:hanging="425"/>
      <w:outlineLvl w:val="3"/>
    </w:pPr>
    <w:rPr>
      <w:b/>
    </w:rPr>
  </w:style>
  <w:style w:type="paragraph" w:styleId="Cmsor5">
    <w:name w:val="heading 5"/>
    <w:basedOn w:val="Norml"/>
    <w:next w:val="Norml"/>
    <w:qFormat/>
    <w:pPr>
      <w:keepNext/>
      <w:jc w:val="left"/>
      <w:outlineLvl w:val="4"/>
    </w:pPr>
    <w:rPr>
      <w:b/>
    </w:rPr>
  </w:style>
  <w:style w:type="paragraph" w:styleId="Cmsor6">
    <w:name w:val="heading 6"/>
    <w:basedOn w:val="Norml"/>
    <w:next w:val="Norml"/>
    <w:qFormat/>
    <w:pPr>
      <w:keepNext/>
      <w:ind w:left="567" w:right="-1" w:hanging="567"/>
      <w:outlineLvl w:val="5"/>
    </w:pPr>
    <w:rPr>
      <w:b/>
    </w:rPr>
  </w:style>
  <w:style w:type="paragraph" w:styleId="Cmsor7">
    <w:name w:val="heading 7"/>
    <w:basedOn w:val="Norml"/>
    <w:next w:val="Norml"/>
    <w:qFormat/>
    <w:pPr>
      <w:keepNext/>
      <w:ind w:left="567"/>
      <w:outlineLvl w:val="6"/>
    </w:pPr>
    <w:rPr>
      <w:b/>
    </w:rPr>
  </w:style>
  <w:style w:type="paragraph" w:styleId="Cmsor8">
    <w:name w:val="heading 8"/>
    <w:basedOn w:val="Norml"/>
    <w:next w:val="Norml"/>
    <w:qFormat/>
    <w:pPr>
      <w:keepNext/>
      <w:outlineLvl w:val="7"/>
    </w:pPr>
    <w:rPr>
      <w:b/>
      <w:color w:val="000000"/>
    </w:rPr>
  </w:style>
  <w:style w:type="paragraph" w:styleId="Cmsor9">
    <w:name w:val="heading 9"/>
    <w:basedOn w:val="Norml"/>
    <w:next w:val="Norml"/>
    <w:qFormat/>
    <w:pPr>
      <w:keepNext/>
      <w:tabs>
        <w:tab w:val="left" w:pos="4253"/>
      </w:tabs>
      <w:outlineLvl w:val="8"/>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im1">
    <w:name w:val="cim 1"/>
    <w:basedOn w:val="Cmsor1"/>
    <w:pPr>
      <w:outlineLvl w:val="9"/>
    </w:pPr>
  </w:style>
  <w:style w:type="paragraph" w:styleId="lfej">
    <w:name w:val="header"/>
    <w:basedOn w:val="Norml"/>
    <w:link w:val="lfejChar"/>
    <w:uiPriority w:val="99"/>
    <w:pPr>
      <w:tabs>
        <w:tab w:val="center" w:pos="4153"/>
        <w:tab w:val="right" w:pos="8306"/>
      </w:tabs>
    </w:pPr>
  </w:style>
  <w:style w:type="paragraph" w:styleId="llb">
    <w:name w:val="footer"/>
    <w:basedOn w:val="Norml"/>
    <w:link w:val="llbChar"/>
    <w:uiPriority w:val="99"/>
    <w:pPr>
      <w:tabs>
        <w:tab w:val="center" w:pos="4153"/>
        <w:tab w:val="right" w:pos="8306"/>
      </w:tabs>
    </w:pPr>
  </w:style>
  <w:style w:type="paragraph" w:styleId="Alrs">
    <w:name w:val="Signature"/>
    <w:basedOn w:val="Norml"/>
    <w:next w:val="Norml"/>
    <w:pPr>
      <w:ind w:left="3402"/>
      <w:jc w:val="center"/>
    </w:pPr>
    <w:rPr>
      <w:sz w:val="24"/>
    </w:rPr>
  </w:style>
  <w:style w:type="paragraph" w:customStyle="1" w:styleId="felsorols">
    <w:name w:val="felsorolás"/>
    <w:basedOn w:val="Norml"/>
    <w:pPr>
      <w:tabs>
        <w:tab w:val="left" w:pos="360"/>
      </w:tabs>
      <w:ind w:left="284" w:hanging="284"/>
    </w:pPr>
    <w:rPr>
      <w:sz w:val="16"/>
    </w:rPr>
  </w:style>
  <w:style w:type="character" w:styleId="Lbjegyzet-hivatkozs">
    <w:name w:val="footnote reference"/>
    <w:semiHidden/>
    <w:rPr>
      <w:vertAlign w:val="superscript"/>
    </w:rPr>
  </w:style>
  <w:style w:type="paragraph" w:styleId="Lbjegyzetszveg">
    <w:name w:val="footnote text"/>
    <w:basedOn w:val="Norml"/>
    <w:semiHidden/>
    <w:pPr>
      <w:widowControl w:val="0"/>
      <w:jc w:val="left"/>
    </w:pPr>
    <w:rPr>
      <w:sz w:val="20"/>
    </w:rPr>
  </w:style>
  <w:style w:type="paragraph" w:styleId="Szvegtrzs">
    <w:name w:val="Body Text"/>
    <w:basedOn w:val="Norml"/>
    <w:pPr>
      <w:widowControl w:val="0"/>
    </w:pPr>
    <w:rPr>
      <w:color w:val="FF0000"/>
    </w:rPr>
  </w:style>
  <w:style w:type="paragraph" w:styleId="Cm">
    <w:name w:val="Title"/>
    <w:basedOn w:val="Norml"/>
    <w:qFormat/>
    <w:pPr>
      <w:keepNext/>
      <w:widowControl w:val="0"/>
      <w:ind w:right="-1"/>
      <w:jc w:val="center"/>
    </w:pPr>
    <w:rPr>
      <w:b/>
      <w:caps/>
      <w:spacing w:val="60"/>
      <w:sz w:val="32"/>
    </w:rPr>
  </w:style>
  <w:style w:type="paragraph" w:customStyle="1" w:styleId="Szvegtrzs21">
    <w:name w:val="Szövegtörzs 21"/>
    <w:basedOn w:val="Norml"/>
    <w:pPr>
      <w:widowControl w:val="0"/>
      <w:ind w:left="570"/>
    </w:pPr>
  </w:style>
  <w:style w:type="character" w:styleId="Oldalszm">
    <w:name w:val="page number"/>
    <w:basedOn w:val="Bekezdsalapbettpusa"/>
  </w:style>
  <w:style w:type="paragraph" w:customStyle="1" w:styleId="BodyText211">
    <w:name w:val="Body Text 211"/>
    <w:basedOn w:val="Norml"/>
    <w:pPr>
      <w:ind w:left="567"/>
    </w:pPr>
  </w:style>
  <w:style w:type="paragraph" w:customStyle="1" w:styleId="Szvegblokk1">
    <w:name w:val="Szövegblokk1"/>
    <w:basedOn w:val="Norml"/>
    <w:pPr>
      <w:keepNext/>
      <w:ind w:left="360" w:right="-1"/>
    </w:pPr>
  </w:style>
  <w:style w:type="paragraph" w:customStyle="1" w:styleId="BodyText210">
    <w:name w:val="Body Text 210"/>
    <w:basedOn w:val="Norml"/>
    <w:pPr>
      <w:ind w:left="426"/>
    </w:pPr>
  </w:style>
  <w:style w:type="paragraph" w:customStyle="1" w:styleId="Szvegtrzsbehzssal21">
    <w:name w:val="Szövegtörzs behúzással 21"/>
    <w:basedOn w:val="Norml"/>
    <w:pPr>
      <w:ind w:left="567" w:hanging="567"/>
    </w:pPr>
  </w:style>
  <w:style w:type="paragraph" w:customStyle="1" w:styleId="Szvegtrzsbehzssal31">
    <w:name w:val="Szövegtörzs behúzással 31"/>
    <w:basedOn w:val="Norml"/>
    <w:pPr>
      <w:ind w:left="851"/>
    </w:pPr>
  </w:style>
  <w:style w:type="paragraph" w:customStyle="1" w:styleId="BodyText29">
    <w:name w:val="Body Text 29"/>
    <w:basedOn w:val="Norml"/>
    <w:pPr>
      <w:ind w:left="851" w:hanging="284"/>
    </w:pPr>
  </w:style>
  <w:style w:type="paragraph" w:customStyle="1" w:styleId="BodyTextIndent26">
    <w:name w:val="Body Text Indent 26"/>
    <w:basedOn w:val="Norml"/>
    <w:pPr>
      <w:ind w:left="513"/>
    </w:pPr>
  </w:style>
  <w:style w:type="paragraph" w:customStyle="1" w:styleId="BodyTextIndent25">
    <w:name w:val="Body Text Indent 25"/>
    <w:basedOn w:val="Norml"/>
    <w:pPr>
      <w:ind w:left="567" w:hanging="567"/>
    </w:pPr>
  </w:style>
  <w:style w:type="paragraph" w:customStyle="1" w:styleId="BodyText28">
    <w:name w:val="Body Text 28"/>
    <w:basedOn w:val="Norml"/>
    <w:pPr>
      <w:spacing w:after="0"/>
    </w:pPr>
  </w:style>
  <w:style w:type="paragraph" w:customStyle="1" w:styleId="BodyText27">
    <w:name w:val="Body Text 27"/>
    <w:basedOn w:val="Norml"/>
    <w:pPr>
      <w:suppressAutoHyphens/>
      <w:ind w:left="1560"/>
    </w:pPr>
    <w:rPr>
      <w:sz w:val="22"/>
    </w:rPr>
  </w:style>
  <w:style w:type="paragraph" w:customStyle="1" w:styleId="BodyText26">
    <w:name w:val="Body Text 26"/>
    <w:basedOn w:val="Norml"/>
    <w:pPr>
      <w:ind w:left="992" w:hanging="425"/>
    </w:pPr>
  </w:style>
  <w:style w:type="paragraph" w:customStyle="1" w:styleId="BodyTextIndent24">
    <w:name w:val="Body Text Indent 24"/>
    <w:basedOn w:val="Norml"/>
    <w:pPr>
      <w:ind w:left="567"/>
    </w:pPr>
    <w:rPr>
      <w:b/>
    </w:rPr>
  </w:style>
  <w:style w:type="paragraph" w:customStyle="1" w:styleId="BodyText25">
    <w:name w:val="Body Text 25"/>
    <w:basedOn w:val="Norml"/>
    <w:pPr>
      <w:ind w:left="567"/>
    </w:pPr>
  </w:style>
  <w:style w:type="paragraph" w:customStyle="1" w:styleId="BodyText24">
    <w:name w:val="Body Text 24"/>
    <w:basedOn w:val="Norml"/>
    <w:pPr>
      <w:ind w:left="567"/>
    </w:pPr>
  </w:style>
  <w:style w:type="paragraph" w:customStyle="1" w:styleId="BodyText23">
    <w:name w:val="Body Text 23"/>
    <w:basedOn w:val="Norml"/>
    <w:pPr>
      <w:ind w:left="540"/>
    </w:pPr>
  </w:style>
  <w:style w:type="paragraph" w:customStyle="1" w:styleId="BodyTextIndent23">
    <w:name w:val="Body Text Indent 23"/>
    <w:basedOn w:val="Norml"/>
    <w:pPr>
      <w:ind w:left="426" w:hanging="426"/>
    </w:pPr>
  </w:style>
  <w:style w:type="character" w:styleId="Vgjegyzet-hivatkozs">
    <w:name w:val="endnote reference"/>
    <w:semiHidden/>
    <w:rPr>
      <w:vertAlign w:val="superscript"/>
    </w:rPr>
  </w:style>
  <w:style w:type="paragraph" w:customStyle="1" w:styleId="BlockText1">
    <w:name w:val="Block Text1"/>
    <w:basedOn w:val="Norml"/>
    <w:pPr>
      <w:ind w:left="425" w:right="284"/>
    </w:pPr>
    <w:rPr>
      <w:sz w:val="22"/>
    </w:rPr>
  </w:style>
  <w:style w:type="paragraph" w:customStyle="1" w:styleId="BodyText21">
    <w:name w:val="Body Text 21"/>
    <w:basedOn w:val="Norml"/>
    <w:pPr>
      <w:tabs>
        <w:tab w:val="left" w:pos="2694"/>
      </w:tabs>
      <w:ind w:left="360"/>
    </w:pPr>
  </w:style>
  <w:style w:type="paragraph" w:customStyle="1" w:styleId="BodyTextIndent22">
    <w:name w:val="Body Text Indent 22"/>
    <w:basedOn w:val="Norml"/>
    <w:pPr>
      <w:tabs>
        <w:tab w:val="left" w:pos="2694"/>
      </w:tabs>
      <w:ind w:left="709"/>
    </w:pPr>
  </w:style>
  <w:style w:type="paragraph" w:customStyle="1" w:styleId="BodyTextIndent21">
    <w:name w:val="Body Text Indent 21"/>
    <w:basedOn w:val="Norml"/>
    <w:pPr>
      <w:spacing w:after="0"/>
      <w:ind w:left="567"/>
    </w:pPr>
    <w:rPr>
      <w:sz w:val="24"/>
    </w:rPr>
  </w:style>
  <w:style w:type="paragraph" w:styleId="Szvegtrzs2">
    <w:name w:val="Body Text 2"/>
    <w:basedOn w:val="Norml"/>
    <w:pPr>
      <w:keepNext/>
      <w:tabs>
        <w:tab w:val="left" w:pos="2694"/>
      </w:tabs>
      <w:jc w:val="center"/>
    </w:pPr>
    <w:rPr>
      <w:b/>
      <w:caps/>
    </w:rPr>
  </w:style>
  <w:style w:type="paragraph" w:styleId="Szvegtrzsbehzssal2">
    <w:name w:val="Body Text Indent 2"/>
    <w:basedOn w:val="Norml"/>
    <w:pPr>
      <w:ind w:left="1134"/>
    </w:pPr>
    <w:rPr>
      <w:sz w:val="22"/>
    </w:rPr>
  </w:style>
  <w:style w:type="paragraph" w:styleId="Szvegtrzsbehzssal">
    <w:name w:val="Body Text Indent"/>
    <w:basedOn w:val="Norml"/>
    <w:pPr>
      <w:spacing w:after="0"/>
      <w:ind w:left="709"/>
    </w:pPr>
    <w:rPr>
      <w:i/>
      <w:iCs/>
      <w:sz w:val="28"/>
    </w:rPr>
  </w:style>
  <w:style w:type="paragraph" w:styleId="Szvegtrzsbehzssal3">
    <w:name w:val="Body Text Indent 3"/>
    <w:basedOn w:val="Norml"/>
    <w:pPr>
      <w:ind w:left="1134"/>
    </w:pPr>
    <w:rPr>
      <w:sz w:val="24"/>
    </w:rPr>
  </w:style>
  <w:style w:type="paragraph" w:styleId="Szvegblokk">
    <w:name w:val="Block Text"/>
    <w:basedOn w:val="Norml"/>
    <w:pPr>
      <w:ind w:left="-180" w:right="-108"/>
    </w:pPr>
  </w:style>
  <w:style w:type="paragraph" w:styleId="Kpalrs">
    <w:name w:val="caption"/>
    <w:basedOn w:val="Norml"/>
    <w:next w:val="Norml"/>
    <w:qFormat/>
    <w:pPr>
      <w:numPr>
        <w:numId w:val="1"/>
      </w:numPr>
      <w:spacing w:after="0"/>
      <w:ind w:right="282"/>
    </w:pPr>
    <w:rPr>
      <w:b/>
      <w:bCs/>
      <w:sz w:val="28"/>
      <w:u w:val="single"/>
    </w:rPr>
  </w:style>
  <w:style w:type="paragraph" w:styleId="Szvegtrzs3">
    <w:name w:val="Body Text 3"/>
    <w:basedOn w:val="Norml"/>
    <w:link w:val="Szvegtrzs3Char"/>
    <w:pPr>
      <w:ind w:right="-57"/>
    </w:pPr>
  </w:style>
  <w:style w:type="paragraph" w:customStyle="1" w:styleId="Szvegtrzs1">
    <w:name w:val="Szövegtörzs1"/>
    <w:basedOn w:val="Norml"/>
    <w:pPr>
      <w:spacing w:after="0"/>
    </w:pPr>
    <w:rPr>
      <w:i/>
      <w:sz w:val="28"/>
    </w:rPr>
  </w:style>
  <w:style w:type="paragraph" w:styleId="Alcm">
    <w:name w:val="Subtitle"/>
    <w:basedOn w:val="Norml"/>
    <w:qFormat/>
    <w:pPr>
      <w:spacing w:after="0"/>
      <w:jc w:val="left"/>
    </w:pPr>
    <w:rPr>
      <w:rFonts w:ascii="Arial" w:hAnsi="Arial"/>
      <w:i/>
      <w:sz w:val="24"/>
    </w:rPr>
  </w:style>
  <w:style w:type="paragraph" w:customStyle="1" w:styleId="BodyText22">
    <w:name w:val="Body Text 22"/>
    <w:basedOn w:val="Norml"/>
    <w:rPr>
      <w:sz w:val="24"/>
    </w:rPr>
  </w:style>
  <w:style w:type="character" w:styleId="Hiperhivatkozs">
    <w:name w:val="Hyperlink"/>
    <w:rsid w:val="00C743EC"/>
    <w:rPr>
      <w:color w:val="000000"/>
      <w:u w:val="single"/>
    </w:rPr>
  </w:style>
  <w:style w:type="paragraph" w:customStyle="1" w:styleId="StlusCmsor3Utna12pt">
    <w:name w:val="Stílus Címsor 3 + Utána:  12 pt"/>
    <w:basedOn w:val="Cmsor3"/>
    <w:rsid w:val="00F630A3"/>
    <w:pPr>
      <w:spacing w:after="240"/>
    </w:pPr>
  </w:style>
  <w:style w:type="paragraph" w:styleId="Buborkszveg">
    <w:name w:val="Balloon Text"/>
    <w:basedOn w:val="Norml"/>
    <w:semiHidden/>
    <w:rsid w:val="00187693"/>
    <w:pPr>
      <w:suppressAutoHyphens/>
    </w:pPr>
    <w:rPr>
      <w:rFonts w:ascii="Tahoma" w:hAnsi="Tahoma" w:cs="Tahoma"/>
      <w:sz w:val="16"/>
      <w:szCs w:val="16"/>
    </w:rPr>
  </w:style>
  <w:style w:type="paragraph" w:customStyle="1" w:styleId="bodytext2">
    <w:name w:val="bodytext2"/>
    <w:basedOn w:val="Norml"/>
    <w:rsid w:val="00FD0145"/>
    <w:pPr>
      <w:overflowPunct w:val="0"/>
      <w:autoSpaceDE w:val="0"/>
      <w:autoSpaceDN w:val="0"/>
      <w:ind w:left="360"/>
    </w:pPr>
    <w:rPr>
      <w:szCs w:val="26"/>
    </w:rPr>
  </w:style>
  <w:style w:type="character" w:customStyle="1" w:styleId="pm">
    <w:name w:val="pm"/>
    <w:semiHidden/>
    <w:rsid w:val="003F2FB9"/>
    <w:rPr>
      <w:rFonts w:ascii="Arial" w:hAnsi="Arial" w:cs="Arial"/>
      <w:color w:val="auto"/>
      <w:sz w:val="20"/>
      <w:szCs w:val="20"/>
    </w:rPr>
  </w:style>
  <w:style w:type="table" w:styleId="Rcsostblzat">
    <w:name w:val="Table Grid"/>
    <w:basedOn w:val="Normltblzat"/>
    <w:uiPriority w:val="59"/>
    <w:rsid w:val="00281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3Char">
    <w:name w:val="Szövegtörzs 3 Char"/>
    <w:link w:val="Szvegtrzs3"/>
    <w:rsid w:val="003149E2"/>
    <w:rPr>
      <w:sz w:val="26"/>
    </w:rPr>
  </w:style>
  <w:style w:type="paragraph" w:styleId="Listaszerbekezds">
    <w:name w:val="List Paragraph"/>
    <w:basedOn w:val="Norml"/>
    <w:uiPriority w:val="34"/>
    <w:qFormat/>
    <w:rsid w:val="00947BCD"/>
    <w:pPr>
      <w:spacing w:after="200" w:line="276" w:lineRule="auto"/>
      <w:ind w:left="720"/>
      <w:contextualSpacing/>
      <w:jc w:val="left"/>
    </w:pPr>
    <w:rPr>
      <w:rFonts w:ascii="Calibri" w:eastAsia="Calibri" w:hAnsi="Calibri"/>
      <w:sz w:val="22"/>
      <w:szCs w:val="22"/>
      <w:lang w:eastAsia="en-US"/>
    </w:rPr>
  </w:style>
  <w:style w:type="paragraph" w:customStyle="1" w:styleId="Szvegtrzs210">
    <w:name w:val="Szövegtörzs 210"/>
    <w:basedOn w:val="Norml"/>
    <w:rsid w:val="009271B4"/>
    <w:pPr>
      <w:widowControl w:val="0"/>
      <w:ind w:left="570"/>
    </w:pPr>
    <w:rPr>
      <w:rFonts w:ascii="Times" w:hAnsi="Times"/>
    </w:rPr>
  </w:style>
  <w:style w:type="character" w:customStyle="1" w:styleId="Cmsor4Char">
    <w:name w:val="Címsor 4 Char"/>
    <w:link w:val="Cmsor4"/>
    <w:rsid w:val="000C18B6"/>
    <w:rPr>
      <w:b/>
      <w:sz w:val="26"/>
    </w:rPr>
  </w:style>
  <w:style w:type="character" w:customStyle="1" w:styleId="llbChar">
    <w:name w:val="Élőláb Char"/>
    <w:link w:val="llb"/>
    <w:uiPriority w:val="99"/>
    <w:rsid w:val="00700449"/>
    <w:rPr>
      <w:sz w:val="26"/>
    </w:rPr>
  </w:style>
  <w:style w:type="character" w:styleId="Kiemels">
    <w:name w:val="Emphasis"/>
    <w:uiPriority w:val="20"/>
    <w:qFormat/>
    <w:rsid w:val="006D4536"/>
    <w:rPr>
      <w:b/>
      <w:bCs/>
      <w:i w:val="0"/>
      <w:iCs w:val="0"/>
    </w:rPr>
  </w:style>
  <w:style w:type="character" w:customStyle="1" w:styleId="st">
    <w:name w:val="st"/>
    <w:rsid w:val="006D4536"/>
  </w:style>
  <w:style w:type="character" w:styleId="Jegyzethivatkozs">
    <w:name w:val="annotation reference"/>
    <w:uiPriority w:val="99"/>
    <w:rsid w:val="003908B8"/>
    <w:rPr>
      <w:sz w:val="16"/>
      <w:szCs w:val="16"/>
    </w:rPr>
  </w:style>
  <w:style w:type="paragraph" w:styleId="Jegyzetszveg">
    <w:name w:val="annotation text"/>
    <w:basedOn w:val="Norml"/>
    <w:link w:val="JegyzetszvegChar"/>
    <w:rsid w:val="003908B8"/>
    <w:rPr>
      <w:sz w:val="20"/>
    </w:rPr>
  </w:style>
  <w:style w:type="character" w:customStyle="1" w:styleId="JegyzetszvegChar">
    <w:name w:val="Jegyzetszöveg Char"/>
    <w:basedOn w:val="Bekezdsalapbettpusa"/>
    <w:link w:val="Jegyzetszveg"/>
    <w:rsid w:val="003908B8"/>
  </w:style>
  <w:style w:type="paragraph" w:styleId="Megjegyzstrgya">
    <w:name w:val="annotation subject"/>
    <w:basedOn w:val="Jegyzetszveg"/>
    <w:next w:val="Jegyzetszveg"/>
    <w:link w:val="MegjegyzstrgyaChar"/>
    <w:rsid w:val="003908B8"/>
    <w:rPr>
      <w:b/>
      <w:bCs/>
    </w:rPr>
  </w:style>
  <w:style w:type="character" w:customStyle="1" w:styleId="MegjegyzstrgyaChar">
    <w:name w:val="Megjegyzés tárgya Char"/>
    <w:link w:val="Megjegyzstrgya"/>
    <w:rsid w:val="003908B8"/>
    <w:rPr>
      <w:b/>
      <w:bCs/>
    </w:rPr>
  </w:style>
  <w:style w:type="paragraph" w:styleId="NormlWeb">
    <w:name w:val="Normal (Web)"/>
    <w:basedOn w:val="Norml"/>
    <w:uiPriority w:val="99"/>
    <w:unhideWhenUsed/>
    <w:rsid w:val="00F15565"/>
    <w:pPr>
      <w:spacing w:before="100" w:beforeAutospacing="1" w:after="100" w:afterAutospacing="1"/>
      <w:jc w:val="left"/>
    </w:pPr>
    <w:rPr>
      <w:sz w:val="24"/>
      <w:szCs w:val="24"/>
    </w:rPr>
  </w:style>
  <w:style w:type="paragraph" w:customStyle="1" w:styleId="lead">
    <w:name w:val="lead"/>
    <w:basedOn w:val="Norml"/>
    <w:rsid w:val="00F15565"/>
    <w:pPr>
      <w:spacing w:before="100" w:beforeAutospacing="1" w:after="100" w:afterAutospacing="1"/>
      <w:jc w:val="left"/>
    </w:pPr>
    <w:rPr>
      <w:sz w:val="24"/>
      <w:szCs w:val="24"/>
    </w:rPr>
  </w:style>
  <w:style w:type="character" w:customStyle="1" w:styleId="lfejChar">
    <w:name w:val="Élőfej Char"/>
    <w:link w:val="lfej"/>
    <w:uiPriority w:val="99"/>
    <w:rsid w:val="00881044"/>
    <w:rPr>
      <w:sz w:val="26"/>
    </w:rPr>
  </w:style>
  <w:style w:type="paragraph" w:customStyle="1" w:styleId="Default">
    <w:name w:val="Default"/>
    <w:rsid w:val="00737A62"/>
    <w:pPr>
      <w:autoSpaceDE w:val="0"/>
      <w:autoSpaceDN w:val="0"/>
      <w:adjustRightInd w:val="0"/>
    </w:pPr>
    <w:rPr>
      <w:rFonts w:ascii="Myriad Pro" w:eastAsiaTheme="minorHAnsi" w:hAnsi="Myriad Pro" w:cs="Myriad Pro"/>
      <w:color w:val="000000"/>
      <w:sz w:val="24"/>
      <w:szCs w:val="24"/>
      <w:lang w:eastAsia="en-US"/>
    </w:rPr>
  </w:style>
  <w:style w:type="table" w:customStyle="1" w:styleId="Tblzatrcsos1vilgos1jellszn1">
    <w:name w:val="Táblázat (rácsos) 1 – világos – 1. jelölőszín1"/>
    <w:basedOn w:val="Normltblzat"/>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textrun1">
    <w:name w:val="normaltextrun1"/>
    <w:basedOn w:val="Bekezdsalapbettpusa"/>
    <w:rsid w:val="002D550F"/>
  </w:style>
  <w:style w:type="character" w:customStyle="1" w:styleId="Cmsor2Char">
    <w:name w:val="Címsor 2 Char"/>
    <w:basedOn w:val="Bekezdsalapbettpusa"/>
    <w:link w:val="Cmsor2"/>
    <w:rsid w:val="000D46AE"/>
    <w:rPr>
      <w:b/>
      <w:iCs/>
      <w:caps/>
      <w:sz w:val="26"/>
    </w:rPr>
  </w:style>
  <w:style w:type="character" w:customStyle="1" w:styleId="xtextrun">
    <w:name w:val="x_textrun"/>
    <w:basedOn w:val="Bekezdsalapbettpusa"/>
    <w:rsid w:val="00A86FE9"/>
  </w:style>
  <w:style w:type="character" w:customStyle="1" w:styleId="xeop">
    <w:name w:val="x_eop"/>
    <w:basedOn w:val="Bekezdsalapbettpusa"/>
    <w:rsid w:val="00A86FE9"/>
  </w:style>
  <w:style w:type="paragraph" w:customStyle="1" w:styleId="xparagraph">
    <w:name w:val="x_paragraph"/>
    <w:basedOn w:val="Norml"/>
    <w:rsid w:val="00A10884"/>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8036">
      <w:bodyDiv w:val="1"/>
      <w:marLeft w:val="0"/>
      <w:marRight w:val="0"/>
      <w:marTop w:val="0"/>
      <w:marBottom w:val="0"/>
      <w:divBdr>
        <w:top w:val="none" w:sz="0" w:space="0" w:color="auto"/>
        <w:left w:val="none" w:sz="0" w:space="0" w:color="auto"/>
        <w:bottom w:val="none" w:sz="0" w:space="0" w:color="auto"/>
        <w:right w:val="none" w:sz="0" w:space="0" w:color="auto"/>
      </w:divBdr>
    </w:div>
    <w:div w:id="28384293">
      <w:bodyDiv w:val="1"/>
      <w:marLeft w:val="0"/>
      <w:marRight w:val="0"/>
      <w:marTop w:val="0"/>
      <w:marBottom w:val="0"/>
      <w:divBdr>
        <w:top w:val="none" w:sz="0" w:space="0" w:color="auto"/>
        <w:left w:val="none" w:sz="0" w:space="0" w:color="auto"/>
        <w:bottom w:val="none" w:sz="0" w:space="0" w:color="auto"/>
        <w:right w:val="none" w:sz="0" w:space="0" w:color="auto"/>
      </w:divBdr>
    </w:div>
    <w:div w:id="36400119">
      <w:bodyDiv w:val="1"/>
      <w:marLeft w:val="0"/>
      <w:marRight w:val="0"/>
      <w:marTop w:val="0"/>
      <w:marBottom w:val="0"/>
      <w:divBdr>
        <w:top w:val="none" w:sz="0" w:space="0" w:color="auto"/>
        <w:left w:val="none" w:sz="0" w:space="0" w:color="auto"/>
        <w:bottom w:val="none" w:sz="0" w:space="0" w:color="auto"/>
        <w:right w:val="none" w:sz="0" w:space="0" w:color="auto"/>
      </w:divBdr>
    </w:div>
    <w:div w:id="41102839">
      <w:bodyDiv w:val="1"/>
      <w:marLeft w:val="0"/>
      <w:marRight w:val="0"/>
      <w:marTop w:val="0"/>
      <w:marBottom w:val="0"/>
      <w:divBdr>
        <w:top w:val="none" w:sz="0" w:space="0" w:color="auto"/>
        <w:left w:val="none" w:sz="0" w:space="0" w:color="auto"/>
        <w:bottom w:val="none" w:sz="0" w:space="0" w:color="auto"/>
        <w:right w:val="none" w:sz="0" w:space="0" w:color="auto"/>
      </w:divBdr>
    </w:div>
    <w:div w:id="53281613">
      <w:bodyDiv w:val="1"/>
      <w:marLeft w:val="0"/>
      <w:marRight w:val="0"/>
      <w:marTop w:val="0"/>
      <w:marBottom w:val="0"/>
      <w:divBdr>
        <w:top w:val="none" w:sz="0" w:space="0" w:color="auto"/>
        <w:left w:val="none" w:sz="0" w:space="0" w:color="auto"/>
        <w:bottom w:val="none" w:sz="0" w:space="0" w:color="auto"/>
        <w:right w:val="none" w:sz="0" w:space="0" w:color="auto"/>
      </w:divBdr>
    </w:div>
    <w:div w:id="55016142">
      <w:bodyDiv w:val="1"/>
      <w:marLeft w:val="0"/>
      <w:marRight w:val="0"/>
      <w:marTop w:val="0"/>
      <w:marBottom w:val="0"/>
      <w:divBdr>
        <w:top w:val="none" w:sz="0" w:space="0" w:color="auto"/>
        <w:left w:val="none" w:sz="0" w:space="0" w:color="auto"/>
        <w:bottom w:val="none" w:sz="0" w:space="0" w:color="auto"/>
        <w:right w:val="none" w:sz="0" w:space="0" w:color="auto"/>
      </w:divBdr>
    </w:div>
    <w:div w:id="65150505">
      <w:bodyDiv w:val="1"/>
      <w:marLeft w:val="0"/>
      <w:marRight w:val="0"/>
      <w:marTop w:val="0"/>
      <w:marBottom w:val="0"/>
      <w:divBdr>
        <w:top w:val="none" w:sz="0" w:space="0" w:color="auto"/>
        <w:left w:val="none" w:sz="0" w:space="0" w:color="auto"/>
        <w:bottom w:val="none" w:sz="0" w:space="0" w:color="auto"/>
        <w:right w:val="none" w:sz="0" w:space="0" w:color="auto"/>
      </w:divBdr>
    </w:div>
    <w:div w:id="67240560">
      <w:bodyDiv w:val="1"/>
      <w:marLeft w:val="0"/>
      <w:marRight w:val="0"/>
      <w:marTop w:val="0"/>
      <w:marBottom w:val="0"/>
      <w:divBdr>
        <w:top w:val="none" w:sz="0" w:space="0" w:color="auto"/>
        <w:left w:val="none" w:sz="0" w:space="0" w:color="auto"/>
        <w:bottom w:val="none" w:sz="0" w:space="0" w:color="auto"/>
        <w:right w:val="none" w:sz="0" w:space="0" w:color="auto"/>
      </w:divBdr>
    </w:div>
    <w:div w:id="69694883">
      <w:bodyDiv w:val="1"/>
      <w:marLeft w:val="0"/>
      <w:marRight w:val="0"/>
      <w:marTop w:val="0"/>
      <w:marBottom w:val="0"/>
      <w:divBdr>
        <w:top w:val="none" w:sz="0" w:space="0" w:color="auto"/>
        <w:left w:val="none" w:sz="0" w:space="0" w:color="auto"/>
        <w:bottom w:val="none" w:sz="0" w:space="0" w:color="auto"/>
        <w:right w:val="none" w:sz="0" w:space="0" w:color="auto"/>
      </w:divBdr>
    </w:div>
    <w:div w:id="72091074">
      <w:bodyDiv w:val="1"/>
      <w:marLeft w:val="0"/>
      <w:marRight w:val="0"/>
      <w:marTop w:val="0"/>
      <w:marBottom w:val="0"/>
      <w:divBdr>
        <w:top w:val="none" w:sz="0" w:space="0" w:color="auto"/>
        <w:left w:val="none" w:sz="0" w:space="0" w:color="auto"/>
        <w:bottom w:val="none" w:sz="0" w:space="0" w:color="auto"/>
        <w:right w:val="none" w:sz="0" w:space="0" w:color="auto"/>
      </w:divBdr>
    </w:div>
    <w:div w:id="83652861">
      <w:bodyDiv w:val="1"/>
      <w:marLeft w:val="0"/>
      <w:marRight w:val="0"/>
      <w:marTop w:val="0"/>
      <w:marBottom w:val="0"/>
      <w:divBdr>
        <w:top w:val="none" w:sz="0" w:space="0" w:color="auto"/>
        <w:left w:val="none" w:sz="0" w:space="0" w:color="auto"/>
        <w:bottom w:val="none" w:sz="0" w:space="0" w:color="auto"/>
        <w:right w:val="none" w:sz="0" w:space="0" w:color="auto"/>
      </w:divBdr>
    </w:div>
    <w:div w:id="99958094">
      <w:bodyDiv w:val="1"/>
      <w:marLeft w:val="0"/>
      <w:marRight w:val="0"/>
      <w:marTop w:val="0"/>
      <w:marBottom w:val="0"/>
      <w:divBdr>
        <w:top w:val="none" w:sz="0" w:space="0" w:color="auto"/>
        <w:left w:val="none" w:sz="0" w:space="0" w:color="auto"/>
        <w:bottom w:val="none" w:sz="0" w:space="0" w:color="auto"/>
        <w:right w:val="none" w:sz="0" w:space="0" w:color="auto"/>
      </w:divBdr>
    </w:div>
    <w:div w:id="100415675">
      <w:bodyDiv w:val="1"/>
      <w:marLeft w:val="0"/>
      <w:marRight w:val="0"/>
      <w:marTop w:val="0"/>
      <w:marBottom w:val="0"/>
      <w:divBdr>
        <w:top w:val="none" w:sz="0" w:space="0" w:color="auto"/>
        <w:left w:val="none" w:sz="0" w:space="0" w:color="auto"/>
        <w:bottom w:val="none" w:sz="0" w:space="0" w:color="auto"/>
        <w:right w:val="none" w:sz="0" w:space="0" w:color="auto"/>
      </w:divBdr>
    </w:div>
    <w:div w:id="112526933">
      <w:bodyDiv w:val="1"/>
      <w:marLeft w:val="0"/>
      <w:marRight w:val="0"/>
      <w:marTop w:val="0"/>
      <w:marBottom w:val="0"/>
      <w:divBdr>
        <w:top w:val="none" w:sz="0" w:space="0" w:color="auto"/>
        <w:left w:val="none" w:sz="0" w:space="0" w:color="auto"/>
        <w:bottom w:val="none" w:sz="0" w:space="0" w:color="auto"/>
        <w:right w:val="none" w:sz="0" w:space="0" w:color="auto"/>
      </w:divBdr>
    </w:div>
    <w:div w:id="112943691">
      <w:bodyDiv w:val="1"/>
      <w:marLeft w:val="0"/>
      <w:marRight w:val="0"/>
      <w:marTop w:val="0"/>
      <w:marBottom w:val="0"/>
      <w:divBdr>
        <w:top w:val="none" w:sz="0" w:space="0" w:color="auto"/>
        <w:left w:val="none" w:sz="0" w:space="0" w:color="auto"/>
        <w:bottom w:val="none" w:sz="0" w:space="0" w:color="auto"/>
        <w:right w:val="none" w:sz="0" w:space="0" w:color="auto"/>
      </w:divBdr>
    </w:div>
    <w:div w:id="132792457">
      <w:bodyDiv w:val="1"/>
      <w:marLeft w:val="0"/>
      <w:marRight w:val="0"/>
      <w:marTop w:val="0"/>
      <w:marBottom w:val="0"/>
      <w:divBdr>
        <w:top w:val="none" w:sz="0" w:space="0" w:color="auto"/>
        <w:left w:val="none" w:sz="0" w:space="0" w:color="auto"/>
        <w:bottom w:val="none" w:sz="0" w:space="0" w:color="auto"/>
        <w:right w:val="none" w:sz="0" w:space="0" w:color="auto"/>
      </w:divBdr>
    </w:div>
    <w:div w:id="141243291">
      <w:bodyDiv w:val="1"/>
      <w:marLeft w:val="0"/>
      <w:marRight w:val="0"/>
      <w:marTop w:val="0"/>
      <w:marBottom w:val="0"/>
      <w:divBdr>
        <w:top w:val="none" w:sz="0" w:space="0" w:color="auto"/>
        <w:left w:val="none" w:sz="0" w:space="0" w:color="auto"/>
        <w:bottom w:val="none" w:sz="0" w:space="0" w:color="auto"/>
        <w:right w:val="none" w:sz="0" w:space="0" w:color="auto"/>
      </w:divBdr>
    </w:div>
    <w:div w:id="144244819">
      <w:bodyDiv w:val="1"/>
      <w:marLeft w:val="0"/>
      <w:marRight w:val="0"/>
      <w:marTop w:val="0"/>
      <w:marBottom w:val="0"/>
      <w:divBdr>
        <w:top w:val="none" w:sz="0" w:space="0" w:color="auto"/>
        <w:left w:val="none" w:sz="0" w:space="0" w:color="auto"/>
        <w:bottom w:val="none" w:sz="0" w:space="0" w:color="auto"/>
        <w:right w:val="none" w:sz="0" w:space="0" w:color="auto"/>
      </w:divBdr>
    </w:div>
    <w:div w:id="176383975">
      <w:bodyDiv w:val="1"/>
      <w:marLeft w:val="0"/>
      <w:marRight w:val="0"/>
      <w:marTop w:val="0"/>
      <w:marBottom w:val="0"/>
      <w:divBdr>
        <w:top w:val="none" w:sz="0" w:space="0" w:color="auto"/>
        <w:left w:val="none" w:sz="0" w:space="0" w:color="auto"/>
        <w:bottom w:val="none" w:sz="0" w:space="0" w:color="auto"/>
        <w:right w:val="none" w:sz="0" w:space="0" w:color="auto"/>
      </w:divBdr>
    </w:div>
    <w:div w:id="177281708">
      <w:bodyDiv w:val="1"/>
      <w:marLeft w:val="0"/>
      <w:marRight w:val="0"/>
      <w:marTop w:val="0"/>
      <w:marBottom w:val="0"/>
      <w:divBdr>
        <w:top w:val="none" w:sz="0" w:space="0" w:color="auto"/>
        <w:left w:val="none" w:sz="0" w:space="0" w:color="auto"/>
        <w:bottom w:val="none" w:sz="0" w:space="0" w:color="auto"/>
        <w:right w:val="none" w:sz="0" w:space="0" w:color="auto"/>
      </w:divBdr>
    </w:div>
    <w:div w:id="179512026">
      <w:bodyDiv w:val="1"/>
      <w:marLeft w:val="0"/>
      <w:marRight w:val="0"/>
      <w:marTop w:val="0"/>
      <w:marBottom w:val="0"/>
      <w:divBdr>
        <w:top w:val="none" w:sz="0" w:space="0" w:color="auto"/>
        <w:left w:val="none" w:sz="0" w:space="0" w:color="auto"/>
        <w:bottom w:val="none" w:sz="0" w:space="0" w:color="auto"/>
        <w:right w:val="none" w:sz="0" w:space="0" w:color="auto"/>
      </w:divBdr>
    </w:div>
    <w:div w:id="198321198">
      <w:bodyDiv w:val="1"/>
      <w:marLeft w:val="0"/>
      <w:marRight w:val="0"/>
      <w:marTop w:val="0"/>
      <w:marBottom w:val="0"/>
      <w:divBdr>
        <w:top w:val="none" w:sz="0" w:space="0" w:color="auto"/>
        <w:left w:val="none" w:sz="0" w:space="0" w:color="auto"/>
        <w:bottom w:val="none" w:sz="0" w:space="0" w:color="auto"/>
        <w:right w:val="none" w:sz="0" w:space="0" w:color="auto"/>
      </w:divBdr>
    </w:div>
    <w:div w:id="220872549">
      <w:bodyDiv w:val="1"/>
      <w:marLeft w:val="0"/>
      <w:marRight w:val="0"/>
      <w:marTop w:val="0"/>
      <w:marBottom w:val="0"/>
      <w:divBdr>
        <w:top w:val="none" w:sz="0" w:space="0" w:color="auto"/>
        <w:left w:val="none" w:sz="0" w:space="0" w:color="auto"/>
        <w:bottom w:val="none" w:sz="0" w:space="0" w:color="auto"/>
        <w:right w:val="none" w:sz="0" w:space="0" w:color="auto"/>
      </w:divBdr>
    </w:div>
    <w:div w:id="239605184">
      <w:bodyDiv w:val="1"/>
      <w:marLeft w:val="0"/>
      <w:marRight w:val="0"/>
      <w:marTop w:val="0"/>
      <w:marBottom w:val="0"/>
      <w:divBdr>
        <w:top w:val="none" w:sz="0" w:space="0" w:color="auto"/>
        <w:left w:val="none" w:sz="0" w:space="0" w:color="auto"/>
        <w:bottom w:val="none" w:sz="0" w:space="0" w:color="auto"/>
        <w:right w:val="none" w:sz="0" w:space="0" w:color="auto"/>
      </w:divBdr>
    </w:div>
    <w:div w:id="239684278">
      <w:bodyDiv w:val="1"/>
      <w:marLeft w:val="0"/>
      <w:marRight w:val="0"/>
      <w:marTop w:val="0"/>
      <w:marBottom w:val="0"/>
      <w:divBdr>
        <w:top w:val="none" w:sz="0" w:space="0" w:color="auto"/>
        <w:left w:val="none" w:sz="0" w:space="0" w:color="auto"/>
        <w:bottom w:val="none" w:sz="0" w:space="0" w:color="auto"/>
        <w:right w:val="none" w:sz="0" w:space="0" w:color="auto"/>
      </w:divBdr>
    </w:div>
    <w:div w:id="240531394">
      <w:bodyDiv w:val="1"/>
      <w:marLeft w:val="0"/>
      <w:marRight w:val="0"/>
      <w:marTop w:val="0"/>
      <w:marBottom w:val="0"/>
      <w:divBdr>
        <w:top w:val="none" w:sz="0" w:space="0" w:color="auto"/>
        <w:left w:val="none" w:sz="0" w:space="0" w:color="auto"/>
        <w:bottom w:val="none" w:sz="0" w:space="0" w:color="auto"/>
        <w:right w:val="none" w:sz="0" w:space="0" w:color="auto"/>
      </w:divBdr>
    </w:div>
    <w:div w:id="240649160">
      <w:bodyDiv w:val="1"/>
      <w:marLeft w:val="0"/>
      <w:marRight w:val="0"/>
      <w:marTop w:val="0"/>
      <w:marBottom w:val="0"/>
      <w:divBdr>
        <w:top w:val="none" w:sz="0" w:space="0" w:color="auto"/>
        <w:left w:val="none" w:sz="0" w:space="0" w:color="auto"/>
        <w:bottom w:val="none" w:sz="0" w:space="0" w:color="auto"/>
        <w:right w:val="none" w:sz="0" w:space="0" w:color="auto"/>
      </w:divBdr>
    </w:div>
    <w:div w:id="251469864">
      <w:bodyDiv w:val="1"/>
      <w:marLeft w:val="0"/>
      <w:marRight w:val="0"/>
      <w:marTop w:val="0"/>
      <w:marBottom w:val="0"/>
      <w:divBdr>
        <w:top w:val="none" w:sz="0" w:space="0" w:color="auto"/>
        <w:left w:val="none" w:sz="0" w:space="0" w:color="auto"/>
        <w:bottom w:val="none" w:sz="0" w:space="0" w:color="auto"/>
        <w:right w:val="none" w:sz="0" w:space="0" w:color="auto"/>
      </w:divBdr>
    </w:div>
    <w:div w:id="255404554">
      <w:bodyDiv w:val="1"/>
      <w:marLeft w:val="0"/>
      <w:marRight w:val="0"/>
      <w:marTop w:val="0"/>
      <w:marBottom w:val="0"/>
      <w:divBdr>
        <w:top w:val="none" w:sz="0" w:space="0" w:color="auto"/>
        <w:left w:val="none" w:sz="0" w:space="0" w:color="auto"/>
        <w:bottom w:val="none" w:sz="0" w:space="0" w:color="auto"/>
        <w:right w:val="none" w:sz="0" w:space="0" w:color="auto"/>
      </w:divBdr>
    </w:div>
    <w:div w:id="257064155">
      <w:bodyDiv w:val="1"/>
      <w:marLeft w:val="0"/>
      <w:marRight w:val="0"/>
      <w:marTop w:val="0"/>
      <w:marBottom w:val="0"/>
      <w:divBdr>
        <w:top w:val="none" w:sz="0" w:space="0" w:color="auto"/>
        <w:left w:val="none" w:sz="0" w:space="0" w:color="auto"/>
        <w:bottom w:val="none" w:sz="0" w:space="0" w:color="auto"/>
        <w:right w:val="none" w:sz="0" w:space="0" w:color="auto"/>
      </w:divBdr>
    </w:div>
    <w:div w:id="284392711">
      <w:bodyDiv w:val="1"/>
      <w:marLeft w:val="0"/>
      <w:marRight w:val="0"/>
      <w:marTop w:val="0"/>
      <w:marBottom w:val="0"/>
      <w:divBdr>
        <w:top w:val="none" w:sz="0" w:space="0" w:color="auto"/>
        <w:left w:val="none" w:sz="0" w:space="0" w:color="auto"/>
        <w:bottom w:val="none" w:sz="0" w:space="0" w:color="auto"/>
        <w:right w:val="none" w:sz="0" w:space="0" w:color="auto"/>
      </w:divBdr>
    </w:div>
    <w:div w:id="303589234">
      <w:bodyDiv w:val="1"/>
      <w:marLeft w:val="0"/>
      <w:marRight w:val="0"/>
      <w:marTop w:val="0"/>
      <w:marBottom w:val="0"/>
      <w:divBdr>
        <w:top w:val="none" w:sz="0" w:space="0" w:color="auto"/>
        <w:left w:val="none" w:sz="0" w:space="0" w:color="auto"/>
        <w:bottom w:val="none" w:sz="0" w:space="0" w:color="auto"/>
        <w:right w:val="none" w:sz="0" w:space="0" w:color="auto"/>
      </w:divBdr>
    </w:div>
    <w:div w:id="317005482">
      <w:bodyDiv w:val="1"/>
      <w:marLeft w:val="0"/>
      <w:marRight w:val="0"/>
      <w:marTop w:val="0"/>
      <w:marBottom w:val="0"/>
      <w:divBdr>
        <w:top w:val="none" w:sz="0" w:space="0" w:color="auto"/>
        <w:left w:val="none" w:sz="0" w:space="0" w:color="auto"/>
        <w:bottom w:val="none" w:sz="0" w:space="0" w:color="auto"/>
        <w:right w:val="none" w:sz="0" w:space="0" w:color="auto"/>
      </w:divBdr>
    </w:div>
    <w:div w:id="334572929">
      <w:bodyDiv w:val="1"/>
      <w:marLeft w:val="0"/>
      <w:marRight w:val="0"/>
      <w:marTop w:val="0"/>
      <w:marBottom w:val="0"/>
      <w:divBdr>
        <w:top w:val="none" w:sz="0" w:space="0" w:color="auto"/>
        <w:left w:val="none" w:sz="0" w:space="0" w:color="auto"/>
        <w:bottom w:val="none" w:sz="0" w:space="0" w:color="auto"/>
        <w:right w:val="none" w:sz="0" w:space="0" w:color="auto"/>
      </w:divBdr>
    </w:div>
    <w:div w:id="340012044">
      <w:bodyDiv w:val="1"/>
      <w:marLeft w:val="0"/>
      <w:marRight w:val="0"/>
      <w:marTop w:val="0"/>
      <w:marBottom w:val="0"/>
      <w:divBdr>
        <w:top w:val="none" w:sz="0" w:space="0" w:color="auto"/>
        <w:left w:val="none" w:sz="0" w:space="0" w:color="auto"/>
        <w:bottom w:val="none" w:sz="0" w:space="0" w:color="auto"/>
        <w:right w:val="none" w:sz="0" w:space="0" w:color="auto"/>
      </w:divBdr>
    </w:div>
    <w:div w:id="340087641">
      <w:bodyDiv w:val="1"/>
      <w:marLeft w:val="0"/>
      <w:marRight w:val="0"/>
      <w:marTop w:val="0"/>
      <w:marBottom w:val="0"/>
      <w:divBdr>
        <w:top w:val="none" w:sz="0" w:space="0" w:color="auto"/>
        <w:left w:val="none" w:sz="0" w:space="0" w:color="auto"/>
        <w:bottom w:val="none" w:sz="0" w:space="0" w:color="auto"/>
        <w:right w:val="none" w:sz="0" w:space="0" w:color="auto"/>
      </w:divBdr>
    </w:div>
    <w:div w:id="355614950">
      <w:bodyDiv w:val="1"/>
      <w:marLeft w:val="0"/>
      <w:marRight w:val="0"/>
      <w:marTop w:val="0"/>
      <w:marBottom w:val="0"/>
      <w:divBdr>
        <w:top w:val="none" w:sz="0" w:space="0" w:color="auto"/>
        <w:left w:val="none" w:sz="0" w:space="0" w:color="auto"/>
        <w:bottom w:val="none" w:sz="0" w:space="0" w:color="auto"/>
        <w:right w:val="none" w:sz="0" w:space="0" w:color="auto"/>
      </w:divBdr>
    </w:div>
    <w:div w:id="358436226">
      <w:bodyDiv w:val="1"/>
      <w:marLeft w:val="0"/>
      <w:marRight w:val="0"/>
      <w:marTop w:val="0"/>
      <w:marBottom w:val="0"/>
      <w:divBdr>
        <w:top w:val="none" w:sz="0" w:space="0" w:color="auto"/>
        <w:left w:val="none" w:sz="0" w:space="0" w:color="auto"/>
        <w:bottom w:val="none" w:sz="0" w:space="0" w:color="auto"/>
        <w:right w:val="none" w:sz="0" w:space="0" w:color="auto"/>
      </w:divBdr>
    </w:div>
    <w:div w:id="359674158">
      <w:bodyDiv w:val="1"/>
      <w:marLeft w:val="0"/>
      <w:marRight w:val="0"/>
      <w:marTop w:val="0"/>
      <w:marBottom w:val="0"/>
      <w:divBdr>
        <w:top w:val="none" w:sz="0" w:space="0" w:color="auto"/>
        <w:left w:val="none" w:sz="0" w:space="0" w:color="auto"/>
        <w:bottom w:val="none" w:sz="0" w:space="0" w:color="auto"/>
        <w:right w:val="none" w:sz="0" w:space="0" w:color="auto"/>
      </w:divBdr>
    </w:div>
    <w:div w:id="363796596">
      <w:bodyDiv w:val="1"/>
      <w:marLeft w:val="0"/>
      <w:marRight w:val="0"/>
      <w:marTop w:val="0"/>
      <w:marBottom w:val="0"/>
      <w:divBdr>
        <w:top w:val="none" w:sz="0" w:space="0" w:color="auto"/>
        <w:left w:val="none" w:sz="0" w:space="0" w:color="auto"/>
        <w:bottom w:val="none" w:sz="0" w:space="0" w:color="auto"/>
        <w:right w:val="none" w:sz="0" w:space="0" w:color="auto"/>
      </w:divBdr>
    </w:div>
    <w:div w:id="366292745">
      <w:bodyDiv w:val="1"/>
      <w:marLeft w:val="0"/>
      <w:marRight w:val="0"/>
      <w:marTop w:val="0"/>
      <w:marBottom w:val="0"/>
      <w:divBdr>
        <w:top w:val="none" w:sz="0" w:space="0" w:color="auto"/>
        <w:left w:val="none" w:sz="0" w:space="0" w:color="auto"/>
        <w:bottom w:val="none" w:sz="0" w:space="0" w:color="auto"/>
        <w:right w:val="none" w:sz="0" w:space="0" w:color="auto"/>
      </w:divBdr>
    </w:div>
    <w:div w:id="368576189">
      <w:bodyDiv w:val="1"/>
      <w:marLeft w:val="0"/>
      <w:marRight w:val="0"/>
      <w:marTop w:val="0"/>
      <w:marBottom w:val="0"/>
      <w:divBdr>
        <w:top w:val="none" w:sz="0" w:space="0" w:color="auto"/>
        <w:left w:val="none" w:sz="0" w:space="0" w:color="auto"/>
        <w:bottom w:val="none" w:sz="0" w:space="0" w:color="auto"/>
        <w:right w:val="none" w:sz="0" w:space="0" w:color="auto"/>
      </w:divBdr>
    </w:div>
    <w:div w:id="370804839">
      <w:bodyDiv w:val="1"/>
      <w:marLeft w:val="0"/>
      <w:marRight w:val="0"/>
      <w:marTop w:val="0"/>
      <w:marBottom w:val="0"/>
      <w:divBdr>
        <w:top w:val="none" w:sz="0" w:space="0" w:color="auto"/>
        <w:left w:val="none" w:sz="0" w:space="0" w:color="auto"/>
        <w:bottom w:val="none" w:sz="0" w:space="0" w:color="auto"/>
        <w:right w:val="none" w:sz="0" w:space="0" w:color="auto"/>
      </w:divBdr>
    </w:div>
    <w:div w:id="382870823">
      <w:bodyDiv w:val="1"/>
      <w:marLeft w:val="0"/>
      <w:marRight w:val="0"/>
      <w:marTop w:val="0"/>
      <w:marBottom w:val="0"/>
      <w:divBdr>
        <w:top w:val="none" w:sz="0" w:space="0" w:color="auto"/>
        <w:left w:val="none" w:sz="0" w:space="0" w:color="auto"/>
        <w:bottom w:val="none" w:sz="0" w:space="0" w:color="auto"/>
        <w:right w:val="none" w:sz="0" w:space="0" w:color="auto"/>
      </w:divBdr>
    </w:div>
    <w:div w:id="388308846">
      <w:bodyDiv w:val="1"/>
      <w:marLeft w:val="0"/>
      <w:marRight w:val="0"/>
      <w:marTop w:val="0"/>
      <w:marBottom w:val="0"/>
      <w:divBdr>
        <w:top w:val="none" w:sz="0" w:space="0" w:color="auto"/>
        <w:left w:val="none" w:sz="0" w:space="0" w:color="auto"/>
        <w:bottom w:val="none" w:sz="0" w:space="0" w:color="auto"/>
        <w:right w:val="none" w:sz="0" w:space="0" w:color="auto"/>
      </w:divBdr>
    </w:div>
    <w:div w:id="392198883">
      <w:bodyDiv w:val="1"/>
      <w:marLeft w:val="0"/>
      <w:marRight w:val="0"/>
      <w:marTop w:val="0"/>
      <w:marBottom w:val="0"/>
      <w:divBdr>
        <w:top w:val="none" w:sz="0" w:space="0" w:color="auto"/>
        <w:left w:val="none" w:sz="0" w:space="0" w:color="auto"/>
        <w:bottom w:val="none" w:sz="0" w:space="0" w:color="auto"/>
        <w:right w:val="none" w:sz="0" w:space="0" w:color="auto"/>
      </w:divBdr>
    </w:div>
    <w:div w:id="403452250">
      <w:bodyDiv w:val="1"/>
      <w:marLeft w:val="0"/>
      <w:marRight w:val="0"/>
      <w:marTop w:val="0"/>
      <w:marBottom w:val="0"/>
      <w:divBdr>
        <w:top w:val="none" w:sz="0" w:space="0" w:color="auto"/>
        <w:left w:val="none" w:sz="0" w:space="0" w:color="auto"/>
        <w:bottom w:val="none" w:sz="0" w:space="0" w:color="auto"/>
        <w:right w:val="none" w:sz="0" w:space="0" w:color="auto"/>
      </w:divBdr>
    </w:div>
    <w:div w:id="407192575">
      <w:bodyDiv w:val="1"/>
      <w:marLeft w:val="0"/>
      <w:marRight w:val="0"/>
      <w:marTop w:val="0"/>
      <w:marBottom w:val="0"/>
      <w:divBdr>
        <w:top w:val="none" w:sz="0" w:space="0" w:color="auto"/>
        <w:left w:val="none" w:sz="0" w:space="0" w:color="auto"/>
        <w:bottom w:val="none" w:sz="0" w:space="0" w:color="auto"/>
        <w:right w:val="none" w:sz="0" w:space="0" w:color="auto"/>
      </w:divBdr>
    </w:div>
    <w:div w:id="409697701">
      <w:bodyDiv w:val="1"/>
      <w:marLeft w:val="0"/>
      <w:marRight w:val="0"/>
      <w:marTop w:val="0"/>
      <w:marBottom w:val="0"/>
      <w:divBdr>
        <w:top w:val="none" w:sz="0" w:space="0" w:color="auto"/>
        <w:left w:val="none" w:sz="0" w:space="0" w:color="auto"/>
        <w:bottom w:val="none" w:sz="0" w:space="0" w:color="auto"/>
        <w:right w:val="none" w:sz="0" w:space="0" w:color="auto"/>
      </w:divBdr>
    </w:div>
    <w:div w:id="413167103">
      <w:bodyDiv w:val="1"/>
      <w:marLeft w:val="0"/>
      <w:marRight w:val="0"/>
      <w:marTop w:val="0"/>
      <w:marBottom w:val="0"/>
      <w:divBdr>
        <w:top w:val="none" w:sz="0" w:space="0" w:color="auto"/>
        <w:left w:val="none" w:sz="0" w:space="0" w:color="auto"/>
        <w:bottom w:val="none" w:sz="0" w:space="0" w:color="auto"/>
        <w:right w:val="none" w:sz="0" w:space="0" w:color="auto"/>
      </w:divBdr>
    </w:div>
    <w:div w:id="421337785">
      <w:bodyDiv w:val="1"/>
      <w:marLeft w:val="0"/>
      <w:marRight w:val="0"/>
      <w:marTop w:val="0"/>
      <w:marBottom w:val="0"/>
      <w:divBdr>
        <w:top w:val="none" w:sz="0" w:space="0" w:color="auto"/>
        <w:left w:val="none" w:sz="0" w:space="0" w:color="auto"/>
        <w:bottom w:val="none" w:sz="0" w:space="0" w:color="auto"/>
        <w:right w:val="none" w:sz="0" w:space="0" w:color="auto"/>
      </w:divBdr>
    </w:div>
    <w:div w:id="430703879">
      <w:bodyDiv w:val="1"/>
      <w:marLeft w:val="0"/>
      <w:marRight w:val="0"/>
      <w:marTop w:val="0"/>
      <w:marBottom w:val="0"/>
      <w:divBdr>
        <w:top w:val="none" w:sz="0" w:space="0" w:color="auto"/>
        <w:left w:val="none" w:sz="0" w:space="0" w:color="auto"/>
        <w:bottom w:val="none" w:sz="0" w:space="0" w:color="auto"/>
        <w:right w:val="none" w:sz="0" w:space="0" w:color="auto"/>
      </w:divBdr>
    </w:div>
    <w:div w:id="430854683">
      <w:bodyDiv w:val="1"/>
      <w:marLeft w:val="0"/>
      <w:marRight w:val="0"/>
      <w:marTop w:val="0"/>
      <w:marBottom w:val="0"/>
      <w:divBdr>
        <w:top w:val="none" w:sz="0" w:space="0" w:color="auto"/>
        <w:left w:val="none" w:sz="0" w:space="0" w:color="auto"/>
        <w:bottom w:val="none" w:sz="0" w:space="0" w:color="auto"/>
        <w:right w:val="none" w:sz="0" w:space="0" w:color="auto"/>
      </w:divBdr>
    </w:div>
    <w:div w:id="459149233">
      <w:bodyDiv w:val="1"/>
      <w:marLeft w:val="0"/>
      <w:marRight w:val="0"/>
      <w:marTop w:val="0"/>
      <w:marBottom w:val="0"/>
      <w:divBdr>
        <w:top w:val="none" w:sz="0" w:space="0" w:color="auto"/>
        <w:left w:val="none" w:sz="0" w:space="0" w:color="auto"/>
        <w:bottom w:val="none" w:sz="0" w:space="0" w:color="auto"/>
        <w:right w:val="none" w:sz="0" w:space="0" w:color="auto"/>
      </w:divBdr>
      <w:divsChild>
        <w:div w:id="1352875463">
          <w:marLeft w:val="0"/>
          <w:marRight w:val="0"/>
          <w:marTop w:val="0"/>
          <w:marBottom w:val="0"/>
          <w:divBdr>
            <w:top w:val="none" w:sz="0" w:space="0" w:color="auto"/>
            <w:left w:val="none" w:sz="0" w:space="0" w:color="auto"/>
            <w:bottom w:val="none" w:sz="0" w:space="0" w:color="auto"/>
            <w:right w:val="none" w:sz="0" w:space="0" w:color="auto"/>
          </w:divBdr>
        </w:div>
      </w:divsChild>
    </w:div>
    <w:div w:id="467431237">
      <w:bodyDiv w:val="1"/>
      <w:marLeft w:val="0"/>
      <w:marRight w:val="0"/>
      <w:marTop w:val="0"/>
      <w:marBottom w:val="0"/>
      <w:divBdr>
        <w:top w:val="none" w:sz="0" w:space="0" w:color="auto"/>
        <w:left w:val="none" w:sz="0" w:space="0" w:color="auto"/>
        <w:bottom w:val="none" w:sz="0" w:space="0" w:color="auto"/>
        <w:right w:val="none" w:sz="0" w:space="0" w:color="auto"/>
      </w:divBdr>
    </w:div>
    <w:div w:id="472529130">
      <w:bodyDiv w:val="1"/>
      <w:marLeft w:val="0"/>
      <w:marRight w:val="0"/>
      <w:marTop w:val="0"/>
      <w:marBottom w:val="0"/>
      <w:divBdr>
        <w:top w:val="none" w:sz="0" w:space="0" w:color="auto"/>
        <w:left w:val="none" w:sz="0" w:space="0" w:color="auto"/>
        <w:bottom w:val="none" w:sz="0" w:space="0" w:color="auto"/>
        <w:right w:val="none" w:sz="0" w:space="0" w:color="auto"/>
      </w:divBdr>
    </w:div>
    <w:div w:id="480926656">
      <w:bodyDiv w:val="1"/>
      <w:marLeft w:val="0"/>
      <w:marRight w:val="0"/>
      <w:marTop w:val="0"/>
      <w:marBottom w:val="0"/>
      <w:divBdr>
        <w:top w:val="none" w:sz="0" w:space="0" w:color="auto"/>
        <w:left w:val="none" w:sz="0" w:space="0" w:color="auto"/>
        <w:bottom w:val="none" w:sz="0" w:space="0" w:color="auto"/>
        <w:right w:val="none" w:sz="0" w:space="0" w:color="auto"/>
      </w:divBdr>
    </w:div>
    <w:div w:id="486940887">
      <w:bodyDiv w:val="1"/>
      <w:marLeft w:val="0"/>
      <w:marRight w:val="0"/>
      <w:marTop w:val="0"/>
      <w:marBottom w:val="0"/>
      <w:divBdr>
        <w:top w:val="none" w:sz="0" w:space="0" w:color="auto"/>
        <w:left w:val="none" w:sz="0" w:space="0" w:color="auto"/>
        <w:bottom w:val="none" w:sz="0" w:space="0" w:color="auto"/>
        <w:right w:val="none" w:sz="0" w:space="0" w:color="auto"/>
      </w:divBdr>
    </w:div>
    <w:div w:id="492717922">
      <w:bodyDiv w:val="1"/>
      <w:marLeft w:val="0"/>
      <w:marRight w:val="0"/>
      <w:marTop w:val="0"/>
      <w:marBottom w:val="0"/>
      <w:divBdr>
        <w:top w:val="none" w:sz="0" w:space="0" w:color="auto"/>
        <w:left w:val="none" w:sz="0" w:space="0" w:color="auto"/>
        <w:bottom w:val="none" w:sz="0" w:space="0" w:color="auto"/>
        <w:right w:val="none" w:sz="0" w:space="0" w:color="auto"/>
      </w:divBdr>
    </w:div>
    <w:div w:id="492914989">
      <w:bodyDiv w:val="1"/>
      <w:marLeft w:val="0"/>
      <w:marRight w:val="0"/>
      <w:marTop w:val="0"/>
      <w:marBottom w:val="0"/>
      <w:divBdr>
        <w:top w:val="none" w:sz="0" w:space="0" w:color="auto"/>
        <w:left w:val="none" w:sz="0" w:space="0" w:color="auto"/>
        <w:bottom w:val="none" w:sz="0" w:space="0" w:color="auto"/>
        <w:right w:val="none" w:sz="0" w:space="0" w:color="auto"/>
      </w:divBdr>
    </w:div>
    <w:div w:id="497041440">
      <w:bodyDiv w:val="1"/>
      <w:marLeft w:val="0"/>
      <w:marRight w:val="0"/>
      <w:marTop w:val="0"/>
      <w:marBottom w:val="0"/>
      <w:divBdr>
        <w:top w:val="none" w:sz="0" w:space="0" w:color="auto"/>
        <w:left w:val="none" w:sz="0" w:space="0" w:color="auto"/>
        <w:bottom w:val="none" w:sz="0" w:space="0" w:color="auto"/>
        <w:right w:val="none" w:sz="0" w:space="0" w:color="auto"/>
      </w:divBdr>
    </w:div>
    <w:div w:id="498034362">
      <w:bodyDiv w:val="1"/>
      <w:marLeft w:val="0"/>
      <w:marRight w:val="0"/>
      <w:marTop w:val="0"/>
      <w:marBottom w:val="0"/>
      <w:divBdr>
        <w:top w:val="none" w:sz="0" w:space="0" w:color="auto"/>
        <w:left w:val="none" w:sz="0" w:space="0" w:color="auto"/>
        <w:bottom w:val="none" w:sz="0" w:space="0" w:color="auto"/>
        <w:right w:val="none" w:sz="0" w:space="0" w:color="auto"/>
      </w:divBdr>
    </w:div>
    <w:div w:id="508495458">
      <w:bodyDiv w:val="1"/>
      <w:marLeft w:val="0"/>
      <w:marRight w:val="0"/>
      <w:marTop w:val="0"/>
      <w:marBottom w:val="0"/>
      <w:divBdr>
        <w:top w:val="none" w:sz="0" w:space="0" w:color="auto"/>
        <w:left w:val="none" w:sz="0" w:space="0" w:color="auto"/>
        <w:bottom w:val="none" w:sz="0" w:space="0" w:color="auto"/>
        <w:right w:val="none" w:sz="0" w:space="0" w:color="auto"/>
      </w:divBdr>
    </w:div>
    <w:div w:id="512039969">
      <w:bodyDiv w:val="1"/>
      <w:marLeft w:val="0"/>
      <w:marRight w:val="0"/>
      <w:marTop w:val="0"/>
      <w:marBottom w:val="0"/>
      <w:divBdr>
        <w:top w:val="none" w:sz="0" w:space="0" w:color="auto"/>
        <w:left w:val="none" w:sz="0" w:space="0" w:color="auto"/>
        <w:bottom w:val="none" w:sz="0" w:space="0" w:color="auto"/>
        <w:right w:val="none" w:sz="0" w:space="0" w:color="auto"/>
      </w:divBdr>
      <w:divsChild>
        <w:div w:id="1196885897">
          <w:marLeft w:val="0"/>
          <w:marRight w:val="0"/>
          <w:marTop w:val="0"/>
          <w:marBottom w:val="0"/>
          <w:divBdr>
            <w:top w:val="none" w:sz="0" w:space="0" w:color="auto"/>
            <w:left w:val="none" w:sz="0" w:space="0" w:color="auto"/>
            <w:bottom w:val="none" w:sz="0" w:space="0" w:color="auto"/>
            <w:right w:val="none" w:sz="0" w:space="0" w:color="auto"/>
          </w:divBdr>
          <w:divsChild>
            <w:div w:id="946081294">
              <w:marLeft w:val="0"/>
              <w:marRight w:val="0"/>
              <w:marTop w:val="0"/>
              <w:marBottom w:val="0"/>
              <w:divBdr>
                <w:top w:val="none" w:sz="0" w:space="0" w:color="auto"/>
                <w:left w:val="none" w:sz="0" w:space="0" w:color="auto"/>
                <w:bottom w:val="none" w:sz="0" w:space="0" w:color="auto"/>
                <w:right w:val="none" w:sz="0" w:space="0" w:color="auto"/>
              </w:divBdr>
              <w:divsChild>
                <w:div w:id="991569620">
                  <w:marLeft w:val="0"/>
                  <w:marRight w:val="0"/>
                  <w:marTop w:val="0"/>
                  <w:marBottom w:val="0"/>
                  <w:divBdr>
                    <w:top w:val="none" w:sz="0" w:space="0" w:color="auto"/>
                    <w:left w:val="none" w:sz="0" w:space="0" w:color="auto"/>
                    <w:bottom w:val="none" w:sz="0" w:space="0" w:color="auto"/>
                    <w:right w:val="none" w:sz="0" w:space="0" w:color="auto"/>
                  </w:divBdr>
                  <w:divsChild>
                    <w:div w:id="2066681808">
                      <w:marLeft w:val="0"/>
                      <w:marRight w:val="0"/>
                      <w:marTop w:val="0"/>
                      <w:marBottom w:val="0"/>
                      <w:divBdr>
                        <w:top w:val="none" w:sz="0" w:space="0" w:color="auto"/>
                        <w:left w:val="none" w:sz="0" w:space="0" w:color="auto"/>
                        <w:bottom w:val="none" w:sz="0" w:space="0" w:color="auto"/>
                        <w:right w:val="none" w:sz="0" w:space="0" w:color="auto"/>
                      </w:divBdr>
                      <w:divsChild>
                        <w:div w:id="5138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179880">
      <w:bodyDiv w:val="1"/>
      <w:marLeft w:val="0"/>
      <w:marRight w:val="0"/>
      <w:marTop w:val="0"/>
      <w:marBottom w:val="0"/>
      <w:divBdr>
        <w:top w:val="none" w:sz="0" w:space="0" w:color="auto"/>
        <w:left w:val="none" w:sz="0" w:space="0" w:color="auto"/>
        <w:bottom w:val="none" w:sz="0" w:space="0" w:color="auto"/>
        <w:right w:val="none" w:sz="0" w:space="0" w:color="auto"/>
      </w:divBdr>
    </w:div>
    <w:div w:id="525756291">
      <w:bodyDiv w:val="1"/>
      <w:marLeft w:val="0"/>
      <w:marRight w:val="0"/>
      <w:marTop w:val="0"/>
      <w:marBottom w:val="0"/>
      <w:divBdr>
        <w:top w:val="none" w:sz="0" w:space="0" w:color="auto"/>
        <w:left w:val="none" w:sz="0" w:space="0" w:color="auto"/>
        <w:bottom w:val="none" w:sz="0" w:space="0" w:color="auto"/>
        <w:right w:val="none" w:sz="0" w:space="0" w:color="auto"/>
      </w:divBdr>
    </w:div>
    <w:div w:id="526330191">
      <w:bodyDiv w:val="1"/>
      <w:marLeft w:val="0"/>
      <w:marRight w:val="0"/>
      <w:marTop w:val="0"/>
      <w:marBottom w:val="0"/>
      <w:divBdr>
        <w:top w:val="none" w:sz="0" w:space="0" w:color="auto"/>
        <w:left w:val="none" w:sz="0" w:space="0" w:color="auto"/>
        <w:bottom w:val="none" w:sz="0" w:space="0" w:color="auto"/>
        <w:right w:val="none" w:sz="0" w:space="0" w:color="auto"/>
      </w:divBdr>
    </w:div>
    <w:div w:id="526717753">
      <w:bodyDiv w:val="1"/>
      <w:marLeft w:val="0"/>
      <w:marRight w:val="0"/>
      <w:marTop w:val="0"/>
      <w:marBottom w:val="0"/>
      <w:divBdr>
        <w:top w:val="none" w:sz="0" w:space="0" w:color="auto"/>
        <w:left w:val="none" w:sz="0" w:space="0" w:color="auto"/>
        <w:bottom w:val="none" w:sz="0" w:space="0" w:color="auto"/>
        <w:right w:val="none" w:sz="0" w:space="0" w:color="auto"/>
      </w:divBdr>
    </w:div>
    <w:div w:id="541401632">
      <w:bodyDiv w:val="1"/>
      <w:marLeft w:val="0"/>
      <w:marRight w:val="0"/>
      <w:marTop w:val="0"/>
      <w:marBottom w:val="0"/>
      <w:divBdr>
        <w:top w:val="none" w:sz="0" w:space="0" w:color="auto"/>
        <w:left w:val="none" w:sz="0" w:space="0" w:color="auto"/>
        <w:bottom w:val="none" w:sz="0" w:space="0" w:color="auto"/>
        <w:right w:val="none" w:sz="0" w:space="0" w:color="auto"/>
      </w:divBdr>
    </w:div>
    <w:div w:id="544559046">
      <w:bodyDiv w:val="1"/>
      <w:marLeft w:val="0"/>
      <w:marRight w:val="0"/>
      <w:marTop w:val="0"/>
      <w:marBottom w:val="0"/>
      <w:divBdr>
        <w:top w:val="none" w:sz="0" w:space="0" w:color="auto"/>
        <w:left w:val="none" w:sz="0" w:space="0" w:color="auto"/>
        <w:bottom w:val="none" w:sz="0" w:space="0" w:color="auto"/>
        <w:right w:val="none" w:sz="0" w:space="0" w:color="auto"/>
      </w:divBdr>
    </w:div>
    <w:div w:id="545799209">
      <w:bodyDiv w:val="1"/>
      <w:marLeft w:val="0"/>
      <w:marRight w:val="0"/>
      <w:marTop w:val="0"/>
      <w:marBottom w:val="0"/>
      <w:divBdr>
        <w:top w:val="none" w:sz="0" w:space="0" w:color="auto"/>
        <w:left w:val="none" w:sz="0" w:space="0" w:color="auto"/>
        <w:bottom w:val="none" w:sz="0" w:space="0" w:color="auto"/>
        <w:right w:val="none" w:sz="0" w:space="0" w:color="auto"/>
      </w:divBdr>
    </w:div>
    <w:div w:id="548298776">
      <w:bodyDiv w:val="1"/>
      <w:marLeft w:val="0"/>
      <w:marRight w:val="0"/>
      <w:marTop w:val="0"/>
      <w:marBottom w:val="0"/>
      <w:divBdr>
        <w:top w:val="none" w:sz="0" w:space="0" w:color="auto"/>
        <w:left w:val="none" w:sz="0" w:space="0" w:color="auto"/>
        <w:bottom w:val="none" w:sz="0" w:space="0" w:color="auto"/>
        <w:right w:val="none" w:sz="0" w:space="0" w:color="auto"/>
      </w:divBdr>
    </w:div>
    <w:div w:id="554003563">
      <w:bodyDiv w:val="1"/>
      <w:marLeft w:val="0"/>
      <w:marRight w:val="0"/>
      <w:marTop w:val="0"/>
      <w:marBottom w:val="0"/>
      <w:divBdr>
        <w:top w:val="none" w:sz="0" w:space="0" w:color="auto"/>
        <w:left w:val="none" w:sz="0" w:space="0" w:color="auto"/>
        <w:bottom w:val="none" w:sz="0" w:space="0" w:color="auto"/>
        <w:right w:val="none" w:sz="0" w:space="0" w:color="auto"/>
      </w:divBdr>
    </w:div>
    <w:div w:id="563104146">
      <w:bodyDiv w:val="1"/>
      <w:marLeft w:val="0"/>
      <w:marRight w:val="0"/>
      <w:marTop w:val="0"/>
      <w:marBottom w:val="0"/>
      <w:divBdr>
        <w:top w:val="none" w:sz="0" w:space="0" w:color="auto"/>
        <w:left w:val="none" w:sz="0" w:space="0" w:color="auto"/>
        <w:bottom w:val="none" w:sz="0" w:space="0" w:color="auto"/>
        <w:right w:val="none" w:sz="0" w:space="0" w:color="auto"/>
      </w:divBdr>
    </w:div>
    <w:div w:id="576211135">
      <w:bodyDiv w:val="1"/>
      <w:marLeft w:val="0"/>
      <w:marRight w:val="0"/>
      <w:marTop w:val="0"/>
      <w:marBottom w:val="0"/>
      <w:divBdr>
        <w:top w:val="none" w:sz="0" w:space="0" w:color="auto"/>
        <w:left w:val="none" w:sz="0" w:space="0" w:color="auto"/>
        <w:bottom w:val="none" w:sz="0" w:space="0" w:color="auto"/>
        <w:right w:val="none" w:sz="0" w:space="0" w:color="auto"/>
      </w:divBdr>
    </w:div>
    <w:div w:id="577635202">
      <w:bodyDiv w:val="1"/>
      <w:marLeft w:val="0"/>
      <w:marRight w:val="0"/>
      <w:marTop w:val="0"/>
      <w:marBottom w:val="0"/>
      <w:divBdr>
        <w:top w:val="none" w:sz="0" w:space="0" w:color="auto"/>
        <w:left w:val="none" w:sz="0" w:space="0" w:color="auto"/>
        <w:bottom w:val="none" w:sz="0" w:space="0" w:color="auto"/>
        <w:right w:val="none" w:sz="0" w:space="0" w:color="auto"/>
      </w:divBdr>
    </w:div>
    <w:div w:id="596596919">
      <w:bodyDiv w:val="1"/>
      <w:marLeft w:val="0"/>
      <w:marRight w:val="0"/>
      <w:marTop w:val="0"/>
      <w:marBottom w:val="0"/>
      <w:divBdr>
        <w:top w:val="none" w:sz="0" w:space="0" w:color="auto"/>
        <w:left w:val="none" w:sz="0" w:space="0" w:color="auto"/>
        <w:bottom w:val="none" w:sz="0" w:space="0" w:color="auto"/>
        <w:right w:val="none" w:sz="0" w:space="0" w:color="auto"/>
      </w:divBdr>
    </w:div>
    <w:div w:id="602806401">
      <w:bodyDiv w:val="1"/>
      <w:marLeft w:val="0"/>
      <w:marRight w:val="0"/>
      <w:marTop w:val="0"/>
      <w:marBottom w:val="0"/>
      <w:divBdr>
        <w:top w:val="none" w:sz="0" w:space="0" w:color="auto"/>
        <w:left w:val="none" w:sz="0" w:space="0" w:color="auto"/>
        <w:bottom w:val="none" w:sz="0" w:space="0" w:color="auto"/>
        <w:right w:val="none" w:sz="0" w:space="0" w:color="auto"/>
      </w:divBdr>
    </w:div>
    <w:div w:id="617105741">
      <w:bodyDiv w:val="1"/>
      <w:marLeft w:val="0"/>
      <w:marRight w:val="0"/>
      <w:marTop w:val="0"/>
      <w:marBottom w:val="0"/>
      <w:divBdr>
        <w:top w:val="none" w:sz="0" w:space="0" w:color="auto"/>
        <w:left w:val="none" w:sz="0" w:space="0" w:color="auto"/>
        <w:bottom w:val="none" w:sz="0" w:space="0" w:color="auto"/>
        <w:right w:val="none" w:sz="0" w:space="0" w:color="auto"/>
      </w:divBdr>
    </w:div>
    <w:div w:id="624655705">
      <w:bodyDiv w:val="1"/>
      <w:marLeft w:val="0"/>
      <w:marRight w:val="0"/>
      <w:marTop w:val="0"/>
      <w:marBottom w:val="0"/>
      <w:divBdr>
        <w:top w:val="none" w:sz="0" w:space="0" w:color="auto"/>
        <w:left w:val="none" w:sz="0" w:space="0" w:color="auto"/>
        <w:bottom w:val="none" w:sz="0" w:space="0" w:color="auto"/>
        <w:right w:val="none" w:sz="0" w:space="0" w:color="auto"/>
      </w:divBdr>
    </w:div>
    <w:div w:id="627709917">
      <w:bodyDiv w:val="1"/>
      <w:marLeft w:val="0"/>
      <w:marRight w:val="0"/>
      <w:marTop w:val="0"/>
      <w:marBottom w:val="0"/>
      <w:divBdr>
        <w:top w:val="none" w:sz="0" w:space="0" w:color="auto"/>
        <w:left w:val="none" w:sz="0" w:space="0" w:color="auto"/>
        <w:bottom w:val="none" w:sz="0" w:space="0" w:color="auto"/>
        <w:right w:val="none" w:sz="0" w:space="0" w:color="auto"/>
      </w:divBdr>
    </w:div>
    <w:div w:id="632709642">
      <w:bodyDiv w:val="1"/>
      <w:marLeft w:val="0"/>
      <w:marRight w:val="0"/>
      <w:marTop w:val="0"/>
      <w:marBottom w:val="0"/>
      <w:divBdr>
        <w:top w:val="none" w:sz="0" w:space="0" w:color="auto"/>
        <w:left w:val="none" w:sz="0" w:space="0" w:color="auto"/>
        <w:bottom w:val="none" w:sz="0" w:space="0" w:color="auto"/>
        <w:right w:val="none" w:sz="0" w:space="0" w:color="auto"/>
      </w:divBdr>
    </w:div>
    <w:div w:id="638263744">
      <w:bodyDiv w:val="1"/>
      <w:marLeft w:val="0"/>
      <w:marRight w:val="0"/>
      <w:marTop w:val="0"/>
      <w:marBottom w:val="0"/>
      <w:divBdr>
        <w:top w:val="none" w:sz="0" w:space="0" w:color="auto"/>
        <w:left w:val="none" w:sz="0" w:space="0" w:color="auto"/>
        <w:bottom w:val="none" w:sz="0" w:space="0" w:color="auto"/>
        <w:right w:val="none" w:sz="0" w:space="0" w:color="auto"/>
      </w:divBdr>
    </w:div>
    <w:div w:id="640187082">
      <w:bodyDiv w:val="1"/>
      <w:marLeft w:val="0"/>
      <w:marRight w:val="0"/>
      <w:marTop w:val="0"/>
      <w:marBottom w:val="0"/>
      <w:divBdr>
        <w:top w:val="none" w:sz="0" w:space="0" w:color="auto"/>
        <w:left w:val="none" w:sz="0" w:space="0" w:color="auto"/>
        <w:bottom w:val="none" w:sz="0" w:space="0" w:color="auto"/>
        <w:right w:val="none" w:sz="0" w:space="0" w:color="auto"/>
      </w:divBdr>
    </w:div>
    <w:div w:id="640236389">
      <w:bodyDiv w:val="1"/>
      <w:marLeft w:val="0"/>
      <w:marRight w:val="0"/>
      <w:marTop w:val="0"/>
      <w:marBottom w:val="0"/>
      <w:divBdr>
        <w:top w:val="none" w:sz="0" w:space="0" w:color="auto"/>
        <w:left w:val="none" w:sz="0" w:space="0" w:color="auto"/>
        <w:bottom w:val="none" w:sz="0" w:space="0" w:color="auto"/>
        <w:right w:val="none" w:sz="0" w:space="0" w:color="auto"/>
      </w:divBdr>
    </w:div>
    <w:div w:id="649599281">
      <w:bodyDiv w:val="1"/>
      <w:marLeft w:val="0"/>
      <w:marRight w:val="0"/>
      <w:marTop w:val="0"/>
      <w:marBottom w:val="0"/>
      <w:divBdr>
        <w:top w:val="none" w:sz="0" w:space="0" w:color="auto"/>
        <w:left w:val="none" w:sz="0" w:space="0" w:color="auto"/>
        <w:bottom w:val="none" w:sz="0" w:space="0" w:color="auto"/>
        <w:right w:val="none" w:sz="0" w:space="0" w:color="auto"/>
      </w:divBdr>
    </w:div>
    <w:div w:id="650212703">
      <w:bodyDiv w:val="1"/>
      <w:marLeft w:val="0"/>
      <w:marRight w:val="0"/>
      <w:marTop w:val="0"/>
      <w:marBottom w:val="0"/>
      <w:divBdr>
        <w:top w:val="none" w:sz="0" w:space="0" w:color="auto"/>
        <w:left w:val="none" w:sz="0" w:space="0" w:color="auto"/>
        <w:bottom w:val="none" w:sz="0" w:space="0" w:color="auto"/>
        <w:right w:val="none" w:sz="0" w:space="0" w:color="auto"/>
      </w:divBdr>
    </w:div>
    <w:div w:id="659889238">
      <w:bodyDiv w:val="1"/>
      <w:marLeft w:val="0"/>
      <w:marRight w:val="0"/>
      <w:marTop w:val="0"/>
      <w:marBottom w:val="0"/>
      <w:divBdr>
        <w:top w:val="none" w:sz="0" w:space="0" w:color="auto"/>
        <w:left w:val="none" w:sz="0" w:space="0" w:color="auto"/>
        <w:bottom w:val="none" w:sz="0" w:space="0" w:color="auto"/>
        <w:right w:val="none" w:sz="0" w:space="0" w:color="auto"/>
      </w:divBdr>
    </w:div>
    <w:div w:id="662700791">
      <w:bodyDiv w:val="1"/>
      <w:marLeft w:val="0"/>
      <w:marRight w:val="0"/>
      <w:marTop w:val="0"/>
      <w:marBottom w:val="0"/>
      <w:divBdr>
        <w:top w:val="none" w:sz="0" w:space="0" w:color="auto"/>
        <w:left w:val="none" w:sz="0" w:space="0" w:color="auto"/>
        <w:bottom w:val="none" w:sz="0" w:space="0" w:color="auto"/>
        <w:right w:val="none" w:sz="0" w:space="0" w:color="auto"/>
      </w:divBdr>
    </w:div>
    <w:div w:id="668219870">
      <w:bodyDiv w:val="1"/>
      <w:marLeft w:val="0"/>
      <w:marRight w:val="0"/>
      <w:marTop w:val="0"/>
      <w:marBottom w:val="0"/>
      <w:divBdr>
        <w:top w:val="none" w:sz="0" w:space="0" w:color="auto"/>
        <w:left w:val="none" w:sz="0" w:space="0" w:color="auto"/>
        <w:bottom w:val="none" w:sz="0" w:space="0" w:color="auto"/>
        <w:right w:val="none" w:sz="0" w:space="0" w:color="auto"/>
      </w:divBdr>
    </w:div>
    <w:div w:id="687830468">
      <w:bodyDiv w:val="1"/>
      <w:marLeft w:val="0"/>
      <w:marRight w:val="0"/>
      <w:marTop w:val="0"/>
      <w:marBottom w:val="0"/>
      <w:divBdr>
        <w:top w:val="none" w:sz="0" w:space="0" w:color="auto"/>
        <w:left w:val="none" w:sz="0" w:space="0" w:color="auto"/>
        <w:bottom w:val="none" w:sz="0" w:space="0" w:color="auto"/>
        <w:right w:val="none" w:sz="0" w:space="0" w:color="auto"/>
      </w:divBdr>
    </w:div>
    <w:div w:id="688217149">
      <w:bodyDiv w:val="1"/>
      <w:marLeft w:val="0"/>
      <w:marRight w:val="0"/>
      <w:marTop w:val="0"/>
      <w:marBottom w:val="0"/>
      <w:divBdr>
        <w:top w:val="none" w:sz="0" w:space="0" w:color="auto"/>
        <w:left w:val="none" w:sz="0" w:space="0" w:color="auto"/>
        <w:bottom w:val="none" w:sz="0" w:space="0" w:color="auto"/>
        <w:right w:val="none" w:sz="0" w:space="0" w:color="auto"/>
      </w:divBdr>
    </w:div>
    <w:div w:id="691565396">
      <w:bodyDiv w:val="1"/>
      <w:marLeft w:val="0"/>
      <w:marRight w:val="0"/>
      <w:marTop w:val="0"/>
      <w:marBottom w:val="0"/>
      <w:divBdr>
        <w:top w:val="none" w:sz="0" w:space="0" w:color="auto"/>
        <w:left w:val="none" w:sz="0" w:space="0" w:color="auto"/>
        <w:bottom w:val="none" w:sz="0" w:space="0" w:color="auto"/>
        <w:right w:val="none" w:sz="0" w:space="0" w:color="auto"/>
      </w:divBdr>
    </w:div>
    <w:div w:id="697124810">
      <w:bodyDiv w:val="1"/>
      <w:marLeft w:val="0"/>
      <w:marRight w:val="0"/>
      <w:marTop w:val="0"/>
      <w:marBottom w:val="0"/>
      <w:divBdr>
        <w:top w:val="none" w:sz="0" w:space="0" w:color="auto"/>
        <w:left w:val="none" w:sz="0" w:space="0" w:color="auto"/>
        <w:bottom w:val="none" w:sz="0" w:space="0" w:color="auto"/>
        <w:right w:val="none" w:sz="0" w:space="0" w:color="auto"/>
      </w:divBdr>
    </w:div>
    <w:div w:id="704256593">
      <w:bodyDiv w:val="1"/>
      <w:marLeft w:val="0"/>
      <w:marRight w:val="0"/>
      <w:marTop w:val="0"/>
      <w:marBottom w:val="0"/>
      <w:divBdr>
        <w:top w:val="none" w:sz="0" w:space="0" w:color="auto"/>
        <w:left w:val="none" w:sz="0" w:space="0" w:color="auto"/>
        <w:bottom w:val="none" w:sz="0" w:space="0" w:color="auto"/>
        <w:right w:val="none" w:sz="0" w:space="0" w:color="auto"/>
      </w:divBdr>
    </w:div>
    <w:div w:id="726270438">
      <w:bodyDiv w:val="1"/>
      <w:marLeft w:val="0"/>
      <w:marRight w:val="0"/>
      <w:marTop w:val="0"/>
      <w:marBottom w:val="0"/>
      <w:divBdr>
        <w:top w:val="none" w:sz="0" w:space="0" w:color="auto"/>
        <w:left w:val="none" w:sz="0" w:space="0" w:color="auto"/>
        <w:bottom w:val="none" w:sz="0" w:space="0" w:color="auto"/>
        <w:right w:val="none" w:sz="0" w:space="0" w:color="auto"/>
      </w:divBdr>
    </w:div>
    <w:div w:id="726805457">
      <w:bodyDiv w:val="1"/>
      <w:marLeft w:val="0"/>
      <w:marRight w:val="0"/>
      <w:marTop w:val="0"/>
      <w:marBottom w:val="0"/>
      <w:divBdr>
        <w:top w:val="none" w:sz="0" w:space="0" w:color="auto"/>
        <w:left w:val="none" w:sz="0" w:space="0" w:color="auto"/>
        <w:bottom w:val="none" w:sz="0" w:space="0" w:color="auto"/>
        <w:right w:val="none" w:sz="0" w:space="0" w:color="auto"/>
      </w:divBdr>
    </w:div>
    <w:div w:id="740057195">
      <w:bodyDiv w:val="1"/>
      <w:marLeft w:val="0"/>
      <w:marRight w:val="0"/>
      <w:marTop w:val="0"/>
      <w:marBottom w:val="0"/>
      <w:divBdr>
        <w:top w:val="none" w:sz="0" w:space="0" w:color="auto"/>
        <w:left w:val="none" w:sz="0" w:space="0" w:color="auto"/>
        <w:bottom w:val="none" w:sz="0" w:space="0" w:color="auto"/>
        <w:right w:val="none" w:sz="0" w:space="0" w:color="auto"/>
      </w:divBdr>
    </w:div>
    <w:div w:id="744379323">
      <w:bodyDiv w:val="1"/>
      <w:marLeft w:val="0"/>
      <w:marRight w:val="0"/>
      <w:marTop w:val="0"/>
      <w:marBottom w:val="0"/>
      <w:divBdr>
        <w:top w:val="none" w:sz="0" w:space="0" w:color="auto"/>
        <w:left w:val="none" w:sz="0" w:space="0" w:color="auto"/>
        <w:bottom w:val="none" w:sz="0" w:space="0" w:color="auto"/>
        <w:right w:val="none" w:sz="0" w:space="0" w:color="auto"/>
      </w:divBdr>
    </w:div>
    <w:div w:id="758984250">
      <w:bodyDiv w:val="1"/>
      <w:marLeft w:val="0"/>
      <w:marRight w:val="0"/>
      <w:marTop w:val="0"/>
      <w:marBottom w:val="0"/>
      <w:divBdr>
        <w:top w:val="none" w:sz="0" w:space="0" w:color="auto"/>
        <w:left w:val="none" w:sz="0" w:space="0" w:color="auto"/>
        <w:bottom w:val="none" w:sz="0" w:space="0" w:color="auto"/>
        <w:right w:val="none" w:sz="0" w:space="0" w:color="auto"/>
      </w:divBdr>
    </w:div>
    <w:div w:id="767896654">
      <w:bodyDiv w:val="1"/>
      <w:marLeft w:val="0"/>
      <w:marRight w:val="0"/>
      <w:marTop w:val="0"/>
      <w:marBottom w:val="0"/>
      <w:divBdr>
        <w:top w:val="none" w:sz="0" w:space="0" w:color="auto"/>
        <w:left w:val="none" w:sz="0" w:space="0" w:color="auto"/>
        <w:bottom w:val="none" w:sz="0" w:space="0" w:color="auto"/>
        <w:right w:val="none" w:sz="0" w:space="0" w:color="auto"/>
      </w:divBdr>
    </w:div>
    <w:div w:id="769396121">
      <w:bodyDiv w:val="1"/>
      <w:marLeft w:val="0"/>
      <w:marRight w:val="0"/>
      <w:marTop w:val="0"/>
      <w:marBottom w:val="0"/>
      <w:divBdr>
        <w:top w:val="none" w:sz="0" w:space="0" w:color="auto"/>
        <w:left w:val="none" w:sz="0" w:space="0" w:color="auto"/>
        <w:bottom w:val="none" w:sz="0" w:space="0" w:color="auto"/>
        <w:right w:val="none" w:sz="0" w:space="0" w:color="auto"/>
      </w:divBdr>
    </w:div>
    <w:div w:id="772747114">
      <w:bodyDiv w:val="1"/>
      <w:marLeft w:val="0"/>
      <w:marRight w:val="0"/>
      <w:marTop w:val="0"/>
      <w:marBottom w:val="0"/>
      <w:divBdr>
        <w:top w:val="none" w:sz="0" w:space="0" w:color="auto"/>
        <w:left w:val="none" w:sz="0" w:space="0" w:color="auto"/>
        <w:bottom w:val="none" w:sz="0" w:space="0" w:color="auto"/>
        <w:right w:val="none" w:sz="0" w:space="0" w:color="auto"/>
      </w:divBdr>
    </w:div>
    <w:div w:id="792672186">
      <w:bodyDiv w:val="1"/>
      <w:marLeft w:val="0"/>
      <w:marRight w:val="0"/>
      <w:marTop w:val="0"/>
      <w:marBottom w:val="0"/>
      <w:divBdr>
        <w:top w:val="none" w:sz="0" w:space="0" w:color="auto"/>
        <w:left w:val="none" w:sz="0" w:space="0" w:color="auto"/>
        <w:bottom w:val="none" w:sz="0" w:space="0" w:color="auto"/>
        <w:right w:val="none" w:sz="0" w:space="0" w:color="auto"/>
      </w:divBdr>
    </w:div>
    <w:div w:id="793475545">
      <w:bodyDiv w:val="1"/>
      <w:marLeft w:val="0"/>
      <w:marRight w:val="0"/>
      <w:marTop w:val="0"/>
      <w:marBottom w:val="0"/>
      <w:divBdr>
        <w:top w:val="none" w:sz="0" w:space="0" w:color="auto"/>
        <w:left w:val="none" w:sz="0" w:space="0" w:color="auto"/>
        <w:bottom w:val="none" w:sz="0" w:space="0" w:color="auto"/>
        <w:right w:val="none" w:sz="0" w:space="0" w:color="auto"/>
      </w:divBdr>
    </w:div>
    <w:div w:id="799229986">
      <w:bodyDiv w:val="1"/>
      <w:marLeft w:val="0"/>
      <w:marRight w:val="0"/>
      <w:marTop w:val="0"/>
      <w:marBottom w:val="0"/>
      <w:divBdr>
        <w:top w:val="none" w:sz="0" w:space="0" w:color="auto"/>
        <w:left w:val="none" w:sz="0" w:space="0" w:color="auto"/>
        <w:bottom w:val="none" w:sz="0" w:space="0" w:color="auto"/>
        <w:right w:val="none" w:sz="0" w:space="0" w:color="auto"/>
      </w:divBdr>
    </w:div>
    <w:div w:id="800423167">
      <w:bodyDiv w:val="1"/>
      <w:marLeft w:val="0"/>
      <w:marRight w:val="0"/>
      <w:marTop w:val="0"/>
      <w:marBottom w:val="0"/>
      <w:divBdr>
        <w:top w:val="none" w:sz="0" w:space="0" w:color="auto"/>
        <w:left w:val="none" w:sz="0" w:space="0" w:color="auto"/>
        <w:bottom w:val="none" w:sz="0" w:space="0" w:color="auto"/>
        <w:right w:val="none" w:sz="0" w:space="0" w:color="auto"/>
      </w:divBdr>
    </w:div>
    <w:div w:id="805854058">
      <w:bodyDiv w:val="1"/>
      <w:marLeft w:val="0"/>
      <w:marRight w:val="0"/>
      <w:marTop w:val="0"/>
      <w:marBottom w:val="0"/>
      <w:divBdr>
        <w:top w:val="none" w:sz="0" w:space="0" w:color="auto"/>
        <w:left w:val="none" w:sz="0" w:space="0" w:color="auto"/>
        <w:bottom w:val="none" w:sz="0" w:space="0" w:color="auto"/>
        <w:right w:val="none" w:sz="0" w:space="0" w:color="auto"/>
      </w:divBdr>
    </w:div>
    <w:div w:id="810252330">
      <w:bodyDiv w:val="1"/>
      <w:marLeft w:val="0"/>
      <w:marRight w:val="0"/>
      <w:marTop w:val="0"/>
      <w:marBottom w:val="0"/>
      <w:divBdr>
        <w:top w:val="none" w:sz="0" w:space="0" w:color="auto"/>
        <w:left w:val="none" w:sz="0" w:space="0" w:color="auto"/>
        <w:bottom w:val="none" w:sz="0" w:space="0" w:color="auto"/>
        <w:right w:val="none" w:sz="0" w:space="0" w:color="auto"/>
      </w:divBdr>
    </w:div>
    <w:div w:id="821118554">
      <w:bodyDiv w:val="1"/>
      <w:marLeft w:val="0"/>
      <w:marRight w:val="0"/>
      <w:marTop w:val="0"/>
      <w:marBottom w:val="0"/>
      <w:divBdr>
        <w:top w:val="none" w:sz="0" w:space="0" w:color="auto"/>
        <w:left w:val="none" w:sz="0" w:space="0" w:color="auto"/>
        <w:bottom w:val="none" w:sz="0" w:space="0" w:color="auto"/>
        <w:right w:val="none" w:sz="0" w:space="0" w:color="auto"/>
      </w:divBdr>
    </w:div>
    <w:div w:id="832919003">
      <w:bodyDiv w:val="1"/>
      <w:marLeft w:val="0"/>
      <w:marRight w:val="0"/>
      <w:marTop w:val="0"/>
      <w:marBottom w:val="0"/>
      <w:divBdr>
        <w:top w:val="none" w:sz="0" w:space="0" w:color="auto"/>
        <w:left w:val="none" w:sz="0" w:space="0" w:color="auto"/>
        <w:bottom w:val="none" w:sz="0" w:space="0" w:color="auto"/>
        <w:right w:val="none" w:sz="0" w:space="0" w:color="auto"/>
      </w:divBdr>
    </w:div>
    <w:div w:id="839275261">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416977">
      <w:bodyDiv w:val="1"/>
      <w:marLeft w:val="0"/>
      <w:marRight w:val="0"/>
      <w:marTop w:val="0"/>
      <w:marBottom w:val="0"/>
      <w:divBdr>
        <w:top w:val="none" w:sz="0" w:space="0" w:color="auto"/>
        <w:left w:val="none" w:sz="0" w:space="0" w:color="auto"/>
        <w:bottom w:val="none" w:sz="0" w:space="0" w:color="auto"/>
        <w:right w:val="none" w:sz="0" w:space="0" w:color="auto"/>
      </w:divBdr>
    </w:div>
    <w:div w:id="852770172">
      <w:bodyDiv w:val="1"/>
      <w:marLeft w:val="0"/>
      <w:marRight w:val="0"/>
      <w:marTop w:val="0"/>
      <w:marBottom w:val="0"/>
      <w:divBdr>
        <w:top w:val="none" w:sz="0" w:space="0" w:color="auto"/>
        <w:left w:val="none" w:sz="0" w:space="0" w:color="auto"/>
        <w:bottom w:val="none" w:sz="0" w:space="0" w:color="auto"/>
        <w:right w:val="none" w:sz="0" w:space="0" w:color="auto"/>
      </w:divBdr>
    </w:div>
    <w:div w:id="856231515">
      <w:bodyDiv w:val="1"/>
      <w:marLeft w:val="0"/>
      <w:marRight w:val="0"/>
      <w:marTop w:val="0"/>
      <w:marBottom w:val="0"/>
      <w:divBdr>
        <w:top w:val="none" w:sz="0" w:space="0" w:color="auto"/>
        <w:left w:val="none" w:sz="0" w:space="0" w:color="auto"/>
        <w:bottom w:val="none" w:sz="0" w:space="0" w:color="auto"/>
        <w:right w:val="none" w:sz="0" w:space="0" w:color="auto"/>
      </w:divBdr>
    </w:div>
    <w:div w:id="870874739">
      <w:bodyDiv w:val="1"/>
      <w:marLeft w:val="0"/>
      <w:marRight w:val="0"/>
      <w:marTop w:val="0"/>
      <w:marBottom w:val="0"/>
      <w:divBdr>
        <w:top w:val="none" w:sz="0" w:space="0" w:color="auto"/>
        <w:left w:val="none" w:sz="0" w:space="0" w:color="auto"/>
        <w:bottom w:val="none" w:sz="0" w:space="0" w:color="auto"/>
        <w:right w:val="none" w:sz="0" w:space="0" w:color="auto"/>
      </w:divBdr>
    </w:div>
    <w:div w:id="872839977">
      <w:bodyDiv w:val="1"/>
      <w:marLeft w:val="0"/>
      <w:marRight w:val="0"/>
      <w:marTop w:val="0"/>
      <w:marBottom w:val="0"/>
      <w:divBdr>
        <w:top w:val="none" w:sz="0" w:space="0" w:color="auto"/>
        <w:left w:val="none" w:sz="0" w:space="0" w:color="auto"/>
        <w:bottom w:val="none" w:sz="0" w:space="0" w:color="auto"/>
        <w:right w:val="none" w:sz="0" w:space="0" w:color="auto"/>
      </w:divBdr>
    </w:div>
    <w:div w:id="875509032">
      <w:bodyDiv w:val="1"/>
      <w:marLeft w:val="0"/>
      <w:marRight w:val="0"/>
      <w:marTop w:val="0"/>
      <w:marBottom w:val="0"/>
      <w:divBdr>
        <w:top w:val="none" w:sz="0" w:space="0" w:color="auto"/>
        <w:left w:val="none" w:sz="0" w:space="0" w:color="auto"/>
        <w:bottom w:val="none" w:sz="0" w:space="0" w:color="auto"/>
        <w:right w:val="none" w:sz="0" w:space="0" w:color="auto"/>
      </w:divBdr>
    </w:div>
    <w:div w:id="881745465">
      <w:bodyDiv w:val="1"/>
      <w:marLeft w:val="0"/>
      <w:marRight w:val="0"/>
      <w:marTop w:val="0"/>
      <w:marBottom w:val="0"/>
      <w:divBdr>
        <w:top w:val="none" w:sz="0" w:space="0" w:color="auto"/>
        <w:left w:val="none" w:sz="0" w:space="0" w:color="auto"/>
        <w:bottom w:val="none" w:sz="0" w:space="0" w:color="auto"/>
        <w:right w:val="none" w:sz="0" w:space="0" w:color="auto"/>
      </w:divBdr>
    </w:div>
    <w:div w:id="893351621">
      <w:bodyDiv w:val="1"/>
      <w:marLeft w:val="0"/>
      <w:marRight w:val="0"/>
      <w:marTop w:val="0"/>
      <w:marBottom w:val="0"/>
      <w:divBdr>
        <w:top w:val="none" w:sz="0" w:space="0" w:color="auto"/>
        <w:left w:val="none" w:sz="0" w:space="0" w:color="auto"/>
        <w:bottom w:val="none" w:sz="0" w:space="0" w:color="auto"/>
        <w:right w:val="none" w:sz="0" w:space="0" w:color="auto"/>
      </w:divBdr>
    </w:div>
    <w:div w:id="910506422">
      <w:bodyDiv w:val="1"/>
      <w:marLeft w:val="0"/>
      <w:marRight w:val="0"/>
      <w:marTop w:val="0"/>
      <w:marBottom w:val="0"/>
      <w:divBdr>
        <w:top w:val="none" w:sz="0" w:space="0" w:color="auto"/>
        <w:left w:val="none" w:sz="0" w:space="0" w:color="auto"/>
        <w:bottom w:val="none" w:sz="0" w:space="0" w:color="auto"/>
        <w:right w:val="none" w:sz="0" w:space="0" w:color="auto"/>
      </w:divBdr>
    </w:div>
    <w:div w:id="913318868">
      <w:bodyDiv w:val="1"/>
      <w:marLeft w:val="0"/>
      <w:marRight w:val="0"/>
      <w:marTop w:val="0"/>
      <w:marBottom w:val="0"/>
      <w:divBdr>
        <w:top w:val="none" w:sz="0" w:space="0" w:color="auto"/>
        <w:left w:val="none" w:sz="0" w:space="0" w:color="auto"/>
        <w:bottom w:val="none" w:sz="0" w:space="0" w:color="auto"/>
        <w:right w:val="none" w:sz="0" w:space="0" w:color="auto"/>
      </w:divBdr>
    </w:div>
    <w:div w:id="916132457">
      <w:bodyDiv w:val="1"/>
      <w:marLeft w:val="0"/>
      <w:marRight w:val="0"/>
      <w:marTop w:val="0"/>
      <w:marBottom w:val="0"/>
      <w:divBdr>
        <w:top w:val="none" w:sz="0" w:space="0" w:color="auto"/>
        <w:left w:val="none" w:sz="0" w:space="0" w:color="auto"/>
        <w:bottom w:val="none" w:sz="0" w:space="0" w:color="auto"/>
        <w:right w:val="none" w:sz="0" w:space="0" w:color="auto"/>
      </w:divBdr>
    </w:div>
    <w:div w:id="916938490">
      <w:bodyDiv w:val="1"/>
      <w:marLeft w:val="0"/>
      <w:marRight w:val="0"/>
      <w:marTop w:val="0"/>
      <w:marBottom w:val="0"/>
      <w:divBdr>
        <w:top w:val="none" w:sz="0" w:space="0" w:color="auto"/>
        <w:left w:val="none" w:sz="0" w:space="0" w:color="auto"/>
        <w:bottom w:val="none" w:sz="0" w:space="0" w:color="auto"/>
        <w:right w:val="none" w:sz="0" w:space="0" w:color="auto"/>
      </w:divBdr>
    </w:div>
    <w:div w:id="920214391">
      <w:bodyDiv w:val="1"/>
      <w:marLeft w:val="0"/>
      <w:marRight w:val="0"/>
      <w:marTop w:val="0"/>
      <w:marBottom w:val="0"/>
      <w:divBdr>
        <w:top w:val="none" w:sz="0" w:space="0" w:color="auto"/>
        <w:left w:val="none" w:sz="0" w:space="0" w:color="auto"/>
        <w:bottom w:val="none" w:sz="0" w:space="0" w:color="auto"/>
        <w:right w:val="none" w:sz="0" w:space="0" w:color="auto"/>
      </w:divBdr>
    </w:div>
    <w:div w:id="924149745">
      <w:bodyDiv w:val="1"/>
      <w:marLeft w:val="0"/>
      <w:marRight w:val="0"/>
      <w:marTop w:val="0"/>
      <w:marBottom w:val="0"/>
      <w:divBdr>
        <w:top w:val="none" w:sz="0" w:space="0" w:color="auto"/>
        <w:left w:val="none" w:sz="0" w:space="0" w:color="auto"/>
        <w:bottom w:val="none" w:sz="0" w:space="0" w:color="auto"/>
        <w:right w:val="none" w:sz="0" w:space="0" w:color="auto"/>
      </w:divBdr>
    </w:div>
    <w:div w:id="927157117">
      <w:bodyDiv w:val="1"/>
      <w:marLeft w:val="0"/>
      <w:marRight w:val="0"/>
      <w:marTop w:val="0"/>
      <w:marBottom w:val="0"/>
      <w:divBdr>
        <w:top w:val="none" w:sz="0" w:space="0" w:color="auto"/>
        <w:left w:val="none" w:sz="0" w:space="0" w:color="auto"/>
        <w:bottom w:val="none" w:sz="0" w:space="0" w:color="auto"/>
        <w:right w:val="none" w:sz="0" w:space="0" w:color="auto"/>
      </w:divBdr>
    </w:div>
    <w:div w:id="930044685">
      <w:bodyDiv w:val="1"/>
      <w:marLeft w:val="0"/>
      <w:marRight w:val="0"/>
      <w:marTop w:val="0"/>
      <w:marBottom w:val="0"/>
      <w:divBdr>
        <w:top w:val="none" w:sz="0" w:space="0" w:color="auto"/>
        <w:left w:val="none" w:sz="0" w:space="0" w:color="auto"/>
        <w:bottom w:val="none" w:sz="0" w:space="0" w:color="auto"/>
        <w:right w:val="none" w:sz="0" w:space="0" w:color="auto"/>
      </w:divBdr>
    </w:div>
    <w:div w:id="936868879">
      <w:bodyDiv w:val="1"/>
      <w:marLeft w:val="0"/>
      <w:marRight w:val="0"/>
      <w:marTop w:val="0"/>
      <w:marBottom w:val="0"/>
      <w:divBdr>
        <w:top w:val="none" w:sz="0" w:space="0" w:color="auto"/>
        <w:left w:val="none" w:sz="0" w:space="0" w:color="auto"/>
        <w:bottom w:val="none" w:sz="0" w:space="0" w:color="auto"/>
        <w:right w:val="none" w:sz="0" w:space="0" w:color="auto"/>
      </w:divBdr>
    </w:div>
    <w:div w:id="939676408">
      <w:bodyDiv w:val="1"/>
      <w:marLeft w:val="0"/>
      <w:marRight w:val="0"/>
      <w:marTop w:val="0"/>
      <w:marBottom w:val="0"/>
      <w:divBdr>
        <w:top w:val="none" w:sz="0" w:space="0" w:color="auto"/>
        <w:left w:val="none" w:sz="0" w:space="0" w:color="auto"/>
        <w:bottom w:val="none" w:sz="0" w:space="0" w:color="auto"/>
        <w:right w:val="none" w:sz="0" w:space="0" w:color="auto"/>
      </w:divBdr>
    </w:div>
    <w:div w:id="951983350">
      <w:bodyDiv w:val="1"/>
      <w:marLeft w:val="0"/>
      <w:marRight w:val="0"/>
      <w:marTop w:val="0"/>
      <w:marBottom w:val="0"/>
      <w:divBdr>
        <w:top w:val="none" w:sz="0" w:space="0" w:color="auto"/>
        <w:left w:val="none" w:sz="0" w:space="0" w:color="auto"/>
        <w:bottom w:val="none" w:sz="0" w:space="0" w:color="auto"/>
        <w:right w:val="none" w:sz="0" w:space="0" w:color="auto"/>
      </w:divBdr>
    </w:div>
    <w:div w:id="956834748">
      <w:bodyDiv w:val="1"/>
      <w:marLeft w:val="0"/>
      <w:marRight w:val="0"/>
      <w:marTop w:val="0"/>
      <w:marBottom w:val="0"/>
      <w:divBdr>
        <w:top w:val="none" w:sz="0" w:space="0" w:color="auto"/>
        <w:left w:val="none" w:sz="0" w:space="0" w:color="auto"/>
        <w:bottom w:val="none" w:sz="0" w:space="0" w:color="auto"/>
        <w:right w:val="none" w:sz="0" w:space="0" w:color="auto"/>
      </w:divBdr>
    </w:div>
    <w:div w:id="966661936">
      <w:bodyDiv w:val="1"/>
      <w:marLeft w:val="0"/>
      <w:marRight w:val="0"/>
      <w:marTop w:val="0"/>
      <w:marBottom w:val="0"/>
      <w:divBdr>
        <w:top w:val="none" w:sz="0" w:space="0" w:color="auto"/>
        <w:left w:val="none" w:sz="0" w:space="0" w:color="auto"/>
        <w:bottom w:val="none" w:sz="0" w:space="0" w:color="auto"/>
        <w:right w:val="none" w:sz="0" w:space="0" w:color="auto"/>
      </w:divBdr>
    </w:div>
    <w:div w:id="998994095">
      <w:bodyDiv w:val="1"/>
      <w:marLeft w:val="0"/>
      <w:marRight w:val="0"/>
      <w:marTop w:val="0"/>
      <w:marBottom w:val="0"/>
      <w:divBdr>
        <w:top w:val="none" w:sz="0" w:space="0" w:color="auto"/>
        <w:left w:val="none" w:sz="0" w:space="0" w:color="auto"/>
        <w:bottom w:val="none" w:sz="0" w:space="0" w:color="auto"/>
        <w:right w:val="none" w:sz="0" w:space="0" w:color="auto"/>
      </w:divBdr>
    </w:div>
    <w:div w:id="1004937279">
      <w:bodyDiv w:val="1"/>
      <w:marLeft w:val="0"/>
      <w:marRight w:val="0"/>
      <w:marTop w:val="0"/>
      <w:marBottom w:val="0"/>
      <w:divBdr>
        <w:top w:val="none" w:sz="0" w:space="0" w:color="auto"/>
        <w:left w:val="none" w:sz="0" w:space="0" w:color="auto"/>
        <w:bottom w:val="none" w:sz="0" w:space="0" w:color="auto"/>
        <w:right w:val="none" w:sz="0" w:space="0" w:color="auto"/>
      </w:divBdr>
    </w:div>
    <w:div w:id="1034648176">
      <w:bodyDiv w:val="1"/>
      <w:marLeft w:val="0"/>
      <w:marRight w:val="0"/>
      <w:marTop w:val="0"/>
      <w:marBottom w:val="0"/>
      <w:divBdr>
        <w:top w:val="none" w:sz="0" w:space="0" w:color="auto"/>
        <w:left w:val="none" w:sz="0" w:space="0" w:color="auto"/>
        <w:bottom w:val="none" w:sz="0" w:space="0" w:color="auto"/>
        <w:right w:val="none" w:sz="0" w:space="0" w:color="auto"/>
      </w:divBdr>
    </w:div>
    <w:div w:id="1034698088">
      <w:bodyDiv w:val="1"/>
      <w:marLeft w:val="0"/>
      <w:marRight w:val="0"/>
      <w:marTop w:val="0"/>
      <w:marBottom w:val="0"/>
      <w:divBdr>
        <w:top w:val="none" w:sz="0" w:space="0" w:color="auto"/>
        <w:left w:val="none" w:sz="0" w:space="0" w:color="auto"/>
        <w:bottom w:val="none" w:sz="0" w:space="0" w:color="auto"/>
        <w:right w:val="none" w:sz="0" w:space="0" w:color="auto"/>
      </w:divBdr>
    </w:div>
    <w:div w:id="1045175394">
      <w:bodyDiv w:val="1"/>
      <w:marLeft w:val="0"/>
      <w:marRight w:val="0"/>
      <w:marTop w:val="0"/>
      <w:marBottom w:val="0"/>
      <w:divBdr>
        <w:top w:val="none" w:sz="0" w:space="0" w:color="auto"/>
        <w:left w:val="none" w:sz="0" w:space="0" w:color="auto"/>
        <w:bottom w:val="none" w:sz="0" w:space="0" w:color="auto"/>
        <w:right w:val="none" w:sz="0" w:space="0" w:color="auto"/>
      </w:divBdr>
    </w:div>
    <w:div w:id="1054154805">
      <w:bodyDiv w:val="1"/>
      <w:marLeft w:val="0"/>
      <w:marRight w:val="0"/>
      <w:marTop w:val="0"/>
      <w:marBottom w:val="0"/>
      <w:divBdr>
        <w:top w:val="none" w:sz="0" w:space="0" w:color="auto"/>
        <w:left w:val="none" w:sz="0" w:space="0" w:color="auto"/>
        <w:bottom w:val="none" w:sz="0" w:space="0" w:color="auto"/>
        <w:right w:val="none" w:sz="0" w:space="0" w:color="auto"/>
      </w:divBdr>
    </w:div>
    <w:div w:id="1056245142">
      <w:bodyDiv w:val="1"/>
      <w:marLeft w:val="0"/>
      <w:marRight w:val="0"/>
      <w:marTop w:val="0"/>
      <w:marBottom w:val="0"/>
      <w:divBdr>
        <w:top w:val="none" w:sz="0" w:space="0" w:color="auto"/>
        <w:left w:val="none" w:sz="0" w:space="0" w:color="auto"/>
        <w:bottom w:val="none" w:sz="0" w:space="0" w:color="auto"/>
        <w:right w:val="none" w:sz="0" w:space="0" w:color="auto"/>
      </w:divBdr>
    </w:div>
    <w:div w:id="1061831596">
      <w:bodyDiv w:val="1"/>
      <w:marLeft w:val="0"/>
      <w:marRight w:val="0"/>
      <w:marTop w:val="0"/>
      <w:marBottom w:val="0"/>
      <w:divBdr>
        <w:top w:val="none" w:sz="0" w:space="0" w:color="auto"/>
        <w:left w:val="none" w:sz="0" w:space="0" w:color="auto"/>
        <w:bottom w:val="none" w:sz="0" w:space="0" w:color="auto"/>
        <w:right w:val="none" w:sz="0" w:space="0" w:color="auto"/>
      </w:divBdr>
    </w:div>
    <w:div w:id="1077362536">
      <w:bodyDiv w:val="1"/>
      <w:marLeft w:val="0"/>
      <w:marRight w:val="0"/>
      <w:marTop w:val="0"/>
      <w:marBottom w:val="0"/>
      <w:divBdr>
        <w:top w:val="none" w:sz="0" w:space="0" w:color="auto"/>
        <w:left w:val="none" w:sz="0" w:space="0" w:color="auto"/>
        <w:bottom w:val="none" w:sz="0" w:space="0" w:color="auto"/>
        <w:right w:val="none" w:sz="0" w:space="0" w:color="auto"/>
      </w:divBdr>
    </w:div>
    <w:div w:id="1111365819">
      <w:bodyDiv w:val="1"/>
      <w:marLeft w:val="0"/>
      <w:marRight w:val="0"/>
      <w:marTop w:val="0"/>
      <w:marBottom w:val="0"/>
      <w:divBdr>
        <w:top w:val="none" w:sz="0" w:space="0" w:color="auto"/>
        <w:left w:val="none" w:sz="0" w:space="0" w:color="auto"/>
        <w:bottom w:val="none" w:sz="0" w:space="0" w:color="auto"/>
        <w:right w:val="none" w:sz="0" w:space="0" w:color="auto"/>
      </w:divBdr>
    </w:div>
    <w:div w:id="1113289044">
      <w:bodyDiv w:val="1"/>
      <w:marLeft w:val="0"/>
      <w:marRight w:val="0"/>
      <w:marTop w:val="0"/>
      <w:marBottom w:val="0"/>
      <w:divBdr>
        <w:top w:val="none" w:sz="0" w:space="0" w:color="auto"/>
        <w:left w:val="none" w:sz="0" w:space="0" w:color="auto"/>
        <w:bottom w:val="none" w:sz="0" w:space="0" w:color="auto"/>
        <w:right w:val="none" w:sz="0" w:space="0" w:color="auto"/>
      </w:divBdr>
    </w:div>
    <w:div w:id="1115099240">
      <w:bodyDiv w:val="1"/>
      <w:marLeft w:val="0"/>
      <w:marRight w:val="0"/>
      <w:marTop w:val="0"/>
      <w:marBottom w:val="0"/>
      <w:divBdr>
        <w:top w:val="none" w:sz="0" w:space="0" w:color="auto"/>
        <w:left w:val="none" w:sz="0" w:space="0" w:color="auto"/>
        <w:bottom w:val="none" w:sz="0" w:space="0" w:color="auto"/>
        <w:right w:val="none" w:sz="0" w:space="0" w:color="auto"/>
      </w:divBdr>
      <w:divsChild>
        <w:div w:id="578056932">
          <w:marLeft w:val="0"/>
          <w:marRight w:val="0"/>
          <w:marTop w:val="0"/>
          <w:marBottom w:val="0"/>
          <w:divBdr>
            <w:top w:val="none" w:sz="0" w:space="0" w:color="auto"/>
            <w:left w:val="none" w:sz="0" w:space="0" w:color="auto"/>
            <w:bottom w:val="none" w:sz="0" w:space="0" w:color="auto"/>
            <w:right w:val="none" w:sz="0" w:space="0" w:color="auto"/>
          </w:divBdr>
        </w:div>
      </w:divsChild>
    </w:div>
    <w:div w:id="1119255756">
      <w:bodyDiv w:val="1"/>
      <w:marLeft w:val="0"/>
      <w:marRight w:val="0"/>
      <w:marTop w:val="0"/>
      <w:marBottom w:val="0"/>
      <w:divBdr>
        <w:top w:val="none" w:sz="0" w:space="0" w:color="auto"/>
        <w:left w:val="none" w:sz="0" w:space="0" w:color="auto"/>
        <w:bottom w:val="none" w:sz="0" w:space="0" w:color="auto"/>
        <w:right w:val="none" w:sz="0" w:space="0" w:color="auto"/>
      </w:divBdr>
    </w:div>
    <w:div w:id="1119648005">
      <w:bodyDiv w:val="1"/>
      <w:marLeft w:val="0"/>
      <w:marRight w:val="0"/>
      <w:marTop w:val="0"/>
      <w:marBottom w:val="0"/>
      <w:divBdr>
        <w:top w:val="none" w:sz="0" w:space="0" w:color="auto"/>
        <w:left w:val="none" w:sz="0" w:space="0" w:color="auto"/>
        <w:bottom w:val="none" w:sz="0" w:space="0" w:color="auto"/>
        <w:right w:val="none" w:sz="0" w:space="0" w:color="auto"/>
      </w:divBdr>
    </w:div>
    <w:div w:id="1124469570">
      <w:bodyDiv w:val="1"/>
      <w:marLeft w:val="0"/>
      <w:marRight w:val="0"/>
      <w:marTop w:val="0"/>
      <w:marBottom w:val="0"/>
      <w:divBdr>
        <w:top w:val="none" w:sz="0" w:space="0" w:color="auto"/>
        <w:left w:val="none" w:sz="0" w:space="0" w:color="auto"/>
        <w:bottom w:val="none" w:sz="0" w:space="0" w:color="auto"/>
        <w:right w:val="none" w:sz="0" w:space="0" w:color="auto"/>
      </w:divBdr>
    </w:div>
    <w:div w:id="1131552199">
      <w:bodyDiv w:val="1"/>
      <w:marLeft w:val="0"/>
      <w:marRight w:val="0"/>
      <w:marTop w:val="0"/>
      <w:marBottom w:val="0"/>
      <w:divBdr>
        <w:top w:val="none" w:sz="0" w:space="0" w:color="auto"/>
        <w:left w:val="none" w:sz="0" w:space="0" w:color="auto"/>
        <w:bottom w:val="none" w:sz="0" w:space="0" w:color="auto"/>
        <w:right w:val="none" w:sz="0" w:space="0" w:color="auto"/>
      </w:divBdr>
    </w:div>
    <w:div w:id="1133061949">
      <w:bodyDiv w:val="1"/>
      <w:marLeft w:val="0"/>
      <w:marRight w:val="0"/>
      <w:marTop w:val="0"/>
      <w:marBottom w:val="0"/>
      <w:divBdr>
        <w:top w:val="none" w:sz="0" w:space="0" w:color="auto"/>
        <w:left w:val="none" w:sz="0" w:space="0" w:color="auto"/>
        <w:bottom w:val="none" w:sz="0" w:space="0" w:color="auto"/>
        <w:right w:val="none" w:sz="0" w:space="0" w:color="auto"/>
      </w:divBdr>
    </w:div>
    <w:div w:id="1133980831">
      <w:bodyDiv w:val="1"/>
      <w:marLeft w:val="0"/>
      <w:marRight w:val="0"/>
      <w:marTop w:val="0"/>
      <w:marBottom w:val="0"/>
      <w:divBdr>
        <w:top w:val="none" w:sz="0" w:space="0" w:color="auto"/>
        <w:left w:val="none" w:sz="0" w:space="0" w:color="auto"/>
        <w:bottom w:val="none" w:sz="0" w:space="0" w:color="auto"/>
        <w:right w:val="none" w:sz="0" w:space="0" w:color="auto"/>
      </w:divBdr>
    </w:div>
    <w:div w:id="1144856615">
      <w:bodyDiv w:val="1"/>
      <w:marLeft w:val="0"/>
      <w:marRight w:val="0"/>
      <w:marTop w:val="0"/>
      <w:marBottom w:val="0"/>
      <w:divBdr>
        <w:top w:val="none" w:sz="0" w:space="0" w:color="auto"/>
        <w:left w:val="none" w:sz="0" w:space="0" w:color="auto"/>
        <w:bottom w:val="none" w:sz="0" w:space="0" w:color="auto"/>
        <w:right w:val="none" w:sz="0" w:space="0" w:color="auto"/>
      </w:divBdr>
    </w:div>
    <w:div w:id="1145658081">
      <w:bodyDiv w:val="1"/>
      <w:marLeft w:val="0"/>
      <w:marRight w:val="0"/>
      <w:marTop w:val="0"/>
      <w:marBottom w:val="0"/>
      <w:divBdr>
        <w:top w:val="none" w:sz="0" w:space="0" w:color="auto"/>
        <w:left w:val="none" w:sz="0" w:space="0" w:color="auto"/>
        <w:bottom w:val="none" w:sz="0" w:space="0" w:color="auto"/>
        <w:right w:val="none" w:sz="0" w:space="0" w:color="auto"/>
      </w:divBdr>
    </w:div>
    <w:div w:id="1157653735">
      <w:bodyDiv w:val="1"/>
      <w:marLeft w:val="0"/>
      <w:marRight w:val="0"/>
      <w:marTop w:val="0"/>
      <w:marBottom w:val="0"/>
      <w:divBdr>
        <w:top w:val="none" w:sz="0" w:space="0" w:color="auto"/>
        <w:left w:val="none" w:sz="0" w:space="0" w:color="auto"/>
        <w:bottom w:val="none" w:sz="0" w:space="0" w:color="auto"/>
        <w:right w:val="none" w:sz="0" w:space="0" w:color="auto"/>
      </w:divBdr>
    </w:div>
    <w:div w:id="1158232022">
      <w:bodyDiv w:val="1"/>
      <w:marLeft w:val="0"/>
      <w:marRight w:val="0"/>
      <w:marTop w:val="0"/>
      <w:marBottom w:val="0"/>
      <w:divBdr>
        <w:top w:val="none" w:sz="0" w:space="0" w:color="auto"/>
        <w:left w:val="none" w:sz="0" w:space="0" w:color="auto"/>
        <w:bottom w:val="none" w:sz="0" w:space="0" w:color="auto"/>
        <w:right w:val="none" w:sz="0" w:space="0" w:color="auto"/>
      </w:divBdr>
    </w:div>
    <w:div w:id="1162350566">
      <w:bodyDiv w:val="1"/>
      <w:marLeft w:val="0"/>
      <w:marRight w:val="0"/>
      <w:marTop w:val="0"/>
      <w:marBottom w:val="0"/>
      <w:divBdr>
        <w:top w:val="none" w:sz="0" w:space="0" w:color="auto"/>
        <w:left w:val="none" w:sz="0" w:space="0" w:color="auto"/>
        <w:bottom w:val="none" w:sz="0" w:space="0" w:color="auto"/>
        <w:right w:val="none" w:sz="0" w:space="0" w:color="auto"/>
      </w:divBdr>
    </w:div>
    <w:div w:id="1185633836">
      <w:bodyDiv w:val="1"/>
      <w:marLeft w:val="0"/>
      <w:marRight w:val="0"/>
      <w:marTop w:val="0"/>
      <w:marBottom w:val="0"/>
      <w:divBdr>
        <w:top w:val="none" w:sz="0" w:space="0" w:color="auto"/>
        <w:left w:val="none" w:sz="0" w:space="0" w:color="auto"/>
        <w:bottom w:val="none" w:sz="0" w:space="0" w:color="auto"/>
        <w:right w:val="none" w:sz="0" w:space="0" w:color="auto"/>
      </w:divBdr>
    </w:div>
    <w:div w:id="1193615301">
      <w:bodyDiv w:val="1"/>
      <w:marLeft w:val="0"/>
      <w:marRight w:val="0"/>
      <w:marTop w:val="0"/>
      <w:marBottom w:val="0"/>
      <w:divBdr>
        <w:top w:val="none" w:sz="0" w:space="0" w:color="auto"/>
        <w:left w:val="none" w:sz="0" w:space="0" w:color="auto"/>
        <w:bottom w:val="none" w:sz="0" w:space="0" w:color="auto"/>
        <w:right w:val="none" w:sz="0" w:space="0" w:color="auto"/>
      </w:divBdr>
    </w:div>
    <w:div w:id="1203980197">
      <w:bodyDiv w:val="1"/>
      <w:marLeft w:val="0"/>
      <w:marRight w:val="0"/>
      <w:marTop w:val="0"/>
      <w:marBottom w:val="0"/>
      <w:divBdr>
        <w:top w:val="none" w:sz="0" w:space="0" w:color="auto"/>
        <w:left w:val="none" w:sz="0" w:space="0" w:color="auto"/>
        <w:bottom w:val="none" w:sz="0" w:space="0" w:color="auto"/>
        <w:right w:val="none" w:sz="0" w:space="0" w:color="auto"/>
      </w:divBdr>
    </w:div>
    <w:div w:id="1207134287">
      <w:bodyDiv w:val="1"/>
      <w:marLeft w:val="0"/>
      <w:marRight w:val="0"/>
      <w:marTop w:val="0"/>
      <w:marBottom w:val="0"/>
      <w:divBdr>
        <w:top w:val="none" w:sz="0" w:space="0" w:color="auto"/>
        <w:left w:val="none" w:sz="0" w:space="0" w:color="auto"/>
        <w:bottom w:val="none" w:sz="0" w:space="0" w:color="auto"/>
        <w:right w:val="none" w:sz="0" w:space="0" w:color="auto"/>
      </w:divBdr>
    </w:div>
    <w:div w:id="1209610436">
      <w:bodyDiv w:val="1"/>
      <w:marLeft w:val="0"/>
      <w:marRight w:val="0"/>
      <w:marTop w:val="0"/>
      <w:marBottom w:val="0"/>
      <w:divBdr>
        <w:top w:val="none" w:sz="0" w:space="0" w:color="auto"/>
        <w:left w:val="none" w:sz="0" w:space="0" w:color="auto"/>
        <w:bottom w:val="none" w:sz="0" w:space="0" w:color="auto"/>
        <w:right w:val="none" w:sz="0" w:space="0" w:color="auto"/>
      </w:divBdr>
    </w:div>
    <w:div w:id="1218588035">
      <w:bodyDiv w:val="1"/>
      <w:marLeft w:val="0"/>
      <w:marRight w:val="0"/>
      <w:marTop w:val="0"/>
      <w:marBottom w:val="0"/>
      <w:divBdr>
        <w:top w:val="none" w:sz="0" w:space="0" w:color="auto"/>
        <w:left w:val="none" w:sz="0" w:space="0" w:color="auto"/>
        <w:bottom w:val="none" w:sz="0" w:space="0" w:color="auto"/>
        <w:right w:val="none" w:sz="0" w:space="0" w:color="auto"/>
      </w:divBdr>
    </w:div>
    <w:div w:id="1221358371">
      <w:bodyDiv w:val="1"/>
      <w:marLeft w:val="0"/>
      <w:marRight w:val="0"/>
      <w:marTop w:val="0"/>
      <w:marBottom w:val="0"/>
      <w:divBdr>
        <w:top w:val="none" w:sz="0" w:space="0" w:color="auto"/>
        <w:left w:val="none" w:sz="0" w:space="0" w:color="auto"/>
        <w:bottom w:val="none" w:sz="0" w:space="0" w:color="auto"/>
        <w:right w:val="none" w:sz="0" w:space="0" w:color="auto"/>
      </w:divBdr>
    </w:div>
    <w:div w:id="1222443522">
      <w:bodyDiv w:val="1"/>
      <w:marLeft w:val="0"/>
      <w:marRight w:val="0"/>
      <w:marTop w:val="0"/>
      <w:marBottom w:val="0"/>
      <w:divBdr>
        <w:top w:val="none" w:sz="0" w:space="0" w:color="auto"/>
        <w:left w:val="none" w:sz="0" w:space="0" w:color="auto"/>
        <w:bottom w:val="none" w:sz="0" w:space="0" w:color="auto"/>
        <w:right w:val="none" w:sz="0" w:space="0" w:color="auto"/>
      </w:divBdr>
    </w:div>
    <w:div w:id="1225873400">
      <w:bodyDiv w:val="1"/>
      <w:marLeft w:val="0"/>
      <w:marRight w:val="0"/>
      <w:marTop w:val="0"/>
      <w:marBottom w:val="0"/>
      <w:divBdr>
        <w:top w:val="none" w:sz="0" w:space="0" w:color="auto"/>
        <w:left w:val="none" w:sz="0" w:space="0" w:color="auto"/>
        <w:bottom w:val="none" w:sz="0" w:space="0" w:color="auto"/>
        <w:right w:val="none" w:sz="0" w:space="0" w:color="auto"/>
      </w:divBdr>
    </w:div>
    <w:div w:id="1227304260">
      <w:bodyDiv w:val="1"/>
      <w:marLeft w:val="0"/>
      <w:marRight w:val="0"/>
      <w:marTop w:val="0"/>
      <w:marBottom w:val="0"/>
      <w:divBdr>
        <w:top w:val="none" w:sz="0" w:space="0" w:color="auto"/>
        <w:left w:val="none" w:sz="0" w:space="0" w:color="auto"/>
        <w:bottom w:val="none" w:sz="0" w:space="0" w:color="auto"/>
        <w:right w:val="none" w:sz="0" w:space="0" w:color="auto"/>
      </w:divBdr>
    </w:div>
    <w:div w:id="1230338946">
      <w:bodyDiv w:val="1"/>
      <w:marLeft w:val="0"/>
      <w:marRight w:val="0"/>
      <w:marTop w:val="0"/>
      <w:marBottom w:val="0"/>
      <w:divBdr>
        <w:top w:val="none" w:sz="0" w:space="0" w:color="auto"/>
        <w:left w:val="none" w:sz="0" w:space="0" w:color="auto"/>
        <w:bottom w:val="none" w:sz="0" w:space="0" w:color="auto"/>
        <w:right w:val="none" w:sz="0" w:space="0" w:color="auto"/>
      </w:divBdr>
    </w:div>
    <w:div w:id="1247304633">
      <w:bodyDiv w:val="1"/>
      <w:marLeft w:val="0"/>
      <w:marRight w:val="0"/>
      <w:marTop w:val="0"/>
      <w:marBottom w:val="0"/>
      <w:divBdr>
        <w:top w:val="none" w:sz="0" w:space="0" w:color="auto"/>
        <w:left w:val="none" w:sz="0" w:space="0" w:color="auto"/>
        <w:bottom w:val="none" w:sz="0" w:space="0" w:color="auto"/>
        <w:right w:val="none" w:sz="0" w:space="0" w:color="auto"/>
      </w:divBdr>
    </w:div>
    <w:div w:id="1248730119">
      <w:bodyDiv w:val="1"/>
      <w:marLeft w:val="0"/>
      <w:marRight w:val="0"/>
      <w:marTop w:val="0"/>
      <w:marBottom w:val="0"/>
      <w:divBdr>
        <w:top w:val="none" w:sz="0" w:space="0" w:color="auto"/>
        <w:left w:val="none" w:sz="0" w:space="0" w:color="auto"/>
        <w:bottom w:val="none" w:sz="0" w:space="0" w:color="auto"/>
        <w:right w:val="none" w:sz="0" w:space="0" w:color="auto"/>
      </w:divBdr>
    </w:div>
    <w:div w:id="1254895451">
      <w:bodyDiv w:val="1"/>
      <w:marLeft w:val="0"/>
      <w:marRight w:val="0"/>
      <w:marTop w:val="0"/>
      <w:marBottom w:val="0"/>
      <w:divBdr>
        <w:top w:val="none" w:sz="0" w:space="0" w:color="auto"/>
        <w:left w:val="none" w:sz="0" w:space="0" w:color="auto"/>
        <w:bottom w:val="none" w:sz="0" w:space="0" w:color="auto"/>
        <w:right w:val="none" w:sz="0" w:space="0" w:color="auto"/>
      </w:divBdr>
    </w:div>
    <w:div w:id="1260408333">
      <w:bodyDiv w:val="1"/>
      <w:marLeft w:val="0"/>
      <w:marRight w:val="0"/>
      <w:marTop w:val="0"/>
      <w:marBottom w:val="0"/>
      <w:divBdr>
        <w:top w:val="none" w:sz="0" w:space="0" w:color="auto"/>
        <w:left w:val="none" w:sz="0" w:space="0" w:color="auto"/>
        <w:bottom w:val="none" w:sz="0" w:space="0" w:color="auto"/>
        <w:right w:val="none" w:sz="0" w:space="0" w:color="auto"/>
      </w:divBdr>
    </w:div>
    <w:div w:id="1276474736">
      <w:bodyDiv w:val="1"/>
      <w:marLeft w:val="0"/>
      <w:marRight w:val="0"/>
      <w:marTop w:val="0"/>
      <w:marBottom w:val="0"/>
      <w:divBdr>
        <w:top w:val="none" w:sz="0" w:space="0" w:color="auto"/>
        <w:left w:val="none" w:sz="0" w:space="0" w:color="auto"/>
        <w:bottom w:val="none" w:sz="0" w:space="0" w:color="auto"/>
        <w:right w:val="none" w:sz="0" w:space="0" w:color="auto"/>
      </w:divBdr>
    </w:div>
    <w:div w:id="1278368414">
      <w:bodyDiv w:val="1"/>
      <w:marLeft w:val="0"/>
      <w:marRight w:val="0"/>
      <w:marTop w:val="0"/>
      <w:marBottom w:val="0"/>
      <w:divBdr>
        <w:top w:val="none" w:sz="0" w:space="0" w:color="auto"/>
        <w:left w:val="none" w:sz="0" w:space="0" w:color="auto"/>
        <w:bottom w:val="none" w:sz="0" w:space="0" w:color="auto"/>
        <w:right w:val="none" w:sz="0" w:space="0" w:color="auto"/>
      </w:divBdr>
    </w:div>
    <w:div w:id="1287273813">
      <w:bodyDiv w:val="1"/>
      <w:marLeft w:val="0"/>
      <w:marRight w:val="0"/>
      <w:marTop w:val="0"/>
      <w:marBottom w:val="0"/>
      <w:divBdr>
        <w:top w:val="none" w:sz="0" w:space="0" w:color="auto"/>
        <w:left w:val="none" w:sz="0" w:space="0" w:color="auto"/>
        <w:bottom w:val="none" w:sz="0" w:space="0" w:color="auto"/>
        <w:right w:val="none" w:sz="0" w:space="0" w:color="auto"/>
      </w:divBdr>
    </w:div>
    <w:div w:id="1289625775">
      <w:bodyDiv w:val="1"/>
      <w:marLeft w:val="0"/>
      <w:marRight w:val="0"/>
      <w:marTop w:val="0"/>
      <w:marBottom w:val="0"/>
      <w:divBdr>
        <w:top w:val="none" w:sz="0" w:space="0" w:color="auto"/>
        <w:left w:val="none" w:sz="0" w:space="0" w:color="auto"/>
        <w:bottom w:val="none" w:sz="0" w:space="0" w:color="auto"/>
        <w:right w:val="none" w:sz="0" w:space="0" w:color="auto"/>
      </w:divBdr>
    </w:div>
    <w:div w:id="1295713552">
      <w:bodyDiv w:val="1"/>
      <w:marLeft w:val="0"/>
      <w:marRight w:val="0"/>
      <w:marTop w:val="0"/>
      <w:marBottom w:val="0"/>
      <w:divBdr>
        <w:top w:val="none" w:sz="0" w:space="0" w:color="auto"/>
        <w:left w:val="none" w:sz="0" w:space="0" w:color="auto"/>
        <w:bottom w:val="none" w:sz="0" w:space="0" w:color="auto"/>
        <w:right w:val="none" w:sz="0" w:space="0" w:color="auto"/>
      </w:divBdr>
    </w:div>
    <w:div w:id="1307592696">
      <w:bodyDiv w:val="1"/>
      <w:marLeft w:val="0"/>
      <w:marRight w:val="0"/>
      <w:marTop w:val="0"/>
      <w:marBottom w:val="0"/>
      <w:divBdr>
        <w:top w:val="none" w:sz="0" w:space="0" w:color="auto"/>
        <w:left w:val="none" w:sz="0" w:space="0" w:color="auto"/>
        <w:bottom w:val="none" w:sz="0" w:space="0" w:color="auto"/>
        <w:right w:val="none" w:sz="0" w:space="0" w:color="auto"/>
      </w:divBdr>
    </w:div>
    <w:div w:id="1313484862">
      <w:bodyDiv w:val="1"/>
      <w:marLeft w:val="0"/>
      <w:marRight w:val="0"/>
      <w:marTop w:val="0"/>
      <w:marBottom w:val="0"/>
      <w:divBdr>
        <w:top w:val="none" w:sz="0" w:space="0" w:color="auto"/>
        <w:left w:val="none" w:sz="0" w:space="0" w:color="auto"/>
        <w:bottom w:val="none" w:sz="0" w:space="0" w:color="auto"/>
        <w:right w:val="none" w:sz="0" w:space="0" w:color="auto"/>
      </w:divBdr>
    </w:div>
    <w:div w:id="1316566604">
      <w:bodyDiv w:val="1"/>
      <w:marLeft w:val="0"/>
      <w:marRight w:val="0"/>
      <w:marTop w:val="0"/>
      <w:marBottom w:val="0"/>
      <w:divBdr>
        <w:top w:val="none" w:sz="0" w:space="0" w:color="auto"/>
        <w:left w:val="none" w:sz="0" w:space="0" w:color="auto"/>
        <w:bottom w:val="none" w:sz="0" w:space="0" w:color="auto"/>
        <w:right w:val="none" w:sz="0" w:space="0" w:color="auto"/>
      </w:divBdr>
    </w:div>
    <w:div w:id="1326205560">
      <w:bodyDiv w:val="1"/>
      <w:marLeft w:val="0"/>
      <w:marRight w:val="0"/>
      <w:marTop w:val="0"/>
      <w:marBottom w:val="0"/>
      <w:divBdr>
        <w:top w:val="none" w:sz="0" w:space="0" w:color="auto"/>
        <w:left w:val="none" w:sz="0" w:space="0" w:color="auto"/>
        <w:bottom w:val="none" w:sz="0" w:space="0" w:color="auto"/>
        <w:right w:val="none" w:sz="0" w:space="0" w:color="auto"/>
      </w:divBdr>
    </w:div>
    <w:div w:id="1331828312">
      <w:bodyDiv w:val="1"/>
      <w:marLeft w:val="0"/>
      <w:marRight w:val="0"/>
      <w:marTop w:val="0"/>
      <w:marBottom w:val="0"/>
      <w:divBdr>
        <w:top w:val="none" w:sz="0" w:space="0" w:color="auto"/>
        <w:left w:val="none" w:sz="0" w:space="0" w:color="auto"/>
        <w:bottom w:val="none" w:sz="0" w:space="0" w:color="auto"/>
        <w:right w:val="none" w:sz="0" w:space="0" w:color="auto"/>
      </w:divBdr>
    </w:div>
    <w:div w:id="1336029646">
      <w:bodyDiv w:val="1"/>
      <w:marLeft w:val="0"/>
      <w:marRight w:val="0"/>
      <w:marTop w:val="0"/>
      <w:marBottom w:val="0"/>
      <w:divBdr>
        <w:top w:val="none" w:sz="0" w:space="0" w:color="auto"/>
        <w:left w:val="none" w:sz="0" w:space="0" w:color="auto"/>
        <w:bottom w:val="none" w:sz="0" w:space="0" w:color="auto"/>
        <w:right w:val="none" w:sz="0" w:space="0" w:color="auto"/>
      </w:divBdr>
    </w:div>
    <w:div w:id="1336226748">
      <w:bodyDiv w:val="1"/>
      <w:marLeft w:val="0"/>
      <w:marRight w:val="0"/>
      <w:marTop w:val="0"/>
      <w:marBottom w:val="0"/>
      <w:divBdr>
        <w:top w:val="none" w:sz="0" w:space="0" w:color="auto"/>
        <w:left w:val="none" w:sz="0" w:space="0" w:color="auto"/>
        <w:bottom w:val="none" w:sz="0" w:space="0" w:color="auto"/>
        <w:right w:val="none" w:sz="0" w:space="0" w:color="auto"/>
      </w:divBdr>
    </w:div>
    <w:div w:id="1337267964">
      <w:bodyDiv w:val="1"/>
      <w:marLeft w:val="0"/>
      <w:marRight w:val="0"/>
      <w:marTop w:val="0"/>
      <w:marBottom w:val="0"/>
      <w:divBdr>
        <w:top w:val="none" w:sz="0" w:space="0" w:color="auto"/>
        <w:left w:val="none" w:sz="0" w:space="0" w:color="auto"/>
        <w:bottom w:val="none" w:sz="0" w:space="0" w:color="auto"/>
        <w:right w:val="none" w:sz="0" w:space="0" w:color="auto"/>
      </w:divBdr>
    </w:div>
    <w:div w:id="1339383565">
      <w:bodyDiv w:val="1"/>
      <w:marLeft w:val="0"/>
      <w:marRight w:val="0"/>
      <w:marTop w:val="0"/>
      <w:marBottom w:val="0"/>
      <w:divBdr>
        <w:top w:val="none" w:sz="0" w:space="0" w:color="auto"/>
        <w:left w:val="none" w:sz="0" w:space="0" w:color="auto"/>
        <w:bottom w:val="none" w:sz="0" w:space="0" w:color="auto"/>
        <w:right w:val="none" w:sz="0" w:space="0" w:color="auto"/>
      </w:divBdr>
    </w:div>
    <w:div w:id="1343431872">
      <w:bodyDiv w:val="1"/>
      <w:marLeft w:val="0"/>
      <w:marRight w:val="0"/>
      <w:marTop w:val="0"/>
      <w:marBottom w:val="0"/>
      <w:divBdr>
        <w:top w:val="none" w:sz="0" w:space="0" w:color="auto"/>
        <w:left w:val="none" w:sz="0" w:space="0" w:color="auto"/>
        <w:bottom w:val="none" w:sz="0" w:space="0" w:color="auto"/>
        <w:right w:val="none" w:sz="0" w:space="0" w:color="auto"/>
      </w:divBdr>
    </w:div>
    <w:div w:id="1345589447">
      <w:bodyDiv w:val="1"/>
      <w:marLeft w:val="0"/>
      <w:marRight w:val="0"/>
      <w:marTop w:val="0"/>
      <w:marBottom w:val="0"/>
      <w:divBdr>
        <w:top w:val="none" w:sz="0" w:space="0" w:color="auto"/>
        <w:left w:val="none" w:sz="0" w:space="0" w:color="auto"/>
        <w:bottom w:val="none" w:sz="0" w:space="0" w:color="auto"/>
        <w:right w:val="none" w:sz="0" w:space="0" w:color="auto"/>
      </w:divBdr>
    </w:div>
    <w:div w:id="1374036051">
      <w:bodyDiv w:val="1"/>
      <w:marLeft w:val="0"/>
      <w:marRight w:val="0"/>
      <w:marTop w:val="0"/>
      <w:marBottom w:val="0"/>
      <w:divBdr>
        <w:top w:val="none" w:sz="0" w:space="0" w:color="auto"/>
        <w:left w:val="none" w:sz="0" w:space="0" w:color="auto"/>
        <w:bottom w:val="none" w:sz="0" w:space="0" w:color="auto"/>
        <w:right w:val="none" w:sz="0" w:space="0" w:color="auto"/>
      </w:divBdr>
    </w:div>
    <w:div w:id="1377585038">
      <w:bodyDiv w:val="1"/>
      <w:marLeft w:val="0"/>
      <w:marRight w:val="0"/>
      <w:marTop w:val="0"/>
      <w:marBottom w:val="0"/>
      <w:divBdr>
        <w:top w:val="none" w:sz="0" w:space="0" w:color="auto"/>
        <w:left w:val="none" w:sz="0" w:space="0" w:color="auto"/>
        <w:bottom w:val="none" w:sz="0" w:space="0" w:color="auto"/>
        <w:right w:val="none" w:sz="0" w:space="0" w:color="auto"/>
      </w:divBdr>
    </w:div>
    <w:div w:id="1379428777">
      <w:bodyDiv w:val="1"/>
      <w:marLeft w:val="0"/>
      <w:marRight w:val="0"/>
      <w:marTop w:val="0"/>
      <w:marBottom w:val="0"/>
      <w:divBdr>
        <w:top w:val="none" w:sz="0" w:space="0" w:color="auto"/>
        <w:left w:val="none" w:sz="0" w:space="0" w:color="auto"/>
        <w:bottom w:val="none" w:sz="0" w:space="0" w:color="auto"/>
        <w:right w:val="none" w:sz="0" w:space="0" w:color="auto"/>
      </w:divBdr>
    </w:div>
    <w:div w:id="1384522706">
      <w:bodyDiv w:val="1"/>
      <w:marLeft w:val="0"/>
      <w:marRight w:val="0"/>
      <w:marTop w:val="0"/>
      <w:marBottom w:val="0"/>
      <w:divBdr>
        <w:top w:val="none" w:sz="0" w:space="0" w:color="auto"/>
        <w:left w:val="none" w:sz="0" w:space="0" w:color="auto"/>
        <w:bottom w:val="none" w:sz="0" w:space="0" w:color="auto"/>
        <w:right w:val="none" w:sz="0" w:space="0" w:color="auto"/>
      </w:divBdr>
    </w:div>
    <w:div w:id="1385829457">
      <w:bodyDiv w:val="1"/>
      <w:marLeft w:val="0"/>
      <w:marRight w:val="0"/>
      <w:marTop w:val="0"/>
      <w:marBottom w:val="0"/>
      <w:divBdr>
        <w:top w:val="none" w:sz="0" w:space="0" w:color="auto"/>
        <w:left w:val="none" w:sz="0" w:space="0" w:color="auto"/>
        <w:bottom w:val="none" w:sz="0" w:space="0" w:color="auto"/>
        <w:right w:val="none" w:sz="0" w:space="0" w:color="auto"/>
      </w:divBdr>
      <w:divsChild>
        <w:div w:id="266087979">
          <w:marLeft w:val="0"/>
          <w:marRight w:val="0"/>
          <w:marTop w:val="0"/>
          <w:marBottom w:val="0"/>
          <w:divBdr>
            <w:top w:val="none" w:sz="0" w:space="0" w:color="auto"/>
            <w:left w:val="none" w:sz="0" w:space="0" w:color="auto"/>
            <w:bottom w:val="none" w:sz="0" w:space="0" w:color="auto"/>
            <w:right w:val="none" w:sz="0" w:space="0" w:color="auto"/>
          </w:divBdr>
        </w:div>
        <w:div w:id="1337998185">
          <w:marLeft w:val="0"/>
          <w:marRight w:val="0"/>
          <w:marTop w:val="0"/>
          <w:marBottom w:val="0"/>
          <w:divBdr>
            <w:top w:val="none" w:sz="0" w:space="0" w:color="auto"/>
            <w:left w:val="none" w:sz="0" w:space="0" w:color="auto"/>
            <w:bottom w:val="none" w:sz="0" w:space="0" w:color="auto"/>
            <w:right w:val="none" w:sz="0" w:space="0" w:color="auto"/>
          </w:divBdr>
        </w:div>
      </w:divsChild>
    </w:div>
    <w:div w:id="1394305656">
      <w:bodyDiv w:val="1"/>
      <w:marLeft w:val="0"/>
      <w:marRight w:val="0"/>
      <w:marTop w:val="0"/>
      <w:marBottom w:val="0"/>
      <w:divBdr>
        <w:top w:val="none" w:sz="0" w:space="0" w:color="auto"/>
        <w:left w:val="none" w:sz="0" w:space="0" w:color="auto"/>
        <w:bottom w:val="none" w:sz="0" w:space="0" w:color="auto"/>
        <w:right w:val="none" w:sz="0" w:space="0" w:color="auto"/>
      </w:divBdr>
    </w:div>
    <w:div w:id="1395856978">
      <w:bodyDiv w:val="1"/>
      <w:marLeft w:val="0"/>
      <w:marRight w:val="0"/>
      <w:marTop w:val="0"/>
      <w:marBottom w:val="0"/>
      <w:divBdr>
        <w:top w:val="none" w:sz="0" w:space="0" w:color="auto"/>
        <w:left w:val="none" w:sz="0" w:space="0" w:color="auto"/>
        <w:bottom w:val="none" w:sz="0" w:space="0" w:color="auto"/>
        <w:right w:val="none" w:sz="0" w:space="0" w:color="auto"/>
      </w:divBdr>
    </w:div>
    <w:div w:id="1401441314">
      <w:bodyDiv w:val="1"/>
      <w:marLeft w:val="0"/>
      <w:marRight w:val="0"/>
      <w:marTop w:val="0"/>
      <w:marBottom w:val="0"/>
      <w:divBdr>
        <w:top w:val="none" w:sz="0" w:space="0" w:color="auto"/>
        <w:left w:val="none" w:sz="0" w:space="0" w:color="auto"/>
        <w:bottom w:val="none" w:sz="0" w:space="0" w:color="auto"/>
        <w:right w:val="none" w:sz="0" w:space="0" w:color="auto"/>
      </w:divBdr>
    </w:div>
    <w:div w:id="1402674426">
      <w:bodyDiv w:val="1"/>
      <w:marLeft w:val="0"/>
      <w:marRight w:val="0"/>
      <w:marTop w:val="0"/>
      <w:marBottom w:val="0"/>
      <w:divBdr>
        <w:top w:val="none" w:sz="0" w:space="0" w:color="auto"/>
        <w:left w:val="none" w:sz="0" w:space="0" w:color="auto"/>
        <w:bottom w:val="none" w:sz="0" w:space="0" w:color="auto"/>
        <w:right w:val="none" w:sz="0" w:space="0" w:color="auto"/>
      </w:divBdr>
    </w:div>
    <w:div w:id="1406337898">
      <w:bodyDiv w:val="1"/>
      <w:marLeft w:val="0"/>
      <w:marRight w:val="0"/>
      <w:marTop w:val="0"/>
      <w:marBottom w:val="0"/>
      <w:divBdr>
        <w:top w:val="none" w:sz="0" w:space="0" w:color="auto"/>
        <w:left w:val="none" w:sz="0" w:space="0" w:color="auto"/>
        <w:bottom w:val="none" w:sz="0" w:space="0" w:color="auto"/>
        <w:right w:val="none" w:sz="0" w:space="0" w:color="auto"/>
      </w:divBdr>
    </w:div>
    <w:div w:id="1407416254">
      <w:bodyDiv w:val="1"/>
      <w:marLeft w:val="0"/>
      <w:marRight w:val="0"/>
      <w:marTop w:val="0"/>
      <w:marBottom w:val="0"/>
      <w:divBdr>
        <w:top w:val="none" w:sz="0" w:space="0" w:color="auto"/>
        <w:left w:val="none" w:sz="0" w:space="0" w:color="auto"/>
        <w:bottom w:val="none" w:sz="0" w:space="0" w:color="auto"/>
        <w:right w:val="none" w:sz="0" w:space="0" w:color="auto"/>
      </w:divBdr>
    </w:div>
    <w:div w:id="1414358997">
      <w:bodyDiv w:val="1"/>
      <w:marLeft w:val="0"/>
      <w:marRight w:val="0"/>
      <w:marTop w:val="0"/>
      <w:marBottom w:val="0"/>
      <w:divBdr>
        <w:top w:val="none" w:sz="0" w:space="0" w:color="auto"/>
        <w:left w:val="none" w:sz="0" w:space="0" w:color="auto"/>
        <w:bottom w:val="none" w:sz="0" w:space="0" w:color="auto"/>
        <w:right w:val="none" w:sz="0" w:space="0" w:color="auto"/>
      </w:divBdr>
    </w:div>
    <w:div w:id="1444618920">
      <w:bodyDiv w:val="1"/>
      <w:marLeft w:val="0"/>
      <w:marRight w:val="0"/>
      <w:marTop w:val="0"/>
      <w:marBottom w:val="0"/>
      <w:divBdr>
        <w:top w:val="none" w:sz="0" w:space="0" w:color="auto"/>
        <w:left w:val="none" w:sz="0" w:space="0" w:color="auto"/>
        <w:bottom w:val="none" w:sz="0" w:space="0" w:color="auto"/>
        <w:right w:val="none" w:sz="0" w:space="0" w:color="auto"/>
      </w:divBdr>
    </w:div>
    <w:div w:id="1459178501">
      <w:bodyDiv w:val="1"/>
      <w:marLeft w:val="0"/>
      <w:marRight w:val="0"/>
      <w:marTop w:val="0"/>
      <w:marBottom w:val="0"/>
      <w:divBdr>
        <w:top w:val="none" w:sz="0" w:space="0" w:color="auto"/>
        <w:left w:val="none" w:sz="0" w:space="0" w:color="auto"/>
        <w:bottom w:val="none" w:sz="0" w:space="0" w:color="auto"/>
        <w:right w:val="none" w:sz="0" w:space="0" w:color="auto"/>
      </w:divBdr>
    </w:div>
    <w:div w:id="1461453871">
      <w:bodyDiv w:val="1"/>
      <w:marLeft w:val="0"/>
      <w:marRight w:val="0"/>
      <w:marTop w:val="0"/>
      <w:marBottom w:val="0"/>
      <w:divBdr>
        <w:top w:val="none" w:sz="0" w:space="0" w:color="auto"/>
        <w:left w:val="none" w:sz="0" w:space="0" w:color="auto"/>
        <w:bottom w:val="none" w:sz="0" w:space="0" w:color="auto"/>
        <w:right w:val="none" w:sz="0" w:space="0" w:color="auto"/>
      </w:divBdr>
    </w:div>
    <w:div w:id="1461874040">
      <w:bodyDiv w:val="1"/>
      <w:marLeft w:val="0"/>
      <w:marRight w:val="0"/>
      <w:marTop w:val="0"/>
      <w:marBottom w:val="0"/>
      <w:divBdr>
        <w:top w:val="none" w:sz="0" w:space="0" w:color="auto"/>
        <w:left w:val="none" w:sz="0" w:space="0" w:color="auto"/>
        <w:bottom w:val="none" w:sz="0" w:space="0" w:color="auto"/>
        <w:right w:val="none" w:sz="0" w:space="0" w:color="auto"/>
      </w:divBdr>
    </w:div>
    <w:div w:id="1462261233">
      <w:bodyDiv w:val="1"/>
      <w:marLeft w:val="0"/>
      <w:marRight w:val="0"/>
      <w:marTop w:val="0"/>
      <w:marBottom w:val="0"/>
      <w:divBdr>
        <w:top w:val="none" w:sz="0" w:space="0" w:color="auto"/>
        <w:left w:val="none" w:sz="0" w:space="0" w:color="auto"/>
        <w:bottom w:val="none" w:sz="0" w:space="0" w:color="auto"/>
        <w:right w:val="none" w:sz="0" w:space="0" w:color="auto"/>
      </w:divBdr>
    </w:div>
    <w:div w:id="1467964999">
      <w:bodyDiv w:val="1"/>
      <w:marLeft w:val="0"/>
      <w:marRight w:val="0"/>
      <w:marTop w:val="0"/>
      <w:marBottom w:val="0"/>
      <w:divBdr>
        <w:top w:val="none" w:sz="0" w:space="0" w:color="auto"/>
        <w:left w:val="none" w:sz="0" w:space="0" w:color="auto"/>
        <w:bottom w:val="none" w:sz="0" w:space="0" w:color="auto"/>
        <w:right w:val="none" w:sz="0" w:space="0" w:color="auto"/>
      </w:divBdr>
    </w:div>
    <w:div w:id="1477455065">
      <w:bodyDiv w:val="1"/>
      <w:marLeft w:val="0"/>
      <w:marRight w:val="0"/>
      <w:marTop w:val="0"/>
      <w:marBottom w:val="0"/>
      <w:divBdr>
        <w:top w:val="none" w:sz="0" w:space="0" w:color="auto"/>
        <w:left w:val="none" w:sz="0" w:space="0" w:color="auto"/>
        <w:bottom w:val="none" w:sz="0" w:space="0" w:color="auto"/>
        <w:right w:val="none" w:sz="0" w:space="0" w:color="auto"/>
      </w:divBdr>
    </w:div>
    <w:div w:id="1482573531">
      <w:bodyDiv w:val="1"/>
      <w:marLeft w:val="0"/>
      <w:marRight w:val="0"/>
      <w:marTop w:val="0"/>
      <w:marBottom w:val="0"/>
      <w:divBdr>
        <w:top w:val="none" w:sz="0" w:space="0" w:color="auto"/>
        <w:left w:val="none" w:sz="0" w:space="0" w:color="auto"/>
        <w:bottom w:val="none" w:sz="0" w:space="0" w:color="auto"/>
        <w:right w:val="none" w:sz="0" w:space="0" w:color="auto"/>
      </w:divBdr>
    </w:div>
    <w:div w:id="1482893226">
      <w:bodyDiv w:val="1"/>
      <w:marLeft w:val="0"/>
      <w:marRight w:val="0"/>
      <w:marTop w:val="0"/>
      <w:marBottom w:val="0"/>
      <w:divBdr>
        <w:top w:val="none" w:sz="0" w:space="0" w:color="auto"/>
        <w:left w:val="none" w:sz="0" w:space="0" w:color="auto"/>
        <w:bottom w:val="none" w:sz="0" w:space="0" w:color="auto"/>
        <w:right w:val="none" w:sz="0" w:space="0" w:color="auto"/>
      </w:divBdr>
    </w:div>
    <w:div w:id="1487208630">
      <w:bodyDiv w:val="1"/>
      <w:marLeft w:val="0"/>
      <w:marRight w:val="0"/>
      <w:marTop w:val="0"/>
      <w:marBottom w:val="0"/>
      <w:divBdr>
        <w:top w:val="none" w:sz="0" w:space="0" w:color="auto"/>
        <w:left w:val="none" w:sz="0" w:space="0" w:color="auto"/>
        <w:bottom w:val="none" w:sz="0" w:space="0" w:color="auto"/>
        <w:right w:val="none" w:sz="0" w:space="0" w:color="auto"/>
      </w:divBdr>
    </w:div>
    <w:div w:id="1489857182">
      <w:bodyDiv w:val="1"/>
      <w:marLeft w:val="0"/>
      <w:marRight w:val="0"/>
      <w:marTop w:val="0"/>
      <w:marBottom w:val="0"/>
      <w:divBdr>
        <w:top w:val="none" w:sz="0" w:space="0" w:color="auto"/>
        <w:left w:val="none" w:sz="0" w:space="0" w:color="auto"/>
        <w:bottom w:val="none" w:sz="0" w:space="0" w:color="auto"/>
        <w:right w:val="none" w:sz="0" w:space="0" w:color="auto"/>
      </w:divBdr>
    </w:div>
    <w:div w:id="1490243149">
      <w:bodyDiv w:val="1"/>
      <w:marLeft w:val="0"/>
      <w:marRight w:val="0"/>
      <w:marTop w:val="0"/>
      <w:marBottom w:val="0"/>
      <w:divBdr>
        <w:top w:val="none" w:sz="0" w:space="0" w:color="auto"/>
        <w:left w:val="none" w:sz="0" w:space="0" w:color="auto"/>
        <w:bottom w:val="none" w:sz="0" w:space="0" w:color="auto"/>
        <w:right w:val="none" w:sz="0" w:space="0" w:color="auto"/>
      </w:divBdr>
    </w:div>
    <w:div w:id="1497575755">
      <w:bodyDiv w:val="1"/>
      <w:marLeft w:val="0"/>
      <w:marRight w:val="0"/>
      <w:marTop w:val="0"/>
      <w:marBottom w:val="0"/>
      <w:divBdr>
        <w:top w:val="none" w:sz="0" w:space="0" w:color="auto"/>
        <w:left w:val="none" w:sz="0" w:space="0" w:color="auto"/>
        <w:bottom w:val="none" w:sz="0" w:space="0" w:color="auto"/>
        <w:right w:val="none" w:sz="0" w:space="0" w:color="auto"/>
      </w:divBdr>
    </w:div>
    <w:div w:id="1497844200">
      <w:bodyDiv w:val="1"/>
      <w:marLeft w:val="0"/>
      <w:marRight w:val="0"/>
      <w:marTop w:val="0"/>
      <w:marBottom w:val="0"/>
      <w:divBdr>
        <w:top w:val="none" w:sz="0" w:space="0" w:color="auto"/>
        <w:left w:val="none" w:sz="0" w:space="0" w:color="auto"/>
        <w:bottom w:val="none" w:sz="0" w:space="0" w:color="auto"/>
        <w:right w:val="none" w:sz="0" w:space="0" w:color="auto"/>
      </w:divBdr>
    </w:div>
    <w:div w:id="1501849839">
      <w:bodyDiv w:val="1"/>
      <w:marLeft w:val="0"/>
      <w:marRight w:val="0"/>
      <w:marTop w:val="0"/>
      <w:marBottom w:val="0"/>
      <w:divBdr>
        <w:top w:val="none" w:sz="0" w:space="0" w:color="auto"/>
        <w:left w:val="none" w:sz="0" w:space="0" w:color="auto"/>
        <w:bottom w:val="none" w:sz="0" w:space="0" w:color="auto"/>
        <w:right w:val="none" w:sz="0" w:space="0" w:color="auto"/>
      </w:divBdr>
    </w:div>
    <w:div w:id="1501890927">
      <w:bodyDiv w:val="1"/>
      <w:marLeft w:val="0"/>
      <w:marRight w:val="0"/>
      <w:marTop w:val="0"/>
      <w:marBottom w:val="0"/>
      <w:divBdr>
        <w:top w:val="none" w:sz="0" w:space="0" w:color="auto"/>
        <w:left w:val="none" w:sz="0" w:space="0" w:color="auto"/>
        <w:bottom w:val="none" w:sz="0" w:space="0" w:color="auto"/>
        <w:right w:val="none" w:sz="0" w:space="0" w:color="auto"/>
      </w:divBdr>
    </w:div>
    <w:div w:id="1507943718">
      <w:bodyDiv w:val="1"/>
      <w:marLeft w:val="0"/>
      <w:marRight w:val="0"/>
      <w:marTop w:val="0"/>
      <w:marBottom w:val="0"/>
      <w:divBdr>
        <w:top w:val="none" w:sz="0" w:space="0" w:color="auto"/>
        <w:left w:val="none" w:sz="0" w:space="0" w:color="auto"/>
        <w:bottom w:val="none" w:sz="0" w:space="0" w:color="auto"/>
        <w:right w:val="none" w:sz="0" w:space="0" w:color="auto"/>
      </w:divBdr>
    </w:div>
    <w:div w:id="1523010603">
      <w:bodyDiv w:val="1"/>
      <w:marLeft w:val="0"/>
      <w:marRight w:val="0"/>
      <w:marTop w:val="0"/>
      <w:marBottom w:val="0"/>
      <w:divBdr>
        <w:top w:val="none" w:sz="0" w:space="0" w:color="auto"/>
        <w:left w:val="none" w:sz="0" w:space="0" w:color="auto"/>
        <w:bottom w:val="none" w:sz="0" w:space="0" w:color="auto"/>
        <w:right w:val="none" w:sz="0" w:space="0" w:color="auto"/>
      </w:divBdr>
    </w:div>
    <w:div w:id="1528060653">
      <w:bodyDiv w:val="1"/>
      <w:marLeft w:val="0"/>
      <w:marRight w:val="0"/>
      <w:marTop w:val="0"/>
      <w:marBottom w:val="0"/>
      <w:divBdr>
        <w:top w:val="none" w:sz="0" w:space="0" w:color="auto"/>
        <w:left w:val="none" w:sz="0" w:space="0" w:color="auto"/>
        <w:bottom w:val="none" w:sz="0" w:space="0" w:color="auto"/>
        <w:right w:val="none" w:sz="0" w:space="0" w:color="auto"/>
      </w:divBdr>
    </w:div>
    <w:div w:id="1531988327">
      <w:bodyDiv w:val="1"/>
      <w:marLeft w:val="0"/>
      <w:marRight w:val="0"/>
      <w:marTop w:val="0"/>
      <w:marBottom w:val="0"/>
      <w:divBdr>
        <w:top w:val="none" w:sz="0" w:space="0" w:color="auto"/>
        <w:left w:val="none" w:sz="0" w:space="0" w:color="auto"/>
        <w:bottom w:val="none" w:sz="0" w:space="0" w:color="auto"/>
        <w:right w:val="none" w:sz="0" w:space="0" w:color="auto"/>
      </w:divBdr>
    </w:div>
    <w:div w:id="1532526017">
      <w:bodyDiv w:val="1"/>
      <w:marLeft w:val="0"/>
      <w:marRight w:val="0"/>
      <w:marTop w:val="0"/>
      <w:marBottom w:val="0"/>
      <w:divBdr>
        <w:top w:val="none" w:sz="0" w:space="0" w:color="auto"/>
        <w:left w:val="none" w:sz="0" w:space="0" w:color="auto"/>
        <w:bottom w:val="none" w:sz="0" w:space="0" w:color="auto"/>
        <w:right w:val="none" w:sz="0" w:space="0" w:color="auto"/>
      </w:divBdr>
    </w:div>
    <w:div w:id="1537350915">
      <w:bodyDiv w:val="1"/>
      <w:marLeft w:val="0"/>
      <w:marRight w:val="0"/>
      <w:marTop w:val="0"/>
      <w:marBottom w:val="0"/>
      <w:divBdr>
        <w:top w:val="none" w:sz="0" w:space="0" w:color="auto"/>
        <w:left w:val="none" w:sz="0" w:space="0" w:color="auto"/>
        <w:bottom w:val="none" w:sz="0" w:space="0" w:color="auto"/>
        <w:right w:val="none" w:sz="0" w:space="0" w:color="auto"/>
      </w:divBdr>
    </w:div>
    <w:div w:id="1539391013">
      <w:bodyDiv w:val="1"/>
      <w:marLeft w:val="0"/>
      <w:marRight w:val="0"/>
      <w:marTop w:val="0"/>
      <w:marBottom w:val="0"/>
      <w:divBdr>
        <w:top w:val="none" w:sz="0" w:space="0" w:color="auto"/>
        <w:left w:val="none" w:sz="0" w:space="0" w:color="auto"/>
        <w:bottom w:val="none" w:sz="0" w:space="0" w:color="auto"/>
        <w:right w:val="none" w:sz="0" w:space="0" w:color="auto"/>
      </w:divBdr>
    </w:div>
    <w:div w:id="1541674578">
      <w:bodyDiv w:val="1"/>
      <w:marLeft w:val="0"/>
      <w:marRight w:val="0"/>
      <w:marTop w:val="0"/>
      <w:marBottom w:val="0"/>
      <w:divBdr>
        <w:top w:val="none" w:sz="0" w:space="0" w:color="auto"/>
        <w:left w:val="none" w:sz="0" w:space="0" w:color="auto"/>
        <w:bottom w:val="none" w:sz="0" w:space="0" w:color="auto"/>
        <w:right w:val="none" w:sz="0" w:space="0" w:color="auto"/>
      </w:divBdr>
    </w:div>
    <w:div w:id="1561552970">
      <w:bodyDiv w:val="1"/>
      <w:marLeft w:val="0"/>
      <w:marRight w:val="0"/>
      <w:marTop w:val="0"/>
      <w:marBottom w:val="0"/>
      <w:divBdr>
        <w:top w:val="none" w:sz="0" w:space="0" w:color="auto"/>
        <w:left w:val="none" w:sz="0" w:space="0" w:color="auto"/>
        <w:bottom w:val="none" w:sz="0" w:space="0" w:color="auto"/>
        <w:right w:val="none" w:sz="0" w:space="0" w:color="auto"/>
      </w:divBdr>
    </w:div>
    <w:div w:id="1563131870">
      <w:bodyDiv w:val="1"/>
      <w:marLeft w:val="0"/>
      <w:marRight w:val="0"/>
      <w:marTop w:val="0"/>
      <w:marBottom w:val="0"/>
      <w:divBdr>
        <w:top w:val="none" w:sz="0" w:space="0" w:color="auto"/>
        <w:left w:val="none" w:sz="0" w:space="0" w:color="auto"/>
        <w:bottom w:val="none" w:sz="0" w:space="0" w:color="auto"/>
        <w:right w:val="none" w:sz="0" w:space="0" w:color="auto"/>
      </w:divBdr>
    </w:div>
    <w:div w:id="1567062651">
      <w:bodyDiv w:val="1"/>
      <w:marLeft w:val="0"/>
      <w:marRight w:val="0"/>
      <w:marTop w:val="0"/>
      <w:marBottom w:val="0"/>
      <w:divBdr>
        <w:top w:val="none" w:sz="0" w:space="0" w:color="auto"/>
        <w:left w:val="none" w:sz="0" w:space="0" w:color="auto"/>
        <w:bottom w:val="none" w:sz="0" w:space="0" w:color="auto"/>
        <w:right w:val="none" w:sz="0" w:space="0" w:color="auto"/>
      </w:divBdr>
    </w:div>
    <w:div w:id="1567715845">
      <w:bodyDiv w:val="1"/>
      <w:marLeft w:val="0"/>
      <w:marRight w:val="0"/>
      <w:marTop w:val="0"/>
      <w:marBottom w:val="0"/>
      <w:divBdr>
        <w:top w:val="none" w:sz="0" w:space="0" w:color="auto"/>
        <w:left w:val="none" w:sz="0" w:space="0" w:color="auto"/>
        <w:bottom w:val="none" w:sz="0" w:space="0" w:color="auto"/>
        <w:right w:val="none" w:sz="0" w:space="0" w:color="auto"/>
      </w:divBdr>
    </w:div>
    <w:div w:id="1569922481">
      <w:bodyDiv w:val="1"/>
      <w:marLeft w:val="0"/>
      <w:marRight w:val="0"/>
      <w:marTop w:val="0"/>
      <w:marBottom w:val="0"/>
      <w:divBdr>
        <w:top w:val="none" w:sz="0" w:space="0" w:color="auto"/>
        <w:left w:val="none" w:sz="0" w:space="0" w:color="auto"/>
        <w:bottom w:val="none" w:sz="0" w:space="0" w:color="auto"/>
        <w:right w:val="none" w:sz="0" w:space="0" w:color="auto"/>
      </w:divBdr>
    </w:div>
    <w:div w:id="1582986247">
      <w:bodyDiv w:val="1"/>
      <w:marLeft w:val="0"/>
      <w:marRight w:val="0"/>
      <w:marTop w:val="0"/>
      <w:marBottom w:val="0"/>
      <w:divBdr>
        <w:top w:val="none" w:sz="0" w:space="0" w:color="auto"/>
        <w:left w:val="none" w:sz="0" w:space="0" w:color="auto"/>
        <w:bottom w:val="none" w:sz="0" w:space="0" w:color="auto"/>
        <w:right w:val="none" w:sz="0" w:space="0" w:color="auto"/>
      </w:divBdr>
    </w:div>
    <w:div w:id="1583487378">
      <w:bodyDiv w:val="1"/>
      <w:marLeft w:val="0"/>
      <w:marRight w:val="0"/>
      <w:marTop w:val="0"/>
      <w:marBottom w:val="0"/>
      <w:divBdr>
        <w:top w:val="none" w:sz="0" w:space="0" w:color="auto"/>
        <w:left w:val="none" w:sz="0" w:space="0" w:color="auto"/>
        <w:bottom w:val="none" w:sz="0" w:space="0" w:color="auto"/>
        <w:right w:val="none" w:sz="0" w:space="0" w:color="auto"/>
      </w:divBdr>
    </w:div>
    <w:div w:id="1587379221">
      <w:bodyDiv w:val="1"/>
      <w:marLeft w:val="0"/>
      <w:marRight w:val="0"/>
      <w:marTop w:val="0"/>
      <w:marBottom w:val="0"/>
      <w:divBdr>
        <w:top w:val="none" w:sz="0" w:space="0" w:color="auto"/>
        <w:left w:val="none" w:sz="0" w:space="0" w:color="auto"/>
        <w:bottom w:val="none" w:sz="0" w:space="0" w:color="auto"/>
        <w:right w:val="none" w:sz="0" w:space="0" w:color="auto"/>
      </w:divBdr>
    </w:div>
    <w:div w:id="1591111714">
      <w:bodyDiv w:val="1"/>
      <w:marLeft w:val="0"/>
      <w:marRight w:val="0"/>
      <w:marTop w:val="0"/>
      <w:marBottom w:val="0"/>
      <w:divBdr>
        <w:top w:val="none" w:sz="0" w:space="0" w:color="auto"/>
        <w:left w:val="none" w:sz="0" w:space="0" w:color="auto"/>
        <w:bottom w:val="none" w:sz="0" w:space="0" w:color="auto"/>
        <w:right w:val="none" w:sz="0" w:space="0" w:color="auto"/>
      </w:divBdr>
    </w:div>
    <w:div w:id="1597320339">
      <w:bodyDiv w:val="1"/>
      <w:marLeft w:val="0"/>
      <w:marRight w:val="0"/>
      <w:marTop w:val="0"/>
      <w:marBottom w:val="0"/>
      <w:divBdr>
        <w:top w:val="none" w:sz="0" w:space="0" w:color="auto"/>
        <w:left w:val="none" w:sz="0" w:space="0" w:color="auto"/>
        <w:bottom w:val="none" w:sz="0" w:space="0" w:color="auto"/>
        <w:right w:val="none" w:sz="0" w:space="0" w:color="auto"/>
      </w:divBdr>
    </w:div>
    <w:div w:id="1619413789">
      <w:bodyDiv w:val="1"/>
      <w:marLeft w:val="0"/>
      <w:marRight w:val="0"/>
      <w:marTop w:val="0"/>
      <w:marBottom w:val="0"/>
      <w:divBdr>
        <w:top w:val="none" w:sz="0" w:space="0" w:color="auto"/>
        <w:left w:val="none" w:sz="0" w:space="0" w:color="auto"/>
        <w:bottom w:val="none" w:sz="0" w:space="0" w:color="auto"/>
        <w:right w:val="none" w:sz="0" w:space="0" w:color="auto"/>
      </w:divBdr>
    </w:div>
    <w:div w:id="1621646522">
      <w:bodyDiv w:val="1"/>
      <w:marLeft w:val="0"/>
      <w:marRight w:val="0"/>
      <w:marTop w:val="0"/>
      <w:marBottom w:val="0"/>
      <w:divBdr>
        <w:top w:val="none" w:sz="0" w:space="0" w:color="auto"/>
        <w:left w:val="none" w:sz="0" w:space="0" w:color="auto"/>
        <w:bottom w:val="none" w:sz="0" w:space="0" w:color="auto"/>
        <w:right w:val="none" w:sz="0" w:space="0" w:color="auto"/>
      </w:divBdr>
    </w:div>
    <w:div w:id="1633711875">
      <w:bodyDiv w:val="1"/>
      <w:marLeft w:val="0"/>
      <w:marRight w:val="0"/>
      <w:marTop w:val="0"/>
      <w:marBottom w:val="0"/>
      <w:divBdr>
        <w:top w:val="none" w:sz="0" w:space="0" w:color="auto"/>
        <w:left w:val="none" w:sz="0" w:space="0" w:color="auto"/>
        <w:bottom w:val="none" w:sz="0" w:space="0" w:color="auto"/>
        <w:right w:val="none" w:sz="0" w:space="0" w:color="auto"/>
      </w:divBdr>
    </w:div>
    <w:div w:id="1635132609">
      <w:bodyDiv w:val="1"/>
      <w:marLeft w:val="0"/>
      <w:marRight w:val="0"/>
      <w:marTop w:val="0"/>
      <w:marBottom w:val="0"/>
      <w:divBdr>
        <w:top w:val="none" w:sz="0" w:space="0" w:color="auto"/>
        <w:left w:val="none" w:sz="0" w:space="0" w:color="auto"/>
        <w:bottom w:val="none" w:sz="0" w:space="0" w:color="auto"/>
        <w:right w:val="none" w:sz="0" w:space="0" w:color="auto"/>
      </w:divBdr>
    </w:div>
    <w:div w:id="1636910852">
      <w:bodyDiv w:val="1"/>
      <w:marLeft w:val="0"/>
      <w:marRight w:val="0"/>
      <w:marTop w:val="0"/>
      <w:marBottom w:val="0"/>
      <w:divBdr>
        <w:top w:val="none" w:sz="0" w:space="0" w:color="auto"/>
        <w:left w:val="none" w:sz="0" w:space="0" w:color="auto"/>
        <w:bottom w:val="none" w:sz="0" w:space="0" w:color="auto"/>
        <w:right w:val="none" w:sz="0" w:space="0" w:color="auto"/>
      </w:divBdr>
    </w:div>
    <w:div w:id="1641887040">
      <w:bodyDiv w:val="1"/>
      <w:marLeft w:val="0"/>
      <w:marRight w:val="0"/>
      <w:marTop w:val="0"/>
      <w:marBottom w:val="0"/>
      <w:divBdr>
        <w:top w:val="none" w:sz="0" w:space="0" w:color="auto"/>
        <w:left w:val="none" w:sz="0" w:space="0" w:color="auto"/>
        <w:bottom w:val="none" w:sz="0" w:space="0" w:color="auto"/>
        <w:right w:val="none" w:sz="0" w:space="0" w:color="auto"/>
      </w:divBdr>
    </w:div>
    <w:div w:id="1647054191">
      <w:bodyDiv w:val="1"/>
      <w:marLeft w:val="0"/>
      <w:marRight w:val="0"/>
      <w:marTop w:val="0"/>
      <w:marBottom w:val="0"/>
      <w:divBdr>
        <w:top w:val="none" w:sz="0" w:space="0" w:color="auto"/>
        <w:left w:val="none" w:sz="0" w:space="0" w:color="auto"/>
        <w:bottom w:val="none" w:sz="0" w:space="0" w:color="auto"/>
        <w:right w:val="none" w:sz="0" w:space="0" w:color="auto"/>
      </w:divBdr>
    </w:div>
    <w:div w:id="1657952974">
      <w:bodyDiv w:val="1"/>
      <w:marLeft w:val="0"/>
      <w:marRight w:val="0"/>
      <w:marTop w:val="0"/>
      <w:marBottom w:val="0"/>
      <w:divBdr>
        <w:top w:val="none" w:sz="0" w:space="0" w:color="auto"/>
        <w:left w:val="none" w:sz="0" w:space="0" w:color="auto"/>
        <w:bottom w:val="none" w:sz="0" w:space="0" w:color="auto"/>
        <w:right w:val="none" w:sz="0" w:space="0" w:color="auto"/>
      </w:divBdr>
    </w:div>
    <w:div w:id="1662196549">
      <w:bodyDiv w:val="1"/>
      <w:marLeft w:val="0"/>
      <w:marRight w:val="0"/>
      <w:marTop w:val="0"/>
      <w:marBottom w:val="0"/>
      <w:divBdr>
        <w:top w:val="none" w:sz="0" w:space="0" w:color="auto"/>
        <w:left w:val="none" w:sz="0" w:space="0" w:color="auto"/>
        <w:bottom w:val="none" w:sz="0" w:space="0" w:color="auto"/>
        <w:right w:val="none" w:sz="0" w:space="0" w:color="auto"/>
      </w:divBdr>
    </w:div>
    <w:div w:id="1663703048">
      <w:bodyDiv w:val="1"/>
      <w:marLeft w:val="0"/>
      <w:marRight w:val="0"/>
      <w:marTop w:val="0"/>
      <w:marBottom w:val="0"/>
      <w:divBdr>
        <w:top w:val="none" w:sz="0" w:space="0" w:color="auto"/>
        <w:left w:val="none" w:sz="0" w:space="0" w:color="auto"/>
        <w:bottom w:val="none" w:sz="0" w:space="0" w:color="auto"/>
        <w:right w:val="none" w:sz="0" w:space="0" w:color="auto"/>
      </w:divBdr>
    </w:div>
    <w:div w:id="1668248136">
      <w:bodyDiv w:val="1"/>
      <w:marLeft w:val="0"/>
      <w:marRight w:val="0"/>
      <w:marTop w:val="0"/>
      <w:marBottom w:val="0"/>
      <w:divBdr>
        <w:top w:val="none" w:sz="0" w:space="0" w:color="auto"/>
        <w:left w:val="none" w:sz="0" w:space="0" w:color="auto"/>
        <w:bottom w:val="none" w:sz="0" w:space="0" w:color="auto"/>
        <w:right w:val="none" w:sz="0" w:space="0" w:color="auto"/>
      </w:divBdr>
    </w:div>
    <w:div w:id="1679380374">
      <w:bodyDiv w:val="1"/>
      <w:marLeft w:val="0"/>
      <w:marRight w:val="0"/>
      <w:marTop w:val="0"/>
      <w:marBottom w:val="0"/>
      <w:divBdr>
        <w:top w:val="none" w:sz="0" w:space="0" w:color="auto"/>
        <w:left w:val="none" w:sz="0" w:space="0" w:color="auto"/>
        <w:bottom w:val="none" w:sz="0" w:space="0" w:color="auto"/>
        <w:right w:val="none" w:sz="0" w:space="0" w:color="auto"/>
      </w:divBdr>
    </w:div>
    <w:div w:id="1684284300">
      <w:bodyDiv w:val="1"/>
      <w:marLeft w:val="0"/>
      <w:marRight w:val="0"/>
      <w:marTop w:val="0"/>
      <w:marBottom w:val="0"/>
      <w:divBdr>
        <w:top w:val="none" w:sz="0" w:space="0" w:color="auto"/>
        <w:left w:val="none" w:sz="0" w:space="0" w:color="auto"/>
        <w:bottom w:val="none" w:sz="0" w:space="0" w:color="auto"/>
        <w:right w:val="none" w:sz="0" w:space="0" w:color="auto"/>
      </w:divBdr>
    </w:div>
    <w:div w:id="1685784506">
      <w:bodyDiv w:val="1"/>
      <w:marLeft w:val="0"/>
      <w:marRight w:val="0"/>
      <w:marTop w:val="0"/>
      <w:marBottom w:val="0"/>
      <w:divBdr>
        <w:top w:val="none" w:sz="0" w:space="0" w:color="auto"/>
        <w:left w:val="none" w:sz="0" w:space="0" w:color="auto"/>
        <w:bottom w:val="none" w:sz="0" w:space="0" w:color="auto"/>
        <w:right w:val="none" w:sz="0" w:space="0" w:color="auto"/>
      </w:divBdr>
    </w:div>
    <w:div w:id="1695644345">
      <w:bodyDiv w:val="1"/>
      <w:marLeft w:val="0"/>
      <w:marRight w:val="0"/>
      <w:marTop w:val="0"/>
      <w:marBottom w:val="0"/>
      <w:divBdr>
        <w:top w:val="none" w:sz="0" w:space="0" w:color="auto"/>
        <w:left w:val="none" w:sz="0" w:space="0" w:color="auto"/>
        <w:bottom w:val="none" w:sz="0" w:space="0" w:color="auto"/>
        <w:right w:val="none" w:sz="0" w:space="0" w:color="auto"/>
      </w:divBdr>
    </w:div>
    <w:div w:id="1696154472">
      <w:bodyDiv w:val="1"/>
      <w:marLeft w:val="0"/>
      <w:marRight w:val="0"/>
      <w:marTop w:val="0"/>
      <w:marBottom w:val="0"/>
      <w:divBdr>
        <w:top w:val="none" w:sz="0" w:space="0" w:color="auto"/>
        <w:left w:val="none" w:sz="0" w:space="0" w:color="auto"/>
        <w:bottom w:val="none" w:sz="0" w:space="0" w:color="auto"/>
        <w:right w:val="none" w:sz="0" w:space="0" w:color="auto"/>
      </w:divBdr>
    </w:div>
    <w:div w:id="1716345190">
      <w:bodyDiv w:val="1"/>
      <w:marLeft w:val="0"/>
      <w:marRight w:val="0"/>
      <w:marTop w:val="0"/>
      <w:marBottom w:val="0"/>
      <w:divBdr>
        <w:top w:val="none" w:sz="0" w:space="0" w:color="auto"/>
        <w:left w:val="none" w:sz="0" w:space="0" w:color="auto"/>
        <w:bottom w:val="none" w:sz="0" w:space="0" w:color="auto"/>
        <w:right w:val="none" w:sz="0" w:space="0" w:color="auto"/>
      </w:divBdr>
    </w:div>
    <w:div w:id="1720591525">
      <w:bodyDiv w:val="1"/>
      <w:marLeft w:val="0"/>
      <w:marRight w:val="0"/>
      <w:marTop w:val="0"/>
      <w:marBottom w:val="0"/>
      <w:divBdr>
        <w:top w:val="none" w:sz="0" w:space="0" w:color="auto"/>
        <w:left w:val="none" w:sz="0" w:space="0" w:color="auto"/>
        <w:bottom w:val="none" w:sz="0" w:space="0" w:color="auto"/>
        <w:right w:val="none" w:sz="0" w:space="0" w:color="auto"/>
      </w:divBdr>
    </w:div>
    <w:div w:id="1724597357">
      <w:bodyDiv w:val="1"/>
      <w:marLeft w:val="0"/>
      <w:marRight w:val="0"/>
      <w:marTop w:val="0"/>
      <w:marBottom w:val="0"/>
      <w:divBdr>
        <w:top w:val="none" w:sz="0" w:space="0" w:color="auto"/>
        <w:left w:val="none" w:sz="0" w:space="0" w:color="auto"/>
        <w:bottom w:val="none" w:sz="0" w:space="0" w:color="auto"/>
        <w:right w:val="none" w:sz="0" w:space="0" w:color="auto"/>
      </w:divBdr>
    </w:div>
    <w:div w:id="1727218815">
      <w:bodyDiv w:val="1"/>
      <w:marLeft w:val="0"/>
      <w:marRight w:val="0"/>
      <w:marTop w:val="0"/>
      <w:marBottom w:val="0"/>
      <w:divBdr>
        <w:top w:val="none" w:sz="0" w:space="0" w:color="auto"/>
        <w:left w:val="none" w:sz="0" w:space="0" w:color="auto"/>
        <w:bottom w:val="none" w:sz="0" w:space="0" w:color="auto"/>
        <w:right w:val="none" w:sz="0" w:space="0" w:color="auto"/>
      </w:divBdr>
    </w:div>
    <w:div w:id="1729499714">
      <w:bodyDiv w:val="1"/>
      <w:marLeft w:val="0"/>
      <w:marRight w:val="0"/>
      <w:marTop w:val="0"/>
      <w:marBottom w:val="0"/>
      <w:divBdr>
        <w:top w:val="none" w:sz="0" w:space="0" w:color="auto"/>
        <w:left w:val="none" w:sz="0" w:space="0" w:color="auto"/>
        <w:bottom w:val="none" w:sz="0" w:space="0" w:color="auto"/>
        <w:right w:val="none" w:sz="0" w:space="0" w:color="auto"/>
      </w:divBdr>
    </w:div>
    <w:div w:id="1744522480">
      <w:bodyDiv w:val="1"/>
      <w:marLeft w:val="0"/>
      <w:marRight w:val="0"/>
      <w:marTop w:val="0"/>
      <w:marBottom w:val="0"/>
      <w:divBdr>
        <w:top w:val="none" w:sz="0" w:space="0" w:color="auto"/>
        <w:left w:val="none" w:sz="0" w:space="0" w:color="auto"/>
        <w:bottom w:val="none" w:sz="0" w:space="0" w:color="auto"/>
        <w:right w:val="none" w:sz="0" w:space="0" w:color="auto"/>
      </w:divBdr>
    </w:div>
    <w:div w:id="1750886300">
      <w:bodyDiv w:val="1"/>
      <w:marLeft w:val="0"/>
      <w:marRight w:val="0"/>
      <w:marTop w:val="0"/>
      <w:marBottom w:val="0"/>
      <w:divBdr>
        <w:top w:val="none" w:sz="0" w:space="0" w:color="auto"/>
        <w:left w:val="none" w:sz="0" w:space="0" w:color="auto"/>
        <w:bottom w:val="none" w:sz="0" w:space="0" w:color="auto"/>
        <w:right w:val="none" w:sz="0" w:space="0" w:color="auto"/>
      </w:divBdr>
    </w:div>
    <w:div w:id="1752580245">
      <w:bodyDiv w:val="1"/>
      <w:marLeft w:val="0"/>
      <w:marRight w:val="0"/>
      <w:marTop w:val="0"/>
      <w:marBottom w:val="0"/>
      <w:divBdr>
        <w:top w:val="none" w:sz="0" w:space="0" w:color="auto"/>
        <w:left w:val="none" w:sz="0" w:space="0" w:color="auto"/>
        <w:bottom w:val="none" w:sz="0" w:space="0" w:color="auto"/>
        <w:right w:val="none" w:sz="0" w:space="0" w:color="auto"/>
      </w:divBdr>
    </w:div>
    <w:div w:id="1758746422">
      <w:bodyDiv w:val="1"/>
      <w:marLeft w:val="0"/>
      <w:marRight w:val="0"/>
      <w:marTop w:val="0"/>
      <w:marBottom w:val="0"/>
      <w:divBdr>
        <w:top w:val="none" w:sz="0" w:space="0" w:color="auto"/>
        <w:left w:val="none" w:sz="0" w:space="0" w:color="auto"/>
        <w:bottom w:val="none" w:sz="0" w:space="0" w:color="auto"/>
        <w:right w:val="none" w:sz="0" w:space="0" w:color="auto"/>
      </w:divBdr>
    </w:div>
    <w:div w:id="1759865463">
      <w:bodyDiv w:val="1"/>
      <w:marLeft w:val="0"/>
      <w:marRight w:val="0"/>
      <w:marTop w:val="0"/>
      <w:marBottom w:val="0"/>
      <w:divBdr>
        <w:top w:val="none" w:sz="0" w:space="0" w:color="auto"/>
        <w:left w:val="none" w:sz="0" w:space="0" w:color="auto"/>
        <w:bottom w:val="none" w:sz="0" w:space="0" w:color="auto"/>
        <w:right w:val="none" w:sz="0" w:space="0" w:color="auto"/>
      </w:divBdr>
    </w:div>
    <w:div w:id="1762603007">
      <w:bodyDiv w:val="1"/>
      <w:marLeft w:val="0"/>
      <w:marRight w:val="0"/>
      <w:marTop w:val="0"/>
      <w:marBottom w:val="0"/>
      <w:divBdr>
        <w:top w:val="none" w:sz="0" w:space="0" w:color="auto"/>
        <w:left w:val="none" w:sz="0" w:space="0" w:color="auto"/>
        <w:bottom w:val="none" w:sz="0" w:space="0" w:color="auto"/>
        <w:right w:val="none" w:sz="0" w:space="0" w:color="auto"/>
      </w:divBdr>
    </w:div>
    <w:div w:id="1763842833">
      <w:bodyDiv w:val="1"/>
      <w:marLeft w:val="0"/>
      <w:marRight w:val="0"/>
      <w:marTop w:val="0"/>
      <w:marBottom w:val="0"/>
      <w:divBdr>
        <w:top w:val="none" w:sz="0" w:space="0" w:color="auto"/>
        <w:left w:val="none" w:sz="0" w:space="0" w:color="auto"/>
        <w:bottom w:val="none" w:sz="0" w:space="0" w:color="auto"/>
        <w:right w:val="none" w:sz="0" w:space="0" w:color="auto"/>
      </w:divBdr>
    </w:div>
    <w:div w:id="1765102676">
      <w:bodyDiv w:val="1"/>
      <w:marLeft w:val="0"/>
      <w:marRight w:val="0"/>
      <w:marTop w:val="0"/>
      <w:marBottom w:val="0"/>
      <w:divBdr>
        <w:top w:val="none" w:sz="0" w:space="0" w:color="auto"/>
        <w:left w:val="none" w:sz="0" w:space="0" w:color="auto"/>
        <w:bottom w:val="none" w:sz="0" w:space="0" w:color="auto"/>
        <w:right w:val="none" w:sz="0" w:space="0" w:color="auto"/>
      </w:divBdr>
    </w:div>
    <w:div w:id="1765803812">
      <w:bodyDiv w:val="1"/>
      <w:marLeft w:val="0"/>
      <w:marRight w:val="0"/>
      <w:marTop w:val="0"/>
      <w:marBottom w:val="0"/>
      <w:divBdr>
        <w:top w:val="none" w:sz="0" w:space="0" w:color="auto"/>
        <w:left w:val="none" w:sz="0" w:space="0" w:color="auto"/>
        <w:bottom w:val="none" w:sz="0" w:space="0" w:color="auto"/>
        <w:right w:val="none" w:sz="0" w:space="0" w:color="auto"/>
      </w:divBdr>
    </w:div>
    <w:div w:id="1775664258">
      <w:bodyDiv w:val="1"/>
      <w:marLeft w:val="0"/>
      <w:marRight w:val="0"/>
      <w:marTop w:val="0"/>
      <w:marBottom w:val="0"/>
      <w:divBdr>
        <w:top w:val="none" w:sz="0" w:space="0" w:color="auto"/>
        <w:left w:val="none" w:sz="0" w:space="0" w:color="auto"/>
        <w:bottom w:val="none" w:sz="0" w:space="0" w:color="auto"/>
        <w:right w:val="none" w:sz="0" w:space="0" w:color="auto"/>
      </w:divBdr>
    </w:div>
    <w:div w:id="1776437943">
      <w:bodyDiv w:val="1"/>
      <w:marLeft w:val="0"/>
      <w:marRight w:val="0"/>
      <w:marTop w:val="0"/>
      <w:marBottom w:val="0"/>
      <w:divBdr>
        <w:top w:val="none" w:sz="0" w:space="0" w:color="auto"/>
        <w:left w:val="none" w:sz="0" w:space="0" w:color="auto"/>
        <w:bottom w:val="none" w:sz="0" w:space="0" w:color="auto"/>
        <w:right w:val="none" w:sz="0" w:space="0" w:color="auto"/>
      </w:divBdr>
    </w:div>
    <w:div w:id="1778863876">
      <w:bodyDiv w:val="1"/>
      <w:marLeft w:val="0"/>
      <w:marRight w:val="0"/>
      <w:marTop w:val="0"/>
      <w:marBottom w:val="0"/>
      <w:divBdr>
        <w:top w:val="none" w:sz="0" w:space="0" w:color="auto"/>
        <w:left w:val="none" w:sz="0" w:space="0" w:color="auto"/>
        <w:bottom w:val="none" w:sz="0" w:space="0" w:color="auto"/>
        <w:right w:val="none" w:sz="0" w:space="0" w:color="auto"/>
      </w:divBdr>
    </w:div>
    <w:div w:id="1792942250">
      <w:bodyDiv w:val="1"/>
      <w:marLeft w:val="0"/>
      <w:marRight w:val="0"/>
      <w:marTop w:val="0"/>
      <w:marBottom w:val="0"/>
      <w:divBdr>
        <w:top w:val="none" w:sz="0" w:space="0" w:color="auto"/>
        <w:left w:val="none" w:sz="0" w:space="0" w:color="auto"/>
        <w:bottom w:val="none" w:sz="0" w:space="0" w:color="auto"/>
        <w:right w:val="none" w:sz="0" w:space="0" w:color="auto"/>
      </w:divBdr>
    </w:div>
    <w:div w:id="1793984598">
      <w:bodyDiv w:val="1"/>
      <w:marLeft w:val="0"/>
      <w:marRight w:val="0"/>
      <w:marTop w:val="0"/>
      <w:marBottom w:val="0"/>
      <w:divBdr>
        <w:top w:val="none" w:sz="0" w:space="0" w:color="auto"/>
        <w:left w:val="none" w:sz="0" w:space="0" w:color="auto"/>
        <w:bottom w:val="none" w:sz="0" w:space="0" w:color="auto"/>
        <w:right w:val="none" w:sz="0" w:space="0" w:color="auto"/>
      </w:divBdr>
    </w:div>
    <w:div w:id="1836066483">
      <w:bodyDiv w:val="1"/>
      <w:marLeft w:val="0"/>
      <w:marRight w:val="0"/>
      <w:marTop w:val="0"/>
      <w:marBottom w:val="0"/>
      <w:divBdr>
        <w:top w:val="none" w:sz="0" w:space="0" w:color="auto"/>
        <w:left w:val="none" w:sz="0" w:space="0" w:color="auto"/>
        <w:bottom w:val="none" w:sz="0" w:space="0" w:color="auto"/>
        <w:right w:val="none" w:sz="0" w:space="0" w:color="auto"/>
      </w:divBdr>
    </w:div>
    <w:div w:id="1838230965">
      <w:bodyDiv w:val="1"/>
      <w:marLeft w:val="0"/>
      <w:marRight w:val="0"/>
      <w:marTop w:val="0"/>
      <w:marBottom w:val="0"/>
      <w:divBdr>
        <w:top w:val="none" w:sz="0" w:space="0" w:color="auto"/>
        <w:left w:val="none" w:sz="0" w:space="0" w:color="auto"/>
        <w:bottom w:val="none" w:sz="0" w:space="0" w:color="auto"/>
        <w:right w:val="none" w:sz="0" w:space="0" w:color="auto"/>
      </w:divBdr>
    </w:div>
    <w:div w:id="1839730303">
      <w:bodyDiv w:val="1"/>
      <w:marLeft w:val="0"/>
      <w:marRight w:val="0"/>
      <w:marTop w:val="0"/>
      <w:marBottom w:val="0"/>
      <w:divBdr>
        <w:top w:val="none" w:sz="0" w:space="0" w:color="auto"/>
        <w:left w:val="none" w:sz="0" w:space="0" w:color="auto"/>
        <w:bottom w:val="none" w:sz="0" w:space="0" w:color="auto"/>
        <w:right w:val="none" w:sz="0" w:space="0" w:color="auto"/>
      </w:divBdr>
    </w:div>
    <w:div w:id="1840196443">
      <w:bodyDiv w:val="1"/>
      <w:marLeft w:val="0"/>
      <w:marRight w:val="0"/>
      <w:marTop w:val="0"/>
      <w:marBottom w:val="0"/>
      <w:divBdr>
        <w:top w:val="none" w:sz="0" w:space="0" w:color="auto"/>
        <w:left w:val="none" w:sz="0" w:space="0" w:color="auto"/>
        <w:bottom w:val="none" w:sz="0" w:space="0" w:color="auto"/>
        <w:right w:val="none" w:sz="0" w:space="0" w:color="auto"/>
      </w:divBdr>
    </w:div>
    <w:div w:id="1841579447">
      <w:bodyDiv w:val="1"/>
      <w:marLeft w:val="0"/>
      <w:marRight w:val="0"/>
      <w:marTop w:val="0"/>
      <w:marBottom w:val="0"/>
      <w:divBdr>
        <w:top w:val="none" w:sz="0" w:space="0" w:color="auto"/>
        <w:left w:val="none" w:sz="0" w:space="0" w:color="auto"/>
        <w:bottom w:val="none" w:sz="0" w:space="0" w:color="auto"/>
        <w:right w:val="none" w:sz="0" w:space="0" w:color="auto"/>
      </w:divBdr>
    </w:div>
    <w:div w:id="1842819220">
      <w:bodyDiv w:val="1"/>
      <w:marLeft w:val="0"/>
      <w:marRight w:val="0"/>
      <w:marTop w:val="0"/>
      <w:marBottom w:val="0"/>
      <w:divBdr>
        <w:top w:val="none" w:sz="0" w:space="0" w:color="auto"/>
        <w:left w:val="none" w:sz="0" w:space="0" w:color="auto"/>
        <w:bottom w:val="none" w:sz="0" w:space="0" w:color="auto"/>
        <w:right w:val="none" w:sz="0" w:space="0" w:color="auto"/>
      </w:divBdr>
    </w:div>
    <w:div w:id="1851872723">
      <w:bodyDiv w:val="1"/>
      <w:marLeft w:val="0"/>
      <w:marRight w:val="0"/>
      <w:marTop w:val="0"/>
      <w:marBottom w:val="0"/>
      <w:divBdr>
        <w:top w:val="none" w:sz="0" w:space="0" w:color="auto"/>
        <w:left w:val="none" w:sz="0" w:space="0" w:color="auto"/>
        <w:bottom w:val="none" w:sz="0" w:space="0" w:color="auto"/>
        <w:right w:val="none" w:sz="0" w:space="0" w:color="auto"/>
      </w:divBdr>
    </w:div>
    <w:div w:id="1869487748">
      <w:bodyDiv w:val="1"/>
      <w:marLeft w:val="0"/>
      <w:marRight w:val="0"/>
      <w:marTop w:val="0"/>
      <w:marBottom w:val="0"/>
      <w:divBdr>
        <w:top w:val="none" w:sz="0" w:space="0" w:color="auto"/>
        <w:left w:val="none" w:sz="0" w:space="0" w:color="auto"/>
        <w:bottom w:val="none" w:sz="0" w:space="0" w:color="auto"/>
        <w:right w:val="none" w:sz="0" w:space="0" w:color="auto"/>
      </w:divBdr>
    </w:div>
    <w:div w:id="1883976333">
      <w:bodyDiv w:val="1"/>
      <w:marLeft w:val="0"/>
      <w:marRight w:val="0"/>
      <w:marTop w:val="0"/>
      <w:marBottom w:val="0"/>
      <w:divBdr>
        <w:top w:val="none" w:sz="0" w:space="0" w:color="auto"/>
        <w:left w:val="none" w:sz="0" w:space="0" w:color="auto"/>
        <w:bottom w:val="none" w:sz="0" w:space="0" w:color="auto"/>
        <w:right w:val="none" w:sz="0" w:space="0" w:color="auto"/>
      </w:divBdr>
    </w:div>
    <w:div w:id="1901213099">
      <w:bodyDiv w:val="1"/>
      <w:marLeft w:val="0"/>
      <w:marRight w:val="0"/>
      <w:marTop w:val="0"/>
      <w:marBottom w:val="0"/>
      <w:divBdr>
        <w:top w:val="none" w:sz="0" w:space="0" w:color="auto"/>
        <w:left w:val="none" w:sz="0" w:space="0" w:color="auto"/>
        <w:bottom w:val="none" w:sz="0" w:space="0" w:color="auto"/>
        <w:right w:val="none" w:sz="0" w:space="0" w:color="auto"/>
      </w:divBdr>
    </w:div>
    <w:div w:id="1906448659">
      <w:bodyDiv w:val="1"/>
      <w:marLeft w:val="0"/>
      <w:marRight w:val="0"/>
      <w:marTop w:val="0"/>
      <w:marBottom w:val="0"/>
      <w:divBdr>
        <w:top w:val="none" w:sz="0" w:space="0" w:color="auto"/>
        <w:left w:val="none" w:sz="0" w:space="0" w:color="auto"/>
        <w:bottom w:val="none" w:sz="0" w:space="0" w:color="auto"/>
        <w:right w:val="none" w:sz="0" w:space="0" w:color="auto"/>
      </w:divBdr>
    </w:div>
    <w:div w:id="1911189519">
      <w:bodyDiv w:val="1"/>
      <w:marLeft w:val="0"/>
      <w:marRight w:val="0"/>
      <w:marTop w:val="0"/>
      <w:marBottom w:val="0"/>
      <w:divBdr>
        <w:top w:val="none" w:sz="0" w:space="0" w:color="auto"/>
        <w:left w:val="none" w:sz="0" w:space="0" w:color="auto"/>
        <w:bottom w:val="none" w:sz="0" w:space="0" w:color="auto"/>
        <w:right w:val="none" w:sz="0" w:space="0" w:color="auto"/>
      </w:divBdr>
    </w:div>
    <w:div w:id="1913613229">
      <w:bodyDiv w:val="1"/>
      <w:marLeft w:val="0"/>
      <w:marRight w:val="0"/>
      <w:marTop w:val="0"/>
      <w:marBottom w:val="0"/>
      <w:divBdr>
        <w:top w:val="none" w:sz="0" w:space="0" w:color="auto"/>
        <w:left w:val="none" w:sz="0" w:space="0" w:color="auto"/>
        <w:bottom w:val="none" w:sz="0" w:space="0" w:color="auto"/>
        <w:right w:val="none" w:sz="0" w:space="0" w:color="auto"/>
      </w:divBdr>
    </w:div>
    <w:div w:id="1920094955">
      <w:bodyDiv w:val="1"/>
      <w:marLeft w:val="0"/>
      <w:marRight w:val="0"/>
      <w:marTop w:val="0"/>
      <w:marBottom w:val="0"/>
      <w:divBdr>
        <w:top w:val="none" w:sz="0" w:space="0" w:color="auto"/>
        <w:left w:val="none" w:sz="0" w:space="0" w:color="auto"/>
        <w:bottom w:val="none" w:sz="0" w:space="0" w:color="auto"/>
        <w:right w:val="none" w:sz="0" w:space="0" w:color="auto"/>
      </w:divBdr>
    </w:div>
    <w:div w:id="1925725113">
      <w:bodyDiv w:val="1"/>
      <w:marLeft w:val="0"/>
      <w:marRight w:val="0"/>
      <w:marTop w:val="0"/>
      <w:marBottom w:val="0"/>
      <w:divBdr>
        <w:top w:val="none" w:sz="0" w:space="0" w:color="auto"/>
        <w:left w:val="none" w:sz="0" w:space="0" w:color="auto"/>
        <w:bottom w:val="none" w:sz="0" w:space="0" w:color="auto"/>
        <w:right w:val="none" w:sz="0" w:space="0" w:color="auto"/>
      </w:divBdr>
    </w:div>
    <w:div w:id="1934587504">
      <w:bodyDiv w:val="1"/>
      <w:marLeft w:val="0"/>
      <w:marRight w:val="0"/>
      <w:marTop w:val="0"/>
      <w:marBottom w:val="0"/>
      <w:divBdr>
        <w:top w:val="none" w:sz="0" w:space="0" w:color="auto"/>
        <w:left w:val="none" w:sz="0" w:space="0" w:color="auto"/>
        <w:bottom w:val="none" w:sz="0" w:space="0" w:color="auto"/>
        <w:right w:val="none" w:sz="0" w:space="0" w:color="auto"/>
      </w:divBdr>
    </w:div>
    <w:div w:id="1937055929">
      <w:bodyDiv w:val="1"/>
      <w:marLeft w:val="0"/>
      <w:marRight w:val="0"/>
      <w:marTop w:val="0"/>
      <w:marBottom w:val="0"/>
      <w:divBdr>
        <w:top w:val="none" w:sz="0" w:space="0" w:color="auto"/>
        <w:left w:val="none" w:sz="0" w:space="0" w:color="auto"/>
        <w:bottom w:val="none" w:sz="0" w:space="0" w:color="auto"/>
        <w:right w:val="none" w:sz="0" w:space="0" w:color="auto"/>
      </w:divBdr>
    </w:div>
    <w:div w:id="1941602097">
      <w:bodyDiv w:val="1"/>
      <w:marLeft w:val="0"/>
      <w:marRight w:val="0"/>
      <w:marTop w:val="0"/>
      <w:marBottom w:val="0"/>
      <w:divBdr>
        <w:top w:val="none" w:sz="0" w:space="0" w:color="auto"/>
        <w:left w:val="none" w:sz="0" w:space="0" w:color="auto"/>
        <w:bottom w:val="none" w:sz="0" w:space="0" w:color="auto"/>
        <w:right w:val="none" w:sz="0" w:space="0" w:color="auto"/>
      </w:divBdr>
    </w:div>
    <w:div w:id="1952201669">
      <w:bodyDiv w:val="1"/>
      <w:marLeft w:val="0"/>
      <w:marRight w:val="0"/>
      <w:marTop w:val="0"/>
      <w:marBottom w:val="0"/>
      <w:divBdr>
        <w:top w:val="none" w:sz="0" w:space="0" w:color="auto"/>
        <w:left w:val="none" w:sz="0" w:space="0" w:color="auto"/>
        <w:bottom w:val="none" w:sz="0" w:space="0" w:color="auto"/>
        <w:right w:val="none" w:sz="0" w:space="0" w:color="auto"/>
      </w:divBdr>
    </w:div>
    <w:div w:id="1952858958">
      <w:bodyDiv w:val="1"/>
      <w:marLeft w:val="0"/>
      <w:marRight w:val="0"/>
      <w:marTop w:val="0"/>
      <w:marBottom w:val="0"/>
      <w:divBdr>
        <w:top w:val="none" w:sz="0" w:space="0" w:color="auto"/>
        <w:left w:val="none" w:sz="0" w:space="0" w:color="auto"/>
        <w:bottom w:val="none" w:sz="0" w:space="0" w:color="auto"/>
        <w:right w:val="none" w:sz="0" w:space="0" w:color="auto"/>
      </w:divBdr>
    </w:div>
    <w:div w:id="1955286610">
      <w:bodyDiv w:val="1"/>
      <w:marLeft w:val="0"/>
      <w:marRight w:val="0"/>
      <w:marTop w:val="0"/>
      <w:marBottom w:val="0"/>
      <w:divBdr>
        <w:top w:val="none" w:sz="0" w:space="0" w:color="auto"/>
        <w:left w:val="none" w:sz="0" w:space="0" w:color="auto"/>
        <w:bottom w:val="none" w:sz="0" w:space="0" w:color="auto"/>
        <w:right w:val="none" w:sz="0" w:space="0" w:color="auto"/>
      </w:divBdr>
    </w:div>
    <w:div w:id="1961833930">
      <w:bodyDiv w:val="1"/>
      <w:marLeft w:val="0"/>
      <w:marRight w:val="0"/>
      <w:marTop w:val="0"/>
      <w:marBottom w:val="0"/>
      <w:divBdr>
        <w:top w:val="none" w:sz="0" w:space="0" w:color="auto"/>
        <w:left w:val="none" w:sz="0" w:space="0" w:color="auto"/>
        <w:bottom w:val="none" w:sz="0" w:space="0" w:color="auto"/>
        <w:right w:val="none" w:sz="0" w:space="0" w:color="auto"/>
      </w:divBdr>
    </w:div>
    <w:div w:id="1964266217">
      <w:bodyDiv w:val="1"/>
      <w:marLeft w:val="0"/>
      <w:marRight w:val="0"/>
      <w:marTop w:val="0"/>
      <w:marBottom w:val="0"/>
      <w:divBdr>
        <w:top w:val="none" w:sz="0" w:space="0" w:color="auto"/>
        <w:left w:val="none" w:sz="0" w:space="0" w:color="auto"/>
        <w:bottom w:val="none" w:sz="0" w:space="0" w:color="auto"/>
        <w:right w:val="none" w:sz="0" w:space="0" w:color="auto"/>
      </w:divBdr>
    </w:div>
    <w:div w:id="2000116751">
      <w:bodyDiv w:val="1"/>
      <w:marLeft w:val="0"/>
      <w:marRight w:val="0"/>
      <w:marTop w:val="0"/>
      <w:marBottom w:val="0"/>
      <w:divBdr>
        <w:top w:val="none" w:sz="0" w:space="0" w:color="auto"/>
        <w:left w:val="none" w:sz="0" w:space="0" w:color="auto"/>
        <w:bottom w:val="none" w:sz="0" w:space="0" w:color="auto"/>
        <w:right w:val="none" w:sz="0" w:space="0" w:color="auto"/>
      </w:divBdr>
    </w:div>
    <w:div w:id="2005011403">
      <w:bodyDiv w:val="1"/>
      <w:marLeft w:val="0"/>
      <w:marRight w:val="0"/>
      <w:marTop w:val="0"/>
      <w:marBottom w:val="0"/>
      <w:divBdr>
        <w:top w:val="none" w:sz="0" w:space="0" w:color="auto"/>
        <w:left w:val="none" w:sz="0" w:space="0" w:color="auto"/>
        <w:bottom w:val="none" w:sz="0" w:space="0" w:color="auto"/>
        <w:right w:val="none" w:sz="0" w:space="0" w:color="auto"/>
      </w:divBdr>
    </w:div>
    <w:div w:id="2010402422">
      <w:bodyDiv w:val="1"/>
      <w:marLeft w:val="0"/>
      <w:marRight w:val="0"/>
      <w:marTop w:val="0"/>
      <w:marBottom w:val="0"/>
      <w:divBdr>
        <w:top w:val="none" w:sz="0" w:space="0" w:color="auto"/>
        <w:left w:val="none" w:sz="0" w:space="0" w:color="auto"/>
        <w:bottom w:val="none" w:sz="0" w:space="0" w:color="auto"/>
        <w:right w:val="none" w:sz="0" w:space="0" w:color="auto"/>
      </w:divBdr>
    </w:div>
    <w:div w:id="2010669423">
      <w:bodyDiv w:val="1"/>
      <w:marLeft w:val="0"/>
      <w:marRight w:val="0"/>
      <w:marTop w:val="0"/>
      <w:marBottom w:val="0"/>
      <w:divBdr>
        <w:top w:val="none" w:sz="0" w:space="0" w:color="auto"/>
        <w:left w:val="none" w:sz="0" w:space="0" w:color="auto"/>
        <w:bottom w:val="none" w:sz="0" w:space="0" w:color="auto"/>
        <w:right w:val="none" w:sz="0" w:space="0" w:color="auto"/>
      </w:divBdr>
    </w:div>
    <w:div w:id="2016883595">
      <w:bodyDiv w:val="1"/>
      <w:marLeft w:val="0"/>
      <w:marRight w:val="0"/>
      <w:marTop w:val="0"/>
      <w:marBottom w:val="0"/>
      <w:divBdr>
        <w:top w:val="none" w:sz="0" w:space="0" w:color="auto"/>
        <w:left w:val="none" w:sz="0" w:space="0" w:color="auto"/>
        <w:bottom w:val="none" w:sz="0" w:space="0" w:color="auto"/>
        <w:right w:val="none" w:sz="0" w:space="0" w:color="auto"/>
      </w:divBdr>
    </w:div>
    <w:div w:id="2026783658">
      <w:bodyDiv w:val="1"/>
      <w:marLeft w:val="0"/>
      <w:marRight w:val="0"/>
      <w:marTop w:val="0"/>
      <w:marBottom w:val="0"/>
      <w:divBdr>
        <w:top w:val="none" w:sz="0" w:space="0" w:color="auto"/>
        <w:left w:val="none" w:sz="0" w:space="0" w:color="auto"/>
        <w:bottom w:val="none" w:sz="0" w:space="0" w:color="auto"/>
        <w:right w:val="none" w:sz="0" w:space="0" w:color="auto"/>
      </w:divBdr>
    </w:div>
    <w:div w:id="2052419780">
      <w:bodyDiv w:val="1"/>
      <w:marLeft w:val="0"/>
      <w:marRight w:val="0"/>
      <w:marTop w:val="0"/>
      <w:marBottom w:val="0"/>
      <w:divBdr>
        <w:top w:val="none" w:sz="0" w:space="0" w:color="auto"/>
        <w:left w:val="none" w:sz="0" w:space="0" w:color="auto"/>
        <w:bottom w:val="none" w:sz="0" w:space="0" w:color="auto"/>
        <w:right w:val="none" w:sz="0" w:space="0" w:color="auto"/>
      </w:divBdr>
    </w:div>
    <w:div w:id="2063014915">
      <w:bodyDiv w:val="1"/>
      <w:marLeft w:val="0"/>
      <w:marRight w:val="0"/>
      <w:marTop w:val="0"/>
      <w:marBottom w:val="0"/>
      <w:divBdr>
        <w:top w:val="none" w:sz="0" w:space="0" w:color="auto"/>
        <w:left w:val="none" w:sz="0" w:space="0" w:color="auto"/>
        <w:bottom w:val="none" w:sz="0" w:space="0" w:color="auto"/>
        <w:right w:val="none" w:sz="0" w:space="0" w:color="auto"/>
      </w:divBdr>
    </w:div>
    <w:div w:id="2071152837">
      <w:bodyDiv w:val="1"/>
      <w:marLeft w:val="0"/>
      <w:marRight w:val="0"/>
      <w:marTop w:val="0"/>
      <w:marBottom w:val="0"/>
      <w:divBdr>
        <w:top w:val="none" w:sz="0" w:space="0" w:color="auto"/>
        <w:left w:val="none" w:sz="0" w:space="0" w:color="auto"/>
        <w:bottom w:val="none" w:sz="0" w:space="0" w:color="auto"/>
        <w:right w:val="none" w:sz="0" w:space="0" w:color="auto"/>
      </w:divBdr>
    </w:div>
    <w:div w:id="2075153158">
      <w:bodyDiv w:val="1"/>
      <w:marLeft w:val="0"/>
      <w:marRight w:val="0"/>
      <w:marTop w:val="0"/>
      <w:marBottom w:val="0"/>
      <w:divBdr>
        <w:top w:val="none" w:sz="0" w:space="0" w:color="auto"/>
        <w:left w:val="none" w:sz="0" w:space="0" w:color="auto"/>
        <w:bottom w:val="none" w:sz="0" w:space="0" w:color="auto"/>
        <w:right w:val="none" w:sz="0" w:space="0" w:color="auto"/>
      </w:divBdr>
    </w:div>
    <w:div w:id="2078702713">
      <w:bodyDiv w:val="1"/>
      <w:marLeft w:val="0"/>
      <w:marRight w:val="0"/>
      <w:marTop w:val="0"/>
      <w:marBottom w:val="0"/>
      <w:divBdr>
        <w:top w:val="none" w:sz="0" w:space="0" w:color="auto"/>
        <w:left w:val="none" w:sz="0" w:space="0" w:color="auto"/>
        <w:bottom w:val="none" w:sz="0" w:space="0" w:color="auto"/>
        <w:right w:val="none" w:sz="0" w:space="0" w:color="auto"/>
      </w:divBdr>
    </w:div>
    <w:div w:id="2102144136">
      <w:bodyDiv w:val="1"/>
      <w:marLeft w:val="0"/>
      <w:marRight w:val="0"/>
      <w:marTop w:val="0"/>
      <w:marBottom w:val="0"/>
      <w:divBdr>
        <w:top w:val="none" w:sz="0" w:space="0" w:color="auto"/>
        <w:left w:val="none" w:sz="0" w:space="0" w:color="auto"/>
        <w:bottom w:val="none" w:sz="0" w:space="0" w:color="auto"/>
        <w:right w:val="none" w:sz="0" w:space="0" w:color="auto"/>
      </w:divBdr>
    </w:div>
    <w:div w:id="2103793375">
      <w:bodyDiv w:val="1"/>
      <w:marLeft w:val="0"/>
      <w:marRight w:val="0"/>
      <w:marTop w:val="0"/>
      <w:marBottom w:val="0"/>
      <w:divBdr>
        <w:top w:val="none" w:sz="0" w:space="0" w:color="auto"/>
        <w:left w:val="none" w:sz="0" w:space="0" w:color="auto"/>
        <w:bottom w:val="none" w:sz="0" w:space="0" w:color="auto"/>
        <w:right w:val="none" w:sz="0" w:space="0" w:color="auto"/>
      </w:divBdr>
    </w:div>
    <w:div w:id="2108310151">
      <w:bodyDiv w:val="1"/>
      <w:marLeft w:val="0"/>
      <w:marRight w:val="0"/>
      <w:marTop w:val="0"/>
      <w:marBottom w:val="0"/>
      <w:divBdr>
        <w:top w:val="none" w:sz="0" w:space="0" w:color="auto"/>
        <w:left w:val="none" w:sz="0" w:space="0" w:color="auto"/>
        <w:bottom w:val="none" w:sz="0" w:space="0" w:color="auto"/>
        <w:right w:val="none" w:sz="0" w:space="0" w:color="auto"/>
      </w:divBdr>
    </w:div>
    <w:div w:id="2109811670">
      <w:bodyDiv w:val="1"/>
      <w:marLeft w:val="0"/>
      <w:marRight w:val="0"/>
      <w:marTop w:val="0"/>
      <w:marBottom w:val="0"/>
      <w:divBdr>
        <w:top w:val="none" w:sz="0" w:space="0" w:color="auto"/>
        <w:left w:val="none" w:sz="0" w:space="0" w:color="auto"/>
        <w:bottom w:val="none" w:sz="0" w:space="0" w:color="auto"/>
        <w:right w:val="none" w:sz="0" w:space="0" w:color="auto"/>
      </w:divBdr>
    </w:div>
    <w:div w:id="2116749009">
      <w:bodyDiv w:val="1"/>
      <w:marLeft w:val="0"/>
      <w:marRight w:val="0"/>
      <w:marTop w:val="0"/>
      <w:marBottom w:val="0"/>
      <w:divBdr>
        <w:top w:val="none" w:sz="0" w:space="0" w:color="auto"/>
        <w:left w:val="none" w:sz="0" w:space="0" w:color="auto"/>
        <w:bottom w:val="none" w:sz="0" w:space="0" w:color="auto"/>
        <w:right w:val="none" w:sz="0" w:space="0" w:color="auto"/>
      </w:divBdr>
    </w:div>
    <w:div w:id="2119520891">
      <w:bodyDiv w:val="1"/>
      <w:marLeft w:val="0"/>
      <w:marRight w:val="0"/>
      <w:marTop w:val="0"/>
      <w:marBottom w:val="0"/>
      <w:divBdr>
        <w:top w:val="none" w:sz="0" w:space="0" w:color="auto"/>
        <w:left w:val="none" w:sz="0" w:space="0" w:color="auto"/>
        <w:bottom w:val="none" w:sz="0" w:space="0" w:color="auto"/>
        <w:right w:val="none" w:sz="0" w:space="0" w:color="auto"/>
      </w:divBdr>
    </w:div>
    <w:div w:id="212214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2.emf"/><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DF1BD466E83E842902559549E0F08F2" ma:contentTypeVersion="4" ma:contentTypeDescription="Új dokumentum létrehozása." ma:contentTypeScope="" ma:versionID="c517b37d0a268d7b3b79160f4f5acec7">
  <xsd:schema xmlns:xsd="http://www.w3.org/2001/XMLSchema" xmlns:xs="http://www.w3.org/2001/XMLSchema" xmlns:p="http://schemas.microsoft.com/office/2006/metadata/properties" xmlns:ns2="cb7eed14-1ed6-4f4f-9464-e9d73fc2f8e9" xmlns:ns3="9669010e-b829-4d86-87dd-cdce11b02043" targetNamespace="http://schemas.microsoft.com/office/2006/metadata/properties" ma:root="true" ma:fieldsID="f30cb5648670564f827e0db9dba0e9f8" ns2:_="" ns3:_="">
    <xsd:import namespace="cb7eed14-1ed6-4f4f-9464-e9d73fc2f8e9"/>
    <xsd:import namespace="9669010e-b829-4d86-87dd-cdce11b02043"/>
    <xsd:element name="properties">
      <xsd:complexType>
        <xsd:sequence>
          <xsd:element name="documentManagement">
            <xsd:complexType>
              <xsd:all>
                <xsd:element ref="ns2:T_x00e9_ma" minOccurs="0"/>
                <xsd:element ref="ns2:_x00c9_v"/>
                <xsd:element ref="ns2:L_x00e1_that_x00f3_s_x00e1_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eed14-1ed6-4f4f-9464-e9d73fc2f8e9" elementFormDefault="qualified">
    <xsd:import namespace="http://schemas.microsoft.com/office/2006/documentManagement/types"/>
    <xsd:import namespace="http://schemas.microsoft.com/office/infopath/2007/PartnerControls"/>
    <xsd:element name="T_x00e9_ma" ma:index="2" nillable="true" ma:displayName="Téma" ma:format="Dropdown" ma:internalName="T_x00e9_ma">
      <xsd:simpleType>
        <xsd:restriction base="dms:Choice">
          <xsd:enumeration value="Tervezés"/>
          <xsd:enumeration value="Zárszámadás"/>
          <xsd:enumeration value="Törvénymódosítás"/>
          <xsd:enumeration value="ÁSZ ellenőrzés"/>
          <xsd:enumeration value="Gyorsjelentés"/>
          <xsd:enumeration value="Monitoring"/>
          <xsd:enumeration value="Tervezési tájékoztató"/>
          <xsd:enumeration value="Útmutató"/>
          <xsd:enumeration value="Munkaprogram"/>
          <xsd:enumeration value="Ütemterv"/>
          <xsd:enumeration value="Módosító"/>
          <xsd:enumeration value="Kormányülés"/>
          <xsd:enumeration value="Gazdasági kabinet"/>
          <xsd:enumeration value="Stratégiai kabinet"/>
          <xsd:enumeration value="IFMIS"/>
          <xsd:enumeration value="Fejezeten belüli átcsoportosítás"/>
          <xsd:enumeration value="Címlista"/>
          <xsd:enumeration value="BEÜ"/>
          <xsd:enumeration value="Koronavírus"/>
          <xsd:enumeration value="Tudásbázis"/>
          <xsd:enumeration value="Kiemelt fejlesztési igények"/>
          <xsd:enumeration value="Iktatás"/>
        </xsd:restriction>
      </xsd:simpleType>
    </xsd:element>
    <xsd:element name="_x00c9_v" ma:index="3" ma:displayName="Év" ma:default="2018" ma:format="Dropdown" ma:internalName="_x00c9_v">
      <xsd:simpleType>
        <xsd:restriction base="dms:Choice">
          <xsd:enumeration value="2022"/>
          <xsd:enumeration value="2021"/>
          <xsd:enumeration value="2020"/>
          <xsd:enumeration value="2019"/>
          <xsd:enumeration value="2018"/>
          <xsd:enumeration value="2017"/>
          <xsd:enumeration value="2016"/>
          <xsd:enumeration value="2015"/>
        </xsd:restriction>
      </xsd:simpleType>
    </xsd:element>
    <xsd:element name="L_x00e1_that_x00f3_s_x00e1_g" ma:index="4" nillable="true" ma:displayName="Láthatóság" ma:default="Publikus" ma:format="Dropdown" ma:internalName="L_x00e1_that_x00f3_s_x00e1_g">
      <xsd:simpleType>
        <xsd:restriction base="dms:Choice">
          <xsd:enumeration value="Publikus"/>
          <xsd:enumeration value="Csak admin látja (verziókat tartalmaz)"/>
        </xsd:restriction>
      </xsd:simpleType>
    </xsd:element>
  </xsd:schema>
  <xsd:schema xmlns:xsd="http://www.w3.org/2001/XMLSchema" xmlns:xs="http://www.w3.org/2001/XMLSchema" xmlns:dms="http://schemas.microsoft.com/office/2006/documentManagement/types" xmlns:pc="http://schemas.microsoft.com/office/infopath/2007/PartnerControls" targetNamespace="9669010e-b829-4d86-87dd-cdce11b02043" elementFormDefault="qualified">
    <xsd:import namespace="http://schemas.microsoft.com/office/2006/documentManagement/types"/>
    <xsd:import namespace="http://schemas.microsoft.com/office/infopath/2007/PartnerControls"/>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artalomtípus"/>
        <xsd:element ref="dc:title" minOccurs="0" maxOccurs="1" ma:index="1"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c9_v xmlns="cb7eed14-1ed6-4f4f-9464-e9d73fc2f8e9">2021</_x00c9_v>
    <T_x00e9_ma xmlns="cb7eed14-1ed6-4f4f-9464-e9d73fc2f8e9">Monitoring</T_x00e9_ma>
    <L_x00e1_that_x00f3_s_x00e1_g xmlns="cb7eed14-1ed6-4f4f-9464-e9d73fc2f8e9">Publikus</L_x00e1_that_x00f3_s_x00e1_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8B922-18FD-4500-B0B8-5A8485F78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eed14-1ed6-4f4f-9464-e9d73fc2f8e9"/>
    <ds:schemaRef ds:uri="9669010e-b829-4d86-87dd-cdce11b02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480CA-BC7A-45F3-A224-17837488D9B2}">
  <ds:schemaRefs>
    <ds:schemaRef ds:uri="http://purl.org/dc/terms/"/>
    <ds:schemaRef ds:uri="cb7eed14-1ed6-4f4f-9464-e9d73fc2f8e9"/>
    <ds:schemaRef ds:uri="http://purl.org/dc/dcmitype/"/>
    <ds:schemaRef ds:uri="9669010e-b829-4d86-87dd-cdce11b02043"/>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4E78AD5-6B76-4533-9306-00D2F12000D1}">
  <ds:schemaRefs>
    <ds:schemaRef ds:uri="http://schemas.microsoft.com/sharepoint/v3/contenttype/forms"/>
  </ds:schemaRefs>
</ds:datastoreItem>
</file>

<file path=customXml/itemProps4.xml><?xml version="1.0" encoding="utf-8"?>
<ds:datastoreItem xmlns:ds="http://schemas.openxmlformats.org/officeDocument/2006/customXml" ds:itemID="{D705AFEC-ACC9-47A2-9DF8-920FBBCA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5203</Words>
  <Characters>35575</Characters>
  <Application>Microsoft Office Word</Application>
  <DocSecurity>0</DocSecurity>
  <Lines>296</Lines>
  <Paragraphs>81</Paragraphs>
  <ScaleCrop>false</ScaleCrop>
  <HeadingPairs>
    <vt:vector size="2" baseType="variant">
      <vt:variant>
        <vt:lpstr>Cím</vt:lpstr>
      </vt:variant>
      <vt:variant>
        <vt:i4>1</vt:i4>
      </vt:variant>
    </vt:vector>
  </HeadingPairs>
  <TitlesOfParts>
    <vt:vector size="1" baseType="lpstr">
      <vt:lpstr>Tájékoztató az államháztartás központi alrendszerének 2021. május havi helyzetéről</vt:lpstr>
    </vt:vector>
  </TitlesOfParts>
  <LinksUpToDate>false</LinksUpToDate>
  <CharactersWithSpaces>40697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Tájékoztató az államháztartás központi alrendszerének 2021. május havi helyzetéről</dc:title>
  <dc:creator/>
  <cp:lastModifiedBy/>
  <cp:revision>1</cp:revision>
  <dcterms:created xsi:type="dcterms:W3CDTF">2021-06-16T10:20:00Z</dcterms:created>
  <dcterms:modified xsi:type="dcterms:W3CDTF">2021-06-17T12:22:00Z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0x010100CDF1BD466E83E842902559549E0F08F2</vt:lpwstr>
  </property>
</Properties>
</file>